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69D9A" w14:textId="7EAF7763" w:rsidR="00CD4BCA" w:rsidRPr="00E40F91" w:rsidRDefault="00CD4BCA" w:rsidP="001D1455">
      <w:pPr>
        <w:spacing w:after="0" w:line="240" w:lineRule="auto"/>
        <w:jc w:val="center"/>
        <w:rPr>
          <w:rFonts w:eastAsia="MS Mincho" w:cs="Times New Roman"/>
          <w:sz w:val="18"/>
          <w:szCs w:val="18"/>
          <w:lang w:val="en-US"/>
        </w:rPr>
      </w:pPr>
    </w:p>
    <w:p w14:paraId="2C841D28" w14:textId="77777777" w:rsidR="00E40F91" w:rsidRPr="00E40F91" w:rsidRDefault="00E40F91" w:rsidP="001D1455">
      <w:pPr>
        <w:spacing w:after="0" w:line="240" w:lineRule="auto"/>
        <w:jc w:val="center"/>
        <w:rPr>
          <w:rFonts w:eastAsia="MS Mincho" w:cs="Times New Roman"/>
          <w:b/>
          <w:szCs w:val="20"/>
          <w:lang w:val="en-US"/>
        </w:rPr>
      </w:pPr>
    </w:p>
    <w:p w14:paraId="4728FA02" w14:textId="77777777" w:rsidR="00CD4BCA" w:rsidRPr="00E40F91" w:rsidRDefault="00CD4BCA" w:rsidP="001D1455">
      <w:pPr>
        <w:spacing w:after="0" w:line="240" w:lineRule="auto"/>
        <w:jc w:val="center"/>
        <w:rPr>
          <w:rFonts w:eastAsia="MS Mincho" w:cs="Times New Roman"/>
          <w:b/>
          <w:szCs w:val="20"/>
          <w:lang w:val="en-US"/>
        </w:rPr>
      </w:pPr>
    </w:p>
    <w:p w14:paraId="0A0BE922" w14:textId="77777777" w:rsidR="00CD4BCA" w:rsidRPr="00E40F91" w:rsidRDefault="00CD4BCA" w:rsidP="001D1455">
      <w:pPr>
        <w:spacing w:after="0" w:line="240" w:lineRule="auto"/>
        <w:jc w:val="center"/>
        <w:rPr>
          <w:rFonts w:eastAsia="MS Mincho" w:cs="Times New Roman"/>
          <w:b/>
          <w:szCs w:val="20"/>
          <w:lang w:val="en-US"/>
        </w:rPr>
      </w:pPr>
    </w:p>
    <w:p w14:paraId="05FB7EFE" w14:textId="77777777" w:rsidR="00CD4BCA" w:rsidRPr="00E40F91" w:rsidRDefault="00CD4BCA" w:rsidP="001D1455">
      <w:pPr>
        <w:spacing w:after="0" w:line="240" w:lineRule="auto"/>
        <w:jc w:val="center"/>
        <w:rPr>
          <w:rFonts w:eastAsia="MS Mincho" w:cs="Times New Roman"/>
          <w:b/>
          <w:szCs w:val="20"/>
          <w:lang w:val="en-US"/>
        </w:rPr>
      </w:pPr>
    </w:p>
    <w:p w14:paraId="1C438E3F" w14:textId="77777777" w:rsidR="00CD4BCA" w:rsidRPr="00E40F91" w:rsidRDefault="00CD4BCA" w:rsidP="001D1455">
      <w:pPr>
        <w:spacing w:after="0" w:line="240" w:lineRule="auto"/>
        <w:jc w:val="center"/>
        <w:rPr>
          <w:rFonts w:eastAsia="MS Mincho" w:cs="Times New Roman"/>
          <w:b/>
          <w:szCs w:val="20"/>
          <w:lang w:val="en-US"/>
        </w:rPr>
      </w:pPr>
    </w:p>
    <w:p w14:paraId="66B4D4A9" w14:textId="77777777" w:rsidR="00CD4BCA" w:rsidRPr="00E40F91" w:rsidRDefault="00CD4BCA" w:rsidP="001D1455">
      <w:pPr>
        <w:spacing w:after="0" w:line="240" w:lineRule="auto"/>
        <w:jc w:val="center"/>
        <w:rPr>
          <w:rFonts w:eastAsia="MS Mincho" w:cs="Times New Roman"/>
          <w:b/>
          <w:szCs w:val="20"/>
          <w:lang w:val="en-US"/>
        </w:rPr>
      </w:pPr>
    </w:p>
    <w:p w14:paraId="424F4610" w14:textId="77777777" w:rsidR="00CD4BCA" w:rsidRPr="00E40F91" w:rsidRDefault="00CD4BCA" w:rsidP="001D1455">
      <w:pPr>
        <w:spacing w:after="0" w:line="240" w:lineRule="auto"/>
        <w:jc w:val="center"/>
        <w:rPr>
          <w:rFonts w:eastAsia="MS Mincho" w:cs="Times New Roman"/>
          <w:b/>
          <w:szCs w:val="20"/>
          <w:lang w:val="en-US"/>
        </w:rPr>
      </w:pPr>
    </w:p>
    <w:p w14:paraId="763FB883" w14:textId="77777777" w:rsidR="00CD4BCA" w:rsidRPr="00E40F91" w:rsidRDefault="00CD4BCA" w:rsidP="001D1455">
      <w:pPr>
        <w:spacing w:after="0" w:line="240" w:lineRule="auto"/>
        <w:jc w:val="center"/>
        <w:rPr>
          <w:rFonts w:eastAsia="MS Mincho" w:cs="Times New Roman"/>
          <w:b/>
          <w:szCs w:val="20"/>
          <w:lang w:val="en-US"/>
        </w:rPr>
      </w:pPr>
    </w:p>
    <w:p w14:paraId="05967E97" w14:textId="77777777" w:rsidR="00CD4BCA" w:rsidRPr="00E40F91" w:rsidRDefault="00CD4BCA" w:rsidP="001D1455">
      <w:pPr>
        <w:spacing w:after="0" w:line="240" w:lineRule="auto"/>
        <w:jc w:val="center"/>
        <w:rPr>
          <w:rFonts w:eastAsia="MS Mincho" w:cs="Times New Roman"/>
          <w:b/>
          <w:szCs w:val="20"/>
          <w:lang w:val="en-US"/>
        </w:rPr>
      </w:pPr>
    </w:p>
    <w:p w14:paraId="79832A36" w14:textId="3CFFAE70" w:rsidR="001D1455" w:rsidRPr="007B2402" w:rsidRDefault="00AF4344" w:rsidP="000A6DAF">
      <w:pPr>
        <w:spacing w:after="0" w:line="240" w:lineRule="auto"/>
        <w:jc w:val="center"/>
        <w:rPr>
          <w:rFonts w:eastAsia="MS Mincho" w:cs="Times New Roman"/>
          <w:b/>
          <w:szCs w:val="20"/>
          <w:lang w:val="en-US"/>
        </w:rPr>
      </w:pPr>
      <w:r w:rsidRPr="007B2402">
        <w:rPr>
          <w:rFonts w:eastAsia="MS Mincho" w:cs="Times New Roman"/>
          <w:b/>
          <w:szCs w:val="20"/>
          <w:lang w:val="en-US"/>
        </w:rPr>
        <w:t>INTER-AMERICAN COURT OF HUMAN RIGHTS</w:t>
      </w:r>
    </w:p>
    <w:p w14:paraId="37F76522" w14:textId="77777777" w:rsidR="001D1455" w:rsidRPr="007B2402" w:rsidRDefault="001D1455" w:rsidP="001D1455">
      <w:pPr>
        <w:spacing w:after="0" w:line="240" w:lineRule="auto"/>
        <w:jc w:val="center"/>
        <w:rPr>
          <w:rFonts w:eastAsia="MS Mincho" w:cs="Times New Roman"/>
          <w:b/>
          <w:szCs w:val="20"/>
          <w:lang w:val="en-US"/>
        </w:rPr>
      </w:pPr>
    </w:p>
    <w:p w14:paraId="28EFAB96" w14:textId="7AB685C1" w:rsidR="001D1455" w:rsidRPr="007B2402" w:rsidRDefault="001D1455" w:rsidP="001D1455">
      <w:pPr>
        <w:spacing w:after="0" w:line="240" w:lineRule="auto"/>
        <w:jc w:val="center"/>
        <w:rPr>
          <w:rFonts w:eastAsia="MS Mincho" w:cs="Times New Roman"/>
          <w:b/>
          <w:szCs w:val="20"/>
          <w:lang w:val="en-US"/>
        </w:rPr>
      </w:pPr>
      <w:r w:rsidRPr="007B2402">
        <w:rPr>
          <w:rFonts w:eastAsia="MS Mincho" w:cs="Times New Roman"/>
          <w:b/>
          <w:szCs w:val="20"/>
          <w:lang w:val="en-US"/>
        </w:rPr>
        <w:t>CAS</w:t>
      </w:r>
      <w:r w:rsidR="00AF4344" w:rsidRPr="007B2402">
        <w:rPr>
          <w:rFonts w:eastAsia="MS Mincho" w:cs="Times New Roman"/>
          <w:b/>
          <w:szCs w:val="20"/>
          <w:lang w:val="en-US"/>
        </w:rPr>
        <w:t>E OF</w:t>
      </w:r>
      <w:r w:rsidRPr="007B2402">
        <w:rPr>
          <w:rFonts w:eastAsia="MS Mincho" w:cs="Times New Roman"/>
          <w:b/>
          <w:szCs w:val="20"/>
          <w:lang w:val="en-US"/>
        </w:rPr>
        <w:t xml:space="preserve"> </w:t>
      </w:r>
      <w:r w:rsidR="00AF4344" w:rsidRPr="007B2402">
        <w:rPr>
          <w:rFonts w:eastAsia="MS Mincho" w:cs="Times New Roman"/>
          <w:b/>
          <w:szCs w:val="20"/>
          <w:lang w:val="en-US"/>
        </w:rPr>
        <w:t xml:space="preserve">HERZOG </w:t>
      </w:r>
      <w:r w:rsidR="00AF4344" w:rsidRPr="007B2402">
        <w:rPr>
          <w:rFonts w:eastAsia="MS Mincho" w:cs="Times New Roman"/>
          <w:b/>
          <w:i/>
          <w:szCs w:val="20"/>
          <w:lang w:val="en-US"/>
        </w:rPr>
        <w:t>ET AL.</w:t>
      </w:r>
      <w:r w:rsidRPr="007B2402">
        <w:rPr>
          <w:rFonts w:eastAsia="MS Mincho" w:cs="Times New Roman"/>
          <w:b/>
          <w:i/>
          <w:szCs w:val="20"/>
          <w:lang w:val="en-US"/>
        </w:rPr>
        <w:t xml:space="preserve"> V.</w:t>
      </w:r>
      <w:r w:rsidRPr="007B2402">
        <w:rPr>
          <w:rFonts w:eastAsia="MS Mincho" w:cs="Times New Roman"/>
          <w:b/>
          <w:szCs w:val="20"/>
          <w:lang w:val="en-US"/>
        </w:rPr>
        <w:t xml:space="preserve"> </w:t>
      </w:r>
      <w:r w:rsidR="00AF4344" w:rsidRPr="007B2402">
        <w:rPr>
          <w:rFonts w:eastAsia="MS Mincho" w:cs="Times New Roman"/>
          <w:b/>
          <w:szCs w:val="20"/>
          <w:lang w:val="en-US"/>
        </w:rPr>
        <w:t>BRAZIL</w:t>
      </w:r>
    </w:p>
    <w:p w14:paraId="0D9651FE" w14:textId="77777777" w:rsidR="001D1455" w:rsidRPr="007B2402" w:rsidRDefault="001D1455" w:rsidP="001D1455">
      <w:pPr>
        <w:spacing w:after="0" w:line="240" w:lineRule="auto"/>
        <w:jc w:val="center"/>
        <w:rPr>
          <w:rFonts w:eastAsia="MS Mincho" w:cs="Times New Roman"/>
          <w:b/>
          <w:szCs w:val="20"/>
          <w:lang w:val="en-US"/>
        </w:rPr>
      </w:pPr>
    </w:p>
    <w:p w14:paraId="5AD42F19" w14:textId="183722B0" w:rsidR="001D1455" w:rsidRPr="007B2402" w:rsidRDefault="00AF4344" w:rsidP="001D1455">
      <w:pPr>
        <w:spacing w:after="0" w:line="240" w:lineRule="auto"/>
        <w:jc w:val="center"/>
        <w:rPr>
          <w:rFonts w:eastAsia="MS Mincho" w:cs="Times New Roman"/>
          <w:b/>
          <w:szCs w:val="20"/>
          <w:lang w:val="en-US"/>
        </w:rPr>
      </w:pPr>
      <w:r w:rsidRPr="007B2402">
        <w:rPr>
          <w:rFonts w:eastAsia="MS Mincho" w:cs="Times New Roman"/>
          <w:b/>
          <w:szCs w:val="20"/>
          <w:lang w:val="en-US"/>
        </w:rPr>
        <w:t>JUDGMENT OF</w:t>
      </w:r>
      <w:r w:rsidR="001D1455" w:rsidRPr="007B2402">
        <w:rPr>
          <w:rFonts w:eastAsia="MS Mincho" w:cs="Times New Roman"/>
          <w:b/>
          <w:szCs w:val="20"/>
          <w:lang w:val="en-US"/>
        </w:rPr>
        <w:t xml:space="preserve"> </w:t>
      </w:r>
      <w:r w:rsidRPr="007B2402">
        <w:rPr>
          <w:rFonts w:eastAsia="MS Mincho" w:cs="Times New Roman"/>
          <w:b/>
          <w:szCs w:val="20"/>
          <w:lang w:val="en-US"/>
        </w:rPr>
        <w:t>MARCH 15,</w:t>
      </w:r>
      <w:r w:rsidR="00A05955" w:rsidRPr="007B2402">
        <w:rPr>
          <w:rFonts w:eastAsia="MS Mincho" w:cs="Times New Roman"/>
          <w:b/>
          <w:szCs w:val="20"/>
          <w:lang w:val="en-US"/>
        </w:rPr>
        <w:t xml:space="preserve"> 2018</w:t>
      </w:r>
    </w:p>
    <w:p w14:paraId="191FCA45" w14:textId="77777777" w:rsidR="001D1455" w:rsidRPr="007B2402" w:rsidRDefault="001D1455" w:rsidP="001D1455">
      <w:pPr>
        <w:spacing w:after="0" w:line="240" w:lineRule="auto"/>
        <w:jc w:val="center"/>
        <w:rPr>
          <w:rFonts w:eastAsia="MS Mincho" w:cs="Times New Roman"/>
          <w:b/>
          <w:szCs w:val="20"/>
          <w:lang w:val="en-US"/>
        </w:rPr>
      </w:pPr>
    </w:p>
    <w:p w14:paraId="739F7A07" w14:textId="5701E938" w:rsidR="001D1455" w:rsidRPr="007B2402" w:rsidRDefault="001D1455" w:rsidP="001D1455">
      <w:pPr>
        <w:spacing w:after="0" w:line="240" w:lineRule="auto"/>
        <w:jc w:val="center"/>
        <w:rPr>
          <w:rFonts w:eastAsia="Batang" w:cs="Times"/>
          <w:b/>
          <w:i/>
          <w:smallCaps/>
          <w:noProof/>
          <w:szCs w:val="20"/>
          <w:lang w:val="en-US" w:eastAsia="es-ES"/>
        </w:rPr>
      </w:pPr>
      <w:r w:rsidRPr="007B2402">
        <w:rPr>
          <w:rFonts w:eastAsia="MS Mincho" w:cs="Times New Roman"/>
          <w:b/>
          <w:szCs w:val="20"/>
          <w:lang w:val="en-US"/>
        </w:rPr>
        <w:t>(</w:t>
      </w:r>
      <w:r w:rsidR="00AF4344" w:rsidRPr="007B2402">
        <w:rPr>
          <w:rFonts w:eastAsia="MS Mincho" w:cs="Times New Roman"/>
          <w:b/>
          <w:szCs w:val="20"/>
          <w:lang w:val="en-US"/>
        </w:rPr>
        <w:t>Preliminary objections, merits, reparations and costs</w:t>
      </w:r>
      <w:r w:rsidRPr="007B2402">
        <w:rPr>
          <w:rFonts w:eastAsia="MS Mincho" w:cs="Times New Roman"/>
          <w:b/>
          <w:szCs w:val="20"/>
          <w:lang w:val="en-US"/>
        </w:rPr>
        <w:t>)</w:t>
      </w:r>
    </w:p>
    <w:p w14:paraId="48194AE4" w14:textId="77777777" w:rsidR="001D1455" w:rsidRPr="007B2402" w:rsidRDefault="001D1455" w:rsidP="001D1455">
      <w:pPr>
        <w:spacing w:after="120" w:line="240" w:lineRule="auto"/>
        <w:ind w:right="-4"/>
        <w:jc w:val="center"/>
        <w:rPr>
          <w:rFonts w:eastAsia="Batang" w:cs="Verdana Bold"/>
          <w:b/>
          <w:bCs/>
          <w:i/>
          <w:caps/>
          <w:noProof/>
          <w:szCs w:val="20"/>
          <w:lang w:val="en-US"/>
        </w:rPr>
      </w:pPr>
    </w:p>
    <w:p w14:paraId="0D5AD97C" w14:textId="77777777" w:rsidR="001D1455" w:rsidRPr="007B2402" w:rsidRDefault="001D1455" w:rsidP="001D1455">
      <w:pPr>
        <w:spacing w:after="0" w:line="240" w:lineRule="auto"/>
        <w:ind w:left="-142" w:right="-4"/>
        <w:jc w:val="both"/>
        <w:rPr>
          <w:rFonts w:eastAsia="Batang" w:cs="Times"/>
          <w:szCs w:val="20"/>
          <w:lang w:val="en-US"/>
        </w:rPr>
      </w:pPr>
    </w:p>
    <w:p w14:paraId="7156168D" w14:textId="2CD53067" w:rsidR="001D1455" w:rsidRPr="007B2402" w:rsidRDefault="001D1455" w:rsidP="001D1455">
      <w:pPr>
        <w:spacing w:after="0" w:line="240" w:lineRule="auto"/>
        <w:ind w:left="-142" w:right="-4"/>
        <w:jc w:val="both"/>
        <w:rPr>
          <w:rFonts w:eastAsia="Batang" w:cs="Times"/>
          <w:szCs w:val="20"/>
          <w:lang w:val="en-US"/>
        </w:rPr>
      </w:pPr>
    </w:p>
    <w:p w14:paraId="09AE9AC4" w14:textId="0A73FF4A" w:rsidR="00AF4344" w:rsidRPr="007B2402" w:rsidRDefault="00AF4344" w:rsidP="001D1455">
      <w:pPr>
        <w:spacing w:after="0" w:line="240" w:lineRule="auto"/>
        <w:ind w:left="-142" w:right="-4"/>
        <w:jc w:val="both"/>
        <w:rPr>
          <w:rFonts w:eastAsia="Batang" w:cs="Times"/>
          <w:szCs w:val="20"/>
          <w:lang w:val="en-US"/>
        </w:rPr>
      </w:pPr>
    </w:p>
    <w:p w14:paraId="1F156232" w14:textId="1264E75E" w:rsidR="00AF4344" w:rsidRPr="007B2402" w:rsidRDefault="00AF4344" w:rsidP="001D1455">
      <w:pPr>
        <w:spacing w:after="0" w:line="240" w:lineRule="auto"/>
        <w:ind w:left="-142" w:right="-4"/>
        <w:jc w:val="both"/>
        <w:rPr>
          <w:rFonts w:eastAsia="Batang" w:cs="Times"/>
          <w:szCs w:val="20"/>
          <w:lang w:val="en-US"/>
        </w:rPr>
      </w:pPr>
    </w:p>
    <w:p w14:paraId="440CB466" w14:textId="77777777" w:rsidR="00AF4344" w:rsidRPr="007B2402" w:rsidRDefault="00AF4344" w:rsidP="001D1455">
      <w:pPr>
        <w:spacing w:after="0" w:line="240" w:lineRule="auto"/>
        <w:ind w:left="-142" w:right="-4"/>
        <w:jc w:val="both"/>
        <w:rPr>
          <w:rFonts w:eastAsia="Batang" w:cs="Times"/>
          <w:szCs w:val="20"/>
          <w:lang w:val="en-US"/>
        </w:rPr>
      </w:pPr>
    </w:p>
    <w:p w14:paraId="0EAC1B62" w14:textId="5472674F" w:rsidR="001D1455" w:rsidRPr="007B2402" w:rsidRDefault="00AF4344" w:rsidP="001D1455">
      <w:pPr>
        <w:spacing w:after="0" w:line="240" w:lineRule="auto"/>
        <w:jc w:val="both"/>
        <w:rPr>
          <w:rFonts w:eastAsia="Batang" w:cs="Times"/>
          <w:noProof/>
          <w:szCs w:val="20"/>
          <w:lang w:val="en-US"/>
        </w:rPr>
      </w:pPr>
      <w:r w:rsidRPr="007B2402">
        <w:rPr>
          <w:rFonts w:eastAsia="Batang" w:cs="Times"/>
          <w:noProof/>
          <w:szCs w:val="20"/>
          <w:lang w:val="en-US"/>
        </w:rPr>
        <w:t>In the</w:t>
      </w:r>
      <w:r w:rsidR="001D1455" w:rsidRPr="007B2402">
        <w:rPr>
          <w:rFonts w:eastAsia="Batang" w:cs="Times"/>
          <w:noProof/>
          <w:szCs w:val="20"/>
          <w:lang w:val="en-US"/>
        </w:rPr>
        <w:t xml:space="preserve"> cas</w:t>
      </w:r>
      <w:r w:rsidRPr="007B2402">
        <w:rPr>
          <w:rFonts w:eastAsia="Batang" w:cs="Times"/>
          <w:noProof/>
          <w:szCs w:val="20"/>
          <w:lang w:val="en-US"/>
        </w:rPr>
        <w:t>e of</w:t>
      </w:r>
      <w:r w:rsidR="001D1455" w:rsidRPr="007B2402">
        <w:rPr>
          <w:rFonts w:eastAsia="Batang" w:cs="Times"/>
          <w:noProof/>
          <w:szCs w:val="20"/>
          <w:lang w:val="en-US"/>
        </w:rPr>
        <w:t xml:space="preserve"> </w:t>
      </w:r>
      <w:r w:rsidRPr="007B2402">
        <w:rPr>
          <w:rFonts w:eastAsia="Batang" w:cs="Times"/>
          <w:i/>
          <w:noProof/>
          <w:szCs w:val="20"/>
          <w:lang w:val="en-US"/>
        </w:rPr>
        <w:t>Herzog et al.</w:t>
      </w:r>
      <w:r w:rsidR="001D1455" w:rsidRPr="007B2402">
        <w:rPr>
          <w:rFonts w:eastAsia="Batang" w:cs="Times"/>
          <w:i/>
          <w:noProof/>
          <w:szCs w:val="20"/>
          <w:lang w:val="en-US"/>
        </w:rPr>
        <w:t>,</w:t>
      </w:r>
    </w:p>
    <w:p w14:paraId="7BA33153" w14:textId="77777777" w:rsidR="001D1455" w:rsidRPr="007B2402" w:rsidRDefault="001D1455" w:rsidP="001D1455">
      <w:pPr>
        <w:spacing w:after="0" w:line="240" w:lineRule="auto"/>
        <w:ind w:left="-142" w:right="-138"/>
        <w:jc w:val="both"/>
        <w:rPr>
          <w:rFonts w:eastAsia="Batang" w:cs="Times"/>
          <w:noProof/>
          <w:szCs w:val="20"/>
          <w:lang w:val="en-US"/>
        </w:rPr>
      </w:pPr>
    </w:p>
    <w:p w14:paraId="3EA83C3B" w14:textId="76FA094A" w:rsidR="001D1455" w:rsidRPr="007B2402" w:rsidRDefault="00AF4344" w:rsidP="001D1455">
      <w:pPr>
        <w:spacing w:after="0" w:line="240" w:lineRule="auto"/>
        <w:ind w:right="-138"/>
        <w:jc w:val="both"/>
        <w:rPr>
          <w:rFonts w:eastAsia="Batang" w:cs="Times"/>
          <w:noProof/>
          <w:szCs w:val="20"/>
          <w:lang w:val="en-US"/>
        </w:rPr>
      </w:pPr>
      <w:r w:rsidRPr="007B2402">
        <w:rPr>
          <w:rFonts w:eastAsia="Batang" w:cs="Times"/>
          <w:noProof/>
          <w:szCs w:val="20"/>
          <w:lang w:val="en-US"/>
        </w:rPr>
        <w:t>the Inter-American Court of Human Rights</w:t>
      </w:r>
      <w:r w:rsidR="001D1455" w:rsidRPr="007B2402">
        <w:rPr>
          <w:rFonts w:eastAsia="Batang" w:cs="Times"/>
          <w:noProof/>
          <w:szCs w:val="20"/>
          <w:lang w:val="en-US"/>
        </w:rPr>
        <w:t xml:space="preserve"> (</w:t>
      </w:r>
      <w:r w:rsidRPr="007B2402">
        <w:rPr>
          <w:rFonts w:eastAsia="Batang" w:cs="Times"/>
          <w:noProof/>
          <w:szCs w:val="20"/>
          <w:lang w:val="en-US"/>
        </w:rPr>
        <w:t>hereinafter</w:t>
      </w:r>
      <w:r w:rsidR="001D1455" w:rsidRPr="007B2402">
        <w:rPr>
          <w:rFonts w:eastAsia="Batang" w:cs="Times"/>
          <w:noProof/>
          <w:szCs w:val="20"/>
          <w:lang w:val="en-US"/>
        </w:rPr>
        <w:t xml:space="preserve"> “</w:t>
      </w:r>
      <w:r w:rsidRPr="007B2402">
        <w:rPr>
          <w:rFonts w:eastAsia="Batang" w:cs="Times"/>
          <w:noProof/>
          <w:szCs w:val="20"/>
          <w:lang w:val="en-US"/>
        </w:rPr>
        <w:t>the Inter-American Court</w:t>
      </w:r>
      <w:r w:rsidR="001D1455" w:rsidRPr="007B2402">
        <w:rPr>
          <w:rFonts w:eastAsia="Batang" w:cs="Times"/>
          <w:noProof/>
          <w:szCs w:val="20"/>
          <w:lang w:val="en-US"/>
        </w:rPr>
        <w:t>”</w:t>
      </w:r>
      <w:r w:rsidRPr="007B2402">
        <w:rPr>
          <w:rFonts w:eastAsia="Batang" w:cs="Times"/>
          <w:noProof/>
          <w:szCs w:val="20"/>
          <w:lang w:val="en-US"/>
        </w:rPr>
        <w:t xml:space="preserve"> or</w:t>
      </w:r>
      <w:r w:rsidR="001D1455" w:rsidRPr="007B2402">
        <w:rPr>
          <w:rFonts w:eastAsia="Batang" w:cs="Times"/>
          <w:noProof/>
          <w:szCs w:val="20"/>
          <w:lang w:val="en-US"/>
        </w:rPr>
        <w:t xml:space="preserve"> “</w:t>
      </w:r>
      <w:r w:rsidRPr="007B2402">
        <w:rPr>
          <w:rFonts w:eastAsia="Batang" w:cs="Times"/>
          <w:noProof/>
          <w:szCs w:val="20"/>
          <w:lang w:val="en-US"/>
        </w:rPr>
        <w:t>the Court</w:t>
      </w:r>
      <w:r w:rsidR="001D1455" w:rsidRPr="007B2402">
        <w:rPr>
          <w:rFonts w:eastAsia="Batang" w:cs="Times"/>
          <w:noProof/>
          <w:szCs w:val="20"/>
          <w:lang w:val="en-US"/>
        </w:rPr>
        <w:t>”</w:t>
      </w:r>
      <w:r w:rsidRPr="007B2402">
        <w:rPr>
          <w:rFonts w:eastAsia="Batang" w:cs="Times"/>
          <w:noProof/>
          <w:szCs w:val="20"/>
          <w:lang w:val="en-US"/>
        </w:rPr>
        <w:t>), composed of the following judges:</w:t>
      </w:r>
      <w:r w:rsidR="001D1455" w:rsidRPr="007B2402">
        <w:rPr>
          <w:rFonts w:eastAsia="Batang" w:cs="Times New Roman"/>
          <w:noProof/>
          <w:szCs w:val="20"/>
          <w:vertAlign w:val="superscript"/>
          <w:lang w:val="en-US"/>
        </w:rPr>
        <w:footnoteReference w:id="1"/>
      </w:r>
    </w:p>
    <w:p w14:paraId="571B7FAB" w14:textId="77777777" w:rsidR="001D1455" w:rsidRPr="007B2402" w:rsidRDefault="001D1455" w:rsidP="001D1455">
      <w:pPr>
        <w:spacing w:after="0" w:line="240" w:lineRule="auto"/>
        <w:ind w:right="-138"/>
        <w:jc w:val="both"/>
        <w:rPr>
          <w:rFonts w:eastAsia="Batang" w:cs="Times"/>
          <w:noProof/>
          <w:szCs w:val="20"/>
          <w:lang w:val="en-US"/>
        </w:rPr>
      </w:pPr>
    </w:p>
    <w:p w14:paraId="54FDB3F6" w14:textId="71434322" w:rsidR="001D1455" w:rsidRPr="007B2402" w:rsidRDefault="001D1455" w:rsidP="001D1455">
      <w:pPr>
        <w:spacing w:after="0" w:line="240" w:lineRule="auto"/>
        <w:ind w:right="-138"/>
        <w:jc w:val="both"/>
        <w:rPr>
          <w:rFonts w:eastAsia="Times New Roman" w:cs="Times New Roman"/>
          <w:noProof/>
          <w:szCs w:val="20"/>
        </w:rPr>
      </w:pPr>
      <w:r w:rsidRPr="007B2402">
        <w:rPr>
          <w:rFonts w:eastAsia="Times New Roman" w:cs="Times New Roman"/>
          <w:noProof/>
          <w:szCs w:val="20"/>
        </w:rPr>
        <w:t xml:space="preserve">Eduardo Ferrer Mac-Gregor Poisot, </w:t>
      </w:r>
      <w:r w:rsidR="00AF4344" w:rsidRPr="007B2402">
        <w:rPr>
          <w:rFonts w:eastAsia="Times New Roman" w:cs="Times New Roman"/>
          <w:noProof/>
          <w:szCs w:val="20"/>
        </w:rPr>
        <w:t>President</w:t>
      </w:r>
      <w:r w:rsidRPr="007B2402">
        <w:rPr>
          <w:rFonts w:eastAsia="Times New Roman" w:cs="Times New Roman"/>
          <w:noProof/>
          <w:szCs w:val="20"/>
        </w:rPr>
        <w:t xml:space="preserve"> </w:t>
      </w:r>
    </w:p>
    <w:p w14:paraId="23EDD357" w14:textId="2F8C1A60" w:rsidR="001D1455" w:rsidRPr="007B2402" w:rsidRDefault="001D1455" w:rsidP="001D1455">
      <w:pPr>
        <w:spacing w:after="0" w:line="240" w:lineRule="auto"/>
        <w:ind w:right="-138"/>
        <w:jc w:val="both"/>
        <w:rPr>
          <w:rFonts w:eastAsia="Times New Roman" w:cs="Times New Roman"/>
          <w:noProof/>
          <w:szCs w:val="20"/>
        </w:rPr>
      </w:pPr>
      <w:r w:rsidRPr="007B2402">
        <w:rPr>
          <w:rFonts w:eastAsia="Times New Roman" w:cs="Times New Roman"/>
          <w:noProof/>
          <w:szCs w:val="20"/>
        </w:rPr>
        <w:t>Eduardo Vio Grossi, Vice</w:t>
      </w:r>
      <w:r w:rsidR="00AF4344" w:rsidRPr="007B2402">
        <w:rPr>
          <w:rFonts w:eastAsia="Times New Roman" w:cs="Times New Roman"/>
          <w:noProof/>
          <w:szCs w:val="20"/>
        </w:rPr>
        <w:t xml:space="preserve"> President</w:t>
      </w:r>
    </w:p>
    <w:p w14:paraId="75D16474" w14:textId="2CDC9829" w:rsidR="001D1455" w:rsidRPr="007B2402" w:rsidRDefault="001D1455" w:rsidP="001D1455">
      <w:pPr>
        <w:spacing w:after="0" w:line="240" w:lineRule="auto"/>
        <w:ind w:right="-138"/>
        <w:jc w:val="both"/>
        <w:rPr>
          <w:rFonts w:eastAsia="Times New Roman" w:cs="Times New Roman"/>
          <w:noProof/>
          <w:szCs w:val="20"/>
        </w:rPr>
      </w:pPr>
      <w:r w:rsidRPr="007B2402">
        <w:rPr>
          <w:rFonts w:eastAsia="Times New Roman" w:cs="Times New Roman"/>
          <w:noProof/>
          <w:szCs w:val="20"/>
        </w:rPr>
        <w:t xml:space="preserve">Humberto Antonio Sierra Porto, </w:t>
      </w:r>
      <w:r w:rsidR="00AF4344" w:rsidRPr="007B2402">
        <w:rPr>
          <w:rFonts w:eastAsia="Times New Roman" w:cs="Times New Roman"/>
          <w:noProof/>
          <w:szCs w:val="20"/>
        </w:rPr>
        <w:t>Judge</w:t>
      </w:r>
    </w:p>
    <w:p w14:paraId="7D07AAA7" w14:textId="53165024" w:rsidR="001D1455" w:rsidRPr="007B2402" w:rsidRDefault="001D1455" w:rsidP="001D1455">
      <w:pPr>
        <w:spacing w:after="0" w:line="240" w:lineRule="auto"/>
        <w:ind w:right="-138"/>
        <w:jc w:val="both"/>
        <w:rPr>
          <w:rFonts w:eastAsia="Times New Roman" w:cs="Times New Roman"/>
          <w:noProof/>
          <w:szCs w:val="20"/>
        </w:rPr>
      </w:pPr>
      <w:r w:rsidRPr="007B2402">
        <w:rPr>
          <w:rFonts w:eastAsia="Times New Roman" w:cs="Times New Roman"/>
          <w:noProof/>
          <w:szCs w:val="20"/>
        </w:rPr>
        <w:t xml:space="preserve">Elizabeth Odio Benito, </w:t>
      </w:r>
      <w:r w:rsidR="00AF4344" w:rsidRPr="007B2402">
        <w:rPr>
          <w:rFonts w:eastAsia="Times New Roman" w:cs="Times New Roman"/>
          <w:noProof/>
          <w:szCs w:val="20"/>
        </w:rPr>
        <w:t>Judge</w:t>
      </w:r>
    </w:p>
    <w:p w14:paraId="2A2AB3E4" w14:textId="0B06A991" w:rsidR="001D1455" w:rsidRPr="007B2402" w:rsidRDefault="001D1455" w:rsidP="001D1455">
      <w:pPr>
        <w:spacing w:after="0" w:line="240" w:lineRule="auto"/>
        <w:ind w:right="-138"/>
        <w:jc w:val="both"/>
        <w:rPr>
          <w:rFonts w:eastAsia="Times New Roman" w:cs="Times New Roman"/>
          <w:noProof/>
          <w:szCs w:val="20"/>
          <w:lang w:val="en-US"/>
        </w:rPr>
      </w:pPr>
      <w:r w:rsidRPr="007B2402">
        <w:rPr>
          <w:rFonts w:eastAsia="Times New Roman" w:cs="Times New Roman"/>
          <w:noProof/>
          <w:szCs w:val="20"/>
          <w:lang w:val="en-US"/>
        </w:rPr>
        <w:t xml:space="preserve">Eugenio Raúl Zaffaroni, </w:t>
      </w:r>
      <w:r w:rsidR="00AF4344" w:rsidRPr="007B2402">
        <w:rPr>
          <w:rFonts w:eastAsia="Times New Roman" w:cs="Times New Roman"/>
          <w:noProof/>
          <w:szCs w:val="20"/>
          <w:lang w:val="en-US"/>
        </w:rPr>
        <w:t>Judge</w:t>
      </w:r>
      <w:r w:rsidRPr="007B2402">
        <w:rPr>
          <w:rFonts w:eastAsia="Times New Roman" w:cs="Times New Roman"/>
          <w:noProof/>
          <w:szCs w:val="20"/>
          <w:lang w:val="en-US"/>
        </w:rPr>
        <w:t xml:space="preserve">, </w:t>
      </w:r>
      <w:r w:rsidR="00AF4344" w:rsidRPr="007B2402">
        <w:rPr>
          <w:rFonts w:eastAsia="Times New Roman" w:cs="Times New Roman"/>
          <w:noProof/>
          <w:szCs w:val="20"/>
          <w:lang w:val="en-US"/>
        </w:rPr>
        <w:t>and</w:t>
      </w:r>
      <w:r w:rsidRPr="007B2402">
        <w:rPr>
          <w:rFonts w:eastAsia="Times New Roman" w:cs="Times New Roman"/>
          <w:noProof/>
          <w:szCs w:val="20"/>
          <w:lang w:val="en-US"/>
        </w:rPr>
        <w:t xml:space="preserve"> </w:t>
      </w:r>
    </w:p>
    <w:p w14:paraId="434408F8" w14:textId="028EA39C" w:rsidR="001D1455" w:rsidRPr="007B2402" w:rsidRDefault="001D1455" w:rsidP="001D1455">
      <w:pPr>
        <w:spacing w:after="0" w:line="240" w:lineRule="auto"/>
        <w:ind w:right="-138"/>
        <w:jc w:val="both"/>
        <w:rPr>
          <w:rFonts w:eastAsia="Batang" w:cs="Times"/>
          <w:noProof/>
          <w:szCs w:val="20"/>
          <w:lang w:val="en-US"/>
        </w:rPr>
      </w:pPr>
      <w:r w:rsidRPr="007B2402">
        <w:rPr>
          <w:rFonts w:eastAsia="Batang" w:cs="Times"/>
          <w:noProof/>
          <w:szCs w:val="20"/>
          <w:lang w:val="en-US"/>
        </w:rPr>
        <w:t xml:space="preserve">L. Patricio Pazmiño Freire, </w:t>
      </w:r>
      <w:r w:rsidR="00AF4344" w:rsidRPr="007B2402">
        <w:rPr>
          <w:rFonts w:eastAsia="Batang" w:cs="Times"/>
          <w:noProof/>
          <w:szCs w:val="20"/>
          <w:lang w:val="en-US"/>
        </w:rPr>
        <w:t>Judge</w:t>
      </w:r>
      <w:r w:rsidRPr="007B2402">
        <w:rPr>
          <w:rFonts w:eastAsia="Batang" w:cs="Times"/>
          <w:noProof/>
          <w:szCs w:val="20"/>
          <w:lang w:val="en-US"/>
        </w:rPr>
        <w:t xml:space="preserve">; </w:t>
      </w:r>
    </w:p>
    <w:p w14:paraId="2418F573" w14:textId="77777777" w:rsidR="001D1455" w:rsidRPr="007B2402" w:rsidRDefault="001D1455" w:rsidP="001D1455">
      <w:pPr>
        <w:spacing w:after="0" w:line="240" w:lineRule="auto"/>
        <w:ind w:right="-138"/>
        <w:jc w:val="both"/>
        <w:rPr>
          <w:rFonts w:eastAsia="Batang" w:cs="Times"/>
          <w:noProof/>
          <w:szCs w:val="20"/>
          <w:lang w:val="en-US"/>
        </w:rPr>
      </w:pPr>
    </w:p>
    <w:p w14:paraId="6C8D1112" w14:textId="4D336935" w:rsidR="001D1455" w:rsidRPr="007B2402" w:rsidRDefault="00AF4344" w:rsidP="001D1455">
      <w:pPr>
        <w:spacing w:after="0" w:line="240" w:lineRule="auto"/>
        <w:ind w:right="-138"/>
        <w:jc w:val="both"/>
        <w:rPr>
          <w:rFonts w:eastAsia="Batang" w:cs="Times"/>
          <w:noProof/>
          <w:szCs w:val="20"/>
          <w:lang w:val="en-US"/>
        </w:rPr>
      </w:pPr>
      <w:r w:rsidRPr="007B2402">
        <w:rPr>
          <w:rFonts w:eastAsia="Batang" w:cs="Times"/>
          <w:noProof/>
          <w:szCs w:val="20"/>
          <w:lang w:val="en-US"/>
        </w:rPr>
        <w:t>also present</w:t>
      </w:r>
      <w:r w:rsidR="001D1455" w:rsidRPr="007B2402">
        <w:rPr>
          <w:rFonts w:eastAsia="Batang" w:cs="Times"/>
          <w:noProof/>
          <w:szCs w:val="20"/>
          <w:lang w:val="en-US"/>
        </w:rPr>
        <w:t>,</w:t>
      </w:r>
    </w:p>
    <w:p w14:paraId="7AD4C6A3" w14:textId="77777777" w:rsidR="001D1455" w:rsidRPr="007B2402" w:rsidRDefault="001D1455" w:rsidP="001D1455">
      <w:pPr>
        <w:spacing w:after="0" w:line="240" w:lineRule="auto"/>
        <w:ind w:right="-138"/>
        <w:jc w:val="both"/>
        <w:rPr>
          <w:rFonts w:eastAsia="Batang" w:cs="Times"/>
          <w:noProof/>
          <w:szCs w:val="20"/>
          <w:lang w:val="en-US"/>
        </w:rPr>
      </w:pPr>
    </w:p>
    <w:p w14:paraId="4FD55905" w14:textId="65DA4C65" w:rsidR="001D1455" w:rsidRPr="007B2402" w:rsidRDefault="001D1455" w:rsidP="001D1455">
      <w:pPr>
        <w:spacing w:after="0" w:line="240" w:lineRule="auto"/>
        <w:jc w:val="both"/>
        <w:rPr>
          <w:rFonts w:eastAsia="Batang" w:cs="Times"/>
          <w:noProof/>
          <w:szCs w:val="20"/>
          <w:lang w:val="en-US"/>
        </w:rPr>
      </w:pPr>
      <w:r w:rsidRPr="007B2402">
        <w:rPr>
          <w:rFonts w:eastAsia="Batang" w:cs="Times"/>
          <w:noProof/>
          <w:szCs w:val="20"/>
          <w:lang w:val="en-US"/>
        </w:rPr>
        <w:t>Pablo Saavedra Alessandri, Secretar</w:t>
      </w:r>
      <w:r w:rsidR="00AF4344" w:rsidRPr="007B2402">
        <w:rPr>
          <w:rFonts w:eastAsia="Batang" w:cs="Times"/>
          <w:noProof/>
          <w:szCs w:val="20"/>
          <w:lang w:val="en-US"/>
        </w:rPr>
        <w:t>y</w:t>
      </w:r>
      <w:r w:rsidRPr="007B2402">
        <w:rPr>
          <w:rFonts w:eastAsia="Batang" w:cs="Times"/>
          <w:noProof/>
          <w:szCs w:val="20"/>
          <w:lang w:val="en-US"/>
        </w:rPr>
        <w:t xml:space="preserve">, </w:t>
      </w:r>
      <w:r w:rsidR="00AF4344" w:rsidRPr="007B2402">
        <w:rPr>
          <w:rFonts w:eastAsia="Batang" w:cs="Times"/>
          <w:noProof/>
          <w:szCs w:val="20"/>
          <w:lang w:val="en-US"/>
        </w:rPr>
        <w:t>and</w:t>
      </w:r>
    </w:p>
    <w:p w14:paraId="46C4EDC2" w14:textId="78C56324" w:rsidR="001D1455" w:rsidRPr="007B2402" w:rsidRDefault="001D1455" w:rsidP="001D1455">
      <w:pPr>
        <w:spacing w:after="0" w:line="240" w:lineRule="auto"/>
        <w:ind w:right="-138"/>
        <w:jc w:val="both"/>
        <w:rPr>
          <w:rFonts w:eastAsia="Batang" w:cs="Times"/>
          <w:noProof/>
          <w:szCs w:val="20"/>
          <w:lang w:val="en-US"/>
        </w:rPr>
      </w:pPr>
      <w:r w:rsidRPr="007B2402">
        <w:rPr>
          <w:rFonts w:eastAsia="Batang" w:cs="Times"/>
          <w:noProof/>
          <w:szCs w:val="20"/>
          <w:lang w:val="en-US"/>
        </w:rPr>
        <w:t xml:space="preserve">Emilia Segares Rodríguez, </w:t>
      </w:r>
      <w:r w:rsidR="00AF4344" w:rsidRPr="007B2402">
        <w:rPr>
          <w:rFonts w:eastAsia="Batang" w:cs="Times"/>
          <w:noProof/>
          <w:szCs w:val="20"/>
          <w:lang w:val="en-US"/>
        </w:rPr>
        <w:t xml:space="preserve">Deputy </w:t>
      </w:r>
      <w:r w:rsidRPr="007B2402">
        <w:rPr>
          <w:rFonts w:eastAsia="Batang" w:cs="Times"/>
          <w:noProof/>
          <w:szCs w:val="20"/>
          <w:lang w:val="en-US"/>
        </w:rPr>
        <w:t>Secretar</w:t>
      </w:r>
      <w:r w:rsidR="00AF4344" w:rsidRPr="007B2402">
        <w:rPr>
          <w:rFonts w:eastAsia="Batang" w:cs="Times"/>
          <w:noProof/>
          <w:szCs w:val="20"/>
          <w:lang w:val="en-US"/>
        </w:rPr>
        <w:t>y</w:t>
      </w:r>
      <w:r w:rsidRPr="007B2402">
        <w:rPr>
          <w:rFonts w:eastAsia="Batang" w:cs="Times"/>
          <w:noProof/>
          <w:szCs w:val="20"/>
          <w:lang w:val="en-US"/>
        </w:rPr>
        <w:t>,</w:t>
      </w:r>
    </w:p>
    <w:p w14:paraId="0BE1F642" w14:textId="77777777" w:rsidR="001D1455" w:rsidRPr="007B2402" w:rsidRDefault="001D1455" w:rsidP="001D1455">
      <w:pPr>
        <w:spacing w:after="0" w:line="240" w:lineRule="auto"/>
        <w:ind w:right="-138"/>
        <w:jc w:val="both"/>
        <w:rPr>
          <w:rFonts w:eastAsia="Batang" w:cs="Times"/>
          <w:noProof/>
          <w:szCs w:val="20"/>
          <w:lang w:val="en-US"/>
        </w:rPr>
      </w:pPr>
    </w:p>
    <w:p w14:paraId="76B10017" w14:textId="4D32B1A0" w:rsidR="001D1455" w:rsidRPr="007B2402" w:rsidRDefault="00AF4344" w:rsidP="001D1455">
      <w:pPr>
        <w:spacing w:after="0" w:line="240" w:lineRule="auto"/>
        <w:ind w:right="-138"/>
        <w:jc w:val="both"/>
        <w:rPr>
          <w:rFonts w:eastAsia="Batang" w:cs="Times"/>
          <w:noProof/>
          <w:szCs w:val="20"/>
          <w:lang w:val="en-US"/>
        </w:rPr>
      </w:pPr>
      <w:r w:rsidRPr="007B2402">
        <w:rPr>
          <w:rFonts w:eastAsia="Batang" w:cs="Times"/>
          <w:noProof/>
          <w:szCs w:val="20"/>
          <w:lang w:val="en-US"/>
        </w:rPr>
        <w:t>pursuant to Articles</w:t>
      </w:r>
      <w:r w:rsidR="001D1455" w:rsidRPr="007B2402">
        <w:rPr>
          <w:rFonts w:eastAsia="Batang" w:cs="Times"/>
          <w:noProof/>
          <w:szCs w:val="20"/>
          <w:lang w:val="en-US"/>
        </w:rPr>
        <w:t xml:space="preserve"> 62</w:t>
      </w:r>
      <w:r w:rsidRPr="007B2402">
        <w:rPr>
          <w:rFonts w:eastAsia="Batang" w:cs="Times"/>
          <w:noProof/>
          <w:szCs w:val="20"/>
          <w:lang w:val="en-US"/>
        </w:rPr>
        <w:t>(3)</w:t>
      </w:r>
      <w:r w:rsidR="001D1455" w:rsidRPr="007B2402">
        <w:rPr>
          <w:rFonts w:eastAsia="Batang" w:cs="Times"/>
          <w:noProof/>
          <w:szCs w:val="20"/>
          <w:lang w:val="en-US"/>
        </w:rPr>
        <w:t xml:space="preserve"> </w:t>
      </w:r>
      <w:r w:rsidRPr="007B2402">
        <w:rPr>
          <w:rFonts w:eastAsia="Batang" w:cs="Times"/>
          <w:noProof/>
          <w:szCs w:val="20"/>
          <w:lang w:val="en-US"/>
        </w:rPr>
        <w:t>and</w:t>
      </w:r>
      <w:r w:rsidR="001D1455" w:rsidRPr="007B2402">
        <w:rPr>
          <w:rFonts w:eastAsia="Batang" w:cs="Times"/>
          <w:noProof/>
          <w:szCs w:val="20"/>
          <w:lang w:val="en-US"/>
        </w:rPr>
        <w:t xml:space="preserve"> 63</w:t>
      </w:r>
      <w:r w:rsidRPr="007B2402">
        <w:rPr>
          <w:rFonts w:eastAsia="Batang" w:cs="Times"/>
          <w:noProof/>
          <w:szCs w:val="20"/>
          <w:lang w:val="en-US"/>
        </w:rPr>
        <w:t>(1) of the American Convention on Human Rights</w:t>
      </w:r>
      <w:r w:rsidR="001D1455" w:rsidRPr="007B2402">
        <w:rPr>
          <w:rFonts w:eastAsia="Batang" w:cs="Times"/>
          <w:noProof/>
          <w:szCs w:val="20"/>
          <w:lang w:val="en-US"/>
        </w:rPr>
        <w:t xml:space="preserve"> (</w:t>
      </w:r>
      <w:r w:rsidRPr="007B2402">
        <w:rPr>
          <w:rFonts w:eastAsia="Batang" w:cs="Times"/>
          <w:noProof/>
          <w:szCs w:val="20"/>
          <w:lang w:val="en-US"/>
        </w:rPr>
        <w:t>hereinafter</w:t>
      </w:r>
      <w:r w:rsidR="001D1455" w:rsidRPr="007B2402">
        <w:rPr>
          <w:rFonts w:eastAsia="Batang" w:cs="Times"/>
          <w:noProof/>
          <w:szCs w:val="20"/>
          <w:lang w:val="en-US"/>
        </w:rPr>
        <w:t>, “</w:t>
      </w:r>
      <w:r w:rsidRPr="007B2402">
        <w:rPr>
          <w:rFonts w:eastAsia="Batang" w:cs="Times"/>
          <w:noProof/>
          <w:szCs w:val="20"/>
          <w:lang w:val="en-US"/>
        </w:rPr>
        <w:t>the American Convention</w:t>
      </w:r>
      <w:r w:rsidR="001D1455" w:rsidRPr="007B2402">
        <w:rPr>
          <w:rFonts w:eastAsia="Batang" w:cs="Times"/>
          <w:noProof/>
          <w:szCs w:val="20"/>
          <w:lang w:val="en-US"/>
        </w:rPr>
        <w:t>” o</w:t>
      </w:r>
      <w:r w:rsidRPr="007B2402">
        <w:rPr>
          <w:rFonts w:eastAsia="Batang" w:cs="Times"/>
          <w:noProof/>
          <w:szCs w:val="20"/>
          <w:lang w:val="en-US"/>
        </w:rPr>
        <w:t>r</w:t>
      </w:r>
      <w:r w:rsidR="001D1455" w:rsidRPr="007B2402">
        <w:rPr>
          <w:rFonts w:eastAsia="Batang" w:cs="Times"/>
          <w:noProof/>
          <w:szCs w:val="20"/>
          <w:lang w:val="en-US"/>
        </w:rPr>
        <w:t xml:space="preserve"> “</w:t>
      </w:r>
      <w:r w:rsidRPr="007B2402">
        <w:rPr>
          <w:rFonts w:eastAsia="Batang" w:cs="Times"/>
          <w:noProof/>
          <w:szCs w:val="20"/>
          <w:lang w:val="en-US"/>
        </w:rPr>
        <w:t>the Convention</w:t>
      </w:r>
      <w:r w:rsidR="001D1455" w:rsidRPr="007B2402">
        <w:rPr>
          <w:rFonts w:eastAsia="Batang" w:cs="Times"/>
          <w:noProof/>
          <w:szCs w:val="20"/>
          <w:lang w:val="en-US"/>
        </w:rPr>
        <w:t xml:space="preserve">”) </w:t>
      </w:r>
      <w:r w:rsidRPr="007B2402">
        <w:rPr>
          <w:rFonts w:eastAsia="Batang" w:cs="Times"/>
          <w:noProof/>
          <w:szCs w:val="20"/>
          <w:lang w:val="en-US"/>
        </w:rPr>
        <w:t>and to</w:t>
      </w:r>
      <w:r w:rsidR="001D1455" w:rsidRPr="007B2402">
        <w:rPr>
          <w:rFonts w:eastAsia="Batang" w:cs="Times"/>
          <w:noProof/>
          <w:szCs w:val="20"/>
          <w:lang w:val="en-US"/>
        </w:rPr>
        <w:t xml:space="preserve"> </w:t>
      </w:r>
      <w:r w:rsidRPr="007B2402">
        <w:rPr>
          <w:rFonts w:eastAsia="Batang" w:cs="Times"/>
          <w:noProof/>
          <w:szCs w:val="20"/>
          <w:lang w:val="en-US"/>
        </w:rPr>
        <w:t>Articles</w:t>
      </w:r>
      <w:r w:rsidR="001D1455" w:rsidRPr="007B2402">
        <w:rPr>
          <w:rFonts w:eastAsia="Batang" w:cs="Times"/>
          <w:noProof/>
          <w:szCs w:val="20"/>
          <w:lang w:val="en-US"/>
        </w:rPr>
        <w:t xml:space="preserve"> 31, 32, 42, 65 </w:t>
      </w:r>
      <w:r w:rsidRPr="007B2402">
        <w:rPr>
          <w:rFonts w:eastAsia="Batang" w:cs="Times"/>
          <w:noProof/>
          <w:szCs w:val="20"/>
          <w:lang w:val="en-US"/>
        </w:rPr>
        <w:t>and</w:t>
      </w:r>
      <w:r w:rsidR="001D1455" w:rsidRPr="007B2402">
        <w:rPr>
          <w:rFonts w:eastAsia="Batang" w:cs="Times"/>
          <w:noProof/>
          <w:szCs w:val="20"/>
          <w:lang w:val="en-US"/>
        </w:rPr>
        <w:t xml:space="preserve"> 67</w:t>
      </w:r>
      <w:r w:rsidRPr="007B2402">
        <w:rPr>
          <w:rFonts w:eastAsia="Batang" w:cs="Times"/>
          <w:noProof/>
          <w:szCs w:val="20"/>
          <w:lang w:val="en-US"/>
        </w:rPr>
        <w:t xml:space="preserve"> of the Rules of Procedure of the Court</w:t>
      </w:r>
      <w:r w:rsidR="001D1455" w:rsidRPr="007B2402">
        <w:rPr>
          <w:rFonts w:eastAsia="Batang" w:cs="Times"/>
          <w:noProof/>
          <w:szCs w:val="20"/>
          <w:lang w:val="en-US"/>
        </w:rPr>
        <w:t xml:space="preserve"> (</w:t>
      </w:r>
      <w:r w:rsidRPr="007B2402">
        <w:rPr>
          <w:rFonts w:eastAsia="Batang" w:cs="Times"/>
          <w:noProof/>
          <w:szCs w:val="20"/>
          <w:lang w:val="en-US"/>
        </w:rPr>
        <w:t>hereinafter</w:t>
      </w:r>
      <w:r w:rsidR="001D1455" w:rsidRPr="007B2402">
        <w:rPr>
          <w:rFonts w:eastAsia="Batang" w:cs="Times"/>
          <w:noProof/>
          <w:szCs w:val="20"/>
          <w:lang w:val="en-US"/>
        </w:rPr>
        <w:t xml:space="preserve"> “</w:t>
      </w:r>
      <w:r w:rsidRPr="007B2402">
        <w:rPr>
          <w:rFonts w:eastAsia="Batang" w:cs="Times"/>
          <w:noProof/>
          <w:szCs w:val="20"/>
          <w:lang w:val="en-US"/>
        </w:rPr>
        <w:t>the Rules of Procedure</w:t>
      </w:r>
      <w:r w:rsidR="001D1455" w:rsidRPr="007B2402">
        <w:rPr>
          <w:rFonts w:eastAsia="Batang" w:cs="Times"/>
          <w:noProof/>
          <w:szCs w:val="20"/>
          <w:lang w:val="en-US"/>
        </w:rPr>
        <w:t>”), d</w:t>
      </w:r>
      <w:r w:rsidRPr="007B2402">
        <w:rPr>
          <w:rFonts w:eastAsia="Batang" w:cs="Times"/>
          <w:noProof/>
          <w:szCs w:val="20"/>
          <w:lang w:val="en-US"/>
        </w:rPr>
        <w:t>elivers this judgment structured as follows:</w:t>
      </w:r>
      <w:r w:rsidR="001D1455" w:rsidRPr="007B2402">
        <w:rPr>
          <w:rFonts w:eastAsia="Batang" w:cs="Times"/>
          <w:noProof/>
          <w:szCs w:val="20"/>
          <w:lang w:val="en-US"/>
        </w:rPr>
        <w:br w:type="page"/>
      </w:r>
    </w:p>
    <w:p w14:paraId="7F5D6272" w14:textId="49DC24B5" w:rsidR="001D1455" w:rsidRPr="007B2402" w:rsidRDefault="001D1455" w:rsidP="00B87370">
      <w:pPr>
        <w:keepNext/>
        <w:spacing w:before="240" w:after="0" w:line="240" w:lineRule="auto"/>
        <w:ind w:left="-142" w:right="-45"/>
        <w:jc w:val="center"/>
        <w:rPr>
          <w:rFonts w:eastAsia="MS Mincho" w:cs="Times New Roman"/>
          <w:b/>
          <w:sz w:val="18"/>
          <w:szCs w:val="18"/>
          <w:lang w:val="en-US"/>
        </w:rPr>
      </w:pPr>
      <w:r w:rsidRPr="007B2402">
        <w:rPr>
          <w:rFonts w:eastAsia="MS Mincho" w:cs="Times New Roman"/>
          <w:b/>
          <w:sz w:val="18"/>
          <w:szCs w:val="18"/>
          <w:lang w:val="en-US"/>
        </w:rPr>
        <w:lastRenderedPageBreak/>
        <w:t>Tabl</w:t>
      </w:r>
      <w:r w:rsidR="00AF4344" w:rsidRPr="007B2402">
        <w:rPr>
          <w:rFonts w:eastAsia="MS Mincho" w:cs="Times New Roman"/>
          <w:b/>
          <w:sz w:val="18"/>
          <w:szCs w:val="18"/>
          <w:lang w:val="en-US"/>
        </w:rPr>
        <w:t>e of contents</w:t>
      </w:r>
    </w:p>
    <w:sdt>
      <w:sdtPr>
        <w:rPr>
          <w:rFonts w:eastAsia="Batang" w:cs="Times"/>
          <w:noProof w:val="0"/>
          <w:sz w:val="10"/>
          <w:szCs w:val="10"/>
          <w:lang w:val="en-US" w:eastAsia="en-US"/>
        </w:rPr>
        <w:id w:val="-189225120"/>
        <w:docPartObj>
          <w:docPartGallery w:val="Table of Contents"/>
          <w:docPartUnique/>
        </w:docPartObj>
      </w:sdtPr>
      <w:sdtEndPr>
        <w:rPr>
          <w:sz w:val="18"/>
          <w:szCs w:val="18"/>
        </w:rPr>
      </w:sdtEndPr>
      <w:sdtContent>
        <w:p w14:paraId="3C96A56D" w14:textId="77777777" w:rsidR="001D1455" w:rsidRPr="007B2402" w:rsidRDefault="001D1455" w:rsidP="00C66F63">
          <w:pPr>
            <w:pStyle w:val="TDC1"/>
            <w:keepNext/>
            <w:keepLines/>
            <w:tabs>
              <w:tab w:val="clear" w:pos="9508"/>
            </w:tabs>
            <w:spacing w:after="13"/>
            <w:contextualSpacing/>
            <w:rPr>
              <w:rFonts w:eastAsia="Batang" w:cs="Times"/>
              <w:color w:val="365F91" w:themeColor="accent1" w:themeShade="BF"/>
              <w:sz w:val="18"/>
              <w:szCs w:val="18"/>
              <w:lang w:val="en-US" w:eastAsia="en-US"/>
            </w:rPr>
          </w:pPr>
        </w:p>
        <w:p w14:paraId="1D43188C" w14:textId="16204438" w:rsidR="00BD1693" w:rsidRPr="007B2402" w:rsidRDefault="001D1455" w:rsidP="00C66F63">
          <w:pPr>
            <w:pStyle w:val="TDC1"/>
            <w:spacing w:after="13"/>
            <w:contextualSpacing/>
            <w:rPr>
              <w:rFonts w:eastAsiaTheme="minorEastAsia" w:cstheme="minorBidi"/>
              <w:sz w:val="18"/>
              <w:szCs w:val="18"/>
              <w:lang w:val="en-US"/>
            </w:rPr>
          </w:pPr>
          <w:r w:rsidRPr="007B2402">
            <w:rPr>
              <w:rFonts w:eastAsia="Batang" w:cs="Times"/>
              <w:sz w:val="18"/>
              <w:szCs w:val="18"/>
              <w:lang w:val="en-US"/>
            </w:rPr>
            <w:fldChar w:fldCharType="begin"/>
          </w:r>
          <w:r w:rsidRPr="007B2402">
            <w:rPr>
              <w:rFonts w:eastAsia="Batang" w:cs="Times"/>
              <w:sz w:val="18"/>
              <w:szCs w:val="18"/>
              <w:lang w:val="en-US"/>
            </w:rPr>
            <w:instrText xml:space="preserve"> TOC \o "1-3" \h \z \u </w:instrText>
          </w:r>
          <w:r w:rsidRPr="007B2402">
            <w:rPr>
              <w:rFonts w:eastAsia="Batang" w:cs="Times"/>
              <w:sz w:val="18"/>
              <w:szCs w:val="18"/>
              <w:lang w:val="en-US"/>
            </w:rPr>
            <w:fldChar w:fldCharType="separate"/>
          </w:r>
          <w:hyperlink w:anchor="_Toc506984071" w:history="1">
            <w:r w:rsidR="00BD1693" w:rsidRPr="007B2402">
              <w:rPr>
                <w:rStyle w:val="Hipervnculo"/>
                <w:rFonts w:eastAsia="Times New Roman" w:cs="Verdana"/>
                <w:bCs/>
                <w:caps/>
                <w:sz w:val="18"/>
                <w:szCs w:val="18"/>
                <w:lang w:val="en-US"/>
              </w:rPr>
              <w:t xml:space="preserve">I. </w:t>
            </w:r>
            <w:r w:rsidR="00AF4344" w:rsidRPr="007B2402">
              <w:rPr>
                <w:rStyle w:val="Hipervnculo"/>
                <w:rFonts w:eastAsia="Times New Roman" w:cs="Verdana"/>
                <w:bCs/>
                <w:caps/>
                <w:sz w:val="18"/>
                <w:szCs w:val="18"/>
                <w:lang w:val="en-US"/>
              </w:rPr>
              <w:t>INTRODUCTION OF THE CASE AND PURPOSE OF THE DISPUTE</w:t>
            </w:r>
            <w:r w:rsidR="00BD1693" w:rsidRPr="007B2402">
              <w:rPr>
                <w:webHidden/>
                <w:sz w:val="18"/>
                <w:szCs w:val="18"/>
                <w:lang w:val="en-US"/>
              </w:rPr>
              <w:tab/>
            </w:r>
            <w:r w:rsidR="00BD1693" w:rsidRPr="007B2402">
              <w:rPr>
                <w:webHidden/>
                <w:sz w:val="18"/>
                <w:szCs w:val="18"/>
                <w:lang w:val="en-US"/>
              </w:rPr>
              <w:fldChar w:fldCharType="begin"/>
            </w:r>
            <w:r w:rsidR="00BD1693" w:rsidRPr="007B2402">
              <w:rPr>
                <w:webHidden/>
                <w:sz w:val="18"/>
                <w:szCs w:val="18"/>
                <w:lang w:val="en-US"/>
              </w:rPr>
              <w:instrText xml:space="preserve"> PAGEREF _Toc506984071 \h </w:instrText>
            </w:r>
            <w:r w:rsidR="00BD1693" w:rsidRPr="007B2402">
              <w:rPr>
                <w:webHidden/>
                <w:sz w:val="18"/>
                <w:szCs w:val="18"/>
                <w:lang w:val="en-US"/>
              </w:rPr>
            </w:r>
            <w:r w:rsidR="00BD1693" w:rsidRPr="007B2402">
              <w:rPr>
                <w:webHidden/>
                <w:sz w:val="18"/>
                <w:szCs w:val="18"/>
                <w:lang w:val="en-US"/>
              </w:rPr>
              <w:fldChar w:fldCharType="separate"/>
            </w:r>
            <w:r w:rsidR="005A36E1" w:rsidRPr="007B2402">
              <w:rPr>
                <w:webHidden/>
                <w:sz w:val="18"/>
                <w:szCs w:val="18"/>
                <w:lang w:val="en-US"/>
              </w:rPr>
              <w:t>3</w:t>
            </w:r>
            <w:r w:rsidR="00BD1693" w:rsidRPr="007B2402">
              <w:rPr>
                <w:webHidden/>
                <w:sz w:val="18"/>
                <w:szCs w:val="18"/>
                <w:lang w:val="en-US"/>
              </w:rPr>
              <w:fldChar w:fldCharType="end"/>
            </w:r>
          </w:hyperlink>
        </w:p>
        <w:p w14:paraId="32116536" w14:textId="13EC506B" w:rsidR="00BD1693" w:rsidRPr="007B2402" w:rsidRDefault="0080268F" w:rsidP="00C66F63">
          <w:pPr>
            <w:pStyle w:val="TDC1"/>
            <w:spacing w:after="13"/>
            <w:contextualSpacing/>
            <w:rPr>
              <w:rFonts w:eastAsiaTheme="minorEastAsia" w:cstheme="minorBidi"/>
              <w:sz w:val="18"/>
              <w:szCs w:val="18"/>
              <w:lang w:val="en-US"/>
            </w:rPr>
          </w:pPr>
          <w:hyperlink w:anchor="_Toc506984072" w:history="1">
            <w:r w:rsidR="00BD1693" w:rsidRPr="007B2402">
              <w:rPr>
                <w:rStyle w:val="Hipervnculo"/>
                <w:rFonts w:eastAsia="Times New Roman" w:cs="Verdana"/>
                <w:bCs/>
                <w:caps/>
                <w:sz w:val="18"/>
                <w:szCs w:val="18"/>
                <w:lang w:val="en-US"/>
              </w:rPr>
              <w:t xml:space="preserve">II. </w:t>
            </w:r>
            <w:r w:rsidR="005B1590" w:rsidRPr="007B2402">
              <w:rPr>
                <w:rStyle w:val="Hipervnculo"/>
                <w:rFonts w:eastAsia="Times New Roman" w:cs="Verdana"/>
                <w:bCs/>
                <w:caps/>
                <w:sz w:val="18"/>
                <w:szCs w:val="18"/>
                <w:lang w:val="en-US"/>
              </w:rPr>
              <w:t>PROCEEDINGS BEFORE THE</w:t>
            </w:r>
            <w:r w:rsidR="00AF4344" w:rsidRPr="007B2402">
              <w:rPr>
                <w:rStyle w:val="Hipervnculo"/>
                <w:rFonts w:eastAsia="Times New Roman" w:cs="Verdana"/>
                <w:bCs/>
                <w:caps/>
                <w:sz w:val="18"/>
                <w:szCs w:val="18"/>
                <w:lang w:val="en-US"/>
              </w:rPr>
              <w:t xml:space="preserve"> COURT</w:t>
            </w:r>
            <w:r w:rsidR="00BD1693" w:rsidRPr="007B2402">
              <w:rPr>
                <w:webHidden/>
                <w:sz w:val="18"/>
                <w:szCs w:val="18"/>
                <w:lang w:val="en-US"/>
              </w:rPr>
              <w:tab/>
            </w:r>
            <w:r w:rsidR="00BD1693" w:rsidRPr="007B2402">
              <w:rPr>
                <w:webHidden/>
                <w:sz w:val="18"/>
                <w:szCs w:val="18"/>
                <w:lang w:val="en-US"/>
              </w:rPr>
              <w:fldChar w:fldCharType="begin"/>
            </w:r>
            <w:r w:rsidR="00BD1693" w:rsidRPr="007B2402">
              <w:rPr>
                <w:webHidden/>
                <w:sz w:val="18"/>
                <w:szCs w:val="18"/>
                <w:lang w:val="en-US"/>
              </w:rPr>
              <w:instrText xml:space="preserve"> PAGEREF _Toc506984072 \h </w:instrText>
            </w:r>
            <w:r w:rsidR="00BD1693" w:rsidRPr="007B2402">
              <w:rPr>
                <w:webHidden/>
                <w:sz w:val="18"/>
                <w:szCs w:val="18"/>
                <w:lang w:val="en-US"/>
              </w:rPr>
            </w:r>
            <w:r w:rsidR="00BD1693" w:rsidRPr="007B2402">
              <w:rPr>
                <w:webHidden/>
                <w:sz w:val="18"/>
                <w:szCs w:val="18"/>
                <w:lang w:val="en-US"/>
              </w:rPr>
              <w:fldChar w:fldCharType="separate"/>
            </w:r>
            <w:r w:rsidR="005A36E1" w:rsidRPr="007B2402">
              <w:rPr>
                <w:webHidden/>
                <w:sz w:val="18"/>
                <w:szCs w:val="18"/>
                <w:lang w:val="en-US"/>
              </w:rPr>
              <w:t>4</w:t>
            </w:r>
            <w:r w:rsidR="00BD1693" w:rsidRPr="007B2402">
              <w:rPr>
                <w:webHidden/>
                <w:sz w:val="18"/>
                <w:szCs w:val="18"/>
                <w:lang w:val="en-US"/>
              </w:rPr>
              <w:fldChar w:fldCharType="end"/>
            </w:r>
          </w:hyperlink>
        </w:p>
        <w:p w14:paraId="6064A4DA" w14:textId="4D002471" w:rsidR="00BD1693" w:rsidRPr="007B2402" w:rsidRDefault="0080268F" w:rsidP="00C66F63">
          <w:pPr>
            <w:pStyle w:val="TDC1"/>
            <w:spacing w:after="13"/>
            <w:contextualSpacing/>
            <w:rPr>
              <w:rFonts w:eastAsiaTheme="minorEastAsia" w:cstheme="minorBidi"/>
              <w:sz w:val="18"/>
              <w:szCs w:val="18"/>
              <w:lang w:val="en-US"/>
            </w:rPr>
          </w:pPr>
          <w:hyperlink w:anchor="_Toc506984073" w:history="1">
            <w:r w:rsidR="00BD1693" w:rsidRPr="007B2402">
              <w:rPr>
                <w:rStyle w:val="Hipervnculo"/>
                <w:rFonts w:eastAsia="Times New Roman" w:cs="Verdana"/>
                <w:bCs/>
                <w:caps/>
                <w:sz w:val="18"/>
                <w:szCs w:val="18"/>
                <w:lang w:val="en-US"/>
              </w:rPr>
              <w:t xml:space="preserve">III. </w:t>
            </w:r>
            <w:r w:rsidR="007E42A8" w:rsidRPr="007B2402">
              <w:rPr>
                <w:rStyle w:val="Hipervnculo"/>
                <w:rFonts w:eastAsia="Times New Roman" w:cs="Verdana"/>
                <w:bCs/>
                <w:caps/>
                <w:sz w:val="18"/>
                <w:szCs w:val="18"/>
                <w:lang w:val="en-US"/>
              </w:rPr>
              <w:t>JURISDICTION</w:t>
            </w:r>
            <w:r w:rsidR="00BD1693" w:rsidRPr="007B2402">
              <w:rPr>
                <w:webHidden/>
                <w:sz w:val="18"/>
                <w:szCs w:val="18"/>
                <w:lang w:val="en-US"/>
              </w:rPr>
              <w:tab/>
            </w:r>
            <w:r w:rsidR="00BD1693" w:rsidRPr="007B2402">
              <w:rPr>
                <w:webHidden/>
                <w:sz w:val="18"/>
                <w:szCs w:val="18"/>
                <w:lang w:val="en-US"/>
              </w:rPr>
              <w:fldChar w:fldCharType="begin"/>
            </w:r>
            <w:r w:rsidR="00BD1693" w:rsidRPr="007B2402">
              <w:rPr>
                <w:webHidden/>
                <w:sz w:val="18"/>
                <w:szCs w:val="18"/>
                <w:lang w:val="en-US"/>
              </w:rPr>
              <w:instrText xml:space="preserve"> PAGEREF _Toc506984073 \h </w:instrText>
            </w:r>
            <w:r w:rsidR="00BD1693" w:rsidRPr="007B2402">
              <w:rPr>
                <w:webHidden/>
                <w:sz w:val="18"/>
                <w:szCs w:val="18"/>
                <w:lang w:val="en-US"/>
              </w:rPr>
            </w:r>
            <w:r w:rsidR="00BD1693" w:rsidRPr="007B2402">
              <w:rPr>
                <w:webHidden/>
                <w:sz w:val="18"/>
                <w:szCs w:val="18"/>
                <w:lang w:val="en-US"/>
              </w:rPr>
              <w:fldChar w:fldCharType="separate"/>
            </w:r>
            <w:r w:rsidR="005A36E1" w:rsidRPr="007B2402">
              <w:rPr>
                <w:webHidden/>
                <w:sz w:val="18"/>
                <w:szCs w:val="18"/>
                <w:lang w:val="en-US"/>
              </w:rPr>
              <w:t>6</w:t>
            </w:r>
            <w:r w:rsidR="00BD1693" w:rsidRPr="007B2402">
              <w:rPr>
                <w:webHidden/>
                <w:sz w:val="18"/>
                <w:szCs w:val="18"/>
                <w:lang w:val="en-US"/>
              </w:rPr>
              <w:fldChar w:fldCharType="end"/>
            </w:r>
          </w:hyperlink>
        </w:p>
        <w:p w14:paraId="1015300A" w14:textId="3369A3E2" w:rsidR="00BD1693" w:rsidRPr="007B2402" w:rsidRDefault="0080268F" w:rsidP="00C66F63">
          <w:pPr>
            <w:pStyle w:val="TDC1"/>
            <w:spacing w:after="13"/>
            <w:contextualSpacing/>
            <w:rPr>
              <w:rFonts w:eastAsiaTheme="minorEastAsia" w:cstheme="minorBidi"/>
              <w:sz w:val="18"/>
              <w:szCs w:val="18"/>
              <w:lang w:val="en-US"/>
            </w:rPr>
          </w:pPr>
          <w:hyperlink w:anchor="_Toc506984074" w:history="1">
            <w:r w:rsidR="00BD1693" w:rsidRPr="007B2402">
              <w:rPr>
                <w:rStyle w:val="Hipervnculo"/>
                <w:rFonts w:eastAsia="Times New Roman" w:cs="Verdana"/>
                <w:bCs/>
                <w:caps/>
                <w:sz w:val="18"/>
                <w:szCs w:val="18"/>
                <w:lang w:val="en-US"/>
              </w:rPr>
              <w:t xml:space="preserve">IV. </w:t>
            </w:r>
            <w:r w:rsidR="006E2CFF" w:rsidRPr="007B2402">
              <w:rPr>
                <w:rStyle w:val="Hipervnculo"/>
                <w:rFonts w:eastAsia="Times New Roman" w:cs="Verdana"/>
                <w:bCs/>
                <w:sz w:val="18"/>
                <w:szCs w:val="18"/>
                <w:lang w:val="en-US"/>
              </w:rPr>
              <w:t>PRELIMINARY OBJECTIONS</w:t>
            </w:r>
            <w:r w:rsidR="00BD1693" w:rsidRPr="007B2402">
              <w:rPr>
                <w:webHidden/>
                <w:sz w:val="18"/>
                <w:szCs w:val="18"/>
                <w:lang w:val="en-US"/>
              </w:rPr>
              <w:tab/>
            </w:r>
            <w:r w:rsidR="00BD1693" w:rsidRPr="007B2402">
              <w:rPr>
                <w:webHidden/>
                <w:sz w:val="18"/>
                <w:szCs w:val="18"/>
                <w:lang w:val="en-US"/>
              </w:rPr>
              <w:fldChar w:fldCharType="begin"/>
            </w:r>
            <w:r w:rsidR="00BD1693" w:rsidRPr="007B2402">
              <w:rPr>
                <w:webHidden/>
                <w:sz w:val="18"/>
                <w:szCs w:val="18"/>
                <w:lang w:val="en-US"/>
              </w:rPr>
              <w:instrText xml:space="preserve"> PAGEREF _Toc506984074 \h </w:instrText>
            </w:r>
            <w:r w:rsidR="00BD1693" w:rsidRPr="007B2402">
              <w:rPr>
                <w:webHidden/>
                <w:sz w:val="18"/>
                <w:szCs w:val="18"/>
                <w:lang w:val="en-US"/>
              </w:rPr>
            </w:r>
            <w:r w:rsidR="00BD1693" w:rsidRPr="007B2402">
              <w:rPr>
                <w:webHidden/>
                <w:sz w:val="18"/>
                <w:szCs w:val="18"/>
                <w:lang w:val="en-US"/>
              </w:rPr>
              <w:fldChar w:fldCharType="separate"/>
            </w:r>
            <w:r w:rsidR="005A36E1" w:rsidRPr="007B2402">
              <w:rPr>
                <w:webHidden/>
                <w:sz w:val="18"/>
                <w:szCs w:val="18"/>
                <w:lang w:val="en-US"/>
              </w:rPr>
              <w:t>7</w:t>
            </w:r>
            <w:r w:rsidR="00BD1693" w:rsidRPr="007B2402">
              <w:rPr>
                <w:webHidden/>
                <w:sz w:val="18"/>
                <w:szCs w:val="18"/>
                <w:lang w:val="en-US"/>
              </w:rPr>
              <w:fldChar w:fldCharType="end"/>
            </w:r>
          </w:hyperlink>
        </w:p>
        <w:p w14:paraId="17E0B83E" w14:textId="047344D0" w:rsidR="00BD1693" w:rsidRPr="007B2402" w:rsidRDefault="0080268F" w:rsidP="00C66F63">
          <w:pPr>
            <w:pStyle w:val="TDC2"/>
            <w:spacing w:after="13" w:line="240" w:lineRule="auto"/>
            <w:contextualSpacing/>
            <w:rPr>
              <w:rFonts w:eastAsiaTheme="minorEastAsia" w:cstheme="minorBidi"/>
              <w:b w:val="0"/>
              <w:i w:val="0"/>
              <w:sz w:val="18"/>
              <w:szCs w:val="18"/>
              <w:lang w:val="en-US" w:eastAsia="es-ES"/>
            </w:rPr>
          </w:pPr>
          <w:hyperlink w:anchor="_Toc506984075" w:history="1">
            <w:r w:rsidR="00BD1693" w:rsidRPr="007B2402">
              <w:rPr>
                <w:rStyle w:val="Hipervnculo"/>
                <w:b w:val="0"/>
                <w:i w:val="0"/>
                <w:sz w:val="18"/>
                <w:szCs w:val="18"/>
                <w:lang w:val="en-US"/>
              </w:rPr>
              <w:t>A.</w:t>
            </w:r>
            <w:r w:rsidR="005F1EAD" w:rsidRPr="007B2402">
              <w:rPr>
                <w:rStyle w:val="Hipervnculo"/>
                <w:b w:val="0"/>
                <w:i w:val="0"/>
                <w:sz w:val="18"/>
                <w:szCs w:val="18"/>
                <w:lang w:val="en-US"/>
              </w:rPr>
              <w:t xml:space="preserve"> </w:t>
            </w:r>
            <w:r w:rsidR="006E2CFF" w:rsidRPr="007B2402">
              <w:rPr>
                <w:rStyle w:val="Hipervnculo"/>
                <w:b w:val="0"/>
                <w:i w:val="0"/>
                <w:sz w:val="18"/>
                <w:szCs w:val="18"/>
                <w:lang w:val="en-US"/>
              </w:rPr>
              <w:t>Preliminary objections</w:t>
            </w:r>
            <w:r w:rsidR="00BD1693" w:rsidRPr="007B2402">
              <w:rPr>
                <w:rStyle w:val="Hipervnculo"/>
                <w:b w:val="0"/>
                <w:i w:val="0"/>
                <w:sz w:val="18"/>
                <w:szCs w:val="18"/>
                <w:lang w:val="en-US"/>
              </w:rPr>
              <w:t xml:space="preserve"> </w:t>
            </w:r>
            <w:r w:rsidR="00914548" w:rsidRPr="007B2402">
              <w:rPr>
                <w:b w:val="0"/>
                <w:i w:val="0"/>
                <w:sz w:val="18"/>
                <w:szCs w:val="18"/>
                <w:lang w:val="en-US"/>
              </w:rPr>
              <w:t>regarding the Court’s alleged lack of jurisdiction</w:t>
            </w:r>
            <w:r w:rsidR="00914548" w:rsidRPr="007B2402">
              <w:rPr>
                <w:b w:val="0"/>
                <w:sz w:val="18"/>
                <w:szCs w:val="18"/>
                <w:lang w:val="en-US"/>
              </w:rPr>
              <w:t xml:space="preserve"> </w:t>
            </w:r>
            <w:r w:rsidR="00914548" w:rsidRPr="007B2402">
              <w:rPr>
                <w:rFonts w:cs="Verdana Bold"/>
                <w:b w:val="0"/>
                <w:bCs/>
                <w:sz w:val="18"/>
                <w:szCs w:val="18"/>
                <w:lang w:val="en-US"/>
              </w:rPr>
              <w:t>ratione temporis</w:t>
            </w:r>
            <w:r w:rsidR="00BD1693" w:rsidRPr="007B2402">
              <w:rPr>
                <w:b w:val="0"/>
                <w:i w:val="0"/>
                <w:webHidden/>
                <w:sz w:val="18"/>
                <w:szCs w:val="18"/>
                <w:lang w:val="en-US"/>
              </w:rPr>
              <w:tab/>
            </w:r>
            <w:r w:rsidR="00BD1693" w:rsidRPr="007B2402">
              <w:rPr>
                <w:b w:val="0"/>
                <w:i w:val="0"/>
                <w:webHidden/>
                <w:sz w:val="18"/>
                <w:szCs w:val="18"/>
                <w:lang w:val="en-US"/>
              </w:rPr>
              <w:fldChar w:fldCharType="begin"/>
            </w:r>
            <w:r w:rsidR="00BD1693" w:rsidRPr="007B2402">
              <w:rPr>
                <w:b w:val="0"/>
                <w:i w:val="0"/>
                <w:webHidden/>
                <w:sz w:val="18"/>
                <w:szCs w:val="18"/>
                <w:lang w:val="en-US"/>
              </w:rPr>
              <w:instrText xml:space="preserve"> PAGEREF _Toc506984075 \h </w:instrText>
            </w:r>
            <w:r w:rsidR="00BD1693" w:rsidRPr="007B2402">
              <w:rPr>
                <w:b w:val="0"/>
                <w:i w:val="0"/>
                <w:webHidden/>
                <w:sz w:val="18"/>
                <w:szCs w:val="18"/>
                <w:lang w:val="en-US"/>
              </w:rPr>
            </w:r>
            <w:r w:rsidR="00BD1693" w:rsidRPr="007B2402">
              <w:rPr>
                <w:b w:val="0"/>
                <w:i w:val="0"/>
                <w:webHidden/>
                <w:sz w:val="18"/>
                <w:szCs w:val="18"/>
                <w:lang w:val="en-US"/>
              </w:rPr>
              <w:fldChar w:fldCharType="separate"/>
            </w:r>
            <w:r w:rsidR="005A36E1" w:rsidRPr="007B2402">
              <w:rPr>
                <w:b w:val="0"/>
                <w:i w:val="0"/>
                <w:webHidden/>
                <w:sz w:val="18"/>
                <w:szCs w:val="18"/>
                <w:lang w:val="en-US"/>
              </w:rPr>
              <w:t>7</w:t>
            </w:r>
            <w:r w:rsidR="00BD1693" w:rsidRPr="007B2402">
              <w:rPr>
                <w:b w:val="0"/>
                <w:i w:val="0"/>
                <w:webHidden/>
                <w:sz w:val="18"/>
                <w:szCs w:val="18"/>
                <w:lang w:val="en-US"/>
              </w:rPr>
              <w:fldChar w:fldCharType="end"/>
            </w:r>
          </w:hyperlink>
        </w:p>
        <w:p w14:paraId="2F22A454" w14:textId="6A72DCC4" w:rsidR="00BD1693" w:rsidRPr="007B2402" w:rsidRDefault="0080268F" w:rsidP="00C66F63">
          <w:pPr>
            <w:pStyle w:val="TDC2"/>
            <w:spacing w:after="13" w:line="240" w:lineRule="auto"/>
            <w:contextualSpacing/>
            <w:rPr>
              <w:rFonts w:eastAsiaTheme="minorEastAsia" w:cstheme="minorBidi"/>
              <w:b w:val="0"/>
              <w:i w:val="0"/>
              <w:sz w:val="18"/>
              <w:szCs w:val="18"/>
              <w:lang w:val="en-US" w:eastAsia="es-ES"/>
            </w:rPr>
          </w:pPr>
          <w:hyperlink w:anchor="_Toc506984078" w:history="1">
            <w:r w:rsidR="00BD1693" w:rsidRPr="007B2402">
              <w:rPr>
                <w:rStyle w:val="Hipervnculo"/>
                <w:b w:val="0"/>
                <w:i w:val="0"/>
                <w:sz w:val="18"/>
                <w:szCs w:val="18"/>
                <w:lang w:val="en-US"/>
              </w:rPr>
              <w:t>B.</w:t>
            </w:r>
            <w:r w:rsidR="005F1EAD" w:rsidRPr="007B2402">
              <w:rPr>
                <w:rStyle w:val="Hipervnculo"/>
                <w:b w:val="0"/>
                <w:i w:val="0"/>
                <w:sz w:val="18"/>
                <w:szCs w:val="18"/>
                <w:lang w:val="en-US"/>
              </w:rPr>
              <w:t xml:space="preserve"> </w:t>
            </w:r>
            <w:r w:rsidR="007E42A8" w:rsidRPr="007B2402">
              <w:rPr>
                <w:rStyle w:val="Hipervnculo"/>
                <w:b w:val="0"/>
                <w:i w:val="0"/>
                <w:sz w:val="18"/>
                <w:szCs w:val="18"/>
                <w:lang w:val="en-US"/>
              </w:rPr>
              <w:t>Lack of jurisdiction</w:t>
            </w:r>
            <w:r w:rsidR="00BD1693" w:rsidRPr="007B2402">
              <w:rPr>
                <w:rStyle w:val="Hipervnculo"/>
                <w:b w:val="0"/>
                <w:i w:val="0"/>
                <w:sz w:val="18"/>
                <w:szCs w:val="18"/>
                <w:lang w:val="en-US"/>
              </w:rPr>
              <w:t xml:space="preserve"> </w:t>
            </w:r>
            <w:r w:rsidR="0041210A" w:rsidRPr="007B2402">
              <w:rPr>
                <w:b w:val="0"/>
                <w:sz w:val="18"/>
                <w:szCs w:val="18"/>
                <w:lang w:val="en-US"/>
              </w:rPr>
              <w:t>ratione materiae</w:t>
            </w:r>
            <w:r w:rsidR="0041210A" w:rsidRPr="007B2402">
              <w:rPr>
                <w:sz w:val="18"/>
                <w:szCs w:val="18"/>
                <w:lang w:val="en-US"/>
              </w:rPr>
              <w:t xml:space="preserve"> </w:t>
            </w:r>
            <w:r w:rsidR="0041210A" w:rsidRPr="007B2402">
              <w:rPr>
                <w:rStyle w:val="Hipervnculo"/>
                <w:b w:val="0"/>
                <w:i w:val="0"/>
                <w:sz w:val="18"/>
                <w:szCs w:val="18"/>
                <w:lang w:val="en-US"/>
              </w:rPr>
              <w:t xml:space="preserve">in relation to supposed violations </w:t>
            </w:r>
            <w:r w:rsidR="00AF4344" w:rsidRPr="007B2402">
              <w:rPr>
                <w:rStyle w:val="Hipervnculo"/>
                <w:b w:val="0"/>
                <w:i w:val="0"/>
                <w:sz w:val="18"/>
                <w:szCs w:val="18"/>
                <w:lang w:val="en-US"/>
              </w:rPr>
              <w:t xml:space="preserve">of the </w:t>
            </w:r>
            <w:r w:rsidR="00375567" w:rsidRPr="007B2402">
              <w:rPr>
                <w:rStyle w:val="Hipervnculo"/>
                <w:b w:val="0"/>
                <w:i w:val="0"/>
                <w:sz w:val="18"/>
                <w:szCs w:val="18"/>
                <w:lang w:val="en-US"/>
              </w:rPr>
              <w:t>Inter-American Convention to Prevent and Punish Torture</w:t>
            </w:r>
            <w:r w:rsidR="00BD1693" w:rsidRPr="007B2402">
              <w:rPr>
                <w:b w:val="0"/>
                <w:i w:val="0"/>
                <w:webHidden/>
                <w:sz w:val="18"/>
                <w:szCs w:val="18"/>
                <w:lang w:val="en-US"/>
              </w:rPr>
              <w:tab/>
            </w:r>
            <w:r w:rsidR="00BD1693" w:rsidRPr="007B2402">
              <w:rPr>
                <w:b w:val="0"/>
                <w:i w:val="0"/>
                <w:webHidden/>
                <w:sz w:val="18"/>
                <w:szCs w:val="18"/>
                <w:lang w:val="en-US"/>
              </w:rPr>
              <w:fldChar w:fldCharType="begin"/>
            </w:r>
            <w:r w:rsidR="00BD1693" w:rsidRPr="007B2402">
              <w:rPr>
                <w:b w:val="0"/>
                <w:i w:val="0"/>
                <w:webHidden/>
                <w:sz w:val="18"/>
                <w:szCs w:val="18"/>
                <w:lang w:val="en-US"/>
              </w:rPr>
              <w:instrText xml:space="preserve"> PAGEREF _Toc506984078 \h </w:instrText>
            </w:r>
            <w:r w:rsidR="00BD1693" w:rsidRPr="007B2402">
              <w:rPr>
                <w:b w:val="0"/>
                <w:i w:val="0"/>
                <w:webHidden/>
                <w:sz w:val="18"/>
                <w:szCs w:val="18"/>
                <w:lang w:val="en-US"/>
              </w:rPr>
            </w:r>
            <w:r w:rsidR="00BD1693" w:rsidRPr="007B2402">
              <w:rPr>
                <w:b w:val="0"/>
                <w:i w:val="0"/>
                <w:webHidden/>
                <w:sz w:val="18"/>
                <w:szCs w:val="18"/>
                <w:lang w:val="en-US"/>
              </w:rPr>
              <w:fldChar w:fldCharType="separate"/>
            </w:r>
            <w:r w:rsidR="005A36E1" w:rsidRPr="007B2402">
              <w:rPr>
                <w:b w:val="0"/>
                <w:i w:val="0"/>
                <w:webHidden/>
                <w:sz w:val="18"/>
                <w:szCs w:val="18"/>
                <w:lang w:val="en-US"/>
              </w:rPr>
              <w:t>9</w:t>
            </w:r>
            <w:r w:rsidR="00BD1693" w:rsidRPr="007B2402">
              <w:rPr>
                <w:b w:val="0"/>
                <w:i w:val="0"/>
                <w:webHidden/>
                <w:sz w:val="18"/>
                <w:szCs w:val="18"/>
                <w:lang w:val="en-US"/>
              </w:rPr>
              <w:fldChar w:fldCharType="end"/>
            </w:r>
          </w:hyperlink>
        </w:p>
        <w:p w14:paraId="27B1618A" w14:textId="7CB3F53B" w:rsidR="00BD1693" w:rsidRPr="007B2402" w:rsidRDefault="0080268F" w:rsidP="00C66F63">
          <w:pPr>
            <w:pStyle w:val="TDC2"/>
            <w:spacing w:after="13" w:line="240" w:lineRule="auto"/>
            <w:contextualSpacing/>
            <w:rPr>
              <w:rFonts w:eastAsiaTheme="minorEastAsia" w:cstheme="minorBidi"/>
              <w:b w:val="0"/>
              <w:i w:val="0"/>
              <w:sz w:val="18"/>
              <w:szCs w:val="18"/>
              <w:lang w:val="en-US" w:eastAsia="es-ES"/>
            </w:rPr>
          </w:pPr>
          <w:hyperlink w:anchor="_Toc506984081" w:history="1">
            <w:r w:rsidR="00BD1693" w:rsidRPr="007B2402">
              <w:rPr>
                <w:rStyle w:val="Hipervnculo"/>
                <w:b w:val="0"/>
                <w:i w:val="0"/>
                <w:sz w:val="18"/>
                <w:szCs w:val="18"/>
                <w:lang w:val="en-US" w:eastAsia="es-ES" w:bidi="en-US"/>
              </w:rPr>
              <w:t>C.</w:t>
            </w:r>
            <w:r w:rsidR="005F1EAD" w:rsidRPr="007B2402">
              <w:rPr>
                <w:rStyle w:val="Hipervnculo"/>
                <w:b w:val="0"/>
                <w:i w:val="0"/>
                <w:sz w:val="18"/>
                <w:szCs w:val="18"/>
                <w:lang w:val="en-US" w:eastAsia="es-ES" w:bidi="en-US"/>
              </w:rPr>
              <w:t xml:space="preserve"> </w:t>
            </w:r>
            <w:r w:rsidR="00EF3E90" w:rsidRPr="007B2402">
              <w:rPr>
                <w:rStyle w:val="Hipervnculo"/>
                <w:b w:val="0"/>
                <w:i w:val="0"/>
                <w:sz w:val="18"/>
                <w:szCs w:val="18"/>
                <w:lang w:val="en-US" w:eastAsia="es-ES" w:bidi="en-US"/>
              </w:rPr>
              <w:t>Failure to exhaust domestic remedies to obtain reparations</w:t>
            </w:r>
            <w:r w:rsidR="00BD1693" w:rsidRPr="007B2402">
              <w:rPr>
                <w:b w:val="0"/>
                <w:i w:val="0"/>
                <w:webHidden/>
                <w:sz w:val="18"/>
                <w:szCs w:val="18"/>
                <w:lang w:val="en-US"/>
              </w:rPr>
              <w:tab/>
            </w:r>
            <w:r w:rsidR="00BD1693" w:rsidRPr="007B2402">
              <w:rPr>
                <w:b w:val="0"/>
                <w:i w:val="0"/>
                <w:webHidden/>
                <w:sz w:val="18"/>
                <w:szCs w:val="18"/>
                <w:lang w:val="en-US"/>
              </w:rPr>
              <w:fldChar w:fldCharType="begin"/>
            </w:r>
            <w:r w:rsidR="00BD1693" w:rsidRPr="007B2402">
              <w:rPr>
                <w:b w:val="0"/>
                <w:i w:val="0"/>
                <w:webHidden/>
                <w:sz w:val="18"/>
                <w:szCs w:val="18"/>
                <w:lang w:val="en-US"/>
              </w:rPr>
              <w:instrText xml:space="preserve"> PAGEREF _Toc506984081 \h </w:instrText>
            </w:r>
            <w:r w:rsidR="00BD1693" w:rsidRPr="007B2402">
              <w:rPr>
                <w:b w:val="0"/>
                <w:i w:val="0"/>
                <w:webHidden/>
                <w:sz w:val="18"/>
                <w:szCs w:val="18"/>
                <w:lang w:val="en-US"/>
              </w:rPr>
            </w:r>
            <w:r w:rsidR="00BD1693" w:rsidRPr="007B2402">
              <w:rPr>
                <w:b w:val="0"/>
                <w:i w:val="0"/>
                <w:webHidden/>
                <w:sz w:val="18"/>
                <w:szCs w:val="18"/>
                <w:lang w:val="en-US"/>
              </w:rPr>
              <w:fldChar w:fldCharType="separate"/>
            </w:r>
            <w:r w:rsidR="005A36E1" w:rsidRPr="007B2402">
              <w:rPr>
                <w:b w:val="0"/>
                <w:i w:val="0"/>
                <w:webHidden/>
                <w:sz w:val="18"/>
                <w:szCs w:val="18"/>
                <w:lang w:val="en-US"/>
              </w:rPr>
              <w:t>11</w:t>
            </w:r>
            <w:r w:rsidR="00BD1693" w:rsidRPr="007B2402">
              <w:rPr>
                <w:b w:val="0"/>
                <w:i w:val="0"/>
                <w:webHidden/>
                <w:sz w:val="18"/>
                <w:szCs w:val="18"/>
                <w:lang w:val="en-US"/>
              </w:rPr>
              <w:fldChar w:fldCharType="end"/>
            </w:r>
          </w:hyperlink>
        </w:p>
        <w:p w14:paraId="4AF9D76A" w14:textId="4774C019" w:rsidR="00BD1693" w:rsidRPr="007B2402" w:rsidRDefault="0080268F" w:rsidP="00C66F63">
          <w:pPr>
            <w:pStyle w:val="TDC2"/>
            <w:spacing w:after="13" w:line="240" w:lineRule="auto"/>
            <w:contextualSpacing/>
            <w:rPr>
              <w:rFonts w:eastAsiaTheme="minorEastAsia" w:cstheme="minorBidi"/>
              <w:b w:val="0"/>
              <w:i w:val="0"/>
              <w:sz w:val="18"/>
              <w:szCs w:val="18"/>
              <w:lang w:val="en-US" w:eastAsia="es-ES"/>
            </w:rPr>
          </w:pPr>
          <w:hyperlink w:anchor="_Toc506984084" w:history="1">
            <w:r w:rsidR="00BD1693" w:rsidRPr="007B2402">
              <w:rPr>
                <w:rStyle w:val="Hipervnculo"/>
                <w:b w:val="0"/>
                <w:i w:val="0"/>
                <w:sz w:val="18"/>
                <w:szCs w:val="18"/>
                <w:lang w:val="en-US"/>
              </w:rPr>
              <w:t>D.</w:t>
            </w:r>
            <w:r w:rsidR="005F1EAD" w:rsidRPr="007B2402">
              <w:rPr>
                <w:rStyle w:val="Hipervnculo"/>
                <w:b w:val="0"/>
                <w:i w:val="0"/>
                <w:sz w:val="18"/>
                <w:szCs w:val="18"/>
                <w:lang w:val="en-US"/>
              </w:rPr>
              <w:t xml:space="preserve"> </w:t>
            </w:r>
            <w:r w:rsidR="004A5F76" w:rsidRPr="007B2402">
              <w:rPr>
                <w:rStyle w:val="Hipervnculo"/>
                <w:b w:val="0"/>
                <w:i w:val="0"/>
                <w:sz w:val="18"/>
                <w:szCs w:val="18"/>
                <w:lang w:val="en-US"/>
              </w:rPr>
              <w:t xml:space="preserve">Failure to comply with the time </w:t>
            </w:r>
            <w:r w:rsidR="009F2F20" w:rsidRPr="007B2402">
              <w:rPr>
                <w:rStyle w:val="Hipervnculo"/>
                <w:b w:val="0"/>
                <w:i w:val="0"/>
                <w:sz w:val="18"/>
                <w:szCs w:val="18"/>
                <w:lang w:val="en-US"/>
              </w:rPr>
              <w:t>limit</w:t>
            </w:r>
            <w:r w:rsidR="004A5F76" w:rsidRPr="007B2402">
              <w:rPr>
                <w:rStyle w:val="Hipervnculo"/>
                <w:b w:val="0"/>
                <w:i w:val="0"/>
                <w:sz w:val="18"/>
                <w:szCs w:val="18"/>
                <w:lang w:val="en-US"/>
              </w:rPr>
              <w:t xml:space="preserve"> for lodging a petition before</w:t>
            </w:r>
            <w:r w:rsidR="00BD1693" w:rsidRPr="007B2402">
              <w:rPr>
                <w:rStyle w:val="Hipervnculo"/>
                <w:b w:val="0"/>
                <w:i w:val="0"/>
                <w:sz w:val="18"/>
                <w:szCs w:val="18"/>
                <w:lang w:val="en-US"/>
              </w:rPr>
              <w:t xml:space="preserve"> </w:t>
            </w:r>
            <w:r w:rsidR="00AF4344" w:rsidRPr="007B2402">
              <w:rPr>
                <w:rStyle w:val="Hipervnculo"/>
                <w:b w:val="0"/>
                <w:i w:val="0"/>
                <w:sz w:val="18"/>
                <w:szCs w:val="18"/>
                <w:lang w:val="en-US"/>
              </w:rPr>
              <w:t>the Commission</w:t>
            </w:r>
            <w:r w:rsidR="00BD1693" w:rsidRPr="007B2402">
              <w:rPr>
                <w:b w:val="0"/>
                <w:i w:val="0"/>
                <w:webHidden/>
                <w:sz w:val="18"/>
                <w:szCs w:val="18"/>
                <w:lang w:val="en-US"/>
              </w:rPr>
              <w:tab/>
            </w:r>
            <w:r w:rsidR="00BD1693" w:rsidRPr="007B2402">
              <w:rPr>
                <w:b w:val="0"/>
                <w:i w:val="0"/>
                <w:webHidden/>
                <w:sz w:val="18"/>
                <w:szCs w:val="18"/>
                <w:lang w:val="en-US"/>
              </w:rPr>
              <w:fldChar w:fldCharType="begin"/>
            </w:r>
            <w:r w:rsidR="00BD1693" w:rsidRPr="007B2402">
              <w:rPr>
                <w:b w:val="0"/>
                <w:i w:val="0"/>
                <w:webHidden/>
                <w:sz w:val="18"/>
                <w:szCs w:val="18"/>
                <w:lang w:val="en-US"/>
              </w:rPr>
              <w:instrText xml:space="preserve"> PAGEREF _Toc506984084 \h </w:instrText>
            </w:r>
            <w:r w:rsidR="00BD1693" w:rsidRPr="007B2402">
              <w:rPr>
                <w:b w:val="0"/>
                <w:i w:val="0"/>
                <w:webHidden/>
                <w:sz w:val="18"/>
                <w:szCs w:val="18"/>
                <w:lang w:val="en-US"/>
              </w:rPr>
            </w:r>
            <w:r w:rsidR="00BD1693" w:rsidRPr="007B2402">
              <w:rPr>
                <w:b w:val="0"/>
                <w:i w:val="0"/>
                <w:webHidden/>
                <w:sz w:val="18"/>
                <w:szCs w:val="18"/>
                <w:lang w:val="en-US"/>
              </w:rPr>
              <w:fldChar w:fldCharType="separate"/>
            </w:r>
            <w:r w:rsidR="005A36E1" w:rsidRPr="007B2402">
              <w:rPr>
                <w:b w:val="0"/>
                <w:i w:val="0"/>
                <w:webHidden/>
                <w:sz w:val="18"/>
                <w:szCs w:val="18"/>
                <w:lang w:val="en-US"/>
              </w:rPr>
              <w:t>13</w:t>
            </w:r>
            <w:r w:rsidR="00BD1693" w:rsidRPr="007B2402">
              <w:rPr>
                <w:b w:val="0"/>
                <w:i w:val="0"/>
                <w:webHidden/>
                <w:sz w:val="18"/>
                <w:szCs w:val="18"/>
                <w:lang w:val="en-US"/>
              </w:rPr>
              <w:fldChar w:fldCharType="end"/>
            </w:r>
          </w:hyperlink>
        </w:p>
        <w:p w14:paraId="469797F0" w14:textId="4CCFBB50" w:rsidR="00BD1693" w:rsidRPr="007B2402" w:rsidRDefault="0080268F" w:rsidP="00C66F63">
          <w:pPr>
            <w:pStyle w:val="TDC2"/>
            <w:spacing w:after="13" w:line="240" w:lineRule="auto"/>
            <w:contextualSpacing/>
            <w:rPr>
              <w:rFonts w:eastAsiaTheme="minorEastAsia" w:cstheme="minorBidi"/>
              <w:b w:val="0"/>
              <w:i w:val="0"/>
              <w:sz w:val="18"/>
              <w:szCs w:val="18"/>
              <w:lang w:val="en-US" w:eastAsia="es-ES"/>
            </w:rPr>
          </w:pPr>
          <w:hyperlink w:anchor="_Toc506984087" w:history="1">
            <w:r w:rsidR="00BD1693" w:rsidRPr="007B2402">
              <w:rPr>
                <w:rStyle w:val="Hipervnculo"/>
                <w:b w:val="0"/>
                <w:i w:val="0"/>
                <w:sz w:val="18"/>
                <w:szCs w:val="18"/>
                <w:lang w:val="en-US"/>
              </w:rPr>
              <w:t>E.</w:t>
            </w:r>
            <w:r w:rsidR="005F1EAD" w:rsidRPr="007B2402">
              <w:rPr>
                <w:rStyle w:val="Hipervnculo"/>
                <w:b w:val="0"/>
                <w:i w:val="0"/>
                <w:sz w:val="18"/>
                <w:szCs w:val="18"/>
                <w:lang w:val="en-US"/>
              </w:rPr>
              <w:t xml:space="preserve"> </w:t>
            </w:r>
            <w:r w:rsidR="007E42A8" w:rsidRPr="007B2402">
              <w:rPr>
                <w:rStyle w:val="Hipervnculo"/>
                <w:b w:val="0"/>
                <w:i w:val="0"/>
                <w:sz w:val="18"/>
                <w:szCs w:val="18"/>
                <w:lang w:val="en-US" w:eastAsia="es-ES" w:bidi="en-US"/>
              </w:rPr>
              <w:t>Lack of jurisdiction</w:t>
            </w:r>
            <w:r w:rsidR="00BD1693" w:rsidRPr="007B2402">
              <w:rPr>
                <w:rStyle w:val="Hipervnculo"/>
                <w:b w:val="0"/>
                <w:i w:val="0"/>
                <w:sz w:val="18"/>
                <w:szCs w:val="18"/>
                <w:lang w:val="en-US" w:eastAsia="es-ES" w:bidi="en-US"/>
              </w:rPr>
              <w:t xml:space="preserve"> </w:t>
            </w:r>
            <w:r w:rsidR="00BD1693" w:rsidRPr="007B2402">
              <w:rPr>
                <w:rStyle w:val="Hipervnculo"/>
                <w:b w:val="0"/>
                <w:sz w:val="18"/>
                <w:szCs w:val="18"/>
                <w:lang w:val="en-US" w:eastAsia="es-ES" w:bidi="en-US"/>
              </w:rPr>
              <w:t>ratione materiae</w:t>
            </w:r>
            <w:r w:rsidR="00BD1693" w:rsidRPr="007B2402">
              <w:rPr>
                <w:rStyle w:val="Hipervnculo"/>
                <w:b w:val="0"/>
                <w:i w:val="0"/>
                <w:sz w:val="18"/>
                <w:szCs w:val="18"/>
                <w:lang w:val="en-US" w:eastAsia="es-ES" w:bidi="en-US"/>
              </w:rPr>
              <w:t xml:space="preserve"> </w:t>
            </w:r>
            <w:r w:rsidR="006A170F" w:rsidRPr="007B2402">
              <w:rPr>
                <w:rStyle w:val="Hipervnculo"/>
                <w:b w:val="0"/>
                <w:i w:val="0"/>
                <w:sz w:val="18"/>
                <w:szCs w:val="18"/>
                <w:lang w:val="en-US" w:eastAsia="es-ES" w:bidi="en-US"/>
              </w:rPr>
              <w:t>to review domestic decisions</w:t>
            </w:r>
            <w:r w:rsidR="00BD1693" w:rsidRPr="007B2402">
              <w:rPr>
                <w:rStyle w:val="Hipervnculo"/>
                <w:b w:val="0"/>
                <w:i w:val="0"/>
                <w:sz w:val="18"/>
                <w:szCs w:val="18"/>
                <w:lang w:val="en-US" w:eastAsia="es-ES" w:bidi="en-US"/>
              </w:rPr>
              <w:t xml:space="preserve"> (</w:t>
            </w:r>
            <w:r w:rsidR="006A170F" w:rsidRPr="007B2402">
              <w:rPr>
                <w:rStyle w:val="Hipervnculo"/>
                <w:b w:val="0"/>
                <w:i w:val="0"/>
                <w:sz w:val="18"/>
                <w:szCs w:val="18"/>
                <w:lang w:val="en-US" w:eastAsia="es-ES" w:bidi="en-US"/>
              </w:rPr>
              <w:t>fourth</w:t>
            </w:r>
            <w:r w:rsidR="00DF1102" w:rsidRPr="007B2402">
              <w:rPr>
                <w:rStyle w:val="Hipervnculo"/>
                <w:b w:val="0"/>
                <w:i w:val="0"/>
                <w:sz w:val="18"/>
                <w:szCs w:val="18"/>
                <w:lang w:val="en-US" w:eastAsia="es-ES" w:bidi="en-US"/>
              </w:rPr>
              <w:t xml:space="preserve"> </w:t>
            </w:r>
            <w:r w:rsidR="006A170F" w:rsidRPr="007B2402">
              <w:rPr>
                <w:rStyle w:val="Hipervnculo"/>
                <w:b w:val="0"/>
                <w:i w:val="0"/>
                <w:sz w:val="18"/>
                <w:szCs w:val="18"/>
                <w:lang w:val="en-US" w:eastAsia="es-ES" w:bidi="en-US"/>
              </w:rPr>
              <w:t>instance objection</w:t>
            </w:r>
            <w:r w:rsidR="00BD1693" w:rsidRPr="007B2402">
              <w:rPr>
                <w:rStyle w:val="Hipervnculo"/>
                <w:b w:val="0"/>
                <w:i w:val="0"/>
                <w:sz w:val="18"/>
                <w:szCs w:val="18"/>
                <w:lang w:val="en-US" w:eastAsia="es-ES" w:bidi="en-US"/>
              </w:rPr>
              <w:t>)</w:t>
            </w:r>
            <w:r w:rsidR="00BD1693" w:rsidRPr="007B2402">
              <w:rPr>
                <w:b w:val="0"/>
                <w:i w:val="0"/>
                <w:webHidden/>
                <w:sz w:val="18"/>
                <w:szCs w:val="18"/>
                <w:lang w:val="en-US"/>
              </w:rPr>
              <w:tab/>
            </w:r>
            <w:r w:rsidR="00BD1693" w:rsidRPr="007B2402">
              <w:rPr>
                <w:b w:val="0"/>
                <w:i w:val="0"/>
                <w:webHidden/>
                <w:sz w:val="18"/>
                <w:szCs w:val="18"/>
                <w:lang w:val="en-US"/>
              </w:rPr>
              <w:fldChar w:fldCharType="begin"/>
            </w:r>
            <w:r w:rsidR="00BD1693" w:rsidRPr="007B2402">
              <w:rPr>
                <w:b w:val="0"/>
                <w:i w:val="0"/>
                <w:webHidden/>
                <w:sz w:val="18"/>
                <w:szCs w:val="18"/>
                <w:lang w:val="en-US"/>
              </w:rPr>
              <w:instrText xml:space="preserve"> PAGEREF _Toc506984087 \h </w:instrText>
            </w:r>
            <w:r w:rsidR="00BD1693" w:rsidRPr="007B2402">
              <w:rPr>
                <w:b w:val="0"/>
                <w:i w:val="0"/>
                <w:webHidden/>
                <w:sz w:val="18"/>
                <w:szCs w:val="18"/>
                <w:lang w:val="en-US"/>
              </w:rPr>
            </w:r>
            <w:r w:rsidR="00BD1693" w:rsidRPr="007B2402">
              <w:rPr>
                <w:b w:val="0"/>
                <w:i w:val="0"/>
                <w:webHidden/>
                <w:sz w:val="18"/>
                <w:szCs w:val="18"/>
                <w:lang w:val="en-US"/>
              </w:rPr>
              <w:fldChar w:fldCharType="separate"/>
            </w:r>
            <w:r w:rsidR="005A36E1" w:rsidRPr="007B2402">
              <w:rPr>
                <w:b w:val="0"/>
                <w:i w:val="0"/>
                <w:webHidden/>
                <w:sz w:val="18"/>
                <w:szCs w:val="18"/>
                <w:lang w:val="en-US"/>
              </w:rPr>
              <w:t>17</w:t>
            </w:r>
            <w:r w:rsidR="00BD1693" w:rsidRPr="007B2402">
              <w:rPr>
                <w:b w:val="0"/>
                <w:i w:val="0"/>
                <w:webHidden/>
                <w:sz w:val="18"/>
                <w:szCs w:val="18"/>
                <w:lang w:val="en-US"/>
              </w:rPr>
              <w:fldChar w:fldCharType="end"/>
            </w:r>
          </w:hyperlink>
        </w:p>
        <w:p w14:paraId="5F942426" w14:textId="10F7E97C" w:rsidR="00BD1693" w:rsidRPr="007B2402" w:rsidRDefault="0080268F" w:rsidP="00C66F63">
          <w:pPr>
            <w:pStyle w:val="TDC2"/>
            <w:spacing w:after="13" w:line="240" w:lineRule="auto"/>
            <w:contextualSpacing/>
            <w:rPr>
              <w:rFonts w:eastAsiaTheme="minorEastAsia" w:cstheme="minorBidi"/>
              <w:b w:val="0"/>
              <w:i w:val="0"/>
              <w:sz w:val="18"/>
              <w:szCs w:val="18"/>
              <w:lang w:val="en-US" w:eastAsia="es-ES"/>
            </w:rPr>
          </w:pPr>
          <w:hyperlink w:anchor="_Toc506984090" w:history="1">
            <w:r w:rsidR="00BD1693" w:rsidRPr="007B2402">
              <w:rPr>
                <w:rStyle w:val="Hipervnculo"/>
                <w:b w:val="0"/>
                <w:i w:val="0"/>
                <w:sz w:val="18"/>
                <w:szCs w:val="18"/>
                <w:lang w:val="en-US"/>
              </w:rPr>
              <w:t>F.</w:t>
            </w:r>
            <w:r w:rsidR="005F1EAD" w:rsidRPr="007B2402">
              <w:rPr>
                <w:rStyle w:val="Hipervnculo"/>
                <w:b w:val="0"/>
                <w:i w:val="0"/>
                <w:sz w:val="18"/>
                <w:szCs w:val="18"/>
                <w:lang w:val="en-US"/>
              </w:rPr>
              <w:t xml:space="preserve"> </w:t>
            </w:r>
            <w:r w:rsidR="0084545E" w:rsidRPr="007B2402">
              <w:rPr>
                <w:rStyle w:val="Hipervnculo"/>
                <w:b w:val="0"/>
                <w:i w:val="0"/>
                <w:sz w:val="18"/>
                <w:szCs w:val="18"/>
                <w:lang w:val="en-US"/>
              </w:rPr>
              <w:t>Al</w:t>
            </w:r>
            <w:r w:rsidR="00E427E7" w:rsidRPr="007B2402">
              <w:rPr>
                <w:rStyle w:val="Hipervnculo"/>
                <w:b w:val="0"/>
                <w:i w:val="0"/>
                <w:sz w:val="18"/>
                <w:szCs w:val="18"/>
                <w:lang w:val="en-US"/>
              </w:rPr>
              <w:t>leged failure to abide by the Convention</w:t>
            </w:r>
            <w:r w:rsidR="0084545E" w:rsidRPr="007B2402">
              <w:rPr>
                <w:rStyle w:val="Hipervnculo"/>
                <w:b w:val="0"/>
                <w:i w:val="0"/>
                <w:sz w:val="18"/>
                <w:szCs w:val="18"/>
                <w:lang w:val="en-US"/>
              </w:rPr>
              <w:t xml:space="preserve"> </w:t>
            </w:r>
            <w:r w:rsidR="00E427E7" w:rsidRPr="007B2402">
              <w:rPr>
                <w:rStyle w:val="Hipervnculo"/>
                <w:b w:val="0"/>
                <w:i w:val="0"/>
                <w:sz w:val="18"/>
                <w:szCs w:val="18"/>
                <w:lang w:val="en-US"/>
              </w:rPr>
              <w:t>owing to the</w:t>
            </w:r>
            <w:r w:rsidR="00BD1693" w:rsidRPr="007B2402">
              <w:rPr>
                <w:rStyle w:val="Hipervnculo"/>
                <w:b w:val="0"/>
                <w:i w:val="0"/>
                <w:sz w:val="18"/>
                <w:szCs w:val="18"/>
                <w:lang w:val="en-US"/>
              </w:rPr>
              <w:t xml:space="preserve"> publica</w:t>
            </w:r>
            <w:r w:rsidR="00E427E7" w:rsidRPr="007B2402">
              <w:rPr>
                <w:rStyle w:val="Hipervnculo"/>
                <w:b w:val="0"/>
                <w:i w:val="0"/>
                <w:sz w:val="18"/>
                <w:szCs w:val="18"/>
                <w:lang w:val="en-US"/>
              </w:rPr>
              <w:t>tion of the</w:t>
            </w:r>
            <w:r w:rsidR="00BD1693" w:rsidRPr="007B2402">
              <w:rPr>
                <w:rStyle w:val="Hipervnculo"/>
                <w:b w:val="0"/>
                <w:i w:val="0"/>
                <w:sz w:val="18"/>
                <w:szCs w:val="18"/>
                <w:lang w:val="en-US"/>
              </w:rPr>
              <w:t xml:space="preserve"> </w:t>
            </w:r>
            <w:r w:rsidR="00375567" w:rsidRPr="007B2402">
              <w:rPr>
                <w:rStyle w:val="Hipervnculo"/>
                <w:b w:val="0"/>
                <w:i w:val="0"/>
                <w:sz w:val="18"/>
                <w:szCs w:val="18"/>
                <w:lang w:val="en-US"/>
              </w:rPr>
              <w:t>Merits Report</w:t>
            </w:r>
            <w:r w:rsidR="00BD1693" w:rsidRPr="007B2402">
              <w:rPr>
                <w:b w:val="0"/>
                <w:i w:val="0"/>
                <w:webHidden/>
                <w:sz w:val="18"/>
                <w:szCs w:val="18"/>
                <w:lang w:val="en-US"/>
              </w:rPr>
              <w:tab/>
            </w:r>
            <w:r w:rsidR="00BD1693" w:rsidRPr="007B2402">
              <w:rPr>
                <w:b w:val="0"/>
                <w:i w:val="0"/>
                <w:webHidden/>
                <w:sz w:val="18"/>
                <w:szCs w:val="18"/>
                <w:lang w:val="en-US"/>
              </w:rPr>
              <w:fldChar w:fldCharType="begin"/>
            </w:r>
            <w:r w:rsidR="00BD1693" w:rsidRPr="007B2402">
              <w:rPr>
                <w:b w:val="0"/>
                <w:i w:val="0"/>
                <w:webHidden/>
                <w:sz w:val="18"/>
                <w:szCs w:val="18"/>
                <w:lang w:val="en-US"/>
              </w:rPr>
              <w:instrText xml:space="preserve"> PAGEREF _Toc506984090 \h </w:instrText>
            </w:r>
            <w:r w:rsidR="00BD1693" w:rsidRPr="007B2402">
              <w:rPr>
                <w:b w:val="0"/>
                <w:i w:val="0"/>
                <w:webHidden/>
                <w:sz w:val="18"/>
                <w:szCs w:val="18"/>
                <w:lang w:val="en-US"/>
              </w:rPr>
            </w:r>
            <w:r w:rsidR="00BD1693" w:rsidRPr="007B2402">
              <w:rPr>
                <w:b w:val="0"/>
                <w:i w:val="0"/>
                <w:webHidden/>
                <w:sz w:val="18"/>
                <w:szCs w:val="18"/>
                <w:lang w:val="en-US"/>
              </w:rPr>
              <w:fldChar w:fldCharType="separate"/>
            </w:r>
            <w:r w:rsidR="005A36E1" w:rsidRPr="007B2402">
              <w:rPr>
                <w:b w:val="0"/>
                <w:i w:val="0"/>
                <w:webHidden/>
                <w:sz w:val="18"/>
                <w:szCs w:val="18"/>
                <w:lang w:val="en-US"/>
              </w:rPr>
              <w:t>19</w:t>
            </w:r>
            <w:r w:rsidR="00BD1693" w:rsidRPr="007B2402">
              <w:rPr>
                <w:b w:val="0"/>
                <w:i w:val="0"/>
                <w:webHidden/>
                <w:sz w:val="18"/>
                <w:szCs w:val="18"/>
                <w:lang w:val="en-US"/>
              </w:rPr>
              <w:fldChar w:fldCharType="end"/>
            </w:r>
          </w:hyperlink>
        </w:p>
        <w:p w14:paraId="368A2749" w14:textId="0A36482E" w:rsidR="00BD1693" w:rsidRPr="007B2402" w:rsidRDefault="0080268F" w:rsidP="00C66F63">
          <w:pPr>
            <w:pStyle w:val="TDC2"/>
            <w:spacing w:after="13" w:line="240" w:lineRule="auto"/>
            <w:contextualSpacing/>
            <w:rPr>
              <w:rFonts w:eastAsiaTheme="minorEastAsia" w:cstheme="minorBidi"/>
              <w:b w:val="0"/>
              <w:i w:val="0"/>
              <w:sz w:val="18"/>
              <w:szCs w:val="18"/>
              <w:lang w:val="en-US" w:eastAsia="es-ES"/>
            </w:rPr>
          </w:pPr>
          <w:hyperlink w:anchor="_Toc506984093" w:history="1">
            <w:r w:rsidR="00BD1693" w:rsidRPr="007B2402">
              <w:rPr>
                <w:rStyle w:val="Hipervnculo"/>
                <w:b w:val="0"/>
                <w:i w:val="0"/>
                <w:sz w:val="18"/>
                <w:szCs w:val="18"/>
                <w:lang w:val="en-US" w:eastAsia="es-ES"/>
              </w:rPr>
              <w:t>G.</w:t>
            </w:r>
            <w:r w:rsidR="005F1EAD" w:rsidRPr="007B2402">
              <w:rPr>
                <w:rStyle w:val="Hipervnculo"/>
                <w:b w:val="0"/>
                <w:i w:val="0"/>
                <w:sz w:val="18"/>
                <w:szCs w:val="18"/>
                <w:lang w:val="en-US" w:eastAsia="es-ES"/>
              </w:rPr>
              <w:t xml:space="preserve"> </w:t>
            </w:r>
            <w:r w:rsidR="007E42A8" w:rsidRPr="007B2402">
              <w:rPr>
                <w:rStyle w:val="Hipervnculo"/>
                <w:b w:val="0"/>
                <w:i w:val="0"/>
                <w:sz w:val="18"/>
                <w:szCs w:val="18"/>
                <w:lang w:val="en-US" w:eastAsia="es-ES"/>
              </w:rPr>
              <w:t>Lack of jurisdiction</w:t>
            </w:r>
            <w:r w:rsidR="00AF4344" w:rsidRPr="007B2402">
              <w:rPr>
                <w:rStyle w:val="Hipervnculo"/>
                <w:b w:val="0"/>
                <w:i w:val="0"/>
                <w:sz w:val="18"/>
                <w:szCs w:val="18"/>
                <w:lang w:val="en-US" w:eastAsia="es-ES"/>
              </w:rPr>
              <w:t xml:space="preserve"> of the Court</w:t>
            </w:r>
            <w:r w:rsidR="00BD1693" w:rsidRPr="007B2402">
              <w:rPr>
                <w:rStyle w:val="Hipervnculo"/>
                <w:b w:val="0"/>
                <w:i w:val="0"/>
                <w:sz w:val="18"/>
                <w:szCs w:val="18"/>
                <w:lang w:val="en-US" w:eastAsia="es-ES"/>
              </w:rPr>
              <w:t xml:space="preserve"> </w:t>
            </w:r>
            <w:r w:rsidR="00E427E7" w:rsidRPr="007B2402">
              <w:rPr>
                <w:rStyle w:val="Hipervnculo"/>
                <w:b w:val="0"/>
                <w:i w:val="0"/>
                <w:sz w:val="18"/>
                <w:szCs w:val="18"/>
                <w:lang w:val="en-US" w:eastAsia="es-ES"/>
              </w:rPr>
              <w:t xml:space="preserve">to examine facts </w:t>
            </w:r>
            <w:r w:rsidR="00744618" w:rsidRPr="007B2402">
              <w:rPr>
                <w:rStyle w:val="Hipervnculo"/>
                <w:b w:val="0"/>
                <w:i w:val="0"/>
                <w:sz w:val="18"/>
                <w:szCs w:val="18"/>
                <w:lang w:val="en-US" w:eastAsia="es-ES"/>
              </w:rPr>
              <w:t>introduc</w:t>
            </w:r>
            <w:r w:rsidR="00E427E7" w:rsidRPr="007B2402">
              <w:rPr>
                <w:rStyle w:val="Hipervnculo"/>
                <w:b w:val="0"/>
                <w:i w:val="0"/>
                <w:sz w:val="18"/>
                <w:szCs w:val="18"/>
                <w:lang w:val="en-US" w:eastAsia="es-ES"/>
              </w:rPr>
              <w:t>ed by</w:t>
            </w:r>
            <w:r w:rsidR="00BD1693" w:rsidRPr="007B2402">
              <w:rPr>
                <w:rStyle w:val="Hipervnculo"/>
                <w:b w:val="0"/>
                <w:i w:val="0"/>
                <w:sz w:val="18"/>
                <w:szCs w:val="18"/>
                <w:lang w:val="en-US" w:eastAsia="es-ES"/>
              </w:rPr>
              <w:t xml:space="preserve"> </w:t>
            </w:r>
            <w:r w:rsidR="005B1590" w:rsidRPr="007B2402">
              <w:rPr>
                <w:rStyle w:val="Hipervnculo"/>
                <w:b w:val="0"/>
                <w:i w:val="0"/>
                <w:sz w:val="18"/>
                <w:szCs w:val="18"/>
                <w:lang w:val="en-US" w:eastAsia="es-ES"/>
              </w:rPr>
              <w:t>the representatives</w:t>
            </w:r>
            <w:r w:rsidR="00BD1693" w:rsidRPr="007B2402">
              <w:rPr>
                <w:b w:val="0"/>
                <w:i w:val="0"/>
                <w:webHidden/>
                <w:sz w:val="18"/>
                <w:szCs w:val="18"/>
                <w:lang w:val="en-US"/>
              </w:rPr>
              <w:tab/>
            </w:r>
            <w:r w:rsidR="00BD1693" w:rsidRPr="007B2402">
              <w:rPr>
                <w:b w:val="0"/>
                <w:i w:val="0"/>
                <w:webHidden/>
                <w:sz w:val="18"/>
                <w:szCs w:val="18"/>
                <w:lang w:val="en-US"/>
              </w:rPr>
              <w:fldChar w:fldCharType="begin"/>
            </w:r>
            <w:r w:rsidR="00BD1693" w:rsidRPr="007B2402">
              <w:rPr>
                <w:b w:val="0"/>
                <w:i w:val="0"/>
                <w:webHidden/>
                <w:sz w:val="18"/>
                <w:szCs w:val="18"/>
                <w:lang w:val="en-US"/>
              </w:rPr>
              <w:instrText xml:space="preserve"> PAGEREF _Toc506984093 \h </w:instrText>
            </w:r>
            <w:r w:rsidR="00BD1693" w:rsidRPr="007B2402">
              <w:rPr>
                <w:b w:val="0"/>
                <w:i w:val="0"/>
                <w:webHidden/>
                <w:sz w:val="18"/>
                <w:szCs w:val="18"/>
                <w:lang w:val="en-US"/>
              </w:rPr>
            </w:r>
            <w:r w:rsidR="00BD1693" w:rsidRPr="007B2402">
              <w:rPr>
                <w:b w:val="0"/>
                <w:i w:val="0"/>
                <w:webHidden/>
                <w:sz w:val="18"/>
                <w:szCs w:val="18"/>
                <w:lang w:val="en-US"/>
              </w:rPr>
              <w:fldChar w:fldCharType="separate"/>
            </w:r>
            <w:r w:rsidR="005A36E1" w:rsidRPr="007B2402">
              <w:rPr>
                <w:b w:val="0"/>
                <w:i w:val="0"/>
                <w:webHidden/>
                <w:sz w:val="18"/>
                <w:szCs w:val="18"/>
                <w:lang w:val="en-US"/>
              </w:rPr>
              <w:t>20</w:t>
            </w:r>
            <w:r w:rsidR="00BD1693" w:rsidRPr="007B2402">
              <w:rPr>
                <w:b w:val="0"/>
                <w:i w:val="0"/>
                <w:webHidden/>
                <w:sz w:val="18"/>
                <w:szCs w:val="18"/>
                <w:lang w:val="en-US"/>
              </w:rPr>
              <w:fldChar w:fldCharType="end"/>
            </w:r>
          </w:hyperlink>
        </w:p>
        <w:p w14:paraId="0CB8355D" w14:textId="4448FDBC" w:rsidR="00BD1693" w:rsidRPr="007B2402" w:rsidRDefault="0080268F" w:rsidP="00C66F63">
          <w:pPr>
            <w:pStyle w:val="TDC1"/>
            <w:spacing w:after="13"/>
            <w:contextualSpacing/>
            <w:rPr>
              <w:rFonts w:eastAsiaTheme="minorEastAsia" w:cstheme="minorBidi"/>
              <w:sz w:val="18"/>
              <w:szCs w:val="18"/>
              <w:lang w:val="en-US"/>
            </w:rPr>
          </w:pPr>
          <w:hyperlink w:anchor="_Toc506984096" w:history="1">
            <w:r w:rsidR="00BD1693" w:rsidRPr="007B2402">
              <w:rPr>
                <w:rStyle w:val="Hipervnculo"/>
                <w:rFonts w:eastAsia="Times New Roman" w:cs="Verdana"/>
                <w:bCs/>
                <w:caps/>
                <w:sz w:val="18"/>
                <w:szCs w:val="18"/>
                <w:lang w:val="en-US"/>
              </w:rPr>
              <w:t xml:space="preserve">V. </w:t>
            </w:r>
            <w:r w:rsidR="00DE2B30" w:rsidRPr="007B2402">
              <w:rPr>
                <w:rStyle w:val="Hipervnculo"/>
                <w:rFonts w:eastAsia="Times New Roman" w:cs="Verdana"/>
                <w:bCs/>
                <w:caps/>
                <w:sz w:val="18"/>
                <w:szCs w:val="18"/>
                <w:lang w:val="en-US"/>
              </w:rPr>
              <w:t>EVIDENCE</w:t>
            </w:r>
            <w:r w:rsidR="00BD1693" w:rsidRPr="007B2402">
              <w:rPr>
                <w:webHidden/>
                <w:sz w:val="18"/>
                <w:szCs w:val="18"/>
                <w:lang w:val="en-US"/>
              </w:rPr>
              <w:tab/>
            </w:r>
            <w:r w:rsidR="00BD1693" w:rsidRPr="007B2402">
              <w:rPr>
                <w:webHidden/>
                <w:sz w:val="18"/>
                <w:szCs w:val="18"/>
                <w:lang w:val="en-US"/>
              </w:rPr>
              <w:fldChar w:fldCharType="begin"/>
            </w:r>
            <w:r w:rsidR="00BD1693" w:rsidRPr="007B2402">
              <w:rPr>
                <w:webHidden/>
                <w:sz w:val="18"/>
                <w:szCs w:val="18"/>
                <w:lang w:val="en-US"/>
              </w:rPr>
              <w:instrText xml:space="preserve"> PAGEREF _Toc506984096 \h </w:instrText>
            </w:r>
            <w:r w:rsidR="00BD1693" w:rsidRPr="007B2402">
              <w:rPr>
                <w:webHidden/>
                <w:sz w:val="18"/>
                <w:szCs w:val="18"/>
                <w:lang w:val="en-US"/>
              </w:rPr>
            </w:r>
            <w:r w:rsidR="00BD1693" w:rsidRPr="007B2402">
              <w:rPr>
                <w:webHidden/>
                <w:sz w:val="18"/>
                <w:szCs w:val="18"/>
                <w:lang w:val="en-US"/>
              </w:rPr>
              <w:fldChar w:fldCharType="separate"/>
            </w:r>
            <w:r w:rsidR="005A36E1" w:rsidRPr="007B2402">
              <w:rPr>
                <w:webHidden/>
                <w:sz w:val="18"/>
                <w:szCs w:val="18"/>
                <w:lang w:val="en-US"/>
              </w:rPr>
              <w:t>2</w:t>
            </w:r>
            <w:r w:rsidR="00920DEA" w:rsidRPr="007B2402">
              <w:rPr>
                <w:webHidden/>
                <w:sz w:val="18"/>
                <w:szCs w:val="18"/>
                <w:lang w:val="en-US"/>
              </w:rPr>
              <w:t>1</w:t>
            </w:r>
            <w:r w:rsidR="00BD1693" w:rsidRPr="007B2402">
              <w:rPr>
                <w:webHidden/>
                <w:sz w:val="18"/>
                <w:szCs w:val="18"/>
                <w:lang w:val="en-US"/>
              </w:rPr>
              <w:fldChar w:fldCharType="end"/>
            </w:r>
          </w:hyperlink>
        </w:p>
        <w:p w14:paraId="11E3F69F" w14:textId="54AB960B" w:rsidR="00BD1693" w:rsidRPr="007B2402" w:rsidRDefault="0080268F" w:rsidP="00C66F63">
          <w:pPr>
            <w:pStyle w:val="TDC2"/>
            <w:spacing w:after="13" w:line="240" w:lineRule="auto"/>
            <w:contextualSpacing/>
            <w:rPr>
              <w:rFonts w:eastAsiaTheme="minorEastAsia" w:cstheme="minorBidi"/>
              <w:b w:val="0"/>
              <w:i w:val="0"/>
              <w:sz w:val="18"/>
              <w:szCs w:val="18"/>
              <w:lang w:val="en-US" w:eastAsia="es-ES"/>
            </w:rPr>
          </w:pPr>
          <w:hyperlink w:anchor="_Toc506984097" w:history="1">
            <w:r w:rsidR="00BD1693" w:rsidRPr="007B2402">
              <w:rPr>
                <w:rStyle w:val="Hipervnculo"/>
                <w:rFonts w:eastAsia="Batang" w:cs="Times"/>
                <w:b w:val="0"/>
                <w:i w:val="0"/>
                <w:sz w:val="18"/>
                <w:szCs w:val="18"/>
                <w:lang w:val="en-US"/>
              </w:rPr>
              <w:t>A.</w:t>
            </w:r>
            <w:r w:rsidR="005F1EAD" w:rsidRPr="007B2402">
              <w:rPr>
                <w:rStyle w:val="Hipervnculo"/>
                <w:rFonts w:eastAsia="Batang" w:cs="Times"/>
                <w:b w:val="0"/>
                <w:i w:val="0"/>
                <w:sz w:val="18"/>
                <w:szCs w:val="18"/>
                <w:lang w:val="en-US"/>
              </w:rPr>
              <w:t xml:space="preserve"> </w:t>
            </w:r>
            <w:r w:rsidR="00DE2B30" w:rsidRPr="007B2402">
              <w:rPr>
                <w:rStyle w:val="Hipervnculo"/>
                <w:rFonts w:eastAsia="Batang" w:cs="Times"/>
                <w:b w:val="0"/>
                <w:i w:val="0"/>
                <w:sz w:val="18"/>
                <w:szCs w:val="18"/>
                <w:lang w:val="en-US"/>
              </w:rPr>
              <w:t>Documentary, testimonial and expert evidence</w:t>
            </w:r>
            <w:r w:rsidR="00BD1693" w:rsidRPr="007B2402">
              <w:rPr>
                <w:b w:val="0"/>
                <w:i w:val="0"/>
                <w:webHidden/>
                <w:sz w:val="18"/>
                <w:szCs w:val="18"/>
                <w:lang w:val="en-US"/>
              </w:rPr>
              <w:tab/>
            </w:r>
            <w:r w:rsidR="00920DEA" w:rsidRPr="007B2402">
              <w:rPr>
                <w:b w:val="0"/>
                <w:i w:val="0"/>
                <w:webHidden/>
                <w:sz w:val="18"/>
                <w:szCs w:val="18"/>
                <w:lang w:val="en-US"/>
              </w:rPr>
              <w:t>21</w:t>
            </w:r>
          </w:hyperlink>
        </w:p>
        <w:p w14:paraId="7178F053" w14:textId="75BA0BE9" w:rsidR="00BD1693" w:rsidRPr="007B2402" w:rsidRDefault="0080268F" w:rsidP="00C66F63">
          <w:pPr>
            <w:pStyle w:val="TDC2"/>
            <w:spacing w:after="13" w:line="240" w:lineRule="auto"/>
            <w:contextualSpacing/>
            <w:rPr>
              <w:rFonts w:eastAsiaTheme="minorEastAsia" w:cstheme="minorBidi"/>
              <w:b w:val="0"/>
              <w:i w:val="0"/>
              <w:sz w:val="18"/>
              <w:szCs w:val="18"/>
              <w:lang w:val="en-US" w:eastAsia="es-ES"/>
            </w:rPr>
          </w:pPr>
          <w:hyperlink w:anchor="_Toc506984098" w:history="1">
            <w:r w:rsidR="00BD1693" w:rsidRPr="007B2402">
              <w:rPr>
                <w:rStyle w:val="Hipervnculo"/>
                <w:rFonts w:eastAsia="Batang" w:cs="Times"/>
                <w:b w:val="0"/>
                <w:i w:val="0"/>
                <w:sz w:val="18"/>
                <w:szCs w:val="18"/>
                <w:lang w:val="en-US"/>
              </w:rPr>
              <w:t>B.</w:t>
            </w:r>
            <w:r w:rsidR="005F1EAD" w:rsidRPr="007B2402">
              <w:rPr>
                <w:rStyle w:val="Hipervnculo"/>
                <w:rFonts w:eastAsia="Batang" w:cs="Times"/>
                <w:b w:val="0"/>
                <w:i w:val="0"/>
                <w:sz w:val="18"/>
                <w:szCs w:val="18"/>
                <w:lang w:val="en-US"/>
              </w:rPr>
              <w:t xml:space="preserve"> </w:t>
            </w:r>
            <w:r w:rsidR="00DE2B30" w:rsidRPr="007B2402">
              <w:rPr>
                <w:rStyle w:val="Hipervnculo"/>
                <w:rFonts w:eastAsia="Batang" w:cs="Times"/>
                <w:b w:val="0"/>
                <w:i w:val="0"/>
                <w:sz w:val="18"/>
                <w:szCs w:val="18"/>
                <w:lang w:val="en-US"/>
              </w:rPr>
              <w:t>Admission of the evidence</w:t>
            </w:r>
            <w:r w:rsidR="00BD1693" w:rsidRPr="007B2402">
              <w:rPr>
                <w:b w:val="0"/>
                <w:i w:val="0"/>
                <w:webHidden/>
                <w:sz w:val="18"/>
                <w:szCs w:val="18"/>
                <w:lang w:val="en-US"/>
              </w:rPr>
              <w:tab/>
            </w:r>
            <w:r w:rsidR="00BD1693" w:rsidRPr="007B2402">
              <w:rPr>
                <w:b w:val="0"/>
                <w:i w:val="0"/>
                <w:webHidden/>
                <w:sz w:val="18"/>
                <w:szCs w:val="18"/>
                <w:lang w:val="en-US"/>
              </w:rPr>
              <w:fldChar w:fldCharType="begin"/>
            </w:r>
            <w:r w:rsidR="00BD1693" w:rsidRPr="007B2402">
              <w:rPr>
                <w:b w:val="0"/>
                <w:i w:val="0"/>
                <w:webHidden/>
                <w:sz w:val="18"/>
                <w:szCs w:val="18"/>
                <w:lang w:val="en-US"/>
              </w:rPr>
              <w:instrText xml:space="preserve"> PAGEREF _Toc506984098 \h </w:instrText>
            </w:r>
            <w:r w:rsidR="00BD1693" w:rsidRPr="007B2402">
              <w:rPr>
                <w:b w:val="0"/>
                <w:i w:val="0"/>
                <w:webHidden/>
                <w:sz w:val="18"/>
                <w:szCs w:val="18"/>
                <w:lang w:val="en-US"/>
              </w:rPr>
            </w:r>
            <w:r w:rsidR="00BD1693" w:rsidRPr="007B2402">
              <w:rPr>
                <w:b w:val="0"/>
                <w:i w:val="0"/>
                <w:webHidden/>
                <w:sz w:val="18"/>
                <w:szCs w:val="18"/>
                <w:lang w:val="en-US"/>
              </w:rPr>
              <w:fldChar w:fldCharType="separate"/>
            </w:r>
            <w:r w:rsidR="005A36E1" w:rsidRPr="007B2402">
              <w:rPr>
                <w:b w:val="0"/>
                <w:i w:val="0"/>
                <w:webHidden/>
                <w:sz w:val="18"/>
                <w:szCs w:val="18"/>
                <w:lang w:val="en-US"/>
              </w:rPr>
              <w:t>22</w:t>
            </w:r>
            <w:r w:rsidR="00BD1693" w:rsidRPr="007B2402">
              <w:rPr>
                <w:b w:val="0"/>
                <w:i w:val="0"/>
                <w:webHidden/>
                <w:sz w:val="18"/>
                <w:szCs w:val="18"/>
                <w:lang w:val="en-US"/>
              </w:rPr>
              <w:fldChar w:fldCharType="end"/>
            </w:r>
          </w:hyperlink>
        </w:p>
        <w:p w14:paraId="3606BBCD" w14:textId="2B488F51" w:rsidR="00BD1693" w:rsidRPr="007B2402" w:rsidRDefault="0080268F" w:rsidP="00C66F63">
          <w:pPr>
            <w:pStyle w:val="TDC2"/>
            <w:spacing w:after="13" w:line="240" w:lineRule="auto"/>
            <w:contextualSpacing/>
            <w:rPr>
              <w:rFonts w:eastAsiaTheme="minorEastAsia" w:cstheme="minorBidi"/>
              <w:b w:val="0"/>
              <w:i w:val="0"/>
              <w:sz w:val="18"/>
              <w:szCs w:val="18"/>
              <w:lang w:val="en-US" w:eastAsia="es-ES"/>
            </w:rPr>
          </w:pPr>
          <w:hyperlink w:anchor="_Toc506984101" w:history="1">
            <w:r w:rsidR="00BD1693" w:rsidRPr="007B2402">
              <w:rPr>
                <w:rStyle w:val="Hipervnculo"/>
                <w:rFonts w:eastAsia="Batang" w:cs="Times"/>
                <w:b w:val="0"/>
                <w:i w:val="0"/>
                <w:sz w:val="18"/>
                <w:szCs w:val="18"/>
                <w:lang w:val="en-US"/>
              </w:rPr>
              <w:t>C.</w:t>
            </w:r>
            <w:r w:rsidR="005F1EAD" w:rsidRPr="007B2402">
              <w:rPr>
                <w:rStyle w:val="Hipervnculo"/>
                <w:rFonts w:eastAsia="Batang" w:cs="Times"/>
                <w:b w:val="0"/>
                <w:i w:val="0"/>
                <w:sz w:val="18"/>
                <w:szCs w:val="18"/>
                <w:lang w:val="en-US"/>
              </w:rPr>
              <w:t xml:space="preserve"> </w:t>
            </w:r>
            <w:r w:rsidR="00AC1A5E" w:rsidRPr="007B2402">
              <w:rPr>
                <w:rStyle w:val="Hipervnculo"/>
                <w:rFonts w:eastAsia="Batang" w:cs="Times"/>
                <w:b w:val="0"/>
                <w:i w:val="0"/>
                <w:sz w:val="18"/>
                <w:szCs w:val="18"/>
                <w:lang w:val="en-US"/>
              </w:rPr>
              <w:t>Assessment of the evidence</w:t>
            </w:r>
            <w:r w:rsidR="00BD1693" w:rsidRPr="007B2402">
              <w:rPr>
                <w:b w:val="0"/>
                <w:i w:val="0"/>
                <w:webHidden/>
                <w:sz w:val="18"/>
                <w:szCs w:val="18"/>
                <w:lang w:val="en-US"/>
              </w:rPr>
              <w:tab/>
            </w:r>
            <w:r w:rsidR="00BD1693" w:rsidRPr="007B2402">
              <w:rPr>
                <w:b w:val="0"/>
                <w:i w:val="0"/>
                <w:webHidden/>
                <w:sz w:val="18"/>
                <w:szCs w:val="18"/>
                <w:lang w:val="en-US"/>
              </w:rPr>
              <w:fldChar w:fldCharType="begin"/>
            </w:r>
            <w:r w:rsidR="00BD1693" w:rsidRPr="007B2402">
              <w:rPr>
                <w:b w:val="0"/>
                <w:i w:val="0"/>
                <w:webHidden/>
                <w:sz w:val="18"/>
                <w:szCs w:val="18"/>
                <w:lang w:val="en-US"/>
              </w:rPr>
              <w:instrText xml:space="preserve"> PAGEREF _Toc506984101 \h </w:instrText>
            </w:r>
            <w:r w:rsidR="00BD1693" w:rsidRPr="007B2402">
              <w:rPr>
                <w:b w:val="0"/>
                <w:i w:val="0"/>
                <w:webHidden/>
                <w:sz w:val="18"/>
                <w:szCs w:val="18"/>
                <w:lang w:val="en-US"/>
              </w:rPr>
            </w:r>
            <w:r w:rsidR="00BD1693" w:rsidRPr="007B2402">
              <w:rPr>
                <w:b w:val="0"/>
                <w:i w:val="0"/>
                <w:webHidden/>
                <w:sz w:val="18"/>
                <w:szCs w:val="18"/>
                <w:lang w:val="en-US"/>
              </w:rPr>
              <w:fldChar w:fldCharType="separate"/>
            </w:r>
            <w:r w:rsidR="005A36E1" w:rsidRPr="007B2402">
              <w:rPr>
                <w:b w:val="0"/>
                <w:i w:val="0"/>
                <w:webHidden/>
                <w:sz w:val="18"/>
                <w:szCs w:val="18"/>
                <w:lang w:val="en-US"/>
              </w:rPr>
              <w:t>2</w:t>
            </w:r>
            <w:r w:rsidR="00920DEA" w:rsidRPr="007B2402">
              <w:rPr>
                <w:b w:val="0"/>
                <w:i w:val="0"/>
                <w:webHidden/>
                <w:sz w:val="18"/>
                <w:szCs w:val="18"/>
                <w:lang w:val="en-US"/>
              </w:rPr>
              <w:t>2</w:t>
            </w:r>
            <w:r w:rsidR="00BD1693" w:rsidRPr="007B2402">
              <w:rPr>
                <w:b w:val="0"/>
                <w:i w:val="0"/>
                <w:webHidden/>
                <w:sz w:val="18"/>
                <w:szCs w:val="18"/>
                <w:lang w:val="en-US"/>
              </w:rPr>
              <w:fldChar w:fldCharType="end"/>
            </w:r>
          </w:hyperlink>
        </w:p>
        <w:p w14:paraId="3B5F831C" w14:textId="5499C8F7" w:rsidR="00BD1693" w:rsidRPr="007B2402" w:rsidRDefault="0080268F" w:rsidP="00C66F63">
          <w:pPr>
            <w:pStyle w:val="TDC1"/>
            <w:spacing w:after="13"/>
            <w:contextualSpacing/>
            <w:rPr>
              <w:rFonts w:eastAsiaTheme="minorEastAsia" w:cstheme="minorBidi"/>
              <w:sz w:val="18"/>
              <w:szCs w:val="18"/>
              <w:lang w:val="en-US"/>
            </w:rPr>
          </w:pPr>
          <w:hyperlink w:anchor="_Toc506984102" w:history="1">
            <w:r w:rsidR="00BD1693" w:rsidRPr="007B2402">
              <w:rPr>
                <w:rStyle w:val="Hipervnculo"/>
                <w:sz w:val="18"/>
                <w:szCs w:val="18"/>
                <w:lang w:val="en-US"/>
              </w:rPr>
              <w:t xml:space="preserve">VI </w:t>
            </w:r>
            <w:r w:rsidR="00AC1A5E" w:rsidRPr="007B2402">
              <w:rPr>
                <w:rStyle w:val="Hipervnculo"/>
                <w:sz w:val="18"/>
                <w:szCs w:val="18"/>
                <w:lang w:val="en-US"/>
              </w:rPr>
              <w:t>PROVEN FACTS</w:t>
            </w:r>
            <w:r w:rsidR="00BD1693" w:rsidRPr="007B2402">
              <w:rPr>
                <w:webHidden/>
                <w:sz w:val="18"/>
                <w:szCs w:val="18"/>
                <w:lang w:val="en-US"/>
              </w:rPr>
              <w:tab/>
            </w:r>
            <w:r w:rsidR="00BD1693" w:rsidRPr="007B2402">
              <w:rPr>
                <w:webHidden/>
                <w:sz w:val="18"/>
                <w:szCs w:val="18"/>
                <w:lang w:val="en-US"/>
              </w:rPr>
              <w:fldChar w:fldCharType="begin"/>
            </w:r>
            <w:r w:rsidR="00BD1693" w:rsidRPr="007B2402">
              <w:rPr>
                <w:webHidden/>
                <w:sz w:val="18"/>
                <w:szCs w:val="18"/>
                <w:lang w:val="en-US"/>
              </w:rPr>
              <w:instrText xml:space="preserve"> PAGEREF _Toc506984102 \h </w:instrText>
            </w:r>
            <w:r w:rsidR="00BD1693" w:rsidRPr="007B2402">
              <w:rPr>
                <w:webHidden/>
                <w:sz w:val="18"/>
                <w:szCs w:val="18"/>
                <w:lang w:val="en-US"/>
              </w:rPr>
            </w:r>
            <w:r w:rsidR="00BD1693" w:rsidRPr="007B2402">
              <w:rPr>
                <w:webHidden/>
                <w:sz w:val="18"/>
                <w:szCs w:val="18"/>
                <w:lang w:val="en-US"/>
              </w:rPr>
              <w:fldChar w:fldCharType="separate"/>
            </w:r>
            <w:r w:rsidR="005A36E1" w:rsidRPr="007B2402">
              <w:rPr>
                <w:webHidden/>
                <w:sz w:val="18"/>
                <w:szCs w:val="18"/>
                <w:lang w:val="en-US"/>
              </w:rPr>
              <w:t>23</w:t>
            </w:r>
            <w:r w:rsidR="00BD1693" w:rsidRPr="007B2402">
              <w:rPr>
                <w:webHidden/>
                <w:sz w:val="18"/>
                <w:szCs w:val="18"/>
                <w:lang w:val="en-US"/>
              </w:rPr>
              <w:fldChar w:fldCharType="end"/>
            </w:r>
          </w:hyperlink>
        </w:p>
        <w:p w14:paraId="5A35A8A1" w14:textId="7D28A7B4" w:rsidR="00BD1693" w:rsidRPr="007B2402" w:rsidRDefault="0080268F" w:rsidP="00C66F63">
          <w:pPr>
            <w:pStyle w:val="TDC2"/>
            <w:spacing w:after="13" w:line="240" w:lineRule="auto"/>
            <w:contextualSpacing/>
            <w:rPr>
              <w:rFonts w:eastAsiaTheme="minorEastAsia" w:cstheme="minorBidi"/>
              <w:b w:val="0"/>
              <w:i w:val="0"/>
              <w:sz w:val="18"/>
              <w:szCs w:val="18"/>
              <w:lang w:val="en-US" w:eastAsia="es-ES"/>
            </w:rPr>
          </w:pPr>
          <w:hyperlink w:anchor="_Toc506984103" w:history="1">
            <w:r w:rsidR="00BD1693" w:rsidRPr="007B2402">
              <w:rPr>
                <w:rStyle w:val="Hipervnculo"/>
                <w:b w:val="0"/>
                <w:i w:val="0"/>
                <w:sz w:val="18"/>
                <w:szCs w:val="18"/>
                <w:lang w:val="en-US"/>
              </w:rPr>
              <w:t>A.</w:t>
            </w:r>
            <w:r w:rsidR="005F1EAD" w:rsidRPr="007B2402">
              <w:rPr>
                <w:rStyle w:val="Hipervnculo"/>
                <w:b w:val="0"/>
                <w:i w:val="0"/>
                <w:sz w:val="18"/>
                <w:szCs w:val="18"/>
                <w:lang w:val="en-US"/>
              </w:rPr>
              <w:t xml:space="preserve"> </w:t>
            </w:r>
            <w:r w:rsidR="00AC1A5E" w:rsidRPr="007B2402">
              <w:rPr>
                <w:rStyle w:val="Hipervnculo"/>
                <w:b w:val="0"/>
                <w:i w:val="0"/>
                <w:sz w:val="18"/>
                <w:szCs w:val="18"/>
                <w:lang w:val="en-US"/>
              </w:rPr>
              <w:t>Historical context</w:t>
            </w:r>
            <w:r w:rsidR="00BD1693" w:rsidRPr="007B2402">
              <w:rPr>
                <w:b w:val="0"/>
                <w:i w:val="0"/>
                <w:webHidden/>
                <w:sz w:val="18"/>
                <w:szCs w:val="18"/>
                <w:lang w:val="en-US"/>
              </w:rPr>
              <w:tab/>
            </w:r>
            <w:r w:rsidR="00BD1693" w:rsidRPr="007B2402">
              <w:rPr>
                <w:b w:val="0"/>
                <w:i w:val="0"/>
                <w:webHidden/>
                <w:sz w:val="18"/>
                <w:szCs w:val="18"/>
                <w:lang w:val="en-US"/>
              </w:rPr>
              <w:fldChar w:fldCharType="begin"/>
            </w:r>
            <w:r w:rsidR="00BD1693" w:rsidRPr="007B2402">
              <w:rPr>
                <w:b w:val="0"/>
                <w:i w:val="0"/>
                <w:webHidden/>
                <w:sz w:val="18"/>
                <w:szCs w:val="18"/>
                <w:lang w:val="en-US"/>
              </w:rPr>
              <w:instrText xml:space="preserve"> PAGEREF _Toc506984103 \h </w:instrText>
            </w:r>
            <w:r w:rsidR="00BD1693" w:rsidRPr="007B2402">
              <w:rPr>
                <w:b w:val="0"/>
                <w:i w:val="0"/>
                <w:webHidden/>
                <w:sz w:val="18"/>
                <w:szCs w:val="18"/>
                <w:lang w:val="en-US"/>
              </w:rPr>
            </w:r>
            <w:r w:rsidR="00BD1693" w:rsidRPr="007B2402">
              <w:rPr>
                <w:b w:val="0"/>
                <w:i w:val="0"/>
                <w:webHidden/>
                <w:sz w:val="18"/>
                <w:szCs w:val="18"/>
                <w:lang w:val="en-US"/>
              </w:rPr>
              <w:fldChar w:fldCharType="separate"/>
            </w:r>
            <w:r w:rsidR="005A36E1" w:rsidRPr="007B2402">
              <w:rPr>
                <w:b w:val="0"/>
                <w:i w:val="0"/>
                <w:webHidden/>
                <w:sz w:val="18"/>
                <w:szCs w:val="18"/>
                <w:lang w:val="en-US"/>
              </w:rPr>
              <w:t>23</w:t>
            </w:r>
            <w:r w:rsidR="00BD1693" w:rsidRPr="007B2402">
              <w:rPr>
                <w:b w:val="0"/>
                <w:i w:val="0"/>
                <w:webHidden/>
                <w:sz w:val="18"/>
                <w:szCs w:val="18"/>
                <w:lang w:val="en-US"/>
              </w:rPr>
              <w:fldChar w:fldCharType="end"/>
            </w:r>
          </w:hyperlink>
        </w:p>
        <w:p w14:paraId="57931210" w14:textId="079FEA13" w:rsidR="00BD1693" w:rsidRPr="007B2402" w:rsidRDefault="0080268F" w:rsidP="00C66F63">
          <w:pPr>
            <w:pStyle w:val="TDC2"/>
            <w:spacing w:after="13" w:line="240" w:lineRule="auto"/>
            <w:contextualSpacing/>
            <w:rPr>
              <w:rFonts w:eastAsiaTheme="minorEastAsia" w:cstheme="minorBidi"/>
              <w:b w:val="0"/>
              <w:i w:val="0"/>
              <w:sz w:val="18"/>
              <w:szCs w:val="18"/>
              <w:lang w:val="en-US" w:eastAsia="es-ES"/>
            </w:rPr>
          </w:pPr>
          <w:hyperlink w:anchor="_Toc506984104" w:history="1">
            <w:r w:rsidR="00BD1693" w:rsidRPr="007B2402">
              <w:rPr>
                <w:rStyle w:val="Hipervnculo"/>
                <w:b w:val="0"/>
                <w:i w:val="0"/>
                <w:sz w:val="18"/>
                <w:szCs w:val="18"/>
                <w:lang w:val="en-US"/>
              </w:rPr>
              <w:t>B.</w:t>
            </w:r>
            <w:r w:rsidR="005F1EAD" w:rsidRPr="007B2402">
              <w:rPr>
                <w:rStyle w:val="Hipervnculo"/>
                <w:b w:val="0"/>
                <w:i w:val="0"/>
                <w:sz w:val="18"/>
                <w:szCs w:val="18"/>
                <w:lang w:val="en-US"/>
              </w:rPr>
              <w:t xml:space="preserve"> </w:t>
            </w:r>
            <w:r w:rsidR="00BD1693" w:rsidRPr="007B2402">
              <w:rPr>
                <w:rStyle w:val="Hipervnculo"/>
                <w:b w:val="0"/>
                <w:i w:val="0"/>
                <w:sz w:val="18"/>
                <w:szCs w:val="18"/>
                <w:lang w:val="en-US"/>
              </w:rPr>
              <w:t>Vladimir Herzog</w:t>
            </w:r>
            <w:r w:rsidR="00BD1693" w:rsidRPr="007B2402">
              <w:rPr>
                <w:b w:val="0"/>
                <w:i w:val="0"/>
                <w:webHidden/>
                <w:sz w:val="18"/>
                <w:szCs w:val="18"/>
                <w:lang w:val="en-US"/>
              </w:rPr>
              <w:tab/>
            </w:r>
            <w:r w:rsidR="00BD1693" w:rsidRPr="007B2402">
              <w:rPr>
                <w:b w:val="0"/>
                <w:i w:val="0"/>
                <w:webHidden/>
                <w:sz w:val="18"/>
                <w:szCs w:val="18"/>
                <w:lang w:val="en-US"/>
              </w:rPr>
              <w:fldChar w:fldCharType="begin"/>
            </w:r>
            <w:r w:rsidR="00BD1693" w:rsidRPr="007B2402">
              <w:rPr>
                <w:b w:val="0"/>
                <w:i w:val="0"/>
                <w:webHidden/>
                <w:sz w:val="18"/>
                <w:szCs w:val="18"/>
                <w:lang w:val="en-US"/>
              </w:rPr>
              <w:instrText xml:space="preserve"> PAGEREF _Toc506984104 \h </w:instrText>
            </w:r>
            <w:r w:rsidR="00BD1693" w:rsidRPr="007B2402">
              <w:rPr>
                <w:b w:val="0"/>
                <w:i w:val="0"/>
                <w:webHidden/>
                <w:sz w:val="18"/>
                <w:szCs w:val="18"/>
                <w:lang w:val="en-US"/>
              </w:rPr>
            </w:r>
            <w:r w:rsidR="00BD1693" w:rsidRPr="007B2402">
              <w:rPr>
                <w:b w:val="0"/>
                <w:i w:val="0"/>
                <w:webHidden/>
                <w:sz w:val="18"/>
                <w:szCs w:val="18"/>
                <w:lang w:val="en-US"/>
              </w:rPr>
              <w:fldChar w:fldCharType="separate"/>
            </w:r>
            <w:r w:rsidR="005A36E1" w:rsidRPr="007B2402">
              <w:rPr>
                <w:b w:val="0"/>
                <w:i w:val="0"/>
                <w:webHidden/>
                <w:sz w:val="18"/>
                <w:szCs w:val="18"/>
                <w:lang w:val="en-US"/>
              </w:rPr>
              <w:t>2</w:t>
            </w:r>
            <w:r w:rsidR="00920DEA" w:rsidRPr="007B2402">
              <w:rPr>
                <w:b w:val="0"/>
                <w:i w:val="0"/>
                <w:webHidden/>
                <w:sz w:val="18"/>
                <w:szCs w:val="18"/>
                <w:lang w:val="en-US"/>
              </w:rPr>
              <w:t>4</w:t>
            </w:r>
            <w:r w:rsidR="00BD1693" w:rsidRPr="007B2402">
              <w:rPr>
                <w:b w:val="0"/>
                <w:i w:val="0"/>
                <w:webHidden/>
                <w:sz w:val="18"/>
                <w:szCs w:val="18"/>
                <w:lang w:val="en-US"/>
              </w:rPr>
              <w:fldChar w:fldCharType="end"/>
            </w:r>
          </w:hyperlink>
        </w:p>
        <w:p w14:paraId="4028C708" w14:textId="043D27CD" w:rsidR="00BD1693" w:rsidRPr="007B2402" w:rsidRDefault="0080268F" w:rsidP="00C66F63">
          <w:pPr>
            <w:pStyle w:val="TDC2"/>
            <w:spacing w:after="13" w:line="240" w:lineRule="auto"/>
            <w:contextualSpacing/>
            <w:rPr>
              <w:rFonts w:eastAsiaTheme="minorEastAsia" w:cstheme="minorBidi"/>
              <w:b w:val="0"/>
              <w:i w:val="0"/>
              <w:sz w:val="18"/>
              <w:szCs w:val="18"/>
              <w:lang w:val="en-US" w:eastAsia="es-ES"/>
            </w:rPr>
          </w:pPr>
          <w:hyperlink w:anchor="_Toc506984105" w:history="1">
            <w:r w:rsidR="00BD1693" w:rsidRPr="007B2402">
              <w:rPr>
                <w:rStyle w:val="Hipervnculo"/>
                <w:b w:val="0"/>
                <w:i w:val="0"/>
                <w:sz w:val="18"/>
                <w:szCs w:val="18"/>
                <w:lang w:val="en-US"/>
              </w:rPr>
              <w:t>C.</w:t>
            </w:r>
            <w:r w:rsidR="005F1EAD" w:rsidRPr="007B2402">
              <w:rPr>
                <w:rStyle w:val="Hipervnculo"/>
                <w:b w:val="0"/>
                <w:i w:val="0"/>
                <w:sz w:val="18"/>
                <w:szCs w:val="18"/>
                <w:lang w:val="en-US"/>
              </w:rPr>
              <w:t xml:space="preserve"> </w:t>
            </w:r>
            <w:r w:rsidR="00BD1693" w:rsidRPr="007B2402">
              <w:rPr>
                <w:rStyle w:val="Hipervnculo"/>
                <w:b w:val="0"/>
                <w:i w:val="0"/>
                <w:sz w:val="18"/>
                <w:szCs w:val="18"/>
                <w:lang w:val="en-US"/>
              </w:rPr>
              <w:t>Opera</w:t>
            </w:r>
            <w:r w:rsidR="00A94321" w:rsidRPr="007B2402">
              <w:rPr>
                <w:rStyle w:val="Hipervnculo"/>
                <w:b w:val="0"/>
                <w:i w:val="0"/>
                <w:sz w:val="18"/>
                <w:szCs w:val="18"/>
                <w:lang w:val="en-US"/>
              </w:rPr>
              <w:t>tio</w:t>
            </w:r>
            <w:r w:rsidR="00BD1693" w:rsidRPr="007B2402">
              <w:rPr>
                <w:rStyle w:val="Hipervnculo"/>
                <w:b w:val="0"/>
                <w:i w:val="0"/>
                <w:sz w:val="18"/>
                <w:szCs w:val="18"/>
                <w:lang w:val="en-US"/>
              </w:rPr>
              <w:t>n Radar</w:t>
            </w:r>
            <w:r w:rsidR="00BD1693" w:rsidRPr="007B2402">
              <w:rPr>
                <w:b w:val="0"/>
                <w:i w:val="0"/>
                <w:webHidden/>
                <w:sz w:val="18"/>
                <w:szCs w:val="18"/>
                <w:lang w:val="en-US"/>
              </w:rPr>
              <w:tab/>
            </w:r>
            <w:r w:rsidR="00BD1693" w:rsidRPr="007B2402">
              <w:rPr>
                <w:b w:val="0"/>
                <w:i w:val="0"/>
                <w:webHidden/>
                <w:sz w:val="18"/>
                <w:szCs w:val="18"/>
                <w:lang w:val="en-US"/>
              </w:rPr>
              <w:fldChar w:fldCharType="begin"/>
            </w:r>
            <w:r w:rsidR="00BD1693" w:rsidRPr="007B2402">
              <w:rPr>
                <w:b w:val="0"/>
                <w:i w:val="0"/>
                <w:webHidden/>
                <w:sz w:val="18"/>
                <w:szCs w:val="18"/>
                <w:lang w:val="en-US"/>
              </w:rPr>
              <w:instrText xml:space="preserve"> PAGEREF _Toc506984105 \h </w:instrText>
            </w:r>
            <w:r w:rsidR="00BD1693" w:rsidRPr="007B2402">
              <w:rPr>
                <w:b w:val="0"/>
                <w:i w:val="0"/>
                <w:webHidden/>
                <w:sz w:val="18"/>
                <w:szCs w:val="18"/>
                <w:lang w:val="en-US"/>
              </w:rPr>
            </w:r>
            <w:r w:rsidR="00BD1693" w:rsidRPr="007B2402">
              <w:rPr>
                <w:b w:val="0"/>
                <w:i w:val="0"/>
                <w:webHidden/>
                <w:sz w:val="18"/>
                <w:szCs w:val="18"/>
                <w:lang w:val="en-US"/>
              </w:rPr>
              <w:fldChar w:fldCharType="separate"/>
            </w:r>
            <w:r w:rsidR="005A36E1" w:rsidRPr="007B2402">
              <w:rPr>
                <w:b w:val="0"/>
                <w:i w:val="0"/>
                <w:webHidden/>
                <w:sz w:val="18"/>
                <w:szCs w:val="18"/>
                <w:lang w:val="en-US"/>
              </w:rPr>
              <w:t>25</w:t>
            </w:r>
            <w:r w:rsidR="00BD1693" w:rsidRPr="007B2402">
              <w:rPr>
                <w:b w:val="0"/>
                <w:i w:val="0"/>
                <w:webHidden/>
                <w:sz w:val="18"/>
                <w:szCs w:val="18"/>
                <w:lang w:val="en-US"/>
              </w:rPr>
              <w:fldChar w:fldCharType="end"/>
            </w:r>
          </w:hyperlink>
        </w:p>
        <w:p w14:paraId="776841DD" w14:textId="1B9A1641" w:rsidR="00BD1693" w:rsidRPr="007B2402" w:rsidRDefault="0080268F" w:rsidP="00C66F63">
          <w:pPr>
            <w:pStyle w:val="TDC2"/>
            <w:spacing w:after="13" w:line="240" w:lineRule="auto"/>
            <w:contextualSpacing/>
            <w:rPr>
              <w:rFonts w:eastAsiaTheme="minorEastAsia" w:cstheme="minorBidi"/>
              <w:b w:val="0"/>
              <w:i w:val="0"/>
              <w:sz w:val="18"/>
              <w:szCs w:val="18"/>
              <w:lang w:val="en-US" w:eastAsia="es-ES"/>
            </w:rPr>
          </w:pPr>
          <w:hyperlink w:anchor="_Toc506984106" w:history="1">
            <w:r w:rsidR="00BD1693" w:rsidRPr="007B2402">
              <w:rPr>
                <w:rStyle w:val="Hipervnculo"/>
                <w:b w:val="0"/>
                <w:i w:val="0"/>
                <w:sz w:val="18"/>
                <w:szCs w:val="18"/>
                <w:lang w:val="en-US"/>
              </w:rPr>
              <w:t>D.</w:t>
            </w:r>
            <w:r w:rsidR="005F1EAD" w:rsidRPr="007B2402">
              <w:rPr>
                <w:rStyle w:val="Hipervnculo"/>
                <w:b w:val="0"/>
                <w:i w:val="0"/>
                <w:sz w:val="18"/>
                <w:szCs w:val="18"/>
                <w:lang w:val="en-US"/>
              </w:rPr>
              <w:t xml:space="preserve"> </w:t>
            </w:r>
            <w:r w:rsidR="002E293F" w:rsidRPr="007B2402">
              <w:rPr>
                <w:rStyle w:val="Hipervnculo"/>
                <w:b w:val="0"/>
                <w:i w:val="0"/>
                <w:sz w:val="18"/>
                <w:szCs w:val="18"/>
                <w:lang w:val="en-US"/>
              </w:rPr>
              <w:t>The events of</w:t>
            </w:r>
            <w:r w:rsidR="00221E16" w:rsidRPr="007B2402">
              <w:rPr>
                <w:rStyle w:val="Hipervnculo"/>
                <w:b w:val="0"/>
                <w:i w:val="0"/>
                <w:sz w:val="18"/>
                <w:szCs w:val="18"/>
                <w:lang w:val="en-US"/>
              </w:rPr>
              <w:t xml:space="preserve"> October 25,</w:t>
            </w:r>
            <w:r w:rsidR="00BD1693" w:rsidRPr="007B2402">
              <w:rPr>
                <w:rStyle w:val="Hipervnculo"/>
                <w:b w:val="0"/>
                <w:i w:val="0"/>
                <w:sz w:val="18"/>
                <w:szCs w:val="18"/>
                <w:lang w:val="en-US"/>
              </w:rPr>
              <w:t xml:space="preserve"> 1975</w:t>
            </w:r>
            <w:r w:rsidR="00BD1693" w:rsidRPr="007B2402">
              <w:rPr>
                <w:b w:val="0"/>
                <w:i w:val="0"/>
                <w:webHidden/>
                <w:sz w:val="18"/>
                <w:szCs w:val="18"/>
                <w:lang w:val="en-US"/>
              </w:rPr>
              <w:tab/>
            </w:r>
            <w:r w:rsidR="00BD1693" w:rsidRPr="007B2402">
              <w:rPr>
                <w:b w:val="0"/>
                <w:i w:val="0"/>
                <w:webHidden/>
                <w:sz w:val="18"/>
                <w:szCs w:val="18"/>
                <w:lang w:val="en-US"/>
              </w:rPr>
              <w:fldChar w:fldCharType="begin"/>
            </w:r>
            <w:r w:rsidR="00BD1693" w:rsidRPr="007B2402">
              <w:rPr>
                <w:b w:val="0"/>
                <w:i w:val="0"/>
                <w:webHidden/>
                <w:sz w:val="18"/>
                <w:szCs w:val="18"/>
                <w:lang w:val="en-US"/>
              </w:rPr>
              <w:instrText xml:space="preserve"> PAGEREF _Toc506984106 \h </w:instrText>
            </w:r>
            <w:r w:rsidR="00BD1693" w:rsidRPr="007B2402">
              <w:rPr>
                <w:b w:val="0"/>
                <w:i w:val="0"/>
                <w:webHidden/>
                <w:sz w:val="18"/>
                <w:szCs w:val="18"/>
                <w:lang w:val="en-US"/>
              </w:rPr>
            </w:r>
            <w:r w:rsidR="00BD1693" w:rsidRPr="007B2402">
              <w:rPr>
                <w:b w:val="0"/>
                <w:i w:val="0"/>
                <w:webHidden/>
                <w:sz w:val="18"/>
                <w:szCs w:val="18"/>
                <w:lang w:val="en-US"/>
              </w:rPr>
              <w:fldChar w:fldCharType="separate"/>
            </w:r>
            <w:r w:rsidR="005A36E1" w:rsidRPr="007B2402">
              <w:rPr>
                <w:b w:val="0"/>
                <w:i w:val="0"/>
                <w:webHidden/>
                <w:sz w:val="18"/>
                <w:szCs w:val="18"/>
                <w:lang w:val="en-US"/>
              </w:rPr>
              <w:t>26</w:t>
            </w:r>
            <w:r w:rsidR="00BD1693" w:rsidRPr="007B2402">
              <w:rPr>
                <w:b w:val="0"/>
                <w:i w:val="0"/>
                <w:webHidden/>
                <w:sz w:val="18"/>
                <w:szCs w:val="18"/>
                <w:lang w:val="en-US"/>
              </w:rPr>
              <w:fldChar w:fldCharType="end"/>
            </w:r>
          </w:hyperlink>
        </w:p>
        <w:p w14:paraId="75B3B1D2" w14:textId="1B1D0153" w:rsidR="00BD1693" w:rsidRPr="007B2402" w:rsidRDefault="0080268F" w:rsidP="00C66F63">
          <w:pPr>
            <w:pStyle w:val="TDC2"/>
            <w:spacing w:after="13" w:line="240" w:lineRule="auto"/>
            <w:contextualSpacing/>
            <w:rPr>
              <w:rFonts w:eastAsiaTheme="minorEastAsia" w:cstheme="minorBidi"/>
              <w:b w:val="0"/>
              <w:i w:val="0"/>
              <w:sz w:val="18"/>
              <w:szCs w:val="18"/>
              <w:lang w:val="en-US" w:eastAsia="es-ES"/>
            </w:rPr>
          </w:pPr>
          <w:hyperlink w:anchor="_Toc506984107" w:history="1">
            <w:r w:rsidR="00BD1693" w:rsidRPr="007B2402">
              <w:rPr>
                <w:rStyle w:val="Hipervnculo"/>
                <w:b w:val="0"/>
                <w:i w:val="0"/>
                <w:sz w:val="18"/>
                <w:szCs w:val="18"/>
                <w:lang w:val="en-US" w:eastAsia="zh-CN"/>
              </w:rPr>
              <w:t>E.</w:t>
            </w:r>
            <w:r w:rsidR="005F1EAD" w:rsidRPr="007B2402">
              <w:rPr>
                <w:rStyle w:val="Hipervnculo"/>
                <w:b w:val="0"/>
                <w:i w:val="0"/>
                <w:sz w:val="18"/>
                <w:szCs w:val="18"/>
                <w:lang w:val="en-US" w:eastAsia="zh-CN"/>
              </w:rPr>
              <w:t xml:space="preserve"> </w:t>
            </w:r>
            <w:r w:rsidR="00BE2A6C" w:rsidRPr="007B2402">
              <w:rPr>
                <w:rStyle w:val="Hipervnculo"/>
                <w:b w:val="0"/>
                <w:i w:val="0"/>
                <w:sz w:val="18"/>
                <w:szCs w:val="18"/>
                <w:lang w:val="en-US" w:eastAsia="zh-CN"/>
              </w:rPr>
              <w:t>Military police investigation</w:t>
            </w:r>
            <w:r w:rsidR="00BD1693" w:rsidRPr="007B2402">
              <w:rPr>
                <w:rStyle w:val="Hipervnculo"/>
                <w:b w:val="0"/>
                <w:i w:val="0"/>
                <w:sz w:val="18"/>
                <w:szCs w:val="18"/>
                <w:lang w:val="en-US" w:eastAsia="zh-CN"/>
              </w:rPr>
              <w:t xml:space="preserve"> (IPM No. 1173-75)</w:t>
            </w:r>
            <w:r w:rsidR="00BD1693" w:rsidRPr="007B2402">
              <w:rPr>
                <w:b w:val="0"/>
                <w:i w:val="0"/>
                <w:webHidden/>
                <w:sz w:val="18"/>
                <w:szCs w:val="18"/>
                <w:lang w:val="en-US"/>
              </w:rPr>
              <w:tab/>
            </w:r>
            <w:r w:rsidR="00BD1693" w:rsidRPr="007B2402">
              <w:rPr>
                <w:b w:val="0"/>
                <w:i w:val="0"/>
                <w:webHidden/>
                <w:sz w:val="18"/>
                <w:szCs w:val="18"/>
                <w:lang w:val="en-US"/>
              </w:rPr>
              <w:fldChar w:fldCharType="begin"/>
            </w:r>
            <w:r w:rsidR="00BD1693" w:rsidRPr="007B2402">
              <w:rPr>
                <w:b w:val="0"/>
                <w:i w:val="0"/>
                <w:webHidden/>
                <w:sz w:val="18"/>
                <w:szCs w:val="18"/>
                <w:lang w:val="en-US"/>
              </w:rPr>
              <w:instrText xml:space="preserve"> PAGEREF _Toc506984107 \h </w:instrText>
            </w:r>
            <w:r w:rsidR="00BD1693" w:rsidRPr="007B2402">
              <w:rPr>
                <w:b w:val="0"/>
                <w:i w:val="0"/>
                <w:webHidden/>
                <w:sz w:val="18"/>
                <w:szCs w:val="18"/>
                <w:lang w:val="en-US"/>
              </w:rPr>
            </w:r>
            <w:r w:rsidR="00BD1693" w:rsidRPr="007B2402">
              <w:rPr>
                <w:b w:val="0"/>
                <w:i w:val="0"/>
                <w:webHidden/>
                <w:sz w:val="18"/>
                <w:szCs w:val="18"/>
                <w:lang w:val="en-US"/>
              </w:rPr>
              <w:fldChar w:fldCharType="separate"/>
            </w:r>
            <w:r w:rsidR="005A36E1" w:rsidRPr="007B2402">
              <w:rPr>
                <w:b w:val="0"/>
                <w:i w:val="0"/>
                <w:webHidden/>
                <w:sz w:val="18"/>
                <w:szCs w:val="18"/>
                <w:lang w:val="en-US"/>
              </w:rPr>
              <w:t>27</w:t>
            </w:r>
            <w:r w:rsidR="00BD1693" w:rsidRPr="007B2402">
              <w:rPr>
                <w:b w:val="0"/>
                <w:i w:val="0"/>
                <w:webHidden/>
                <w:sz w:val="18"/>
                <w:szCs w:val="18"/>
                <w:lang w:val="en-US"/>
              </w:rPr>
              <w:fldChar w:fldCharType="end"/>
            </w:r>
          </w:hyperlink>
        </w:p>
        <w:p w14:paraId="09B9ACC5" w14:textId="69390969" w:rsidR="00BD1693" w:rsidRPr="007B2402" w:rsidRDefault="0080268F" w:rsidP="00C66F63">
          <w:pPr>
            <w:pStyle w:val="TDC2"/>
            <w:spacing w:after="13" w:line="240" w:lineRule="auto"/>
            <w:contextualSpacing/>
            <w:rPr>
              <w:rFonts w:eastAsiaTheme="minorEastAsia" w:cstheme="minorBidi"/>
              <w:b w:val="0"/>
              <w:i w:val="0"/>
              <w:sz w:val="18"/>
              <w:szCs w:val="18"/>
              <w:lang w:val="en-US" w:eastAsia="es-ES"/>
            </w:rPr>
          </w:pPr>
          <w:hyperlink w:anchor="_Toc506984108" w:history="1">
            <w:r w:rsidR="00BD1693" w:rsidRPr="007B2402">
              <w:rPr>
                <w:rStyle w:val="Hipervnculo"/>
                <w:b w:val="0"/>
                <w:i w:val="0"/>
                <w:sz w:val="18"/>
                <w:szCs w:val="18"/>
                <w:lang w:val="en-US" w:eastAsia="zh-CN"/>
              </w:rPr>
              <w:t>F.</w:t>
            </w:r>
            <w:r w:rsidR="005F1EAD" w:rsidRPr="007B2402">
              <w:rPr>
                <w:rStyle w:val="Hipervnculo"/>
                <w:b w:val="0"/>
                <w:i w:val="0"/>
                <w:sz w:val="18"/>
                <w:szCs w:val="18"/>
                <w:lang w:val="en-US" w:eastAsia="zh-CN"/>
              </w:rPr>
              <w:t xml:space="preserve"> </w:t>
            </w:r>
            <w:r w:rsidR="00BA4292" w:rsidRPr="007B2402">
              <w:rPr>
                <w:rStyle w:val="Hipervnculo"/>
                <w:b w:val="0"/>
                <w:i w:val="0"/>
                <w:sz w:val="18"/>
                <w:szCs w:val="18"/>
                <w:lang w:val="en-US" w:eastAsia="zh-CN"/>
              </w:rPr>
              <w:t>Declaratory action</w:t>
            </w:r>
            <w:r w:rsidR="00BD1693" w:rsidRPr="007B2402">
              <w:rPr>
                <w:rStyle w:val="Hipervnculo"/>
                <w:b w:val="0"/>
                <w:i w:val="0"/>
                <w:sz w:val="18"/>
                <w:szCs w:val="18"/>
                <w:lang w:val="en-US" w:eastAsia="zh-CN"/>
              </w:rPr>
              <w:t xml:space="preserve"> No. 136-76</w:t>
            </w:r>
            <w:r w:rsidR="00BD1693" w:rsidRPr="007B2402">
              <w:rPr>
                <w:b w:val="0"/>
                <w:i w:val="0"/>
                <w:webHidden/>
                <w:sz w:val="18"/>
                <w:szCs w:val="18"/>
                <w:lang w:val="en-US"/>
              </w:rPr>
              <w:tab/>
            </w:r>
            <w:r w:rsidR="00BD1693" w:rsidRPr="007B2402">
              <w:rPr>
                <w:b w:val="0"/>
                <w:i w:val="0"/>
                <w:webHidden/>
                <w:sz w:val="18"/>
                <w:szCs w:val="18"/>
                <w:lang w:val="en-US"/>
              </w:rPr>
              <w:fldChar w:fldCharType="begin"/>
            </w:r>
            <w:r w:rsidR="00BD1693" w:rsidRPr="007B2402">
              <w:rPr>
                <w:b w:val="0"/>
                <w:i w:val="0"/>
                <w:webHidden/>
                <w:sz w:val="18"/>
                <w:szCs w:val="18"/>
                <w:lang w:val="en-US"/>
              </w:rPr>
              <w:instrText xml:space="preserve"> PAGEREF _Toc506984108 \h </w:instrText>
            </w:r>
            <w:r w:rsidR="00BD1693" w:rsidRPr="007B2402">
              <w:rPr>
                <w:b w:val="0"/>
                <w:i w:val="0"/>
                <w:webHidden/>
                <w:sz w:val="18"/>
                <w:szCs w:val="18"/>
                <w:lang w:val="en-US"/>
              </w:rPr>
            </w:r>
            <w:r w:rsidR="00BD1693" w:rsidRPr="007B2402">
              <w:rPr>
                <w:b w:val="0"/>
                <w:i w:val="0"/>
                <w:webHidden/>
                <w:sz w:val="18"/>
                <w:szCs w:val="18"/>
                <w:lang w:val="en-US"/>
              </w:rPr>
              <w:fldChar w:fldCharType="separate"/>
            </w:r>
            <w:r w:rsidR="005A36E1" w:rsidRPr="007B2402">
              <w:rPr>
                <w:b w:val="0"/>
                <w:i w:val="0"/>
                <w:webHidden/>
                <w:sz w:val="18"/>
                <w:szCs w:val="18"/>
                <w:lang w:val="en-US"/>
              </w:rPr>
              <w:t>28</w:t>
            </w:r>
            <w:r w:rsidR="00BD1693" w:rsidRPr="007B2402">
              <w:rPr>
                <w:b w:val="0"/>
                <w:i w:val="0"/>
                <w:webHidden/>
                <w:sz w:val="18"/>
                <w:szCs w:val="18"/>
                <w:lang w:val="en-US"/>
              </w:rPr>
              <w:fldChar w:fldCharType="end"/>
            </w:r>
          </w:hyperlink>
        </w:p>
        <w:p w14:paraId="3325AF33" w14:textId="5E769CEE" w:rsidR="00BD1693" w:rsidRPr="007B2402" w:rsidRDefault="0080268F" w:rsidP="00C66F63">
          <w:pPr>
            <w:pStyle w:val="TDC2"/>
            <w:spacing w:after="13" w:line="240" w:lineRule="auto"/>
            <w:contextualSpacing/>
            <w:rPr>
              <w:rFonts w:eastAsiaTheme="minorEastAsia" w:cstheme="minorBidi"/>
              <w:b w:val="0"/>
              <w:i w:val="0"/>
              <w:sz w:val="18"/>
              <w:szCs w:val="18"/>
              <w:lang w:val="en-US" w:eastAsia="es-ES"/>
            </w:rPr>
          </w:pPr>
          <w:hyperlink w:anchor="_Toc506984109" w:history="1">
            <w:r w:rsidR="00BD1693" w:rsidRPr="007B2402">
              <w:rPr>
                <w:rStyle w:val="Hipervnculo"/>
                <w:b w:val="0"/>
                <w:i w:val="0"/>
                <w:sz w:val="18"/>
                <w:szCs w:val="18"/>
                <w:lang w:val="en-US"/>
              </w:rPr>
              <w:t>G.</w:t>
            </w:r>
            <w:r w:rsidR="005F1EAD" w:rsidRPr="007B2402">
              <w:rPr>
                <w:rStyle w:val="Hipervnculo"/>
                <w:b w:val="0"/>
                <w:i w:val="0"/>
                <w:sz w:val="18"/>
                <w:szCs w:val="18"/>
                <w:lang w:val="en-US"/>
              </w:rPr>
              <w:t xml:space="preserve"> </w:t>
            </w:r>
            <w:r w:rsidR="0021794B" w:rsidRPr="007B2402">
              <w:rPr>
                <w:rStyle w:val="Hipervnculo"/>
                <w:b w:val="0"/>
                <w:i w:val="0"/>
                <w:sz w:val="18"/>
                <w:szCs w:val="18"/>
                <w:lang w:val="en-US"/>
              </w:rPr>
              <w:t xml:space="preserve">The Amnesty Law </w:t>
            </w:r>
            <w:r w:rsidR="00BD1693" w:rsidRPr="007B2402">
              <w:rPr>
                <w:b w:val="0"/>
                <w:i w:val="0"/>
                <w:webHidden/>
                <w:sz w:val="18"/>
                <w:szCs w:val="18"/>
                <w:lang w:val="en-US"/>
              </w:rPr>
              <w:tab/>
            </w:r>
            <w:r w:rsidR="00BD1693" w:rsidRPr="007B2402">
              <w:rPr>
                <w:b w:val="0"/>
                <w:i w:val="0"/>
                <w:webHidden/>
                <w:sz w:val="18"/>
                <w:szCs w:val="18"/>
                <w:lang w:val="en-US"/>
              </w:rPr>
              <w:fldChar w:fldCharType="begin"/>
            </w:r>
            <w:r w:rsidR="00BD1693" w:rsidRPr="007B2402">
              <w:rPr>
                <w:b w:val="0"/>
                <w:i w:val="0"/>
                <w:webHidden/>
                <w:sz w:val="18"/>
                <w:szCs w:val="18"/>
                <w:lang w:val="en-US"/>
              </w:rPr>
              <w:instrText xml:space="preserve"> PAGEREF _Toc506984109 \h </w:instrText>
            </w:r>
            <w:r w:rsidR="00BD1693" w:rsidRPr="007B2402">
              <w:rPr>
                <w:b w:val="0"/>
                <w:i w:val="0"/>
                <w:webHidden/>
                <w:sz w:val="18"/>
                <w:szCs w:val="18"/>
                <w:lang w:val="en-US"/>
              </w:rPr>
            </w:r>
            <w:r w:rsidR="00BD1693" w:rsidRPr="007B2402">
              <w:rPr>
                <w:b w:val="0"/>
                <w:i w:val="0"/>
                <w:webHidden/>
                <w:sz w:val="18"/>
                <w:szCs w:val="18"/>
                <w:lang w:val="en-US"/>
              </w:rPr>
              <w:fldChar w:fldCharType="separate"/>
            </w:r>
            <w:r w:rsidR="005A36E1" w:rsidRPr="007B2402">
              <w:rPr>
                <w:b w:val="0"/>
                <w:i w:val="0"/>
                <w:webHidden/>
                <w:sz w:val="18"/>
                <w:szCs w:val="18"/>
                <w:lang w:val="en-US"/>
              </w:rPr>
              <w:t>29</w:t>
            </w:r>
            <w:r w:rsidR="00BD1693" w:rsidRPr="007B2402">
              <w:rPr>
                <w:b w:val="0"/>
                <w:i w:val="0"/>
                <w:webHidden/>
                <w:sz w:val="18"/>
                <w:szCs w:val="18"/>
                <w:lang w:val="en-US"/>
              </w:rPr>
              <w:fldChar w:fldCharType="end"/>
            </w:r>
          </w:hyperlink>
        </w:p>
        <w:p w14:paraId="47BF02C1" w14:textId="4B16ACE7" w:rsidR="00BD1693" w:rsidRPr="007B2402" w:rsidRDefault="0080268F" w:rsidP="00C66F63">
          <w:pPr>
            <w:pStyle w:val="TDC2"/>
            <w:spacing w:after="13" w:line="240" w:lineRule="auto"/>
            <w:contextualSpacing/>
            <w:rPr>
              <w:rFonts w:eastAsiaTheme="minorEastAsia" w:cstheme="minorBidi"/>
              <w:b w:val="0"/>
              <w:i w:val="0"/>
              <w:sz w:val="18"/>
              <w:szCs w:val="18"/>
              <w:lang w:val="en-US" w:eastAsia="es-ES"/>
            </w:rPr>
          </w:pPr>
          <w:hyperlink w:anchor="_Toc506984110" w:history="1">
            <w:r w:rsidR="00BD1693" w:rsidRPr="007B2402">
              <w:rPr>
                <w:rStyle w:val="Hipervnculo"/>
                <w:b w:val="0"/>
                <w:i w:val="0"/>
                <w:sz w:val="18"/>
                <w:szCs w:val="18"/>
                <w:lang w:val="en-US" w:eastAsia="zh-CN"/>
              </w:rPr>
              <w:t>H.</w:t>
            </w:r>
            <w:r w:rsidR="005F1EAD" w:rsidRPr="007B2402">
              <w:rPr>
                <w:rStyle w:val="Hipervnculo"/>
                <w:b w:val="0"/>
                <w:i w:val="0"/>
                <w:sz w:val="18"/>
                <w:szCs w:val="18"/>
                <w:lang w:val="en-US" w:eastAsia="zh-CN"/>
              </w:rPr>
              <w:t xml:space="preserve"> </w:t>
            </w:r>
            <w:r w:rsidR="005A2FF3" w:rsidRPr="007B2402">
              <w:rPr>
                <w:rStyle w:val="Hipervnculo"/>
                <w:b w:val="0"/>
                <w:i w:val="0"/>
                <w:sz w:val="18"/>
                <w:szCs w:val="18"/>
                <w:lang w:val="en-US" w:eastAsia="zh-CN"/>
              </w:rPr>
              <w:t>Police investigation</w:t>
            </w:r>
            <w:r w:rsidR="00BD1693" w:rsidRPr="007B2402">
              <w:rPr>
                <w:rStyle w:val="Hipervnculo"/>
                <w:b w:val="0"/>
                <w:i w:val="0"/>
                <w:sz w:val="18"/>
                <w:szCs w:val="18"/>
                <w:lang w:val="en-US" w:eastAsia="zh-CN"/>
              </w:rPr>
              <w:t xml:space="preserve"> No. 487/92 (S</w:t>
            </w:r>
            <w:r w:rsidR="00BD1693" w:rsidRPr="007B2402">
              <w:rPr>
                <w:rStyle w:val="Hipervnculo"/>
                <w:b w:val="0"/>
                <w:i w:val="0"/>
                <w:sz w:val="18"/>
                <w:szCs w:val="18"/>
                <w:lang w:val="en-US"/>
              </w:rPr>
              <w:t>ã</w:t>
            </w:r>
            <w:r w:rsidR="00BD1693" w:rsidRPr="007B2402">
              <w:rPr>
                <w:rStyle w:val="Hipervnculo"/>
                <w:b w:val="0"/>
                <w:i w:val="0"/>
                <w:sz w:val="18"/>
                <w:szCs w:val="18"/>
                <w:lang w:val="en-US" w:eastAsia="zh-CN"/>
              </w:rPr>
              <w:t>o Paulo</w:t>
            </w:r>
            <w:r w:rsidR="00BC1725" w:rsidRPr="007B2402">
              <w:rPr>
                <w:rStyle w:val="Hipervnculo"/>
                <w:b w:val="0"/>
                <w:i w:val="0"/>
                <w:sz w:val="18"/>
                <w:szCs w:val="18"/>
                <w:lang w:val="en-US" w:eastAsia="zh-CN"/>
              </w:rPr>
              <w:t xml:space="preserve"> State Jurisdiction</w:t>
            </w:r>
            <w:r w:rsidR="00BD1693" w:rsidRPr="007B2402">
              <w:rPr>
                <w:rStyle w:val="Hipervnculo"/>
                <w:b w:val="0"/>
                <w:i w:val="0"/>
                <w:sz w:val="18"/>
                <w:szCs w:val="18"/>
                <w:lang w:val="en-US" w:eastAsia="zh-CN"/>
              </w:rPr>
              <w:t>)</w:t>
            </w:r>
            <w:r w:rsidR="00BD1693" w:rsidRPr="007B2402">
              <w:rPr>
                <w:b w:val="0"/>
                <w:i w:val="0"/>
                <w:webHidden/>
                <w:sz w:val="18"/>
                <w:szCs w:val="18"/>
                <w:lang w:val="en-US"/>
              </w:rPr>
              <w:tab/>
            </w:r>
            <w:r w:rsidR="00BD1693" w:rsidRPr="007B2402">
              <w:rPr>
                <w:b w:val="0"/>
                <w:i w:val="0"/>
                <w:webHidden/>
                <w:sz w:val="18"/>
                <w:szCs w:val="18"/>
                <w:lang w:val="en-US"/>
              </w:rPr>
              <w:fldChar w:fldCharType="begin"/>
            </w:r>
            <w:r w:rsidR="00BD1693" w:rsidRPr="007B2402">
              <w:rPr>
                <w:b w:val="0"/>
                <w:i w:val="0"/>
                <w:webHidden/>
                <w:sz w:val="18"/>
                <w:szCs w:val="18"/>
                <w:lang w:val="en-US"/>
              </w:rPr>
              <w:instrText xml:space="preserve"> PAGEREF _Toc506984110 \h </w:instrText>
            </w:r>
            <w:r w:rsidR="00BD1693" w:rsidRPr="007B2402">
              <w:rPr>
                <w:b w:val="0"/>
                <w:i w:val="0"/>
                <w:webHidden/>
                <w:sz w:val="18"/>
                <w:szCs w:val="18"/>
                <w:lang w:val="en-US"/>
              </w:rPr>
            </w:r>
            <w:r w:rsidR="00BD1693" w:rsidRPr="007B2402">
              <w:rPr>
                <w:b w:val="0"/>
                <w:i w:val="0"/>
                <w:webHidden/>
                <w:sz w:val="18"/>
                <w:szCs w:val="18"/>
                <w:lang w:val="en-US"/>
              </w:rPr>
              <w:fldChar w:fldCharType="separate"/>
            </w:r>
            <w:r w:rsidR="005A36E1" w:rsidRPr="007B2402">
              <w:rPr>
                <w:b w:val="0"/>
                <w:i w:val="0"/>
                <w:webHidden/>
                <w:sz w:val="18"/>
                <w:szCs w:val="18"/>
                <w:lang w:val="en-US"/>
              </w:rPr>
              <w:t>30</w:t>
            </w:r>
            <w:r w:rsidR="00BD1693" w:rsidRPr="007B2402">
              <w:rPr>
                <w:b w:val="0"/>
                <w:i w:val="0"/>
                <w:webHidden/>
                <w:sz w:val="18"/>
                <w:szCs w:val="18"/>
                <w:lang w:val="en-US"/>
              </w:rPr>
              <w:fldChar w:fldCharType="end"/>
            </w:r>
          </w:hyperlink>
        </w:p>
        <w:p w14:paraId="05D98E0B" w14:textId="761396CB" w:rsidR="00BD1693" w:rsidRPr="007B2402" w:rsidRDefault="0080268F" w:rsidP="00C66F63">
          <w:pPr>
            <w:pStyle w:val="TDC2"/>
            <w:spacing w:after="13" w:line="240" w:lineRule="auto"/>
            <w:contextualSpacing/>
            <w:rPr>
              <w:rFonts w:eastAsiaTheme="minorEastAsia" w:cstheme="minorBidi"/>
              <w:b w:val="0"/>
              <w:i w:val="0"/>
              <w:sz w:val="18"/>
              <w:szCs w:val="18"/>
              <w:lang w:val="en-US" w:eastAsia="es-ES"/>
            </w:rPr>
          </w:pPr>
          <w:hyperlink w:anchor="_Toc506984111" w:history="1">
            <w:r w:rsidR="00BD1693" w:rsidRPr="007B2402">
              <w:rPr>
                <w:rStyle w:val="Hipervnculo"/>
                <w:rFonts w:eastAsia="SimSun"/>
                <w:b w:val="0"/>
                <w:i w:val="0"/>
                <w:sz w:val="18"/>
                <w:szCs w:val="18"/>
                <w:lang w:val="en-US" w:eastAsia="zh-CN"/>
              </w:rPr>
              <w:t>I.</w:t>
            </w:r>
            <w:r w:rsidR="005F1EAD" w:rsidRPr="007B2402">
              <w:rPr>
                <w:rStyle w:val="Hipervnculo"/>
                <w:rFonts w:eastAsia="SimSun"/>
                <w:b w:val="0"/>
                <w:i w:val="0"/>
                <w:sz w:val="18"/>
                <w:szCs w:val="18"/>
                <w:lang w:val="en-US" w:eastAsia="zh-CN"/>
              </w:rPr>
              <w:t xml:space="preserve"> </w:t>
            </w:r>
            <w:r w:rsidR="0025614B" w:rsidRPr="007B2402">
              <w:rPr>
                <w:rStyle w:val="Hipervnculo"/>
                <w:b w:val="0"/>
                <w:i w:val="0"/>
                <w:sz w:val="18"/>
                <w:szCs w:val="18"/>
                <w:lang w:val="en-US"/>
              </w:rPr>
              <w:t>Acknowledgement of responsibility under Law</w:t>
            </w:r>
            <w:r w:rsidR="00BD1693" w:rsidRPr="007B2402">
              <w:rPr>
                <w:rStyle w:val="Hipervnculo"/>
                <w:b w:val="0"/>
                <w:i w:val="0"/>
                <w:sz w:val="18"/>
                <w:szCs w:val="18"/>
                <w:lang w:val="en-US"/>
              </w:rPr>
              <w:t xml:space="preserve"> No. </w:t>
            </w:r>
            <w:r w:rsidR="0025614B" w:rsidRPr="007B2402">
              <w:rPr>
                <w:rStyle w:val="Hipervnculo"/>
                <w:b w:val="0"/>
                <w:i w:val="0"/>
                <w:sz w:val="18"/>
                <w:szCs w:val="18"/>
                <w:lang w:val="en-US"/>
              </w:rPr>
              <w:t>9,140</w:t>
            </w:r>
            <w:r w:rsidR="00BD1693" w:rsidRPr="007B2402">
              <w:rPr>
                <w:rStyle w:val="Hipervnculo"/>
                <w:b w:val="0"/>
                <w:i w:val="0"/>
                <w:sz w:val="18"/>
                <w:szCs w:val="18"/>
                <w:lang w:val="en-US"/>
              </w:rPr>
              <w:t>/1995</w:t>
            </w:r>
            <w:r w:rsidR="00BD1693" w:rsidRPr="007B2402">
              <w:rPr>
                <w:b w:val="0"/>
                <w:i w:val="0"/>
                <w:webHidden/>
                <w:sz w:val="18"/>
                <w:szCs w:val="18"/>
                <w:lang w:val="en-US"/>
              </w:rPr>
              <w:tab/>
            </w:r>
            <w:r w:rsidR="00BD1693" w:rsidRPr="007B2402">
              <w:rPr>
                <w:b w:val="0"/>
                <w:i w:val="0"/>
                <w:webHidden/>
                <w:sz w:val="18"/>
                <w:szCs w:val="18"/>
                <w:lang w:val="en-US"/>
              </w:rPr>
              <w:fldChar w:fldCharType="begin"/>
            </w:r>
            <w:r w:rsidR="00BD1693" w:rsidRPr="007B2402">
              <w:rPr>
                <w:b w:val="0"/>
                <w:i w:val="0"/>
                <w:webHidden/>
                <w:sz w:val="18"/>
                <w:szCs w:val="18"/>
                <w:lang w:val="en-US"/>
              </w:rPr>
              <w:instrText xml:space="preserve"> PAGEREF _Toc506984111 \h </w:instrText>
            </w:r>
            <w:r w:rsidR="00BD1693" w:rsidRPr="007B2402">
              <w:rPr>
                <w:b w:val="0"/>
                <w:i w:val="0"/>
                <w:webHidden/>
                <w:sz w:val="18"/>
                <w:szCs w:val="18"/>
                <w:lang w:val="en-US"/>
              </w:rPr>
            </w:r>
            <w:r w:rsidR="00BD1693" w:rsidRPr="007B2402">
              <w:rPr>
                <w:b w:val="0"/>
                <w:i w:val="0"/>
                <w:webHidden/>
                <w:sz w:val="18"/>
                <w:szCs w:val="18"/>
                <w:lang w:val="en-US"/>
              </w:rPr>
              <w:fldChar w:fldCharType="separate"/>
            </w:r>
            <w:r w:rsidR="005A36E1" w:rsidRPr="007B2402">
              <w:rPr>
                <w:b w:val="0"/>
                <w:i w:val="0"/>
                <w:webHidden/>
                <w:sz w:val="18"/>
                <w:szCs w:val="18"/>
                <w:lang w:val="en-US"/>
              </w:rPr>
              <w:t>31</w:t>
            </w:r>
            <w:r w:rsidR="00BD1693" w:rsidRPr="007B2402">
              <w:rPr>
                <w:b w:val="0"/>
                <w:i w:val="0"/>
                <w:webHidden/>
                <w:sz w:val="18"/>
                <w:szCs w:val="18"/>
                <w:lang w:val="en-US"/>
              </w:rPr>
              <w:fldChar w:fldCharType="end"/>
            </w:r>
          </w:hyperlink>
        </w:p>
        <w:p w14:paraId="062AED01" w14:textId="773B543D" w:rsidR="00BD1693" w:rsidRPr="007B2402" w:rsidRDefault="0080268F" w:rsidP="00C66F63">
          <w:pPr>
            <w:pStyle w:val="TDC2"/>
            <w:spacing w:after="13" w:line="240" w:lineRule="auto"/>
            <w:contextualSpacing/>
            <w:rPr>
              <w:rFonts w:eastAsiaTheme="minorEastAsia" w:cstheme="minorBidi"/>
              <w:b w:val="0"/>
              <w:i w:val="0"/>
              <w:sz w:val="18"/>
              <w:szCs w:val="18"/>
              <w:lang w:val="en-US" w:eastAsia="es-ES"/>
            </w:rPr>
          </w:pPr>
          <w:hyperlink w:anchor="_Toc506984112" w:history="1">
            <w:r w:rsidR="00BD1693" w:rsidRPr="007B2402">
              <w:rPr>
                <w:rStyle w:val="Hipervnculo"/>
                <w:rFonts w:eastAsia="SimSun"/>
                <w:b w:val="0"/>
                <w:i w:val="0"/>
                <w:sz w:val="18"/>
                <w:szCs w:val="18"/>
                <w:lang w:val="en-US" w:eastAsia="zh-CN"/>
              </w:rPr>
              <w:t>J.</w:t>
            </w:r>
            <w:r w:rsidR="005F1EAD" w:rsidRPr="007B2402">
              <w:rPr>
                <w:rStyle w:val="Hipervnculo"/>
                <w:rFonts w:eastAsia="SimSun"/>
                <w:b w:val="0"/>
                <w:i w:val="0"/>
                <w:sz w:val="18"/>
                <w:szCs w:val="18"/>
                <w:lang w:val="en-US" w:eastAsia="zh-CN"/>
              </w:rPr>
              <w:t xml:space="preserve"> </w:t>
            </w:r>
            <w:r w:rsidR="00A8458F" w:rsidRPr="007B2402">
              <w:rPr>
                <w:rStyle w:val="Hipervnculo"/>
                <w:b w:val="0"/>
                <w:i w:val="0"/>
                <w:sz w:val="18"/>
                <w:szCs w:val="18"/>
                <w:lang w:val="en-US"/>
              </w:rPr>
              <w:t>Actions of the Federal</w:t>
            </w:r>
            <w:r w:rsidR="006B47D1" w:rsidRPr="007B2402">
              <w:rPr>
                <w:rStyle w:val="Hipervnculo"/>
                <w:b w:val="0"/>
                <w:i w:val="0"/>
                <w:sz w:val="18"/>
                <w:szCs w:val="18"/>
                <w:lang w:val="en-US"/>
              </w:rPr>
              <w:t xml:space="preserve"> Public Prosecution Service</w:t>
            </w:r>
            <w:r w:rsidR="00BD1693" w:rsidRPr="007B2402">
              <w:rPr>
                <w:rStyle w:val="Hipervnculo"/>
                <w:b w:val="0"/>
                <w:i w:val="0"/>
                <w:sz w:val="18"/>
                <w:szCs w:val="18"/>
                <w:lang w:val="en-US"/>
              </w:rPr>
              <w:t xml:space="preserve"> (</w:t>
            </w:r>
            <w:r w:rsidR="00A8458F" w:rsidRPr="007B2402">
              <w:rPr>
                <w:rStyle w:val="Hipervnculo"/>
                <w:b w:val="0"/>
                <w:i w:val="0"/>
                <w:sz w:val="18"/>
                <w:szCs w:val="18"/>
                <w:lang w:val="en-US"/>
              </w:rPr>
              <w:t>Proceeding</w:t>
            </w:r>
            <w:r w:rsidR="00BD1693" w:rsidRPr="007B2402">
              <w:rPr>
                <w:rStyle w:val="Hipervnculo"/>
                <w:b w:val="0"/>
                <w:i w:val="0"/>
                <w:sz w:val="18"/>
                <w:szCs w:val="18"/>
                <w:lang w:val="en-US"/>
              </w:rPr>
              <w:t xml:space="preserve"> No. 2008.61.81.013434-2)</w:t>
            </w:r>
            <w:r w:rsidR="00BD1693" w:rsidRPr="007B2402">
              <w:rPr>
                <w:b w:val="0"/>
                <w:i w:val="0"/>
                <w:webHidden/>
                <w:sz w:val="18"/>
                <w:szCs w:val="18"/>
                <w:lang w:val="en-US"/>
              </w:rPr>
              <w:tab/>
            </w:r>
            <w:r w:rsidR="00BD1693" w:rsidRPr="007B2402">
              <w:rPr>
                <w:b w:val="0"/>
                <w:i w:val="0"/>
                <w:webHidden/>
                <w:sz w:val="18"/>
                <w:szCs w:val="18"/>
                <w:lang w:val="en-US"/>
              </w:rPr>
              <w:fldChar w:fldCharType="begin"/>
            </w:r>
            <w:r w:rsidR="00BD1693" w:rsidRPr="007B2402">
              <w:rPr>
                <w:b w:val="0"/>
                <w:i w:val="0"/>
                <w:webHidden/>
                <w:sz w:val="18"/>
                <w:szCs w:val="18"/>
                <w:lang w:val="en-US"/>
              </w:rPr>
              <w:instrText xml:space="preserve"> PAGEREF _Toc506984112 \h </w:instrText>
            </w:r>
            <w:r w:rsidR="00BD1693" w:rsidRPr="007B2402">
              <w:rPr>
                <w:b w:val="0"/>
                <w:i w:val="0"/>
                <w:webHidden/>
                <w:sz w:val="18"/>
                <w:szCs w:val="18"/>
                <w:lang w:val="en-US"/>
              </w:rPr>
            </w:r>
            <w:r w:rsidR="00BD1693" w:rsidRPr="007B2402">
              <w:rPr>
                <w:b w:val="0"/>
                <w:i w:val="0"/>
                <w:webHidden/>
                <w:sz w:val="18"/>
                <w:szCs w:val="18"/>
                <w:lang w:val="en-US"/>
              </w:rPr>
              <w:fldChar w:fldCharType="separate"/>
            </w:r>
            <w:r w:rsidR="005A36E1" w:rsidRPr="007B2402">
              <w:rPr>
                <w:b w:val="0"/>
                <w:i w:val="0"/>
                <w:webHidden/>
                <w:sz w:val="18"/>
                <w:szCs w:val="18"/>
                <w:lang w:val="en-US"/>
              </w:rPr>
              <w:t>33</w:t>
            </w:r>
            <w:r w:rsidR="00BD1693" w:rsidRPr="007B2402">
              <w:rPr>
                <w:b w:val="0"/>
                <w:i w:val="0"/>
                <w:webHidden/>
                <w:sz w:val="18"/>
                <w:szCs w:val="18"/>
                <w:lang w:val="en-US"/>
              </w:rPr>
              <w:fldChar w:fldCharType="end"/>
            </w:r>
          </w:hyperlink>
        </w:p>
        <w:p w14:paraId="37D2EAE6" w14:textId="3302C5FA" w:rsidR="00BD1693" w:rsidRPr="007B2402" w:rsidRDefault="0080268F" w:rsidP="00C66F63">
          <w:pPr>
            <w:pStyle w:val="TDC2"/>
            <w:spacing w:after="13" w:line="240" w:lineRule="auto"/>
            <w:contextualSpacing/>
            <w:rPr>
              <w:rFonts w:eastAsiaTheme="minorEastAsia" w:cstheme="minorBidi"/>
              <w:b w:val="0"/>
              <w:i w:val="0"/>
              <w:sz w:val="18"/>
              <w:szCs w:val="18"/>
              <w:lang w:val="en-US" w:eastAsia="es-ES"/>
            </w:rPr>
          </w:pPr>
          <w:hyperlink w:anchor="_Toc506984113" w:history="1">
            <w:r w:rsidR="00BD1693" w:rsidRPr="007B2402">
              <w:rPr>
                <w:rStyle w:val="Hipervnculo"/>
                <w:rFonts w:eastAsia="SimSun"/>
                <w:b w:val="0"/>
                <w:i w:val="0"/>
                <w:sz w:val="18"/>
                <w:szCs w:val="18"/>
                <w:lang w:val="en-US" w:eastAsia="zh-CN"/>
              </w:rPr>
              <w:t>K.</w:t>
            </w:r>
            <w:r w:rsidR="005F1EAD" w:rsidRPr="007B2402">
              <w:rPr>
                <w:rStyle w:val="Hipervnculo"/>
                <w:rFonts w:eastAsia="SimSun"/>
                <w:b w:val="0"/>
                <w:i w:val="0"/>
                <w:sz w:val="18"/>
                <w:szCs w:val="18"/>
                <w:lang w:val="en-US" w:eastAsia="zh-CN"/>
              </w:rPr>
              <w:t xml:space="preserve"> </w:t>
            </w:r>
            <w:r w:rsidR="004514FE" w:rsidRPr="007B2402">
              <w:rPr>
                <w:rStyle w:val="Hipervnculo"/>
                <w:b w:val="0"/>
                <w:i w:val="0"/>
                <w:sz w:val="18"/>
                <w:szCs w:val="18"/>
                <w:lang w:val="en-US"/>
              </w:rPr>
              <w:t xml:space="preserve">Civil action filed by the Federal Public Prosecution Service </w:t>
            </w:r>
            <w:r w:rsidR="002023E7" w:rsidRPr="007B2402">
              <w:rPr>
                <w:rStyle w:val="Hipervnculo"/>
                <w:b w:val="0"/>
                <w:i w:val="0"/>
                <w:sz w:val="18"/>
                <w:szCs w:val="18"/>
                <w:lang w:val="en-US"/>
              </w:rPr>
              <w:t>i</w:t>
            </w:r>
            <w:r w:rsidR="004514FE" w:rsidRPr="007B2402">
              <w:rPr>
                <w:rStyle w:val="Hipervnculo"/>
                <w:b w:val="0"/>
                <w:i w:val="0"/>
                <w:sz w:val="18"/>
                <w:szCs w:val="18"/>
                <w:lang w:val="en-US"/>
              </w:rPr>
              <w:t>n</w:t>
            </w:r>
            <w:r w:rsidR="00BD1693" w:rsidRPr="007B2402">
              <w:rPr>
                <w:rStyle w:val="Hipervnculo"/>
                <w:b w:val="0"/>
                <w:i w:val="0"/>
                <w:sz w:val="18"/>
                <w:szCs w:val="18"/>
                <w:lang w:val="en-US"/>
              </w:rPr>
              <w:t xml:space="preserve"> 2008</w:t>
            </w:r>
            <w:r w:rsidR="00BD1693" w:rsidRPr="007B2402">
              <w:rPr>
                <w:b w:val="0"/>
                <w:i w:val="0"/>
                <w:webHidden/>
                <w:sz w:val="18"/>
                <w:szCs w:val="18"/>
                <w:lang w:val="en-US"/>
              </w:rPr>
              <w:tab/>
            </w:r>
            <w:r w:rsidR="00BD1693" w:rsidRPr="007B2402">
              <w:rPr>
                <w:b w:val="0"/>
                <w:i w:val="0"/>
                <w:webHidden/>
                <w:sz w:val="18"/>
                <w:szCs w:val="18"/>
                <w:lang w:val="en-US"/>
              </w:rPr>
              <w:fldChar w:fldCharType="begin"/>
            </w:r>
            <w:r w:rsidR="00BD1693" w:rsidRPr="007B2402">
              <w:rPr>
                <w:b w:val="0"/>
                <w:i w:val="0"/>
                <w:webHidden/>
                <w:sz w:val="18"/>
                <w:szCs w:val="18"/>
                <w:lang w:val="en-US"/>
              </w:rPr>
              <w:instrText xml:space="preserve"> PAGEREF _Toc506984113 \h </w:instrText>
            </w:r>
            <w:r w:rsidR="00BD1693" w:rsidRPr="007B2402">
              <w:rPr>
                <w:b w:val="0"/>
                <w:i w:val="0"/>
                <w:webHidden/>
                <w:sz w:val="18"/>
                <w:szCs w:val="18"/>
                <w:lang w:val="en-US"/>
              </w:rPr>
            </w:r>
            <w:r w:rsidR="00BD1693" w:rsidRPr="007B2402">
              <w:rPr>
                <w:b w:val="0"/>
                <w:i w:val="0"/>
                <w:webHidden/>
                <w:sz w:val="18"/>
                <w:szCs w:val="18"/>
                <w:lang w:val="en-US"/>
              </w:rPr>
              <w:fldChar w:fldCharType="separate"/>
            </w:r>
            <w:r w:rsidR="005A36E1" w:rsidRPr="007B2402">
              <w:rPr>
                <w:b w:val="0"/>
                <w:i w:val="0"/>
                <w:webHidden/>
                <w:sz w:val="18"/>
                <w:szCs w:val="18"/>
                <w:lang w:val="en-US"/>
              </w:rPr>
              <w:t>35</w:t>
            </w:r>
            <w:r w:rsidR="00BD1693" w:rsidRPr="007B2402">
              <w:rPr>
                <w:b w:val="0"/>
                <w:i w:val="0"/>
                <w:webHidden/>
                <w:sz w:val="18"/>
                <w:szCs w:val="18"/>
                <w:lang w:val="en-US"/>
              </w:rPr>
              <w:fldChar w:fldCharType="end"/>
            </w:r>
          </w:hyperlink>
        </w:p>
        <w:p w14:paraId="318A417D" w14:textId="4F1D644D" w:rsidR="00BD1693" w:rsidRPr="007B2402" w:rsidRDefault="0080268F" w:rsidP="00C66F63">
          <w:pPr>
            <w:pStyle w:val="TDC2"/>
            <w:spacing w:after="13" w:line="240" w:lineRule="auto"/>
            <w:contextualSpacing/>
            <w:rPr>
              <w:rFonts w:eastAsiaTheme="minorEastAsia" w:cstheme="minorBidi"/>
              <w:b w:val="0"/>
              <w:i w:val="0"/>
              <w:sz w:val="18"/>
              <w:szCs w:val="18"/>
              <w:lang w:val="en-US" w:eastAsia="es-ES"/>
            </w:rPr>
          </w:pPr>
          <w:hyperlink w:anchor="_Toc506984114" w:history="1">
            <w:r w:rsidR="00BD1693" w:rsidRPr="007B2402">
              <w:rPr>
                <w:rStyle w:val="Hipervnculo"/>
                <w:rFonts w:eastAsia="SimSun"/>
                <w:b w:val="0"/>
                <w:i w:val="0"/>
                <w:sz w:val="18"/>
                <w:szCs w:val="18"/>
                <w:lang w:val="en-US" w:eastAsia="zh-CN"/>
              </w:rPr>
              <w:t>L.</w:t>
            </w:r>
            <w:r w:rsidR="005F1EAD" w:rsidRPr="007B2402">
              <w:rPr>
                <w:rStyle w:val="Hipervnculo"/>
                <w:rFonts w:eastAsia="SimSun"/>
                <w:b w:val="0"/>
                <w:i w:val="0"/>
                <w:sz w:val="18"/>
                <w:szCs w:val="18"/>
                <w:lang w:val="en-US" w:eastAsia="zh-CN"/>
              </w:rPr>
              <w:t xml:space="preserve"> </w:t>
            </w:r>
            <w:r w:rsidR="002F41B9" w:rsidRPr="007B2402">
              <w:rPr>
                <w:rStyle w:val="Hipervnculo"/>
                <w:b w:val="0"/>
                <w:i w:val="0"/>
                <w:sz w:val="18"/>
                <w:szCs w:val="18"/>
                <w:lang w:val="en-US"/>
              </w:rPr>
              <w:t>Actions of the</w:t>
            </w:r>
            <w:r w:rsidR="005B1590" w:rsidRPr="007B2402">
              <w:rPr>
                <w:rStyle w:val="Hipervnculo"/>
                <w:b w:val="0"/>
                <w:i w:val="0"/>
                <w:sz w:val="18"/>
                <w:szCs w:val="18"/>
                <w:lang w:val="en-US"/>
              </w:rPr>
              <w:t xml:space="preserve"> </w:t>
            </w:r>
            <w:r w:rsidR="007E15B0" w:rsidRPr="007B2402">
              <w:rPr>
                <w:rStyle w:val="Hipervnculo"/>
                <w:b w:val="0"/>
                <w:i w:val="0"/>
                <w:sz w:val="18"/>
                <w:szCs w:val="18"/>
                <w:lang w:val="en-US"/>
              </w:rPr>
              <w:t>National Truth Commission</w:t>
            </w:r>
            <w:r w:rsidR="00BD1693" w:rsidRPr="007B2402">
              <w:rPr>
                <w:rStyle w:val="Hipervnculo"/>
                <w:b w:val="0"/>
                <w:i w:val="0"/>
                <w:sz w:val="18"/>
                <w:szCs w:val="18"/>
                <w:lang w:val="en-US"/>
              </w:rPr>
              <w:t xml:space="preserve"> (CNV)</w:t>
            </w:r>
            <w:r w:rsidR="00BD1693" w:rsidRPr="007B2402">
              <w:rPr>
                <w:b w:val="0"/>
                <w:i w:val="0"/>
                <w:webHidden/>
                <w:sz w:val="18"/>
                <w:szCs w:val="18"/>
                <w:lang w:val="en-US"/>
              </w:rPr>
              <w:tab/>
            </w:r>
            <w:r w:rsidR="00BD1693" w:rsidRPr="007B2402">
              <w:rPr>
                <w:b w:val="0"/>
                <w:i w:val="0"/>
                <w:webHidden/>
                <w:sz w:val="18"/>
                <w:szCs w:val="18"/>
                <w:lang w:val="en-US"/>
              </w:rPr>
              <w:fldChar w:fldCharType="begin"/>
            </w:r>
            <w:r w:rsidR="00BD1693" w:rsidRPr="007B2402">
              <w:rPr>
                <w:b w:val="0"/>
                <w:i w:val="0"/>
                <w:webHidden/>
                <w:sz w:val="18"/>
                <w:szCs w:val="18"/>
                <w:lang w:val="en-US"/>
              </w:rPr>
              <w:instrText xml:space="preserve"> PAGEREF _Toc506984114 \h </w:instrText>
            </w:r>
            <w:r w:rsidR="00BD1693" w:rsidRPr="007B2402">
              <w:rPr>
                <w:b w:val="0"/>
                <w:i w:val="0"/>
                <w:webHidden/>
                <w:sz w:val="18"/>
                <w:szCs w:val="18"/>
                <w:lang w:val="en-US"/>
              </w:rPr>
            </w:r>
            <w:r w:rsidR="00BD1693" w:rsidRPr="007B2402">
              <w:rPr>
                <w:b w:val="0"/>
                <w:i w:val="0"/>
                <w:webHidden/>
                <w:sz w:val="18"/>
                <w:szCs w:val="18"/>
                <w:lang w:val="en-US"/>
              </w:rPr>
              <w:fldChar w:fldCharType="separate"/>
            </w:r>
            <w:r w:rsidR="005A36E1" w:rsidRPr="007B2402">
              <w:rPr>
                <w:b w:val="0"/>
                <w:i w:val="0"/>
                <w:webHidden/>
                <w:sz w:val="18"/>
                <w:szCs w:val="18"/>
                <w:lang w:val="en-US"/>
              </w:rPr>
              <w:t>35</w:t>
            </w:r>
            <w:r w:rsidR="00BD1693" w:rsidRPr="007B2402">
              <w:rPr>
                <w:b w:val="0"/>
                <w:i w:val="0"/>
                <w:webHidden/>
                <w:sz w:val="18"/>
                <w:szCs w:val="18"/>
                <w:lang w:val="en-US"/>
              </w:rPr>
              <w:fldChar w:fldCharType="end"/>
            </w:r>
          </w:hyperlink>
        </w:p>
        <w:p w14:paraId="1FFF1A46" w14:textId="2A9DAD0A" w:rsidR="00BD1693" w:rsidRPr="007B2402" w:rsidRDefault="0080268F" w:rsidP="00C66F63">
          <w:pPr>
            <w:pStyle w:val="TDC1"/>
            <w:spacing w:after="13"/>
            <w:contextualSpacing/>
            <w:rPr>
              <w:rFonts w:eastAsiaTheme="minorEastAsia" w:cstheme="minorBidi"/>
              <w:sz w:val="18"/>
              <w:szCs w:val="18"/>
              <w:lang w:val="en-US"/>
            </w:rPr>
          </w:pPr>
          <w:hyperlink w:anchor="_Toc506984115" w:history="1">
            <w:r w:rsidR="00BD1693" w:rsidRPr="007B2402">
              <w:rPr>
                <w:rStyle w:val="Hipervnculo"/>
                <w:sz w:val="18"/>
                <w:szCs w:val="18"/>
                <w:lang w:val="en-US"/>
              </w:rPr>
              <w:t xml:space="preserve">VII. </w:t>
            </w:r>
            <w:r w:rsidR="00B34A75" w:rsidRPr="007B2402">
              <w:rPr>
                <w:rStyle w:val="Hipervnculo"/>
                <w:sz w:val="18"/>
                <w:szCs w:val="18"/>
                <w:lang w:val="en-US"/>
              </w:rPr>
              <w:t>MERITS</w:t>
            </w:r>
            <w:r w:rsidR="00BD1693" w:rsidRPr="007B2402">
              <w:rPr>
                <w:webHidden/>
                <w:sz w:val="18"/>
                <w:szCs w:val="18"/>
                <w:lang w:val="en-US"/>
              </w:rPr>
              <w:tab/>
            </w:r>
            <w:r w:rsidR="00BD1693" w:rsidRPr="007B2402">
              <w:rPr>
                <w:webHidden/>
                <w:sz w:val="18"/>
                <w:szCs w:val="18"/>
                <w:lang w:val="en-US"/>
              </w:rPr>
              <w:fldChar w:fldCharType="begin"/>
            </w:r>
            <w:r w:rsidR="00BD1693" w:rsidRPr="007B2402">
              <w:rPr>
                <w:webHidden/>
                <w:sz w:val="18"/>
                <w:szCs w:val="18"/>
                <w:lang w:val="en-US"/>
              </w:rPr>
              <w:instrText xml:space="preserve"> PAGEREF _Toc506984115 \h </w:instrText>
            </w:r>
            <w:r w:rsidR="00BD1693" w:rsidRPr="007B2402">
              <w:rPr>
                <w:webHidden/>
                <w:sz w:val="18"/>
                <w:szCs w:val="18"/>
                <w:lang w:val="en-US"/>
              </w:rPr>
            </w:r>
            <w:r w:rsidR="00BD1693" w:rsidRPr="007B2402">
              <w:rPr>
                <w:webHidden/>
                <w:sz w:val="18"/>
                <w:szCs w:val="18"/>
                <w:lang w:val="en-US"/>
              </w:rPr>
              <w:fldChar w:fldCharType="separate"/>
            </w:r>
            <w:r w:rsidR="005A36E1" w:rsidRPr="007B2402">
              <w:rPr>
                <w:webHidden/>
                <w:sz w:val="18"/>
                <w:szCs w:val="18"/>
                <w:lang w:val="en-US"/>
              </w:rPr>
              <w:t>36</w:t>
            </w:r>
            <w:r w:rsidR="00BD1693" w:rsidRPr="007B2402">
              <w:rPr>
                <w:webHidden/>
                <w:sz w:val="18"/>
                <w:szCs w:val="18"/>
                <w:lang w:val="en-US"/>
              </w:rPr>
              <w:fldChar w:fldCharType="end"/>
            </w:r>
          </w:hyperlink>
        </w:p>
        <w:p w14:paraId="189FBC4F" w14:textId="61D405A8" w:rsidR="00BD1693" w:rsidRPr="007B2402" w:rsidRDefault="0080268F" w:rsidP="00C66F63">
          <w:pPr>
            <w:pStyle w:val="TDC1"/>
            <w:spacing w:after="13"/>
            <w:contextualSpacing/>
            <w:rPr>
              <w:rFonts w:eastAsiaTheme="minorEastAsia" w:cstheme="minorBidi"/>
              <w:sz w:val="18"/>
              <w:szCs w:val="18"/>
              <w:lang w:val="en-US"/>
            </w:rPr>
          </w:pPr>
          <w:hyperlink w:anchor="_Toc506984116" w:history="1">
            <w:r w:rsidR="00BD1693" w:rsidRPr="007B2402">
              <w:rPr>
                <w:rStyle w:val="Hipervnculo"/>
                <w:sz w:val="18"/>
                <w:szCs w:val="18"/>
                <w:lang w:val="en-US"/>
              </w:rPr>
              <w:t>VII-1</w:t>
            </w:r>
            <w:r w:rsidR="005F1EAD" w:rsidRPr="007B2402">
              <w:rPr>
                <w:rStyle w:val="Hipervnculo"/>
                <w:sz w:val="18"/>
                <w:szCs w:val="18"/>
                <w:lang w:val="en-US"/>
              </w:rPr>
              <w:t xml:space="preserve"> </w:t>
            </w:r>
            <w:r w:rsidR="00BF1A22" w:rsidRPr="007B2402">
              <w:rPr>
                <w:rStyle w:val="Hipervnculo"/>
                <w:sz w:val="18"/>
                <w:szCs w:val="18"/>
                <w:lang w:val="en-US"/>
              </w:rPr>
              <w:t>RIGHTS TO JUDICIAL GUARANTEES AND JUDICIAL PROTECTION</w:t>
            </w:r>
            <w:r w:rsidR="00BD1693" w:rsidRPr="007B2402">
              <w:rPr>
                <w:webHidden/>
                <w:sz w:val="18"/>
                <w:szCs w:val="18"/>
                <w:lang w:val="en-US"/>
              </w:rPr>
              <w:tab/>
            </w:r>
            <w:r w:rsidR="00BD1693" w:rsidRPr="007B2402">
              <w:rPr>
                <w:webHidden/>
                <w:sz w:val="18"/>
                <w:szCs w:val="18"/>
                <w:lang w:val="en-US"/>
              </w:rPr>
              <w:fldChar w:fldCharType="begin"/>
            </w:r>
            <w:r w:rsidR="00BD1693" w:rsidRPr="007B2402">
              <w:rPr>
                <w:webHidden/>
                <w:sz w:val="18"/>
                <w:szCs w:val="18"/>
                <w:lang w:val="en-US"/>
              </w:rPr>
              <w:instrText xml:space="preserve"> PAGEREF _Toc506984116 \h </w:instrText>
            </w:r>
            <w:r w:rsidR="00BD1693" w:rsidRPr="007B2402">
              <w:rPr>
                <w:webHidden/>
                <w:sz w:val="18"/>
                <w:szCs w:val="18"/>
                <w:lang w:val="en-US"/>
              </w:rPr>
            </w:r>
            <w:r w:rsidR="00BD1693" w:rsidRPr="007B2402">
              <w:rPr>
                <w:webHidden/>
                <w:sz w:val="18"/>
                <w:szCs w:val="18"/>
                <w:lang w:val="en-US"/>
              </w:rPr>
              <w:fldChar w:fldCharType="separate"/>
            </w:r>
            <w:r w:rsidR="005A36E1" w:rsidRPr="007B2402">
              <w:rPr>
                <w:webHidden/>
                <w:sz w:val="18"/>
                <w:szCs w:val="18"/>
                <w:lang w:val="en-US"/>
              </w:rPr>
              <w:t>3</w:t>
            </w:r>
            <w:r w:rsidR="00920DEA" w:rsidRPr="007B2402">
              <w:rPr>
                <w:webHidden/>
                <w:sz w:val="18"/>
                <w:szCs w:val="18"/>
                <w:lang w:val="en-US"/>
              </w:rPr>
              <w:t>7</w:t>
            </w:r>
            <w:r w:rsidR="00BD1693" w:rsidRPr="007B2402">
              <w:rPr>
                <w:webHidden/>
                <w:sz w:val="18"/>
                <w:szCs w:val="18"/>
                <w:lang w:val="en-US"/>
              </w:rPr>
              <w:fldChar w:fldCharType="end"/>
            </w:r>
          </w:hyperlink>
        </w:p>
        <w:p w14:paraId="20C6F5F8" w14:textId="3A165C7A" w:rsidR="00BD1693" w:rsidRPr="007B2402" w:rsidRDefault="0080268F" w:rsidP="00C66F63">
          <w:pPr>
            <w:pStyle w:val="TDC2"/>
            <w:spacing w:after="13" w:line="240" w:lineRule="auto"/>
            <w:contextualSpacing/>
            <w:rPr>
              <w:rFonts w:eastAsiaTheme="minorEastAsia" w:cstheme="minorBidi"/>
              <w:b w:val="0"/>
              <w:i w:val="0"/>
              <w:sz w:val="18"/>
              <w:szCs w:val="18"/>
              <w:lang w:val="en-US" w:eastAsia="es-ES"/>
            </w:rPr>
          </w:pPr>
          <w:hyperlink w:anchor="_Toc506984118" w:history="1">
            <w:r w:rsidR="00BD1693" w:rsidRPr="007B2402">
              <w:rPr>
                <w:rStyle w:val="Hipervnculo"/>
                <w:b w:val="0"/>
                <w:i w:val="0"/>
                <w:sz w:val="18"/>
                <w:szCs w:val="18"/>
                <w:lang w:val="en-US"/>
              </w:rPr>
              <w:t>A.</w:t>
            </w:r>
            <w:r w:rsidR="005F1EAD" w:rsidRPr="007B2402">
              <w:rPr>
                <w:rStyle w:val="Hipervnculo"/>
                <w:b w:val="0"/>
                <w:i w:val="0"/>
                <w:sz w:val="18"/>
                <w:szCs w:val="18"/>
                <w:lang w:val="en-US"/>
              </w:rPr>
              <w:t xml:space="preserve"> </w:t>
            </w:r>
            <w:r w:rsidR="002761AC" w:rsidRPr="007B2402">
              <w:rPr>
                <w:rStyle w:val="Hipervnculo"/>
                <w:b w:val="0"/>
                <w:i w:val="0"/>
                <w:sz w:val="18"/>
                <w:szCs w:val="18"/>
                <w:lang w:val="en-US"/>
              </w:rPr>
              <w:t>Arguments</w:t>
            </w:r>
            <w:r w:rsidR="00BD1693" w:rsidRPr="007B2402">
              <w:rPr>
                <w:rStyle w:val="Hipervnculo"/>
                <w:b w:val="0"/>
                <w:i w:val="0"/>
                <w:sz w:val="18"/>
                <w:szCs w:val="18"/>
                <w:lang w:val="en-US"/>
              </w:rPr>
              <w:t xml:space="preserve"> </w:t>
            </w:r>
            <w:r w:rsidR="00283370" w:rsidRPr="007B2402">
              <w:rPr>
                <w:rStyle w:val="Hipervnculo"/>
                <w:b w:val="0"/>
                <w:i w:val="0"/>
                <w:sz w:val="18"/>
                <w:szCs w:val="18"/>
                <w:lang w:val="en-US"/>
              </w:rPr>
              <w:t>of the parties and of</w:t>
            </w:r>
            <w:r w:rsidR="005B1590" w:rsidRPr="007B2402">
              <w:rPr>
                <w:rStyle w:val="Hipervnculo"/>
                <w:b w:val="0"/>
                <w:i w:val="0"/>
                <w:sz w:val="18"/>
                <w:szCs w:val="18"/>
                <w:lang w:val="en-US"/>
              </w:rPr>
              <w:t xml:space="preserve"> the </w:t>
            </w:r>
            <w:r w:rsidR="00AF4344" w:rsidRPr="007B2402">
              <w:rPr>
                <w:rStyle w:val="Hipervnculo"/>
                <w:b w:val="0"/>
                <w:i w:val="0"/>
                <w:sz w:val="18"/>
                <w:szCs w:val="18"/>
                <w:lang w:val="en-US"/>
              </w:rPr>
              <w:t>Commission</w:t>
            </w:r>
            <w:r w:rsidR="00BD1693" w:rsidRPr="007B2402">
              <w:rPr>
                <w:b w:val="0"/>
                <w:i w:val="0"/>
                <w:webHidden/>
                <w:sz w:val="18"/>
                <w:szCs w:val="18"/>
                <w:lang w:val="en-US"/>
              </w:rPr>
              <w:tab/>
            </w:r>
            <w:r w:rsidR="00BD1693" w:rsidRPr="007B2402">
              <w:rPr>
                <w:b w:val="0"/>
                <w:i w:val="0"/>
                <w:webHidden/>
                <w:sz w:val="18"/>
                <w:szCs w:val="18"/>
                <w:lang w:val="en-US"/>
              </w:rPr>
              <w:fldChar w:fldCharType="begin"/>
            </w:r>
            <w:r w:rsidR="00BD1693" w:rsidRPr="007B2402">
              <w:rPr>
                <w:b w:val="0"/>
                <w:i w:val="0"/>
                <w:webHidden/>
                <w:sz w:val="18"/>
                <w:szCs w:val="18"/>
                <w:lang w:val="en-US"/>
              </w:rPr>
              <w:instrText xml:space="preserve"> PAGEREF _Toc506984118 \h </w:instrText>
            </w:r>
            <w:r w:rsidR="00BD1693" w:rsidRPr="007B2402">
              <w:rPr>
                <w:b w:val="0"/>
                <w:i w:val="0"/>
                <w:webHidden/>
                <w:sz w:val="18"/>
                <w:szCs w:val="18"/>
                <w:lang w:val="en-US"/>
              </w:rPr>
            </w:r>
            <w:r w:rsidR="00BD1693" w:rsidRPr="007B2402">
              <w:rPr>
                <w:b w:val="0"/>
                <w:i w:val="0"/>
                <w:webHidden/>
                <w:sz w:val="18"/>
                <w:szCs w:val="18"/>
                <w:lang w:val="en-US"/>
              </w:rPr>
              <w:fldChar w:fldCharType="separate"/>
            </w:r>
            <w:r w:rsidR="005A36E1" w:rsidRPr="007B2402">
              <w:rPr>
                <w:b w:val="0"/>
                <w:i w:val="0"/>
                <w:webHidden/>
                <w:sz w:val="18"/>
                <w:szCs w:val="18"/>
                <w:lang w:val="en-US"/>
              </w:rPr>
              <w:t>37</w:t>
            </w:r>
            <w:r w:rsidR="00BD1693" w:rsidRPr="007B2402">
              <w:rPr>
                <w:b w:val="0"/>
                <w:i w:val="0"/>
                <w:webHidden/>
                <w:sz w:val="18"/>
                <w:szCs w:val="18"/>
                <w:lang w:val="en-US"/>
              </w:rPr>
              <w:fldChar w:fldCharType="end"/>
            </w:r>
          </w:hyperlink>
        </w:p>
        <w:p w14:paraId="0BD6DEDF" w14:textId="33BB3577" w:rsidR="00BD1693" w:rsidRPr="007B2402" w:rsidRDefault="0080268F" w:rsidP="00C66F63">
          <w:pPr>
            <w:pStyle w:val="TDC2"/>
            <w:spacing w:after="13" w:line="240" w:lineRule="auto"/>
            <w:contextualSpacing/>
            <w:rPr>
              <w:rFonts w:eastAsiaTheme="minorEastAsia" w:cstheme="minorBidi"/>
              <w:b w:val="0"/>
              <w:i w:val="0"/>
              <w:sz w:val="18"/>
              <w:szCs w:val="18"/>
              <w:lang w:val="en-US" w:eastAsia="es-ES"/>
            </w:rPr>
          </w:pPr>
          <w:hyperlink w:anchor="_Toc506984119" w:history="1">
            <w:r w:rsidR="00BD1693" w:rsidRPr="007B2402">
              <w:rPr>
                <w:rStyle w:val="Hipervnculo"/>
                <w:b w:val="0"/>
                <w:i w:val="0"/>
                <w:sz w:val="18"/>
                <w:szCs w:val="18"/>
                <w:lang w:val="en-US"/>
              </w:rPr>
              <w:t>B.</w:t>
            </w:r>
            <w:r w:rsidR="005F1EAD" w:rsidRPr="007B2402">
              <w:rPr>
                <w:rStyle w:val="Hipervnculo"/>
                <w:b w:val="0"/>
                <w:i w:val="0"/>
                <w:sz w:val="18"/>
                <w:szCs w:val="18"/>
                <w:lang w:val="en-US"/>
              </w:rPr>
              <w:t xml:space="preserve"> </w:t>
            </w:r>
            <w:r w:rsidR="007A07B8" w:rsidRPr="007B2402">
              <w:rPr>
                <w:rStyle w:val="Hipervnculo"/>
                <w:b w:val="0"/>
                <w:i w:val="0"/>
                <w:sz w:val="18"/>
                <w:szCs w:val="18"/>
                <w:lang w:val="en-US"/>
              </w:rPr>
              <w:t>Considerations</w:t>
            </w:r>
            <w:r w:rsidR="00AF4344" w:rsidRPr="007B2402">
              <w:rPr>
                <w:rStyle w:val="Hipervnculo"/>
                <w:b w:val="0"/>
                <w:i w:val="0"/>
                <w:sz w:val="18"/>
                <w:szCs w:val="18"/>
                <w:lang w:val="en-US"/>
              </w:rPr>
              <w:t xml:space="preserve"> of the Court</w:t>
            </w:r>
            <w:r w:rsidR="00BD1693" w:rsidRPr="007B2402">
              <w:rPr>
                <w:b w:val="0"/>
                <w:i w:val="0"/>
                <w:webHidden/>
                <w:sz w:val="18"/>
                <w:szCs w:val="18"/>
                <w:lang w:val="en-US"/>
              </w:rPr>
              <w:tab/>
            </w:r>
            <w:r w:rsidR="00BD1693" w:rsidRPr="007B2402">
              <w:rPr>
                <w:b w:val="0"/>
                <w:i w:val="0"/>
                <w:webHidden/>
                <w:sz w:val="18"/>
                <w:szCs w:val="18"/>
                <w:lang w:val="en-US"/>
              </w:rPr>
              <w:fldChar w:fldCharType="begin"/>
            </w:r>
            <w:r w:rsidR="00BD1693" w:rsidRPr="007B2402">
              <w:rPr>
                <w:b w:val="0"/>
                <w:i w:val="0"/>
                <w:webHidden/>
                <w:sz w:val="18"/>
                <w:szCs w:val="18"/>
                <w:lang w:val="en-US"/>
              </w:rPr>
              <w:instrText xml:space="preserve"> PAGEREF _Toc506984119 \h </w:instrText>
            </w:r>
            <w:r w:rsidR="00BD1693" w:rsidRPr="007B2402">
              <w:rPr>
                <w:b w:val="0"/>
                <w:i w:val="0"/>
                <w:webHidden/>
                <w:sz w:val="18"/>
                <w:szCs w:val="18"/>
                <w:lang w:val="en-US"/>
              </w:rPr>
            </w:r>
            <w:r w:rsidR="00BD1693" w:rsidRPr="007B2402">
              <w:rPr>
                <w:b w:val="0"/>
                <w:i w:val="0"/>
                <w:webHidden/>
                <w:sz w:val="18"/>
                <w:szCs w:val="18"/>
                <w:lang w:val="en-US"/>
              </w:rPr>
              <w:fldChar w:fldCharType="separate"/>
            </w:r>
            <w:r w:rsidR="005A36E1" w:rsidRPr="007B2402">
              <w:rPr>
                <w:b w:val="0"/>
                <w:i w:val="0"/>
                <w:webHidden/>
                <w:sz w:val="18"/>
                <w:szCs w:val="18"/>
                <w:lang w:val="en-US"/>
              </w:rPr>
              <w:t>43</w:t>
            </w:r>
            <w:r w:rsidR="00BD1693" w:rsidRPr="007B2402">
              <w:rPr>
                <w:b w:val="0"/>
                <w:i w:val="0"/>
                <w:webHidden/>
                <w:sz w:val="18"/>
                <w:szCs w:val="18"/>
                <w:lang w:val="en-US"/>
              </w:rPr>
              <w:fldChar w:fldCharType="end"/>
            </w:r>
          </w:hyperlink>
        </w:p>
        <w:p w14:paraId="4D30D831" w14:textId="32BD0D23" w:rsidR="00BD1693" w:rsidRPr="007B2402" w:rsidRDefault="0080268F" w:rsidP="00C66F63">
          <w:pPr>
            <w:pStyle w:val="TDC3"/>
            <w:tabs>
              <w:tab w:val="right" w:leader="dot" w:pos="9508"/>
            </w:tabs>
            <w:spacing w:after="13" w:line="240" w:lineRule="auto"/>
            <w:contextualSpacing/>
            <w:rPr>
              <w:rFonts w:eastAsiaTheme="minorEastAsia"/>
              <w:noProof/>
              <w:sz w:val="18"/>
              <w:szCs w:val="18"/>
              <w:lang w:val="en-US" w:eastAsia="es-ES"/>
            </w:rPr>
          </w:pPr>
          <w:hyperlink w:anchor="_Toc506984120" w:history="1">
            <w:r w:rsidR="00BD1693" w:rsidRPr="007B2402">
              <w:rPr>
                <w:rStyle w:val="Hipervnculo"/>
                <w:noProof/>
                <w:sz w:val="18"/>
                <w:szCs w:val="18"/>
                <w:lang w:val="en-US"/>
              </w:rPr>
              <w:t xml:space="preserve">B.1. </w:t>
            </w:r>
            <w:r w:rsidR="00844CE7" w:rsidRPr="007B2402">
              <w:rPr>
                <w:rStyle w:val="Hipervnculo"/>
                <w:noProof/>
                <w:sz w:val="18"/>
                <w:szCs w:val="18"/>
                <w:lang w:val="en-US"/>
              </w:rPr>
              <w:t>Crimes against humanity</w:t>
            </w:r>
            <w:r w:rsidR="00BD1693" w:rsidRPr="007B2402">
              <w:rPr>
                <w:noProof/>
                <w:webHidden/>
                <w:sz w:val="18"/>
                <w:szCs w:val="18"/>
                <w:lang w:val="en-US"/>
              </w:rPr>
              <w:tab/>
            </w:r>
            <w:r w:rsidR="00BD1693" w:rsidRPr="007B2402">
              <w:rPr>
                <w:noProof/>
                <w:webHidden/>
                <w:sz w:val="18"/>
                <w:szCs w:val="18"/>
                <w:lang w:val="en-US"/>
              </w:rPr>
              <w:fldChar w:fldCharType="begin"/>
            </w:r>
            <w:r w:rsidR="00BD1693" w:rsidRPr="007B2402">
              <w:rPr>
                <w:noProof/>
                <w:webHidden/>
                <w:sz w:val="18"/>
                <w:szCs w:val="18"/>
                <w:lang w:val="en-US"/>
              </w:rPr>
              <w:instrText xml:space="preserve"> PAGEREF _Toc506984120 \h </w:instrText>
            </w:r>
            <w:r w:rsidR="00BD1693" w:rsidRPr="007B2402">
              <w:rPr>
                <w:noProof/>
                <w:webHidden/>
                <w:sz w:val="18"/>
                <w:szCs w:val="18"/>
                <w:lang w:val="en-US"/>
              </w:rPr>
            </w:r>
            <w:r w:rsidR="00BD1693" w:rsidRPr="007B2402">
              <w:rPr>
                <w:noProof/>
                <w:webHidden/>
                <w:sz w:val="18"/>
                <w:szCs w:val="18"/>
                <w:lang w:val="en-US"/>
              </w:rPr>
              <w:fldChar w:fldCharType="separate"/>
            </w:r>
            <w:r w:rsidR="005A36E1" w:rsidRPr="007B2402">
              <w:rPr>
                <w:noProof/>
                <w:webHidden/>
                <w:sz w:val="18"/>
                <w:szCs w:val="18"/>
                <w:lang w:val="en-US"/>
              </w:rPr>
              <w:t>4</w:t>
            </w:r>
            <w:r w:rsidR="00920DEA" w:rsidRPr="007B2402">
              <w:rPr>
                <w:noProof/>
                <w:webHidden/>
                <w:sz w:val="18"/>
                <w:szCs w:val="18"/>
                <w:lang w:val="en-US"/>
              </w:rPr>
              <w:t>3</w:t>
            </w:r>
            <w:r w:rsidR="00BD1693" w:rsidRPr="007B2402">
              <w:rPr>
                <w:noProof/>
                <w:webHidden/>
                <w:sz w:val="18"/>
                <w:szCs w:val="18"/>
                <w:lang w:val="en-US"/>
              </w:rPr>
              <w:fldChar w:fldCharType="end"/>
            </w:r>
          </w:hyperlink>
        </w:p>
        <w:p w14:paraId="46C8E543" w14:textId="3A44BDAB" w:rsidR="00BD1693" w:rsidRPr="007B2402" w:rsidRDefault="0080268F" w:rsidP="00C66F63">
          <w:pPr>
            <w:pStyle w:val="TDC3"/>
            <w:tabs>
              <w:tab w:val="right" w:leader="dot" w:pos="9508"/>
            </w:tabs>
            <w:spacing w:after="13" w:line="240" w:lineRule="auto"/>
            <w:contextualSpacing/>
            <w:rPr>
              <w:rFonts w:eastAsiaTheme="minorEastAsia"/>
              <w:noProof/>
              <w:sz w:val="18"/>
              <w:szCs w:val="18"/>
              <w:lang w:val="en-US" w:eastAsia="es-ES"/>
            </w:rPr>
          </w:pPr>
          <w:hyperlink w:anchor="_Toc506984122" w:history="1">
            <w:r w:rsidR="00BD1693" w:rsidRPr="007B2402">
              <w:rPr>
                <w:rStyle w:val="Hipervnculo"/>
                <w:noProof/>
                <w:sz w:val="18"/>
                <w:szCs w:val="18"/>
                <w:lang w:val="en-US"/>
              </w:rPr>
              <w:t xml:space="preserve">B.2. </w:t>
            </w:r>
            <w:r w:rsidR="00FD0126" w:rsidRPr="007B2402">
              <w:rPr>
                <w:rStyle w:val="Hipervnculo"/>
                <w:noProof/>
                <w:sz w:val="18"/>
                <w:szCs w:val="18"/>
                <w:lang w:val="en-US"/>
              </w:rPr>
              <w:t>Consequence of the perpetration of a</w:t>
            </w:r>
            <w:r w:rsidR="00BD1693" w:rsidRPr="007B2402">
              <w:rPr>
                <w:rStyle w:val="Hipervnculo"/>
                <w:noProof/>
                <w:sz w:val="18"/>
                <w:szCs w:val="18"/>
                <w:lang w:val="en-US"/>
              </w:rPr>
              <w:t xml:space="preserve"> </w:t>
            </w:r>
            <w:r w:rsidR="00810476" w:rsidRPr="007B2402">
              <w:rPr>
                <w:rStyle w:val="Hipervnculo"/>
                <w:noProof/>
                <w:sz w:val="18"/>
                <w:szCs w:val="18"/>
                <w:lang w:val="en-US"/>
              </w:rPr>
              <w:t>crime against humanity</w:t>
            </w:r>
            <w:r w:rsidR="00BD1693" w:rsidRPr="007B2402">
              <w:rPr>
                <w:noProof/>
                <w:webHidden/>
                <w:sz w:val="18"/>
                <w:szCs w:val="18"/>
                <w:lang w:val="en-US"/>
              </w:rPr>
              <w:tab/>
            </w:r>
            <w:r w:rsidR="00BD1693" w:rsidRPr="007B2402">
              <w:rPr>
                <w:noProof/>
                <w:webHidden/>
                <w:sz w:val="18"/>
                <w:szCs w:val="18"/>
                <w:lang w:val="en-US"/>
              </w:rPr>
              <w:fldChar w:fldCharType="begin"/>
            </w:r>
            <w:r w:rsidR="00BD1693" w:rsidRPr="007B2402">
              <w:rPr>
                <w:noProof/>
                <w:webHidden/>
                <w:sz w:val="18"/>
                <w:szCs w:val="18"/>
                <w:lang w:val="en-US"/>
              </w:rPr>
              <w:instrText xml:space="preserve"> PAGEREF _Toc506984122 \h </w:instrText>
            </w:r>
            <w:r w:rsidR="00BD1693" w:rsidRPr="007B2402">
              <w:rPr>
                <w:noProof/>
                <w:webHidden/>
                <w:sz w:val="18"/>
                <w:szCs w:val="18"/>
                <w:lang w:val="en-US"/>
              </w:rPr>
            </w:r>
            <w:r w:rsidR="00BD1693" w:rsidRPr="007B2402">
              <w:rPr>
                <w:noProof/>
                <w:webHidden/>
                <w:sz w:val="18"/>
                <w:szCs w:val="18"/>
                <w:lang w:val="en-US"/>
              </w:rPr>
              <w:fldChar w:fldCharType="separate"/>
            </w:r>
            <w:r w:rsidR="005A36E1" w:rsidRPr="007B2402">
              <w:rPr>
                <w:noProof/>
                <w:webHidden/>
                <w:sz w:val="18"/>
                <w:szCs w:val="18"/>
                <w:lang w:val="en-US"/>
              </w:rPr>
              <w:t>5</w:t>
            </w:r>
            <w:r w:rsidR="00920DEA" w:rsidRPr="007B2402">
              <w:rPr>
                <w:noProof/>
                <w:webHidden/>
                <w:sz w:val="18"/>
                <w:szCs w:val="18"/>
                <w:lang w:val="en-US"/>
              </w:rPr>
              <w:t>1</w:t>
            </w:r>
            <w:r w:rsidR="00BD1693" w:rsidRPr="007B2402">
              <w:rPr>
                <w:noProof/>
                <w:webHidden/>
                <w:sz w:val="18"/>
                <w:szCs w:val="18"/>
                <w:lang w:val="en-US"/>
              </w:rPr>
              <w:fldChar w:fldCharType="end"/>
            </w:r>
          </w:hyperlink>
        </w:p>
        <w:p w14:paraId="24101F5F" w14:textId="2D5E8EAD" w:rsidR="00BD1693" w:rsidRPr="007B2402" w:rsidRDefault="0080268F" w:rsidP="00C66F63">
          <w:pPr>
            <w:pStyle w:val="TDC3"/>
            <w:tabs>
              <w:tab w:val="right" w:leader="dot" w:pos="9508"/>
            </w:tabs>
            <w:spacing w:after="13" w:line="240" w:lineRule="auto"/>
            <w:contextualSpacing/>
            <w:rPr>
              <w:rFonts w:eastAsiaTheme="minorEastAsia"/>
              <w:noProof/>
              <w:sz w:val="18"/>
              <w:szCs w:val="18"/>
              <w:lang w:val="en-US" w:eastAsia="es-ES"/>
            </w:rPr>
          </w:pPr>
          <w:hyperlink w:anchor="_Toc506984123" w:history="1">
            <w:r w:rsidR="00BD1693" w:rsidRPr="007B2402">
              <w:rPr>
                <w:rStyle w:val="Hipervnculo"/>
                <w:noProof/>
                <w:sz w:val="18"/>
                <w:szCs w:val="18"/>
                <w:lang w:val="en-US"/>
              </w:rPr>
              <w:t xml:space="preserve">B.3. </w:t>
            </w:r>
            <w:r w:rsidR="008B5281" w:rsidRPr="007B2402">
              <w:rPr>
                <w:rStyle w:val="Hipervnculo"/>
                <w:noProof/>
                <w:sz w:val="18"/>
                <w:szCs w:val="18"/>
                <w:lang w:val="en-US"/>
              </w:rPr>
              <w:t>The torture and murder of Vladimir Herzog</w:t>
            </w:r>
            <w:r w:rsidR="00BD1693" w:rsidRPr="007B2402">
              <w:rPr>
                <w:rStyle w:val="Hipervnculo"/>
                <w:noProof/>
                <w:sz w:val="18"/>
                <w:szCs w:val="18"/>
                <w:lang w:val="en-US"/>
              </w:rPr>
              <w:t xml:space="preserve"> (</w:t>
            </w:r>
            <w:r w:rsidR="00BC1725" w:rsidRPr="007B2402">
              <w:rPr>
                <w:rStyle w:val="Hipervnculo"/>
                <w:noProof/>
                <w:sz w:val="18"/>
                <w:szCs w:val="18"/>
                <w:lang w:val="en-US"/>
              </w:rPr>
              <w:t>October 25,</w:t>
            </w:r>
            <w:r w:rsidR="00BD1693" w:rsidRPr="007B2402">
              <w:rPr>
                <w:rStyle w:val="Hipervnculo"/>
                <w:noProof/>
                <w:sz w:val="18"/>
                <w:szCs w:val="18"/>
                <w:lang w:val="en-US"/>
              </w:rPr>
              <w:t xml:space="preserve"> 1975)</w:t>
            </w:r>
            <w:r w:rsidR="00BD1693" w:rsidRPr="007B2402">
              <w:rPr>
                <w:noProof/>
                <w:webHidden/>
                <w:sz w:val="18"/>
                <w:szCs w:val="18"/>
                <w:lang w:val="en-US"/>
              </w:rPr>
              <w:tab/>
            </w:r>
            <w:r w:rsidR="00BD1693" w:rsidRPr="007B2402">
              <w:rPr>
                <w:noProof/>
                <w:webHidden/>
                <w:sz w:val="18"/>
                <w:szCs w:val="18"/>
                <w:lang w:val="en-US"/>
              </w:rPr>
              <w:fldChar w:fldCharType="begin"/>
            </w:r>
            <w:r w:rsidR="00BD1693" w:rsidRPr="007B2402">
              <w:rPr>
                <w:noProof/>
                <w:webHidden/>
                <w:sz w:val="18"/>
                <w:szCs w:val="18"/>
                <w:lang w:val="en-US"/>
              </w:rPr>
              <w:instrText xml:space="preserve"> PAGEREF _Toc506984123 \h </w:instrText>
            </w:r>
            <w:r w:rsidR="00BD1693" w:rsidRPr="007B2402">
              <w:rPr>
                <w:noProof/>
                <w:webHidden/>
                <w:sz w:val="18"/>
                <w:szCs w:val="18"/>
                <w:lang w:val="en-US"/>
              </w:rPr>
            </w:r>
            <w:r w:rsidR="00BD1693" w:rsidRPr="007B2402">
              <w:rPr>
                <w:noProof/>
                <w:webHidden/>
                <w:sz w:val="18"/>
                <w:szCs w:val="18"/>
                <w:lang w:val="en-US"/>
              </w:rPr>
              <w:fldChar w:fldCharType="separate"/>
            </w:r>
            <w:r w:rsidR="005A36E1" w:rsidRPr="007B2402">
              <w:rPr>
                <w:noProof/>
                <w:webHidden/>
                <w:sz w:val="18"/>
                <w:szCs w:val="18"/>
                <w:lang w:val="en-US"/>
              </w:rPr>
              <w:t>5</w:t>
            </w:r>
            <w:r w:rsidR="00920DEA" w:rsidRPr="007B2402">
              <w:rPr>
                <w:noProof/>
                <w:webHidden/>
                <w:sz w:val="18"/>
                <w:szCs w:val="18"/>
                <w:lang w:val="en-US"/>
              </w:rPr>
              <w:t>2</w:t>
            </w:r>
            <w:r w:rsidR="00BD1693" w:rsidRPr="007B2402">
              <w:rPr>
                <w:noProof/>
                <w:webHidden/>
                <w:sz w:val="18"/>
                <w:szCs w:val="18"/>
                <w:lang w:val="en-US"/>
              </w:rPr>
              <w:fldChar w:fldCharType="end"/>
            </w:r>
          </w:hyperlink>
        </w:p>
        <w:p w14:paraId="199045CC" w14:textId="1564CF46" w:rsidR="00BD1693" w:rsidRPr="007B2402" w:rsidRDefault="0080268F" w:rsidP="00C66F63">
          <w:pPr>
            <w:pStyle w:val="TDC3"/>
            <w:tabs>
              <w:tab w:val="right" w:leader="dot" w:pos="9508"/>
            </w:tabs>
            <w:spacing w:after="13" w:line="240" w:lineRule="auto"/>
            <w:contextualSpacing/>
            <w:rPr>
              <w:rFonts w:eastAsiaTheme="minorEastAsia"/>
              <w:noProof/>
              <w:sz w:val="18"/>
              <w:szCs w:val="18"/>
              <w:lang w:val="en-US" w:eastAsia="es-ES"/>
            </w:rPr>
          </w:pPr>
          <w:hyperlink w:anchor="_Toc506984124" w:history="1">
            <w:r w:rsidR="00BD1693" w:rsidRPr="007B2402">
              <w:rPr>
                <w:rStyle w:val="Hipervnculo"/>
                <w:noProof/>
                <w:sz w:val="18"/>
                <w:szCs w:val="18"/>
                <w:lang w:val="en-US"/>
              </w:rPr>
              <w:t>B.4. An</w:t>
            </w:r>
            <w:r w:rsidR="00AC7E2D" w:rsidRPr="007B2402">
              <w:rPr>
                <w:rStyle w:val="Hipervnculo"/>
                <w:noProof/>
                <w:sz w:val="18"/>
                <w:szCs w:val="18"/>
                <w:lang w:val="en-US"/>
              </w:rPr>
              <w:t>alysis of the State’s actions</w:t>
            </w:r>
            <w:r w:rsidR="00BD1693" w:rsidRPr="007B2402">
              <w:rPr>
                <w:noProof/>
                <w:webHidden/>
                <w:sz w:val="18"/>
                <w:szCs w:val="18"/>
                <w:lang w:val="en-US"/>
              </w:rPr>
              <w:tab/>
            </w:r>
            <w:r w:rsidR="00BD1693" w:rsidRPr="007B2402">
              <w:rPr>
                <w:noProof/>
                <w:webHidden/>
                <w:sz w:val="18"/>
                <w:szCs w:val="18"/>
                <w:lang w:val="en-US"/>
              </w:rPr>
              <w:fldChar w:fldCharType="begin"/>
            </w:r>
            <w:r w:rsidR="00BD1693" w:rsidRPr="007B2402">
              <w:rPr>
                <w:noProof/>
                <w:webHidden/>
                <w:sz w:val="18"/>
                <w:szCs w:val="18"/>
                <w:lang w:val="en-US"/>
              </w:rPr>
              <w:instrText xml:space="preserve"> PAGEREF _Toc506984124 \h </w:instrText>
            </w:r>
            <w:r w:rsidR="00BD1693" w:rsidRPr="007B2402">
              <w:rPr>
                <w:noProof/>
                <w:webHidden/>
                <w:sz w:val="18"/>
                <w:szCs w:val="18"/>
                <w:lang w:val="en-US"/>
              </w:rPr>
            </w:r>
            <w:r w:rsidR="00BD1693" w:rsidRPr="007B2402">
              <w:rPr>
                <w:noProof/>
                <w:webHidden/>
                <w:sz w:val="18"/>
                <w:szCs w:val="18"/>
                <w:lang w:val="en-US"/>
              </w:rPr>
              <w:fldChar w:fldCharType="separate"/>
            </w:r>
            <w:r w:rsidR="005A36E1" w:rsidRPr="007B2402">
              <w:rPr>
                <w:noProof/>
                <w:webHidden/>
                <w:sz w:val="18"/>
                <w:szCs w:val="18"/>
                <w:lang w:val="en-US"/>
              </w:rPr>
              <w:t>6</w:t>
            </w:r>
            <w:r w:rsidR="00920DEA" w:rsidRPr="007B2402">
              <w:rPr>
                <w:noProof/>
                <w:webHidden/>
                <w:sz w:val="18"/>
                <w:szCs w:val="18"/>
                <w:lang w:val="en-US"/>
              </w:rPr>
              <w:t>4</w:t>
            </w:r>
            <w:r w:rsidR="00BD1693" w:rsidRPr="007B2402">
              <w:rPr>
                <w:noProof/>
                <w:webHidden/>
                <w:sz w:val="18"/>
                <w:szCs w:val="18"/>
                <w:lang w:val="en-US"/>
              </w:rPr>
              <w:fldChar w:fldCharType="end"/>
            </w:r>
          </w:hyperlink>
        </w:p>
        <w:p w14:paraId="4ED2651F" w14:textId="2A32B560" w:rsidR="00BD1693" w:rsidRPr="007B2402" w:rsidRDefault="0080268F" w:rsidP="00C66F63">
          <w:pPr>
            <w:pStyle w:val="TDC3"/>
            <w:tabs>
              <w:tab w:val="right" w:leader="dot" w:pos="9508"/>
            </w:tabs>
            <w:spacing w:after="13" w:line="240" w:lineRule="auto"/>
            <w:contextualSpacing/>
            <w:rPr>
              <w:rFonts w:eastAsiaTheme="minorEastAsia"/>
              <w:noProof/>
              <w:sz w:val="18"/>
              <w:szCs w:val="18"/>
              <w:lang w:val="en-US" w:eastAsia="es-ES"/>
            </w:rPr>
          </w:pPr>
          <w:hyperlink w:anchor="_Toc506984125" w:history="1">
            <w:r w:rsidR="00BD1693" w:rsidRPr="007B2402">
              <w:rPr>
                <w:rStyle w:val="Hipervnculo"/>
                <w:noProof/>
                <w:sz w:val="18"/>
                <w:szCs w:val="18"/>
                <w:lang w:val="en-US"/>
              </w:rPr>
              <w:t xml:space="preserve">B.5. </w:t>
            </w:r>
            <w:r w:rsidR="00AB475D" w:rsidRPr="007B2402">
              <w:rPr>
                <w:rStyle w:val="Hipervnculo"/>
                <w:noProof/>
                <w:sz w:val="18"/>
                <w:szCs w:val="18"/>
                <w:lang w:val="en-US"/>
              </w:rPr>
              <w:t>Conclusion</w:t>
            </w:r>
            <w:r w:rsidR="00BD1693" w:rsidRPr="007B2402">
              <w:rPr>
                <w:noProof/>
                <w:webHidden/>
                <w:sz w:val="18"/>
                <w:szCs w:val="18"/>
                <w:lang w:val="en-US"/>
              </w:rPr>
              <w:tab/>
            </w:r>
            <w:r w:rsidR="00BD1693" w:rsidRPr="007B2402">
              <w:rPr>
                <w:noProof/>
                <w:webHidden/>
                <w:sz w:val="18"/>
                <w:szCs w:val="18"/>
                <w:lang w:val="en-US"/>
              </w:rPr>
              <w:fldChar w:fldCharType="begin"/>
            </w:r>
            <w:r w:rsidR="00BD1693" w:rsidRPr="007B2402">
              <w:rPr>
                <w:noProof/>
                <w:webHidden/>
                <w:sz w:val="18"/>
                <w:szCs w:val="18"/>
                <w:lang w:val="en-US"/>
              </w:rPr>
              <w:instrText xml:space="preserve"> PAGEREF _Toc506984125 \h </w:instrText>
            </w:r>
            <w:r w:rsidR="00BD1693" w:rsidRPr="007B2402">
              <w:rPr>
                <w:noProof/>
                <w:webHidden/>
                <w:sz w:val="18"/>
                <w:szCs w:val="18"/>
                <w:lang w:val="en-US"/>
              </w:rPr>
            </w:r>
            <w:r w:rsidR="00BD1693" w:rsidRPr="007B2402">
              <w:rPr>
                <w:noProof/>
                <w:webHidden/>
                <w:sz w:val="18"/>
                <w:szCs w:val="18"/>
                <w:lang w:val="en-US"/>
              </w:rPr>
              <w:fldChar w:fldCharType="separate"/>
            </w:r>
            <w:r w:rsidR="005A36E1" w:rsidRPr="007B2402">
              <w:rPr>
                <w:noProof/>
                <w:webHidden/>
                <w:sz w:val="18"/>
                <w:szCs w:val="18"/>
                <w:lang w:val="en-US"/>
              </w:rPr>
              <w:t>8</w:t>
            </w:r>
            <w:r w:rsidR="007B2402" w:rsidRPr="007B2402">
              <w:rPr>
                <w:noProof/>
                <w:webHidden/>
                <w:sz w:val="18"/>
                <w:szCs w:val="18"/>
                <w:lang w:val="en-US"/>
              </w:rPr>
              <w:t>2</w:t>
            </w:r>
            <w:r w:rsidR="00BD1693" w:rsidRPr="007B2402">
              <w:rPr>
                <w:noProof/>
                <w:webHidden/>
                <w:sz w:val="18"/>
                <w:szCs w:val="18"/>
                <w:lang w:val="en-US"/>
              </w:rPr>
              <w:fldChar w:fldCharType="end"/>
            </w:r>
          </w:hyperlink>
        </w:p>
        <w:p w14:paraId="787E3112" w14:textId="1675600F" w:rsidR="00BD1693" w:rsidRPr="007B2402" w:rsidRDefault="0080268F" w:rsidP="00C66F63">
          <w:pPr>
            <w:pStyle w:val="TDC1"/>
            <w:spacing w:after="13"/>
            <w:contextualSpacing/>
            <w:rPr>
              <w:rFonts w:eastAsiaTheme="minorEastAsia" w:cstheme="minorBidi"/>
              <w:sz w:val="18"/>
              <w:szCs w:val="18"/>
              <w:lang w:val="en-US"/>
            </w:rPr>
          </w:pPr>
          <w:hyperlink w:anchor="_Toc506984126" w:history="1">
            <w:r w:rsidR="00BD1693" w:rsidRPr="007B2402">
              <w:rPr>
                <w:rStyle w:val="Hipervnculo"/>
                <w:sz w:val="18"/>
                <w:szCs w:val="18"/>
                <w:lang w:val="en-US"/>
              </w:rPr>
              <w:t xml:space="preserve">VII-2 </w:t>
            </w:r>
            <w:r w:rsidR="00AB475D" w:rsidRPr="007B2402">
              <w:rPr>
                <w:rStyle w:val="Hipervnculo"/>
                <w:sz w:val="18"/>
                <w:szCs w:val="18"/>
                <w:lang w:val="en-US"/>
              </w:rPr>
              <w:t>RIGHT TO KNOW THE TRUTH</w:t>
            </w:r>
            <w:r w:rsidR="00BD1693" w:rsidRPr="007B2402">
              <w:rPr>
                <w:webHidden/>
                <w:sz w:val="18"/>
                <w:szCs w:val="18"/>
                <w:lang w:val="en-US"/>
              </w:rPr>
              <w:tab/>
            </w:r>
            <w:r w:rsidR="00BD1693" w:rsidRPr="007B2402">
              <w:rPr>
                <w:webHidden/>
                <w:sz w:val="18"/>
                <w:szCs w:val="18"/>
                <w:lang w:val="en-US"/>
              </w:rPr>
              <w:fldChar w:fldCharType="begin"/>
            </w:r>
            <w:r w:rsidR="00BD1693" w:rsidRPr="007B2402">
              <w:rPr>
                <w:webHidden/>
                <w:sz w:val="18"/>
                <w:szCs w:val="18"/>
                <w:lang w:val="en-US"/>
              </w:rPr>
              <w:instrText xml:space="preserve"> PAGEREF _Toc506984126 \h </w:instrText>
            </w:r>
            <w:r w:rsidR="00BD1693" w:rsidRPr="007B2402">
              <w:rPr>
                <w:webHidden/>
                <w:sz w:val="18"/>
                <w:szCs w:val="18"/>
                <w:lang w:val="en-US"/>
              </w:rPr>
            </w:r>
            <w:r w:rsidR="00BD1693" w:rsidRPr="007B2402">
              <w:rPr>
                <w:webHidden/>
                <w:sz w:val="18"/>
                <w:szCs w:val="18"/>
                <w:lang w:val="en-US"/>
              </w:rPr>
              <w:fldChar w:fldCharType="separate"/>
            </w:r>
            <w:r w:rsidR="005A36E1" w:rsidRPr="007B2402">
              <w:rPr>
                <w:webHidden/>
                <w:sz w:val="18"/>
                <w:szCs w:val="18"/>
                <w:lang w:val="en-US"/>
              </w:rPr>
              <w:t>8</w:t>
            </w:r>
            <w:r w:rsidR="007B2402" w:rsidRPr="007B2402">
              <w:rPr>
                <w:webHidden/>
                <w:sz w:val="18"/>
                <w:szCs w:val="18"/>
                <w:lang w:val="en-US"/>
              </w:rPr>
              <w:t>3</w:t>
            </w:r>
            <w:r w:rsidR="00BD1693" w:rsidRPr="007B2402">
              <w:rPr>
                <w:webHidden/>
                <w:sz w:val="18"/>
                <w:szCs w:val="18"/>
                <w:lang w:val="en-US"/>
              </w:rPr>
              <w:fldChar w:fldCharType="end"/>
            </w:r>
          </w:hyperlink>
        </w:p>
        <w:p w14:paraId="1C2D8570" w14:textId="130E0EB4" w:rsidR="00BD1693" w:rsidRPr="007B2402" w:rsidRDefault="0080268F" w:rsidP="00C66F63">
          <w:pPr>
            <w:pStyle w:val="TDC2"/>
            <w:spacing w:after="13" w:line="240" w:lineRule="auto"/>
            <w:contextualSpacing/>
            <w:rPr>
              <w:rFonts w:eastAsiaTheme="minorEastAsia" w:cstheme="minorBidi"/>
              <w:b w:val="0"/>
              <w:i w:val="0"/>
              <w:sz w:val="18"/>
              <w:szCs w:val="18"/>
              <w:lang w:val="en-US" w:eastAsia="es-ES"/>
            </w:rPr>
          </w:pPr>
          <w:hyperlink w:anchor="_Toc506984127" w:history="1">
            <w:r w:rsidR="00BD1693" w:rsidRPr="007B2402">
              <w:rPr>
                <w:rStyle w:val="Hipervnculo"/>
                <w:rFonts w:cs="Arial"/>
                <w:b w:val="0"/>
                <w:bCs/>
                <w:i w:val="0"/>
                <w:sz w:val="18"/>
                <w:szCs w:val="18"/>
                <w:lang w:val="en-US"/>
              </w:rPr>
              <w:t>A.</w:t>
            </w:r>
            <w:r w:rsidR="005F1EAD" w:rsidRPr="007B2402">
              <w:rPr>
                <w:rStyle w:val="Hipervnculo"/>
                <w:rFonts w:cs="Arial"/>
                <w:b w:val="0"/>
                <w:bCs/>
                <w:i w:val="0"/>
                <w:sz w:val="18"/>
                <w:szCs w:val="18"/>
                <w:lang w:val="en-US"/>
              </w:rPr>
              <w:t xml:space="preserve"> </w:t>
            </w:r>
            <w:r w:rsidR="002761AC" w:rsidRPr="007B2402">
              <w:rPr>
                <w:rStyle w:val="Hipervnculo"/>
                <w:rFonts w:cs="Arial"/>
                <w:b w:val="0"/>
                <w:bCs/>
                <w:i w:val="0"/>
                <w:sz w:val="18"/>
                <w:szCs w:val="18"/>
                <w:lang w:val="en-US"/>
              </w:rPr>
              <w:t>Arguments</w:t>
            </w:r>
            <w:r w:rsidR="00BD1693" w:rsidRPr="007B2402">
              <w:rPr>
                <w:rStyle w:val="Hipervnculo"/>
                <w:rFonts w:cs="Arial"/>
                <w:b w:val="0"/>
                <w:bCs/>
                <w:i w:val="0"/>
                <w:sz w:val="18"/>
                <w:szCs w:val="18"/>
                <w:lang w:val="en-US"/>
              </w:rPr>
              <w:t xml:space="preserve"> </w:t>
            </w:r>
            <w:r w:rsidR="00283370" w:rsidRPr="007B2402">
              <w:rPr>
                <w:rStyle w:val="Hipervnculo"/>
                <w:rFonts w:cs="Arial"/>
                <w:b w:val="0"/>
                <w:bCs/>
                <w:i w:val="0"/>
                <w:sz w:val="18"/>
                <w:szCs w:val="18"/>
                <w:lang w:val="en-US"/>
              </w:rPr>
              <w:t>of the parties and of</w:t>
            </w:r>
            <w:r w:rsidR="005B1590" w:rsidRPr="007B2402">
              <w:rPr>
                <w:rStyle w:val="Hipervnculo"/>
                <w:rFonts w:cs="Arial"/>
                <w:b w:val="0"/>
                <w:bCs/>
                <w:i w:val="0"/>
                <w:sz w:val="18"/>
                <w:szCs w:val="18"/>
                <w:lang w:val="en-US"/>
              </w:rPr>
              <w:t xml:space="preserve"> the </w:t>
            </w:r>
            <w:r w:rsidR="00AF4344" w:rsidRPr="007B2402">
              <w:rPr>
                <w:rStyle w:val="Hipervnculo"/>
                <w:rFonts w:cs="Arial"/>
                <w:b w:val="0"/>
                <w:bCs/>
                <w:i w:val="0"/>
                <w:sz w:val="18"/>
                <w:szCs w:val="18"/>
                <w:lang w:val="en-US"/>
              </w:rPr>
              <w:t>Commission</w:t>
            </w:r>
            <w:r w:rsidR="00BD1693" w:rsidRPr="007B2402">
              <w:rPr>
                <w:b w:val="0"/>
                <w:i w:val="0"/>
                <w:webHidden/>
                <w:sz w:val="18"/>
                <w:szCs w:val="18"/>
                <w:lang w:val="en-US"/>
              </w:rPr>
              <w:tab/>
            </w:r>
            <w:r w:rsidR="00BD1693" w:rsidRPr="007B2402">
              <w:rPr>
                <w:b w:val="0"/>
                <w:i w:val="0"/>
                <w:webHidden/>
                <w:sz w:val="18"/>
                <w:szCs w:val="18"/>
                <w:lang w:val="en-US"/>
              </w:rPr>
              <w:fldChar w:fldCharType="begin"/>
            </w:r>
            <w:r w:rsidR="00BD1693" w:rsidRPr="007B2402">
              <w:rPr>
                <w:b w:val="0"/>
                <w:i w:val="0"/>
                <w:webHidden/>
                <w:sz w:val="18"/>
                <w:szCs w:val="18"/>
                <w:lang w:val="en-US"/>
              </w:rPr>
              <w:instrText xml:space="preserve"> PAGEREF _Toc506984127 \h </w:instrText>
            </w:r>
            <w:r w:rsidR="00BD1693" w:rsidRPr="007B2402">
              <w:rPr>
                <w:b w:val="0"/>
                <w:i w:val="0"/>
                <w:webHidden/>
                <w:sz w:val="18"/>
                <w:szCs w:val="18"/>
                <w:lang w:val="en-US"/>
              </w:rPr>
            </w:r>
            <w:r w:rsidR="00BD1693" w:rsidRPr="007B2402">
              <w:rPr>
                <w:b w:val="0"/>
                <w:i w:val="0"/>
                <w:webHidden/>
                <w:sz w:val="18"/>
                <w:szCs w:val="18"/>
                <w:lang w:val="en-US"/>
              </w:rPr>
              <w:fldChar w:fldCharType="separate"/>
            </w:r>
            <w:r w:rsidR="005A36E1" w:rsidRPr="007B2402">
              <w:rPr>
                <w:b w:val="0"/>
                <w:i w:val="0"/>
                <w:webHidden/>
                <w:sz w:val="18"/>
                <w:szCs w:val="18"/>
                <w:lang w:val="en-US"/>
              </w:rPr>
              <w:t>8</w:t>
            </w:r>
            <w:r w:rsidR="007B2402" w:rsidRPr="007B2402">
              <w:rPr>
                <w:b w:val="0"/>
                <w:i w:val="0"/>
                <w:webHidden/>
                <w:sz w:val="18"/>
                <w:szCs w:val="18"/>
                <w:lang w:val="en-US"/>
              </w:rPr>
              <w:t>3</w:t>
            </w:r>
            <w:r w:rsidR="00BD1693" w:rsidRPr="007B2402">
              <w:rPr>
                <w:b w:val="0"/>
                <w:i w:val="0"/>
                <w:webHidden/>
                <w:sz w:val="18"/>
                <w:szCs w:val="18"/>
                <w:lang w:val="en-US"/>
              </w:rPr>
              <w:fldChar w:fldCharType="end"/>
            </w:r>
          </w:hyperlink>
        </w:p>
        <w:p w14:paraId="1964E3F2" w14:textId="2364DCFF" w:rsidR="00BD1693" w:rsidRPr="007B2402" w:rsidRDefault="0080268F" w:rsidP="00C66F63">
          <w:pPr>
            <w:pStyle w:val="TDC2"/>
            <w:spacing w:after="13" w:line="240" w:lineRule="auto"/>
            <w:contextualSpacing/>
            <w:rPr>
              <w:rFonts w:eastAsiaTheme="minorEastAsia" w:cstheme="minorBidi"/>
              <w:b w:val="0"/>
              <w:i w:val="0"/>
              <w:sz w:val="18"/>
              <w:szCs w:val="18"/>
              <w:lang w:val="en-US" w:eastAsia="es-ES"/>
            </w:rPr>
          </w:pPr>
          <w:hyperlink w:anchor="_Toc506984128" w:history="1">
            <w:r w:rsidR="00BD1693" w:rsidRPr="007B2402">
              <w:rPr>
                <w:rStyle w:val="Hipervnculo"/>
                <w:rFonts w:cs="Arial"/>
                <w:b w:val="0"/>
                <w:bCs/>
                <w:i w:val="0"/>
                <w:sz w:val="18"/>
                <w:szCs w:val="18"/>
                <w:lang w:val="en-US"/>
              </w:rPr>
              <w:t>B.</w:t>
            </w:r>
            <w:r w:rsidR="005F1EAD" w:rsidRPr="007B2402">
              <w:rPr>
                <w:rStyle w:val="Hipervnculo"/>
                <w:rFonts w:cs="Arial"/>
                <w:b w:val="0"/>
                <w:bCs/>
                <w:i w:val="0"/>
                <w:sz w:val="18"/>
                <w:szCs w:val="18"/>
                <w:lang w:val="en-US"/>
              </w:rPr>
              <w:t xml:space="preserve"> </w:t>
            </w:r>
            <w:r w:rsidR="007A07B8" w:rsidRPr="007B2402">
              <w:rPr>
                <w:rStyle w:val="Hipervnculo"/>
                <w:rFonts w:cs="Arial"/>
                <w:b w:val="0"/>
                <w:bCs/>
                <w:i w:val="0"/>
                <w:sz w:val="18"/>
                <w:szCs w:val="18"/>
                <w:lang w:val="en-US"/>
              </w:rPr>
              <w:t>Considerations</w:t>
            </w:r>
            <w:r w:rsidR="00AF4344" w:rsidRPr="007B2402">
              <w:rPr>
                <w:rStyle w:val="Hipervnculo"/>
                <w:rFonts w:cs="Arial"/>
                <w:b w:val="0"/>
                <w:bCs/>
                <w:i w:val="0"/>
                <w:sz w:val="18"/>
                <w:szCs w:val="18"/>
                <w:lang w:val="en-US"/>
              </w:rPr>
              <w:t xml:space="preserve"> of the Court</w:t>
            </w:r>
            <w:r w:rsidR="00BD1693" w:rsidRPr="007B2402">
              <w:rPr>
                <w:b w:val="0"/>
                <w:i w:val="0"/>
                <w:webHidden/>
                <w:sz w:val="18"/>
                <w:szCs w:val="18"/>
                <w:lang w:val="en-US"/>
              </w:rPr>
              <w:tab/>
            </w:r>
            <w:r w:rsidR="00BD1693" w:rsidRPr="007B2402">
              <w:rPr>
                <w:b w:val="0"/>
                <w:i w:val="0"/>
                <w:webHidden/>
                <w:sz w:val="18"/>
                <w:szCs w:val="18"/>
                <w:lang w:val="en-US"/>
              </w:rPr>
              <w:fldChar w:fldCharType="begin"/>
            </w:r>
            <w:r w:rsidR="00BD1693" w:rsidRPr="007B2402">
              <w:rPr>
                <w:b w:val="0"/>
                <w:i w:val="0"/>
                <w:webHidden/>
                <w:sz w:val="18"/>
                <w:szCs w:val="18"/>
                <w:lang w:val="en-US"/>
              </w:rPr>
              <w:instrText xml:space="preserve"> PAGEREF _Toc506984128 \h </w:instrText>
            </w:r>
            <w:r w:rsidR="00BD1693" w:rsidRPr="007B2402">
              <w:rPr>
                <w:b w:val="0"/>
                <w:i w:val="0"/>
                <w:webHidden/>
                <w:sz w:val="18"/>
                <w:szCs w:val="18"/>
                <w:lang w:val="en-US"/>
              </w:rPr>
            </w:r>
            <w:r w:rsidR="00BD1693" w:rsidRPr="007B2402">
              <w:rPr>
                <w:b w:val="0"/>
                <w:i w:val="0"/>
                <w:webHidden/>
                <w:sz w:val="18"/>
                <w:szCs w:val="18"/>
                <w:lang w:val="en-US"/>
              </w:rPr>
              <w:fldChar w:fldCharType="separate"/>
            </w:r>
            <w:r w:rsidR="005A36E1" w:rsidRPr="007B2402">
              <w:rPr>
                <w:b w:val="0"/>
                <w:i w:val="0"/>
                <w:webHidden/>
                <w:sz w:val="18"/>
                <w:szCs w:val="18"/>
                <w:lang w:val="en-US"/>
              </w:rPr>
              <w:t>8</w:t>
            </w:r>
            <w:r w:rsidR="007B2402" w:rsidRPr="007B2402">
              <w:rPr>
                <w:b w:val="0"/>
                <w:i w:val="0"/>
                <w:webHidden/>
                <w:sz w:val="18"/>
                <w:szCs w:val="18"/>
                <w:lang w:val="en-US"/>
              </w:rPr>
              <w:t>5</w:t>
            </w:r>
            <w:r w:rsidR="00BD1693" w:rsidRPr="007B2402">
              <w:rPr>
                <w:b w:val="0"/>
                <w:i w:val="0"/>
                <w:webHidden/>
                <w:sz w:val="18"/>
                <w:szCs w:val="18"/>
                <w:lang w:val="en-US"/>
              </w:rPr>
              <w:fldChar w:fldCharType="end"/>
            </w:r>
          </w:hyperlink>
        </w:p>
        <w:p w14:paraId="4E896E9D" w14:textId="0DBE45EF" w:rsidR="00BD1693" w:rsidRPr="007B2402" w:rsidRDefault="0080268F" w:rsidP="00C66F63">
          <w:pPr>
            <w:pStyle w:val="TDC1"/>
            <w:spacing w:after="13"/>
            <w:contextualSpacing/>
            <w:rPr>
              <w:rFonts w:eastAsiaTheme="minorEastAsia" w:cstheme="minorBidi"/>
              <w:sz w:val="18"/>
              <w:szCs w:val="18"/>
              <w:lang w:val="en-US"/>
            </w:rPr>
          </w:pPr>
          <w:hyperlink w:anchor="_Toc506984129" w:history="1">
            <w:r w:rsidR="00BD1693" w:rsidRPr="007B2402">
              <w:rPr>
                <w:rStyle w:val="Hipervnculo"/>
                <w:sz w:val="18"/>
                <w:szCs w:val="18"/>
                <w:lang w:val="en-US"/>
              </w:rPr>
              <w:t xml:space="preserve">VII-3 </w:t>
            </w:r>
            <w:r w:rsidR="003A63E5" w:rsidRPr="007B2402">
              <w:rPr>
                <w:rStyle w:val="Hipervnculo"/>
                <w:sz w:val="18"/>
                <w:szCs w:val="18"/>
                <w:lang w:val="en-US"/>
              </w:rPr>
              <w:t>RIGHT TO PERSONAL INTEGRITY</w:t>
            </w:r>
            <w:r w:rsidR="00BD1693" w:rsidRPr="007B2402">
              <w:rPr>
                <w:webHidden/>
                <w:sz w:val="18"/>
                <w:szCs w:val="18"/>
                <w:lang w:val="en-US"/>
              </w:rPr>
              <w:tab/>
            </w:r>
            <w:r w:rsidR="007B2402" w:rsidRPr="007B2402">
              <w:rPr>
                <w:webHidden/>
                <w:sz w:val="18"/>
                <w:szCs w:val="18"/>
                <w:lang w:val="en-US"/>
              </w:rPr>
              <w:t>89</w:t>
            </w:r>
          </w:hyperlink>
        </w:p>
        <w:p w14:paraId="0965639E" w14:textId="3E0F8373" w:rsidR="00BD1693" w:rsidRPr="007B2402" w:rsidRDefault="0080268F" w:rsidP="00C66F63">
          <w:pPr>
            <w:pStyle w:val="TDC2"/>
            <w:spacing w:after="13" w:line="240" w:lineRule="auto"/>
            <w:contextualSpacing/>
            <w:rPr>
              <w:rFonts w:eastAsiaTheme="minorEastAsia" w:cstheme="minorBidi"/>
              <w:b w:val="0"/>
              <w:i w:val="0"/>
              <w:sz w:val="18"/>
              <w:szCs w:val="18"/>
              <w:lang w:val="en-US" w:eastAsia="es-ES"/>
            </w:rPr>
          </w:pPr>
          <w:hyperlink w:anchor="_Toc506984130" w:history="1">
            <w:r w:rsidR="00BD1693" w:rsidRPr="007B2402">
              <w:rPr>
                <w:rStyle w:val="Hipervnculo"/>
                <w:b w:val="0"/>
                <w:i w:val="0"/>
                <w:sz w:val="18"/>
                <w:szCs w:val="18"/>
                <w:lang w:val="en-US"/>
              </w:rPr>
              <w:t>A.</w:t>
            </w:r>
            <w:r w:rsidR="005F1EAD" w:rsidRPr="007B2402">
              <w:rPr>
                <w:rStyle w:val="Hipervnculo"/>
                <w:b w:val="0"/>
                <w:i w:val="0"/>
                <w:sz w:val="18"/>
                <w:szCs w:val="18"/>
                <w:lang w:val="en-US"/>
              </w:rPr>
              <w:t xml:space="preserve"> </w:t>
            </w:r>
            <w:r w:rsidR="002761AC" w:rsidRPr="007B2402">
              <w:rPr>
                <w:rStyle w:val="Hipervnculo"/>
                <w:b w:val="0"/>
                <w:i w:val="0"/>
                <w:sz w:val="18"/>
                <w:szCs w:val="18"/>
                <w:lang w:val="en-US"/>
              </w:rPr>
              <w:t>Arguments</w:t>
            </w:r>
            <w:r w:rsidR="00BD1693" w:rsidRPr="007B2402">
              <w:rPr>
                <w:rStyle w:val="Hipervnculo"/>
                <w:b w:val="0"/>
                <w:i w:val="0"/>
                <w:sz w:val="18"/>
                <w:szCs w:val="18"/>
                <w:lang w:val="en-US"/>
              </w:rPr>
              <w:t xml:space="preserve"> </w:t>
            </w:r>
            <w:r w:rsidR="00283370" w:rsidRPr="007B2402">
              <w:rPr>
                <w:rStyle w:val="Hipervnculo"/>
                <w:b w:val="0"/>
                <w:i w:val="0"/>
                <w:sz w:val="18"/>
                <w:szCs w:val="18"/>
                <w:lang w:val="en-US"/>
              </w:rPr>
              <w:t>of the parties and of</w:t>
            </w:r>
            <w:r w:rsidR="005B1590" w:rsidRPr="007B2402">
              <w:rPr>
                <w:rStyle w:val="Hipervnculo"/>
                <w:b w:val="0"/>
                <w:i w:val="0"/>
                <w:sz w:val="18"/>
                <w:szCs w:val="18"/>
                <w:lang w:val="en-US"/>
              </w:rPr>
              <w:t xml:space="preserve"> the </w:t>
            </w:r>
            <w:r w:rsidR="00AF4344" w:rsidRPr="007B2402">
              <w:rPr>
                <w:rStyle w:val="Hipervnculo"/>
                <w:b w:val="0"/>
                <w:i w:val="0"/>
                <w:sz w:val="18"/>
                <w:szCs w:val="18"/>
                <w:lang w:val="en-US"/>
              </w:rPr>
              <w:t>Commission</w:t>
            </w:r>
            <w:r w:rsidR="00BD1693" w:rsidRPr="007B2402">
              <w:rPr>
                <w:b w:val="0"/>
                <w:i w:val="0"/>
                <w:webHidden/>
                <w:sz w:val="18"/>
                <w:szCs w:val="18"/>
                <w:lang w:val="en-US"/>
              </w:rPr>
              <w:tab/>
            </w:r>
            <w:r w:rsidR="007B2402" w:rsidRPr="007B2402">
              <w:rPr>
                <w:b w:val="0"/>
                <w:i w:val="0"/>
                <w:webHidden/>
                <w:sz w:val="18"/>
                <w:szCs w:val="18"/>
                <w:lang w:val="en-US"/>
              </w:rPr>
              <w:t>89</w:t>
            </w:r>
          </w:hyperlink>
        </w:p>
        <w:p w14:paraId="11AB4B11" w14:textId="56854189" w:rsidR="00BD1693" w:rsidRPr="007B2402" w:rsidRDefault="0080268F" w:rsidP="00C66F63">
          <w:pPr>
            <w:pStyle w:val="TDC2"/>
            <w:spacing w:after="13" w:line="240" w:lineRule="auto"/>
            <w:contextualSpacing/>
            <w:rPr>
              <w:rFonts w:eastAsiaTheme="minorEastAsia" w:cstheme="minorBidi"/>
              <w:b w:val="0"/>
              <w:i w:val="0"/>
              <w:sz w:val="18"/>
              <w:szCs w:val="18"/>
              <w:lang w:val="en-US" w:eastAsia="es-ES"/>
            </w:rPr>
          </w:pPr>
          <w:hyperlink w:anchor="_Toc506984131" w:history="1">
            <w:r w:rsidR="00BD1693" w:rsidRPr="007B2402">
              <w:rPr>
                <w:rStyle w:val="Hipervnculo"/>
                <w:b w:val="0"/>
                <w:i w:val="0"/>
                <w:sz w:val="18"/>
                <w:szCs w:val="18"/>
                <w:lang w:val="en-US"/>
              </w:rPr>
              <w:t>B.</w:t>
            </w:r>
            <w:r w:rsidR="005F1EAD" w:rsidRPr="007B2402">
              <w:rPr>
                <w:rStyle w:val="Hipervnculo"/>
                <w:b w:val="0"/>
                <w:i w:val="0"/>
                <w:sz w:val="18"/>
                <w:szCs w:val="18"/>
                <w:lang w:val="en-US"/>
              </w:rPr>
              <w:t xml:space="preserve"> </w:t>
            </w:r>
            <w:r w:rsidR="007A07B8" w:rsidRPr="007B2402">
              <w:rPr>
                <w:rStyle w:val="Hipervnculo"/>
                <w:b w:val="0"/>
                <w:i w:val="0"/>
                <w:sz w:val="18"/>
                <w:szCs w:val="18"/>
                <w:lang w:val="en-US"/>
              </w:rPr>
              <w:t>Considerations</w:t>
            </w:r>
            <w:r w:rsidR="00AF4344" w:rsidRPr="007B2402">
              <w:rPr>
                <w:rStyle w:val="Hipervnculo"/>
                <w:b w:val="0"/>
                <w:i w:val="0"/>
                <w:sz w:val="18"/>
                <w:szCs w:val="18"/>
                <w:lang w:val="en-US"/>
              </w:rPr>
              <w:t xml:space="preserve"> of the Court</w:t>
            </w:r>
            <w:r w:rsidR="00BD1693" w:rsidRPr="007B2402">
              <w:rPr>
                <w:b w:val="0"/>
                <w:i w:val="0"/>
                <w:webHidden/>
                <w:sz w:val="18"/>
                <w:szCs w:val="18"/>
                <w:lang w:val="en-US"/>
              </w:rPr>
              <w:tab/>
            </w:r>
            <w:r w:rsidR="00BD1693" w:rsidRPr="007B2402">
              <w:rPr>
                <w:b w:val="0"/>
                <w:i w:val="0"/>
                <w:webHidden/>
                <w:sz w:val="18"/>
                <w:szCs w:val="18"/>
                <w:lang w:val="en-US"/>
              </w:rPr>
              <w:fldChar w:fldCharType="begin"/>
            </w:r>
            <w:r w:rsidR="00BD1693" w:rsidRPr="007B2402">
              <w:rPr>
                <w:b w:val="0"/>
                <w:i w:val="0"/>
                <w:webHidden/>
                <w:sz w:val="18"/>
                <w:szCs w:val="18"/>
                <w:lang w:val="en-US"/>
              </w:rPr>
              <w:instrText xml:space="preserve"> PAGEREF _Toc506984131 \h </w:instrText>
            </w:r>
            <w:r w:rsidR="00BD1693" w:rsidRPr="007B2402">
              <w:rPr>
                <w:b w:val="0"/>
                <w:i w:val="0"/>
                <w:webHidden/>
                <w:sz w:val="18"/>
                <w:szCs w:val="18"/>
                <w:lang w:val="en-US"/>
              </w:rPr>
            </w:r>
            <w:r w:rsidR="00BD1693" w:rsidRPr="007B2402">
              <w:rPr>
                <w:b w:val="0"/>
                <w:i w:val="0"/>
                <w:webHidden/>
                <w:sz w:val="18"/>
                <w:szCs w:val="18"/>
                <w:lang w:val="en-US"/>
              </w:rPr>
              <w:fldChar w:fldCharType="separate"/>
            </w:r>
            <w:r w:rsidR="005A36E1" w:rsidRPr="007B2402">
              <w:rPr>
                <w:b w:val="0"/>
                <w:i w:val="0"/>
                <w:webHidden/>
                <w:sz w:val="18"/>
                <w:szCs w:val="18"/>
                <w:lang w:val="en-US"/>
              </w:rPr>
              <w:t>9</w:t>
            </w:r>
            <w:r w:rsidR="007B2402" w:rsidRPr="007B2402">
              <w:rPr>
                <w:b w:val="0"/>
                <w:i w:val="0"/>
                <w:webHidden/>
                <w:sz w:val="18"/>
                <w:szCs w:val="18"/>
                <w:lang w:val="en-US"/>
              </w:rPr>
              <w:t>0</w:t>
            </w:r>
            <w:r w:rsidR="00BD1693" w:rsidRPr="007B2402">
              <w:rPr>
                <w:b w:val="0"/>
                <w:i w:val="0"/>
                <w:webHidden/>
                <w:sz w:val="18"/>
                <w:szCs w:val="18"/>
                <w:lang w:val="en-US"/>
              </w:rPr>
              <w:fldChar w:fldCharType="end"/>
            </w:r>
          </w:hyperlink>
        </w:p>
        <w:p w14:paraId="736B7429" w14:textId="3B58608C" w:rsidR="00BD1693" w:rsidRPr="007B2402" w:rsidRDefault="0080268F" w:rsidP="00C66F63">
          <w:pPr>
            <w:pStyle w:val="TDC1"/>
            <w:spacing w:after="13"/>
            <w:contextualSpacing/>
            <w:rPr>
              <w:rFonts w:eastAsiaTheme="minorEastAsia" w:cstheme="minorBidi"/>
              <w:sz w:val="18"/>
              <w:szCs w:val="18"/>
              <w:lang w:val="en-US"/>
            </w:rPr>
          </w:pPr>
          <w:hyperlink w:anchor="_Toc506984132" w:history="1">
            <w:r w:rsidR="00BD1693" w:rsidRPr="007B2402">
              <w:rPr>
                <w:rStyle w:val="Hipervnculo"/>
                <w:sz w:val="18"/>
                <w:szCs w:val="18"/>
                <w:lang w:val="en-US"/>
              </w:rPr>
              <w:t>VII</w:t>
            </w:r>
            <w:r w:rsidR="007F6B69" w:rsidRPr="007B2402">
              <w:rPr>
                <w:rStyle w:val="Hipervnculo"/>
                <w:sz w:val="18"/>
                <w:szCs w:val="18"/>
                <w:lang w:val="en-US"/>
              </w:rPr>
              <w:t>I</w:t>
            </w:r>
            <w:r w:rsidR="005F1EAD" w:rsidRPr="007B2402">
              <w:rPr>
                <w:rStyle w:val="Hipervnculo"/>
                <w:sz w:val="18"/>
                <w:szCs w:val="18"/>
                <w:lang w:val="en-US"/>
              </w:rPr>
              <w:t>.</w:t>
            </w:r>
            <w:r w:rsidR="00BD1693" w:rsidRPr="007B2402">
              <w:rPr>
                <w:rStyle w:val="Hipervnculo"/>
                <w:sz w:val="18"/>
                <w:szCs w:val="18"/>
                <w:lang w:val="en-US"/>
              </w:rPr>
              <w:t xml:space="preserve"> </w:t>
            </w:r>
            <w:r w:rsidR="003A63E5" w:rsidRPr="007B2402">
              <w:rPr>
                <w:rStyle w:val="Hipervnculo"/>
                <w:sz w:val="18"/>
                <w:szCs w:val="18"/>
                <w:lang w:val="en-US"/>
              </w:rPr>
              <w:t>REPARATIONS</w:t>
            </w:r>
            <w:r w:rsidR="00BD1693" w:rsidRPr="007B2402">
              <w:rPr>
                <w:webHidden/>
                <w:sz w:val="18"/>
                <w:szCs w:val="18"/>
                <w:lang w:val="en-US"/>
              </w:rPr>
              <w:tab/>
            </w:r>
            <w:r w:rsidR="00BD1693" w:rsidRPr="007B2402">
              <w:rPr>
                <w:webHidden/>
                <w:sz w:val="18"/>
                <w:szCs w:val="18"/>
                <w:lang w:val="en-US"/>
              </w:rPr>
              <w:fldChar w:fldCharType="begin"/>
            </w:r>
            <w:r w:rsidR="00BD1693" w:rsidRPr="007B2402">
              <w:rPr>
                <w:webHidden/>
                <w:sz w:val="18"/>
                <w:szCs w:val="18"/>
                <w:lang w:val="en-US"/>
              </w:rPr>
              <w:instrText xml:space="preserve"> PAGEREF _Toc506984132 \h </w:instrText>
            </w:r>
            <w:r w:rsidR="00BD1693" w:rsidRPr="007B2402">
              <w:rPr>
                <w:webHidden/>
                <w:sz w:val="18"/>
                <w:szCs w:val="18"/>
                <w:lang w:val="en-US"/>
              </w:rPr>
            </w:r>
            <w:r w:rsidR="00BD1693" w:rsidRPr="007B2402">
              <w:rPr>
                <w:webHidden/>
                <w:sz w:val="18"/>
                <w:szCs w:val="18"/>
                <w:lang w:val="en-US"/>
              </w:rPr>
              <w:fldChar w:fldCharType="separate"/>
            </w:r>
            <w:r w:rsidR="005A36E1" w:rsidRPr="007B2402">
              <w:rPr>
                <w:webHidden/>
                <w:sz w:val="18"/>
                <w:szCs w:val="18"/>
                <w:lang w:val="en-US"/>
              </w:rPr>
              <w:t>9</w:t>
            </w:r>
            <w:r w:rsidR="007B2402" w:rsidRPr="007B2402">
              <w:rPr>
                <w:webHidden/>
                <w:sz w:val="18"/>
                <w:szCs w:val="18"/>
                <w:lang w:val="en-US"/>
              </w:rPr>
              <w:t>2</w:t>
            </w:r>
            <w:r w:rsidR="00BD1693" w:rsidRPr="007B2402">
              <w:rPr>
                <w:webHidden/>
                <w:sz w:val="18"/>
                <w:szCs w:val="18"/>
                <w:lang w:val="en-US"/>
              </w:rPr>
              <w:fldChar w:fldCharType="end"/>
            </w:r>
          </w:hyperlink>
        </w:p>
        <w:p w14:paraId="44D3604D" w14:textId="7474B9F4" w:rsidR="00BD1693" w:rsidRPr="007B2402" w:rsidRDefault="0080268F" w:rsidP="00C66F63">
          <w:pPr>
            <w:pStyle w:val="TDC2"/>
            <w:spacing w:after="13" w:line="240" w:lineRule="auto"/>
            <w:contextualSpacing/>
            <w:rPr>
              <w:rFonts w:eastAsiaTheme="minorEastAsia" w:cstheme="minorBidi"/>
              <w:b w:val="0"/>
              <w:i w:val="0"/>
              <w:sz w:val="18"/>
              <w:szCs w:val="18"/>
              <w:lang w:val="en-US" w:eastAsia="es-ES"/>
            </w:rPr>
          </w:pPr>
          <w:hyperlink w:anchor="_Toc506984134" w:history="1">
            <w:r w:rsidR="00BD1693" w:rsidRPr="007B2402">
              <w:rPr>
                <w:rStyle w:val="Hipervnculo"/>
                <w:b w:val="0"/>
                <w:i w:val="0"/>
                <w:sz w:val="18"/>
                <w:szCs w:val="18"/>
                <w:lang w:val="en-US"/>
              </w:rPr>
              <w:t>A.</w:t>
            </w:r>
            <w:r w:rsidR="005F1EAD" w:rsidRPr="007B2402">
              <w:rPr>
                <w:rStyle w:val="Hipervnculo"/>
                <w:b w:val="0"/>
                <w:i w:val="0"/>
                <w:sz w:val="18"/>
                <w:szCs w:val="18"/>
                <w:lang w:val="en-US"/>
              </w:rPr>
              <w:t xml:space="preserve"> </w:t>
            </w:r>
            <w:r w:rsidR="00593954" w:rsidRPr="007B2402">
              <w:rPr>
                <w:rStyle w:val="Hipervnculo"/>
                <w:b w:val="0"/>
                <w:i w:val="0"/>
                <w:sz w:val="18"/>
                <w:szCs w:val="18"/>
                <w:lang w:val="en-US"/>
              </w:rPr>
              <w:t>Injured party</w:t>
            </w:r>
            <w:r w:rsidR="00BD1693" w:rsidRPr="007B2402">
              <w:rPr>
                <w:b w:val="0"/>
                <w:i w:val="0"/>
                <w:webHidden/>
                <w:sz w:val="18"/>
                <w:szCs w:val="18"/>
                <w:lang w:val="en-US"/>
              </w:rPr>
              <w:tab/>
            </w:r>
            <w:r w:rsidR="00BD1693" w:rsidRPr="007B2402">
              <w:rPr>
                <w:b w:val="0"/>
                <w:i w:val="0"/>
                <w:webHidden/>
                <w:sz w:val="18"/>
                <w:szCs w:val="18"/>
                <w:lang w:val="en-US"/>
              </w:rPr>
              <w:fldChar w:fldCharType="begin"/>
            </w:r>
            <w:r w:rsidR="00BD1693" w:rsidRPr="007B2402">
              <w:rPr>
                <w:b w:val="0"/>
                <w:i w:val="0"/>
                <w:webHidden/>
                <w:sz w:val="18"/>
                <w:szCs w:val="18"/>
                <w:lang w:val="en-US"/>
              </w:rPr>
              <w:instrText xml:space="preserve"> PAGEREF _Toc506984134 \h </w:instrText>
            </w:r>
            <w:r w:rsidR="00BD1693" w:rsidRPr="007B2402">
              <w:rPr>
                <w:b w:val="0"/>
                <w:i w:val="0"/>
                <w:webHidden/>
                <w:sz w:val="18"/>
                <w:szCs w:val="18"/>
                <w:lang w:val="en-US"/>
              </w:rPr>
            </w:r>
            <w:r w:rsidR="00BD1693" w:rsidRPr="007B2402">
              <w:rPr>
                <w:b w:val="0"/>
                <w:i w:val="0"/>
                <w:webHidden/>
                <w:sz w:val="18"/>
                <w:szCs w:val="18"/>
                <w:lang w:val="en-US"/>
              </w:rPr>
              <w:fldChar w:fldCharType="separate"/>
            </w:r>
            <w:r w:rsidR="005A36E1" w:rsidRPr="007B2402">
              <w:rPr>
                <w:b w:val="0"/>
                <w:i w:val="0"/>
                <w:webHidden/>
                <w:sz w:val="18"/>
                <w:szCs w:val="18"/>
                <w:lang w:val="en-US"/>
              </w:rPr>
              <w:t>9</w:t>
            </w:r>
            <w:r w:rsidR="007B2402" w:rsidRPr="007B2402">
              <w:rPr>
                <w:b w:val="0"/>
                <w:i w:val="0"/>
                <w:webHidden/>
                <w:sz w:val="18"/>
                <w:szCs w:val="18"/>
                <w:lang w:val="en-US"/>
              </w:rPr>
              <w:t>2</w:t>
            </w:r>
            <w:r w:rsidR="00BD1693" w:rsidRPr="007B2402">
              <w:rPr>
                <w:b w:val="0"/>
                <w:i w:val="0"/>
                <w:webHidden/>
                <w:sz w:val="18"/>
                <w:szCs w:val="18"/>
                <w:lang w:val="en-US"/>
              </w:rPr>
              <w:fldChar w:fldCharType="end"/>
            </w:r>
          </w:hyperlink>
        </w:p>
        <w:p w14:paraId="7C22508C" w14:textId="794D5249" w:rsidR="00BD1693" w:rsidRPr="007B2402" w:rsidRDefault="0080268F" w:rsidP="00C66F63">
          <w:pPr>
            <w:pStyle w:val="TDC2"/>
            <w:spacing w:after="13" w:line="240" w:lineRule="auto"/>
            <w:contextualSpacing/>
            <w:rPr>
              <w:rFonts w:eastAsiaTheme="minorEastAsia" w:cstheme="minorBidi"/>
              <w:b w:val="0"/>
              <w:i w:val="0"/>
              <w:sz w:val="18"/>
              <w:szCs w:val="18"/>
              <w:lang w:val="en-US" w:eastAsia="es-ES"/>
            </w:rPr>
          </w:pPr>
          <w:hyperlink w:anchor="_Toc506984135" w:history="1">
            <w:r w:rsidR="00BD1693" w:rsidRPr="007B2402">
              <w:rPr>
                <w:rStyle w:val="Hipervnculo"/>
                <w:b w:val="0"/>
                <w:i w:val="0"/>
                <w:sz w:val="18"/>
                <w:szCs w:val="18"/>
                <w:lang w:val="en-US"/>
              </w:rPr>
              <w:t>B.</w:t>
            </w:r>
            <w:r w:rsidR="005F1EAD" w:rsidRPr="007B2402">
              <w:rPr>
                <w:rStyle w:val="Hipervnculo"/>
                <w:b w:val="0"/>
                <w:i w:val="0"/>
                <w:sz w:val="18"/>
                <w:szCs w:val="18"/>
                <w:lang w:val="en-US"/>
              </w:rPr>
              <w:t xml:space="preserve"> </w:t>
            </w:r>
            <w:r w:rsidR="00593954" w:rsidRPr="007B2402">
              <w:rPr>
                <w:rStyle w:val="Hipervnculo"/>
                <w:b w:val="0"/>
                <w:i w:val="0"/>
                <w:sz w:val="18"/>
                <w:szCs w:val="18"/>
                <w:lang w:val="en-US"/>
              </w:rPr>
              <w:t>Obligation to investigate</w:t>
            </w:r>
            <w:r w:rsidR="00BD1693" w:rsidRPr="007B2402">
              <w:rPr>
                <w:b w:val="0"/>
                <w:i w:val="0"/>
                <w:webHidden/>
                <w:sz w:val="18"/>
                <w:szCs w:val="18"/>
                <w:lang w:val="en-US"/>
              </w:rPr>
              <w:tab/>
            </w:r>
            <w:r w:rsidR="00BD1693" w:rsidRPr="007B2402">
              <w:rPr>
                <w:b w:val="0"/>
                <w:i w:val="0"/>
                <w:webHidden/>
                <w:sz w:val="18"/>
                <w:szCs w:val="18"/>
                <w:lang w:val="en-US"/>
              </w:rPr>
              <w:fldChar w:fldCharType="begin"/>
            </w:r>
            <w:r w:rsidR="00BD1693" w:rsidRPr="007B2402">
              <w:rPr>
                <w:b w:val="0"/>
                <w:i w:val="0"/>
                <w:webHidden/>
                <w:sz w:val="18"/>
                <w:szCs w:val="18"/>
                <w:lang w:val="en-US"/>
              </w:rPr>
              <w:instrText xml:space="preserve"> PAGEREF _Toc506984135 \h </w:instrText>
            </w:r>
            <w:r w:rsidR="00BD1693" w:rsidRPr="007B2402">
              <w:rPr>
                <w:b w:val="0"/>
                <w:i w:val="0"/>
                <w:webHidden/>
                <w:sz w:val="18"/>
                <w:szCs w:val="18"/>
                <w:lang w:val="en-US"/>
              </w:rPr>
            </w:r>
            <w:r w:rsidR="00BD1693" w:rsidRPr="007B2402">
              <w:rPr>
                <w:b w:val="0"/>
                <w:i w:val="0"/>
                <w:webHidden/>
                <w:sz w:val="18"/>
                <w:szCs w:val="18"/>
                <w:lang w:val="en-US"/>
              </w:rPr>
              <w:fldChar w:fldCharType="separate"/>
            </w:r>
            <w:r w:rsidR="005A36E1" w:rsidRPr="007B2402">
              <w:rPr>
                <w:b w:val="0"/>
                <w:i w:val="0"/>
                <w:webHidden/>
                <w:sz w:val="18"/>
                <w:szCs w:val="18"/>
                <w:lang w:val="en-US"/>
              </w:rPr>
              <w:t>9</w:t>
            </w:r>
            <w:r w:rsidR="007B2402" w:rsidRPr="007B2402">
              <w:rPr>
                <w:b w:val="0"/>
                <w:i w:val="0"/>
                <w:webHidden/>
                <w:sz w:val="18"/>
                <w:szCs w:val="18"/>
                <w:lang w:val="en-US"/>
              </w:rPr>
              <w:t>3</w:t>
            </w:r>
            <w:r w:rsidR="00BD1693" w:rsidRPr="007B2402">
              <w:rPr>
                <w:b w:val="0"/>
                <w:i w:val="0"/>
                <w:webHidden/>
                <w:sz w:val="18"/>
                <w:szCs w:val="18"/>
                <w:lang w:val="en-US"/>
              </w:rPr>
              <w:fldChar w:fldCharType="end"/>
            </w:r>
          </w:hyperlink>
        </w:p>
        <w:p w14:paraId="7BBEAC99" w14:textId="7DFCE817" w:rsidR="00BD1693" w:rsidRPr="007B2402" w:rsidRDefault="0080268F" w:rsidP="00C66F63">
          <w:pPr>
            <w:pStyle w:val="TDC2"/>
            <w:spacing w:after="13" w:line="240" w:lineRule="auto"/>
            <w:contextualSpacing/>
            <w:rPr>
              <w:rFonts w:eastAsiaTheme="minorEastAsia" w:cstheme="minorBidi"/>
              <w:b w:val="0"/>
              <w:i w:val="0"/>
              <w:sz w:val="18"/>
              <w:szCs w:val="18"/>
              <w:lang w:val="en-US" w:eastAsia="es-ES"/>
            </w:rPr>
          </w:pPr>
          <w:hyperlink w:anchor="_Toc506984137" w:history="1">
            <w:r w:rsidR="00BD1693" w:rsidRPr="007B2402">
              <w:rPr>
                <w:rStyle w:val="Hipervnculo"/>
                <w:b w:val="0"/>
                <w:i w:val="0"/>
                <w:sz w:val="18"/>
                <w:szCs w:val="18"/>
                <w:lang w:val="en-US"/>
              </w:rPr>
              <w:t>C.</w:t>
            </w:r>
            <w:r w:rsidR="005F1EAD" w:rsidRPr="007B2402">
              <w:rPr>
                <w:rStyle w:val="Hipervnculo"/>
                <w:b w:val="0"/>
                <w:i w:val="0"/>
                <w:sz w:val="18"/>
                <w:szCs w:val="18"/>
                <w:lang w:val="en-US"/>
              </w:rPr>
              <w:t xml:space="preserve"> </w:t>
            </w:r>
            <w:r w:rsidR="00466A5C" w:rsidRPr="007B2402">
              <w:rPr>
                <w:rStyle w:val="Hipervnculo"/>
                <w:b w:val="0"/>
                <w:i w:val="0"/>
                <w:sz w:val="18"/>
                <w:szCs w:val="18"/>
                <w:lang w:val="en-US"/>
              </w:rPr>
              <w:t>Measures of non-repetition</w:t>
            </w:r>
            <w:r w:rsidR="00BD1693" w:rsidRPr="007B2402">
              <w:rPr>
                <w:b w:val="0"/>
                <w:i w:val="0"/>
                <w:webHidden/>
                <w:sz w:val="18"/>
                <w:szCs w:val="18"/>
                <w:lang w:val="en-US"/>
              </w:rPr>
              <w:tab/>
            </w:r>
            <w:r w:rsidR="00BD1693" w:rsidRPr="007B2402">
              <w:rPr>
                <w:b w:val="0"/>
                <w:i w:val="0"/>
                <w:webHidden/>
                <w:sz w:val="18"/>
                <w:szCs w:val="18"/>
                <w:lang w:val="en-US"/>
              </w:rPr>
              <w:fldChar w:fldCharType="begin"/>
            </w:r>
            <w:r w:rsidR="00BD1693" w:rsidRPr="007B2402">
              <w:rPr>
                <w:b w:val="0"/>
                <w:i w:val="0"/>
                <w:webHidden/>
                <w:sz w:val="18"/>
                <w:szCs w:val="18"/>
                <w:lang w:val="en-US"/>
              </w:rPr>
              <w:instrText xml:space="preserve"> PAGEREF _Toc506984137 \h </w:instrText>
            </w:r>
            <w:r w:rsidR="00BD1693" w:rsidRPr="007B2402">
              <w:rPr>
                <w:b w:val="0"/>
                <w:i w:val="0"/>
                <w:webHidden/>
                <w:sz w:val="18"/>
                <w:szCs w:val="18"/>
                <w:lang w:val="en-US"/>
              </w:rPr>
            </w:r>
            <w:r w:rsidR="00BD1693" w:rsidRPr="007B2402">
              <w:rPr>
                <w:b w:val="0"/>
                <w:i w:val="0"/>
                <w:webHidden/>
                <w:sz w:val="18"/>
                <w:szCs w:val="18"/>
                <w:lang w:val="en-US"/>
              </w:rPr>
              <w:fldChar w:fldCharType="separate"/>
            </w:r>
            <w:r w:rsidR="005A36E1" w:rsidRPr="007B2402">
              <w:rPr>
                <w:b w:val="0"/>
                <w:i w:val="0"/>
                <w:webHidden/>
                <w:sz w:val="18"/>
                <w:szCs w:val="18"/>
                <w:lang w:val="en-US"/>
              </w:rPr>
              <w:t>9</w:t>
            </w:r>
            <w:r w:rsidR="007B2402" w:rsidRPr="007B2402">
              <w:rPr>
                <w:b w:val="0"/>
                <w:i w:val="0"/>
                <w:webHidden/>
                <w:sz w:val="18"/>
                <w:szCs w:val="18"/>
                <w:lang w:val="en-US"/>
              </w:rPr>
              <w:t>5</w:t>
            </w:r>
            <w:r w:rsidR="00BD1693" w:rsidRPr="007B2402">
              <w:rPr>
                <w:b w:val="0"/>
                <w:i w:val="0"/>
                <w:webHidden/>
                <w:sz w:val="18"/>
                <w:szCs w:val="18"/>
                <w:lang w:val="en-US"/>
              </w:rPr>
              <w:fldChar w:fldCharType="end"/>
            </w:r>
          </w:hyperlink>
        </w:p>
        <w:p w14:paraId="0A65603E" w14:textId="1C96E9A0" w:rsidR="00BD1693" w:rsidRPr="007B2402" w:rsidRDefault="0080268F" w:rsidP="00C66F63">
          <w:pPr>
            <w:pStyle w:val="TDC2"/>
            <w:spacing w:after="13" w:line="240" w:lineRule="auto"/>
            <w:contextualSpacing/>
            <w:rPr>
              <w:rFonts w:eastAsiaTheme="minorEastAsia" w:cstheme="minorBidi"/>
              <w:b w:val="0"/>
              <w:i w:val="0"/>
              <w:sz w:val="18"/>
              <w:szCs w:val="18"/>
              <w:lang w:val="en-US" w:eastAsia="es-ES"/>
            </w:rPr>
          </w:pPr>
          <w:hyperlink w:anchor="_Toc506984139" w:history="1">
            <w:r w:rsidR="00BD1693" w:rsidRPr="007B2402">
              <w:rPr>
                <w:rStyle w:val="Hipervnculo"/>
                <w:b w:val="0"/>
                <w:i w:val="0"/>
                <w:sz w:val="18"/>
                <w:szCs w:val="18"/>
                <w:lang w:val="en-US"/>
              </w:rPr>
              <w:t>D.</w:t>
            </w:r>
            <w:r w:rsidR="005F1EAD" w:rsidRPr="007B2402">
              <w:rPr>
                <w:rStyle w:val="Hipervnculo"/>
                <w:b w:val="0"/>
                <w:i w:val="0"/>
                <w:sz w:val="18"/>
                <w:szCs w:val="18"/>
                <w:lang w:val="en-US"/>
              </w:rPr>
              <w:t xml:space="preserve"> </w:t>
            </w:r>
            <w:r w:rsidR="009F5A1E" w:rsidRPr="007B2402">
              <w:rPr>
                <w:rStyle w:val="Hipervnculo"/>
                <w:b w:val="0"/>
                <w:i w:val="0"/>
                <w:sz w:val="18"/>
                <w:szCs w:val="18"/>
                <w:lang w:val="en-US"/>
              </w:rPr>
              <w:t>Measures of satisfaction</w:t>
            </w:r>
            <w:r w:rsidR="00BD1693" w:rsidRPr="007B2402">
              <w:rPr>
                <w:b w:val="0"/>
                <w:i w:val="0"/>
                <w:webHidden/>
                <w:sz w:val="18"/>
                <w:szCs w:val="18"/>
                <w:lang w:val="en-US"/>
              </w:rPr>
              <w:tab/>
            </w:r>
            <w:r w:rsidR="00BD1693" w:rsidRPr="007B2402">
              <w:rPr>
                <w:b w:val="0"/>
                <w:i w:val="0"/>
                <w:webHidden/>
                <w:sz w:val="18"/>
                <w:szCs w:val="18"/>
                <w:lang w:val="en-US"/>
              </w:rPr>
              <w:fldChar w:fldCharType="begin"/>
            </w:r>
            <w:r w:rsidR="00BD1693" w:rsidRPr="007B2402">
              <w:rPr>
                <w:b w:val="0"/>
                <w:i w:val="0"/>
                <w:webHidden/>
                <w:sz w:val="18"/>
                <w:szCs w:val="18"/>
                <w:lang w:val="en-US"/>
              </w:rPr>
              <w:instrText xml:space="preserve"> PAGEREF _Toc506984139 \h </w:instrText>
            </w:r>
            <w:r w:rsidR="00BD1693" w:rsidRPr="007B2402">
              <w:rPr>
                <w:b w:val="0"/>
                <w:i w:val="0"/>
                <w:webHidden/>
                <w:sz w:val="18"/>
                <w:szCs w:val="18"/>
                <w:lang w:val="en-US"/>
              </w:rPr>
            </w:r>
            <w:r w:rsidR="00BD1693" w:rsidRPr="007B2402">
              <w:rPr>
                <w:b w:val="0"/>
                <w:i w:val="0"/>
                <w:webHidden/>
                <w:sz w:val="18"/>
                <w:szCs w:val="18"/>
                <w:lang w:val="en-US"/>
              </w:rPr>
              <w:fldChar w:fldCharType="separate"/>
            </w:r>
            <w:r w:rsidR="005A36E1" w:rsidRPr="007B2402">
              <w:rPr>
                <w:b w:val="0"/>
                <w:i w:val="0"/>
                <w:webHidden/>
                <w:sz w:val="18"/>
                <w:szCs w:val="18"/>
                <w:lang w:val="en-US"/>
              </w:rPr>
              <w:t>9</w:t>
            </w:r>
            <w:r w:rsidR="007B2402" w:rsidRPr="007B2402">
              <w:rPr>
                <w:b w:val="0"/>
                <w:i w:val="0"/>
                <w:webHidden/>
                <w:sz w:val="18"/>
                <w:szCs w:val="18"/>
                <w:lang w:val="en-US"/>
              </w:rPr>
              <w:t>5</w:t>
            </w:r>
            <w:r w:rsidR="00BD1693" w:rsidRPr="007B2402">
              <w:rPr>
                <w:b w:val="0"/>
                <w:i w:val="0"/>
                <w:webHidden/>
                <w:sz w:val="18"/>
                <w:szCs w:val="18"/>
                <w:lang w:val="en-US"/>
              </w:rPr>
              <w:fldChar w:fldCharType="end"/>
            </w:r>
          </w:hyperlink>
        </w:p>
        <w:p w14:paraId="2C15C279" w14:textId="200228F3" w:rsidR="00BD1693" w:rsidRPr="007B2402" w:rsidRDefault="0080268F" w:rsidP="00C66F63">
          <w:pPr>
            <w:pStyle w:val="TDC2"/>
            <w:spacing w:after="13" w:line="240" w:lineRule="auto"/>
            <w:contextualSpacing/>
            <w:rPr>
              <w:rFonts w:eastAsiaTheme="minorEastAsia" w:cstheme="minorBidi"/>
              <w:b w:val="0"/>
              <w:i w:val="0"/>
              <w:sz w:val="18"/>
              <w:szCs w:val="18"/>
              <w:lang w:val="en-US" w:eastAsia="es-ES"/>
            </w:rPr>
          </w:pPr>
          <w:hyperlink w:anchor="_Toc506984142" w:history="1">
            <w:r w:rsidR="00BD1693" w:rsidRPr="007B2402">
              <w:rPr>
                <w:rStyle w:val="Hipervnculo"/>
                <w:b w:val="0"/>
                <w:i w:val="0"/>
                <w:sz w:val="18"/>
                <w:szCs w:val="18"/>
                <w:lang w:val="en-US"/>
              </w:rPr>
              <w:t>E.</w:t>
            </w:r>
            <w:r w:rsidR="005F1EAD" w:rsidRPr="007B2402">
              <w:rPr>
                <w:rStyle w:val="Hipervnculo"/>
                <w:b w:val="0"/>
                <w:i w:val="0"/>
                <w:sz w:val="18"/>
                <w:szCs w:val="18"/>
                <w:lang w:val="en-US"/>
              </w:rPr>
              <w:t xml:space="preserve"> </w:t>
            </w:r>
            <w:r w:rsidR="00125B7E" w:rsidRPr="007B2402">
              <w:rPr>
                <w:rStyle w:val="Hipervnculo"/>
                <w:b w:val="0"/>
                <w:i w:val="0"/>
                <w:sz w:val="18"/>
                <w:szCs w:val="18"/>
                <w:lang w:val="en-US"/>
              </w:rPr>
              <w:t>Other measures of reparation requested by</w:t>
            </w:r>
            <w:r w:rsidR="00BD1693" w:rsidRPr="007B2402">
              <w:rPr>
                <w:rStyle w:val="Hipervnculo"/>
                <w:b w:val="0"/>
                <w:i w:val="0"/>
                <w:sz w:val="18"/>
                <w:szCs w:val="18"/>
                <w:lang w:val="en-US"/>
              </w:rPr>
              <w:t xml:space="preserve"> </w:t>
            </w:r>
            <w:r w:rsidR="005B1590" w:rsidRPr="007B2402">
              <w:rPr>
                <w:rStyle w:val="Hipervnculo"/>
                <w:b w:val="0"/>
                <w:i w:val="0"/>
                <w:sz w:val="18"/>
                <w:szCs w:val="18"/>
                <w:lang w:val="en-US"/>
              </w:rPr>
              <w:t>the representatives</w:t>
            </w:r>
            <w:r w:rsidR="00BD1693" w:rsidRPr="007B2402">
              <w:rPr>
                <w:b w:val="0"/>
                <w:i w:val="0"/>
                <w:webHidden/>
                <w:sz w:val="18"/>
                <w:szCs w:val="18"/>
                <w:lang w:val="en-US"/>
              </w:rPr>
              <w:tab/>
            </w:r>
            <w:r w:rsidR="00BD1693" w:rsidRPr="007B2402">
              <w:rPr>
                <w:b w:val="0"/>
                <w:i w:val="0"/>
                <w:webHidden/>
                <w:sz w:val="18"/>
                <w:szCs w:val="18"/>
                <w:lang w:val="en-US"/>
              </w:rPr>
              <w:fldChar w:fldCharType="begin"/>
            </w:r>
            <w:r w:rsidR="00BD1693" w:rsidRPr="007B2402">
              <w:rPr>
                <w:b w:val="0"/>
                <w:i w:val="0"/>
                <w:webHidden/>
                <w:sz w:val="18"/>
                <w:szCs w:val="18"/>
                <w:lang w:val="en-US"/>
              </w:rPr>
              <w:instrText xml:space="preserve"> PAGEREF _Toc506984142 \h </w:instrText>
            </w:r>
            <w:r w:rsidR="00BD1693" w:rsidRPr="007B2402">
              <w:rPr>
                <w:b w:val="0"/>
                <w:i w:val="0"/>
                <w:webHidden/>
                <w:sz w:val="18"/>
                <w:szCs w:val="18"/>
                <w:lang w:val="en-US"/>
              </w:rPr>
            </w:r>
            <w:r w:rsidR="00BD1693" w:rsidRPr="007B2402">
              <w:rPr>
                <w:b w:val="0"/>
                <w:i w:val="0"/>
                <w:webHidden/>
                <w:sz w:val="18"/>
                <w:szCs w:val="18"/>
                <w:lang w:val="en-US"/>
              </w:rPr>
              <w:fldChar w:fldCharType="separate"/>
            </w:r>
            <w:r w:rsidR="005A36E1" w:rsidRPr="007B2402">
              <w:rPr>
                <w:b w:val="0"/>
                <w:i w:val="0"/>
                <w:webHidden/>
                <w:sz w:val="18"/>
                <w:szCs w:val="18"/>
                <w:lang w:val="en-US"/>
              </w:rPr>
              <w:t>9</w:t>
            </w:r>
            <w:r w:rsidR="007B2402" w:rsidRPr="007B2402">
              <w:rPr>
                <w:b w:val="0"/>
                <w:i w:val="0"/>
                <w:webHidden/>
                <w:sz w:val="18"/>
                <w:szCs w:val="18"/>
                <w:lang w:val="en-US"/>
              </w:rPr>
              <w:t>7</w:t>
            </w:r>
            <w:r w:rsidR="00BD1693" w:rsidRPr="007B2402">
              <w:rPr>
                <w:b w:val="0"/>
                <w:i w:val="0"/>
                <w:webHidden/>
                <w:sz w:val="18"/>
                <w:szCs w:val="18"/>
                <w:lang w:val="en-US"/>
              </w:rPr>
              <w:fldChar w:fldCharType="end"/>
            </w:r>
          </w:hyperlink>
        </w:p>
        <w:p w14:paraId="59D263BD" w14:textId="5C87D53C" w:rsidR="00BD1693" w:rsidRPr="007B2402" w:rsidRDefault="0080268F" w:rsidP="00C66F63">
          <w:pPr>
            <w:pStyle w:val="TDC2"/>
            <w:spacing w:after="13" w:line="240" w:lineRule="auto"/>
            <w:contextualSpacing/>
            <w:rPr>
              <w:rFonts w:eastAsiaTheme="minorEastAsia" w:cstheme="minorBidi"/>
              <w:b w:val="0"/>
              <w:i w:val="0"/>
              <w:sz w:val="18"/>
              <w:szCs w:val="18"/>
              <w:lang w:val="en-US" w:eastAsia="es-ES"/>
            </w:rPr>
          </w:pPr>
          <w:hyperlink w:anchor="_Toc506984143" w:history="1">
            <w:r w:rsidR="00BD1693" w:rsidRPr="007B2402">
              <w:rPr>
                <w:rStyle w:val="Hipervnculo"/>
                <w:b w:val="0"/>
                <w:i w:val="0"/>
                <w:sz w:val="18"/>
                <w:szCs w:val="18"/>
                <w:lang w:val="en-US"/>
              </w:rPr>
              <w:t>F.</w:t>
            </w:r>
            <w:r w:rsidR="005F1EAD" w:rsidRPr="007B2402">
              <w:rPr>
                <w:rStyle w:val="Hipervnculo"/>
                <w:b w:val="0"/>
                <w:i w:val="0"/>
                <w:sz w:val="18"/>
                <w:szCs w:val="18"/>
                <w:lang w:val="en-US"/>
              </w:rPr>
              <w:t xml:space="preserve"> </w:t>
            </w:r>
            <w:r w:rsidR="0063740A" w:rsidRPr="007B2402">
              <w:rPr>
                <w:rStyle w:val="Hipervnculo"/>
                <w:b w:val="0"/>
                <w:i w:val="0"/>
                <w:sz w:val="18"/>
                <w:szCs w:val="18"/>
                <w:lang w:val="en-US"/>
              </w:rPr>
              <w:t>C</w:t>
            </w:r>
            <w:r w:rsidR="00BD1693" w:rsidRPr="007B2402">
              <w:rPr>
                <w:rStyle w:val="Hipervnculo"/>
                <w:b w:val="0"/>
                <w:i w:val="0"/>
                <w:sz w:val="18"/>
                <w:szCs w:val="18"/>
                <w:lang w:val="en-US"/>
              </w:rPr>
              <w:t>ompensat</w:t>
            </w:r>
            <w:r w:rsidR="0063740A" w:rsidRPr="007B2402">
              <w:rPr>
                <w:rStyle w:val="Hipervnculo"/>
                <w:b w:val="0"/>
                <w:i w:val="0"/>
                <w:sz w:val="18"/>
                <w:szCs w:val="18"/>
                <w:lang w:val="en-US"/>
              </w:rPr>
              <w:t>ion</w:t>
            </w:r>
            <w:r w:rsidR="00BD1693" w:rsidRPr="007B2402">
              <w:rPr>
                <w:b w:val="0"/>
                <w:i w:val="0"/>
                <w:webHidden/>
                <w:sz w:val="18"/>
                <w:szCs w:val="18"/>
                <w:lang w:val="en-US"/>
              </w:rPr>
              <w:tab/>
            </w:r>
            <w:r w:rsidR="00BD1693" w:rsidRPr="007B2402">
              <w:rPr>
                <w:b w:val="0"/>
                <w:i w:val="0"/>
                <w:webHidden/>
                <w:sz w:val="18"/>
                <w:szCs w:val="18"/>
                <w:lang w:val="en-US"/>
              </w:rPr>
              <w:fldChar w:fldCharType="begin"/>
            </w:r>
            <w:r w:rsidR="00BD1693" w:rsidRPr="007B2402">
              <w:rPr>
                <w:b w:val="0"/>
                <w:i w:val="0"/>
                <w:webHidden/>
                <w:sz w:val="18"/>
                <w:szCs w:val="18"/>
                <w:lang w:val="en-US"/>
              </w:rPr>
              <w:instrText xml:space="preserve"> PAGEREF _Toc506984143 \h </w:instrText>
            </w:r>
            <w:r w:rsidR="00BD1693" w:rsidRPr="007B2402">
              <w:rPr>
                <w:b w:val="0"/>
                <w:i w:val="0"/>
                <w:webHidden/>
                <w:sz w:val="18"/>
                <w:szCs w:val="18"/>
                <w:lang w:val="en-US"/>
              </w:rPr>
            </w:r>
            <w:r w:rsidR="00BD1693" w:rsidRPr="007B2402">
              <w:rPr>
                <w:b w:val="0"/>
                <w:i w:val="0"/>
                <w:webHidden/>
                <w:sz w:val="18"/>
                <w:szCs w:val="18"/>
                <w:lang w:val="en-US"/>
              </w:rPr>
              <w:fldChar w:fldCharType="separate"/>
            </w:r>
            <w:r w:rsidR="005A36E1" w:rsidRPr="007B2402">
              <w:rPr>
                <w:b w:val="0"/>
                <w:i w:val="0"/>
                <w:webHidden/>
                <w:sz w:val="18"/>
                <w:szCs w:val="18"/>
                <w:lang w:val="en-US"/>
              </w:rPr>
              <w:t>9</w:t>
            </w:r>
            <w:r w:rsidR="007B2402" w:rsidRPr="007B2402">
              <w:rPr>
                <w:b w:val="0"/>
                <w:i w:val="0"/>
                <w:webHidden/>
                <w:sz w:val="18"/>
                <w:szCs w:val="18"/>
                <w:lang w:val="en-US"/>
              </w:rPr>
              <w:t>7</w:t>
            </w:r>
            <w:r w:rsidR="00BD1693" w:rsidRPr="007B2402">
              <w:rPr>
                <w:b w:val="0"/>
                <w:i w:val="0"/>
                <w:webHidden/>
                <w:sz w:val="18"/>
                <w:szCs w:val="18"/>
                <w:lang w:val="en-US"/>
              </w:rPr>
              <w:fldChar w:fldCharType="end"/>
            </w:r>
          </w:hyperlink>
        </w:p>
        <w:p w14:paraId="0F9D67B9" w14:textId="33FBA778" w:rsidR="00BD1693" w:rsidRPr="007B2402" w:rsidRDefault="0080268F" w:rsidP="00C66F63">
          <w:pPr>
            <w:pStyle w:val="TDC2"/>
            <w:spacing w:after="13" w:line="240" w:lineRule="auto"/>
            <w:contextualSpacing/>
            <w:rPr>
              <w:rFonts w:eastAsiaTheme="minorEastAsia" w:cstheme="minorBidi"/>
              <w:b w:val="0"/>
              <w:i w:val="0"/>
              <w:sz w:val="18"/>
              <w:szCs w:val="18"/>
              <w:lang w:val="en-US" w:eastAsia="es-ES"/>
            </w:rPr>
          </w:pPr>
          <w:hyperlink w:anchor="_Toc506984146" w:history="1">
            <w:r w:rsidR="00BD1693" w:rsidRPr="007B2402">
              <w:rPr>
                <w:rStyle w:val="Hipervnculo"/>
                <w:b w:val="0"/>
                <w:i w:val="0"/>
                <w:sz w:val="18"/>
                <w:szCs w:val="18"/>
                <w:lang w:val="en-US"/>
              </w:rPr>
              <w:t>G.</w:t>
            </w:r>
            <w:r w:rsidR="005F1EAD" w:rsidRPr="007B2402">
              <w:rPr>
                <w:rStyle w:val="Hipervnculo"/>
                <w:b w:val="0"/>
                <w:i w:val="0"/>
                <w:sz w:val="18"/>
                <w:szCs w:val="18"/>
                <w:lang w:val="en-US"/>
              </w:rPr>
              <w:t xml:space="preserve"> </w:t>
            </w:r>
            <w:r w:rsidR="0063740A" w:rsidRPr="007B2402">
              <w:rPr>
                <w:rStyle w:val="Hipervnculo"/>
                <w:b w:val="0"/>
                <w:i w:val="0"/>
                <w:sz w:val="18"/>
                <w:szCs w:val="18"/>
                <w:lang w:val="en-US"/>
              </w:rPr>
              <w:t>Costs and expenses</w:t>
            </w:r>
            <w:r w:rsidR="00BD1693" w:rsidRPr="007B2402">
              <w:rPr>
                <w:b w:val="0"/>
                <w:i w:val="0"/>
                <w:webHidden/>
                <w:sz w:val="18"/>
                <w:szCs w:val="18"/>
                <w:lang w:val="en-US"/>
              </w:rPr>
              <w:tab/>
            </w:r>
            <w:r w:rsidR="007B2402" w:rsidRPr="007B2402">
              <w:rPr>
                <w:b w:val="0"/>
                <w:i w:val="0"/>
                <w:webHidden/>
                <w:sz w:val="18"/>
                <w:szCs w:val="18"/>
                <w:lang w:val="en-US"/>
              </w:rPr>
              <w:t>99</w:t>
            </w:r>
          </w:hyperlink>
        </w:p>
        <w:p w14:paraId="24A0CE52" w14:textId="3AA80CD4" w:rsidR="00BD1693" w:rsidRPr="007B2402" w:rsidRDefault="0080268F" w:rsidP="00C66F63">
          <w:pPr>
            <w:pStyle w:val="TDC2"/>
            <w:spacing w:after="13" w:line="240" w:lineRule="auto"/>
            <w:contextualSpacing/>
            <w:rPr>
              <w:rFonts w:eastAsiaTheme="minorEastAsia" w:cstheme="minorBidi"/>
              <w:b w:val="0"/>
              <w:i w:val="0"/>
              <w:sz w:val="18"/>
              <w:szCs w:val="18"/>
              <w:lang w:val="en-US" w:eastAsia="es-ES"/>
            </w:rPr>
          </w:pPr>
          <w:hyperlink w:anchor="_Toc506984147" w:history="1">
            <w:r w:rsidR="00BD1693" w:rsidRPr="007B2402">
              <w:rPr>
                <w:rStyle w:val="Hipervnculo"/>
                <w:b w:val="0"/>
                <w:i w:val="0"/>
                <w:sz w:val="18"/>
                <w:szCs w:val="18"/>
                <w:lang w:val="en-US"/>
              </w:rPr>
              <w:t>H.</w:t>
            </w:r>
            <w:r w:rsidR="005F1EAD" w:rsidRPr="007B2402">
              <w:rPr>
                <w:rStyle w:val="Hipervnculo"/>
                <w:b w:val="0"/>
                <w:i w:val="0"/>
                <w:sz w:val="18"/>
                <w:szCs w:val="18"/>
                <w:lang w:val="en-US"/>
              </w:rPr>
              <w:t xml:space="preserve"> </w:t>
            </w:r>
            <w:r w:rsidR="0063740A" w:rsidRPr="007B2402">
              <w:rPr>
                <w:rStyle w:val="Hipervnculo"/>
                <w:b w:val="0"/>
                <w:i w:val="0"/>
                <w:sz w:val="18"/>
                <w:szCs w:val="18"/>
                <w:lang w:val="en-US"/>
              </w:rPr>
              <w:t>Reimbursement of expenditures to the</w:t>
            </w:r>
            <w:r w:rsidR="00BD1693" w:rsidRPr="007B2402">
              <w:rPr>
                <w:rStyle w:val="Hipervnculo"/>
                <w:b w:val="0"/>
                <w:i w:val="0"/>
                <w:sz w:val="18"/>
                <w:szCs w:val="18"/>
                <w:lang w:val="en-US"/>
              </w:rPr>
              <w:t xml:space="preserve"> </w:t>
            </w:r>
            <w:r w:rsidR="006E2CFF" w:rsidRPr="007B2402">
              <w:rPr>
                <w:rStyle w:val="Hipervnculo"/>
                <w:b w:val="0"/>
                <w:i w:val="0"/>
                <w:sz w:val="18"/>
                <w:szCs w:val="18"/>
                <w:lang w:val="en-US"/>
              </w:rPr>
              <w:t>Legal Assistance Fund</w:t>
            </w:r>
            <w:r w:rsidR="00BD1693" w:rsidRPr="007B2402">
              <w:rPr>
                <w:b w:val="0"/>
                <w:i w:val="0"/>
                <w:webHidden/>
                <w:sz w:val="18"/>
                <w:szCs w:val="18"/>
                <w:lang w:val="en-US"/>
              </w:rPr>
              <w:tab/>
            </w:r>
            <w:r w:rsidR="00BD1693" w:rsidRPr="007B2402">
              <w:rPr>
                <w:b w:val="0"/>
                <w:i w:val="0"/>
                <w:webHidden/>
                <w:sz w:val="18"/>
                <w:szCs w:val="18"/>
                <w:lang w:val="en-US"/>
              </w:rPr>
              <w:fldChar w:fldCharType="begin"/>
            </w:r>
            <w:r w:rsidR="00BD1693" w:rsidRPr="007B2402">
              <w:rPr>
                <w:b w:val="0"/>
                <w:i w:val="0"/>
                <w:webHidden/>
                <w:sz w:val="18"/>
                <w:szCs w:val="18"/>
                <w:lang w:val="en-US"/>
              </w:rPr>
              <w:instrText xml:space="preserve"> PAGEREF _Toc506984147 \h </w:instrText>
            </w:r>
            <w:r w:rsidR="00BD1693" w:rsidRPr="007B2402">
              <w:rPr>
                <w:b w:val="0"/>
                <w:i w:val="0"/>
                <w:webHidden/>
                <w:sz w:val="18"/>
                <w:szCs w:val="18"/>
                <w:lang w:val="en-US"/>
              </w:rPr>
            </w:r>
            <w:r w:rsidR="00BD1693" w:rsidRPr="007B2402">
              <w:rPr>
                <w:b w:val="0"/>
                <w:i w:val="0"/>
                <w:webHidden/>
                <w:sz w:val="18"/>
                <w:szCs w:val="18"/>
                <w:lang w:val="en-US"/>
              </w:rPr>
              <w:fldChar w:fldCharType="separate"/>
            </w:r>
            <w:r w:rsidR="005A36E1" w:rsidRPr="007B2402">
              <w:rPr>
                <w:b w:val="0"/>
                <w:i w:val="0"/>
                <w:webHidden/>
                <w:sz w:val="18"/>
                <w:szCs w:val="18"/>
                <w:lang w:val="en-US"/>
              </w:rPr>
              <w:t>10</w:t>
            </w:r>
            <w:r w:rsidR="007B2402" w:rsidRPr="007B2402">
              <w:rPr>
                <w:b w:val="0"/>
                <w:i w:val="0"/>
                <w:webHidden/>
                <w:sz w:val="18"/>
                <w:szCs w:val="18"/>
                <w:lang w:val="en-US"/>
              </w:rPr>
              <w:t>0</w:t>
            </w:r>
            <w:r w:rsidR="00BD1693" w:rsidRPr="007B2402">
              <w:rPr>
                <w:b w:val="0"/>
                <w:i w:val="0"/>
                <w:webHidden/>
                <w:sz w:val="18"/>
                <w:szCs w:val="18"/>
                <w:lang w:val="en-US"/>
              </w:rPr>
              <w:fldChar w:fldCharType="end"/>
            </w:r>
          </w:hyperlink>
        </w:p>
        <w:p w14:paraId="4817D669" w14:textId="2A6B4ED7" w:rsidR="00BD1693" w:rsidRPr="007B2402" w:rsidRDefault="0080268F" w:rsidP="00C66F63">
          <w:pPr>
            <w:pStyle w:val="TDC2"/>
            <w:spacing w:after="13" w:line="240" w:lineRule="auto"/>
            <w:contextualSpacing/>
            <w:rPr>
              <w:rFonts w:eastAsiaTheme="minorEastAsia" w:cstheme="minorBidi"/>
              <w:b w:val="0"/>
              <w:i w:val="0"/>
              <w:sz w:val="18"/>
              <w:szCs w:val="18"/>
              <w:lang w:val="en-US" w:eastAsia="es-ES"/>
            </w:rPr>
          </w:pPr>
          <w:hyperlink w:anchor="_Toc506984148" w:history="1">
            <w:r w:rsidR="00BD1693" w:rsidRPr="007B2402">
              <w:rPr>
                <w:rStyle w:val="Hipervnculo"/>
                <w:b w:val="0"/>
                <w:i w:val="0"/>
                <w:iCs/>
                <w:sz w:val="18"/>
                <w:szCs w:val="18"/>
                <w:lang w:val="en-US"/>
              </w:rPr>
              <w:t>I.</w:t>
            </w:r>
            <w:r w:rsidR="005F1EAD" w:rsidRPr="007B2402">
              <w:rPr>
                <w:rStyle w:val="Hipervnculo"/>
                <w:b w:val="0"/>
                <w:i w:val="0"/>
                <w:iCs/>
                <w:sz w:val="18"/>
                <w:szCs w:val="18"/>
                <w:lang w:val="en-US"/>
              </w:rPr>
              <w:t xml:space="preserve"> </w:t>
            </w:r>
            <w:r w:rsidR="0063740A" w:rsidRPr="007B2402">
              <w:rPr>
                <w:rStyle w:val="Hipervnculo"/>
                <w:b w:val="0"/>
                <w:i w:val="0"/>
                <w:sz w:val="18"/>
                <w:szCs w:val="18"/>
                <w:lang w:val="en-US"/>
              </w:rPr>
              <w:t>Method of complying with the payments ordered</w:t>
            </w:r>
            <w:r w:rsidR="00BD1693" w:rsidRPr="007B2402">
              <w:rPr>
                <w:b w:val="0"/>
                <w:i w:val="0"/>
                <w:webHidden/>
                <w:sz w:val="18"/>
                <w:szCs w:val="18"/>
                <w:lang w:val="en-US"/>
              </w:rPr>
              <w:tab/>
            </w:r>
            <w:r w:rsidR="00BD1693" w:rsidRPr="007B2402">
              <w:rPr>
                <w:b w:val="0"/>
                <w:i w:val="0"/>
                <w:webHidden/>
                <w:sz w:val="18"/>
                <w:szCs w:val="18"/>
                <w:lang w:val="en-US"/>
              </w:rPr>
              <w:fldChar w:fldCharType="begin"/>
            </w:r>
            <w:r w:rsidR="00BD1693" w:rsidRPr="007B2402">
              <w:rPr>
                <w:b w:val="0"/>
                <w:i w:val="0"/>
                <w:webHidden/>
                <w:sz w:val="18"/>
                <w:szCs w:val="18"/>
                <w:lang w:val="en-US"/>
              </w:rPr>
              <w:instrText xml:space="preserve"> PAGEREF _Toc506984148 \h </w:instrText>
            </w:r>
            <w:r w:rsidR="00BD1693" w:rsidRPr="007B2402">
              <w:rPr>
                <w:b w:val="0"/>
                <w:i w:val="0"/>
                <w:webHidden/>
                <w:sz w:val="18"/>
                <w:szCs w:val="18"/>
                <w:lang w:val="en-US"/>
              </w:rPr>
            </w:r>
            <w:r w:rsidR="00BD1693" w:rsidRPr="007B2402">
              <w:rPr>
                <w:b w:val="0"/>
                <w:i w:val="0"/>
                <w:webHidden/>
                <w:sz w:val="18"/>
                <w:szCs w:val="18"/>
                <w:lang w:val="en-US"/>
              </w:rPr>
              <w:fldChar w:fldCharType="separate"/>
            </w:r>
            <w:r w:rsidR="005A36E1" w:rsidRPr="007B2402">
              <w:rPr>
                <w:b w:val="0"/>
                <w:i w:val="0"/>
                <w:webHidden/>
                <w:sz w:val="18"/>
                <w:szCs w:val="18"/>
                <w:lang w:val="en-US"/>
              </w:rPr>
              <w:t>10</w:t>
            </w:r>
            <w:r w:rsidR="007B2402" w:rsidRPr="007B2402">
              <w:rPr>
                <w:b w:val="0"/>
                <w:i w:val="0"/>
                <w:webHidden/>
                <w:sz w:val="18"/>
                <w:szCs w:val="18"/>
                <w:lang w:val="en-US"/>
              </w:rPr>
              <w:t>1</w:t>
            </w:r>
            <w:r w:rsidR="00BD1693" w:rsidRPr="007B2402">
              <w:rPr>
                <w:b w:val="0"/>
                <w:i w:val="0"/>
                <w:webHidden/>
                <w:sz w:val="18"/>
                <w:szCs w:val="18"/>
                <w:lang w:val="en-US"/>
              </w:rPr>
              <w:fldChar w:fldCharType="end"/>
            </w:r>
          </w:hyperlink>
        </w:p>
        <w:p w14:paraId="558963F1" w14:textId="5FA831BA" w:rsidR="00BD1693" w:rsidRPr="007B2402" w:rsidRDefault="0080268F" w:rsidP="00C66F63">
          <w:pPr>
            <w:pStyle w:val="TDC1"/>
            <w:spacing w:after="13"/>
            <w:contextualSpacing/>
            <w:rPr>
              <w:rFonts w:eastAsiaTheme="minorEastAsia" w:cstheme="minorBidi"/>
              <w:sz w:val="18"/>
              <w:szCs w:val="18"/>
              <w:lang w:val="en-US"/>
            </w:rPr>
          </w:pPr>
          <w:hyperlink w:anchor="_Toc506984149" w:history="1">
            <w:r w:rsidR="00BD1693" w:rsidRPr="007B2402">
              <w:rPr>
                <w:rStyle w:val="Hipervnculo"/>
                <w:rFonts w:eastAsia="Times New Roman" w:cs="Verdana"/>
                <w:bCs/>
                <w:caps/>
                <w:sz w:val="18"/>
                <w:szCs w:val="18"/>
                <w:lang w:val="en-US"/>
              </w:rPr>
              <w:t xml:space="preserve">IX. </w:t>
            </w:r>
            <w:r w:rsidR="00221E16" w:rsidRPr="007B2402">
              <w:rPr>
                <w:rStyle w:val="Hipervnculo"/>
                <w:rFonts w:eastAsia="Times New Roman" w:cs="Verdana"/>
                <w:bCs/>
                <w:caps/>
                <w:sz w:val="18"/>
                <w:szCs w:val="18"/>
                <w:lang w:val="en-US"/>
              </w:rPr>
              <w:t>OPERATIVE PARAGRAPHS</w:t>
            </w:r>
            <w:r w:rsidR="00BD1693" w:rsidRPr="007B2402">
              <w:rPr>
                <w:webHidden/>
                <w:sz w:val="18"/>
                <w:szCs w:val="18"/>
                <w:lang w:val="en-US"/>
              </w:rPr>
              <w:tab/>
            </w:r>
            <w:r w:rsidR="00BD1693" w:rsidRPr="007B2402">
              <w:rPr>
                <w:webHidden/>
                <w:sz w:val="18"/>
                <w:szCs w:val="18"/>
                <w:lang w:val="en-US"/>
              </w:rPr>
              <w:fldChar w:fldCharType="begin"/>
            </w:r>
            <w:r w:rsidR="00BD1693" w:rsidRPr="007B2402">
              <w:rPr>
                <w:webHidden/>
                <w:sz w:val="18"/>
                <w:szCs w:val="18"/>
                <w:lang w:val="en-US"/>
              </w:rPr>
              <w:instrText xml:space="preserve"> PAGEREF _Toc506984149 \h </w:instrText>
            </w:r>
            <w:r w:rsidR="00BD1693" w:rsidRPr="007B2402">
              <w:rPr>
                <w:webHidden/>
                <w:sz w:val="18"/>
                <w:szCs w:val="18"/>
                <w:lang w:val="en-US"/>
              </w:rPr>
            </w:r>
            <w:r w:rsidR="00BD1693" w:rsidRPr="007B2402">
              <w:rPr>
                <w:webHidden/>
                <w:sz w:val="18"/>
                <w:szCs w:val="18"/>
                <w:lang w:val="en-US"/>
              </w:rPr>
              <w:fldChar w:fldCharType="separate"/>
            </w:r>
            <w:r w:rsidR="005A36E1" w:rsidRPr="007B2402">
              <w:rPr>
                <w:webHidden/>
                <w:sz w:val="18"/>
                <w:szCs w:val="18"/>
                <w:lang w:val="en-US"/>
              </w:rPr>
              <w:t>10</w:t>
            </w:r>
            <w:r w:rsidR="007B2402" w:rsidRPr="007B2402">
              <w:rPr>
                <w:webHidden/>
                <w:sz w:val="18"/>
                <w:szCs w:val="18"/>
                <w:lang w:val="en-US"/>
              </w:rPr>
              <w:t>1</w:t>
            </w:r>
            <w:r w:rsidR="00BD1693" w:rsidRPr="007B2402">
              <w:rPr>
                <w:webHidden/>
                <w:sz w:val="18"/>
                <w:szCs w:val="18"/>
                <w:lang w:val="en-US"/>
              </w:rPr>
              <w:fldChar w:fldCharType="end"/>
            </w:r>
          </w:hyperlink>
        </w:p>
        <w:p w14:paraId="6195A691" w14:textId="77777777" w:rsidR="00444129" w:rsidRPr="007B2402" w:rsidRDefault="001D1455" w:rsidP="00444129">
          <w:pPr>
            <w:spacing w:after="13" w:line="240" w:lineRule="auto"/>
            <w:contextualSpacing/>
            <w:jc w:val="both"/>
            <w:rPr>
              <w:rFonts w:eastAsia="Batang" w:cs="Times"/>
              <w:sz w:val="18"/>
              <w:szCs w:val="18"/>
              <w:lang w:val="en-US"/>
            </w:rPr>
          </w:pPr>
          <w:r w:rsidRPr="007B2402">
            <w:rPr>
              <w:rFonts w:eastAsia="Batang" w:cs="Times"/>
              <w:bCs/>
              <w:noProof/>
              <w:sz w:val="18"/>
              <w:szCs w:val="18"/>
              <w:lang w:val="en-US"/>
            </w:rPr>
            <w:fldChar w:fldCharType="end"/>
          </w:r>
        </w:p>
      </w:sdtContent>
    </w:sdt>
    <w:bookmarkStart w:id="0" w:name="_Toc369989729" w:displacedByCustomXml="prev"/>
    <w:bookmarkStart w:id="1" w:name="_Toc438132269" w:displacedByCustomXml="prev"/>
    <w:bookmarkStart w:id="2" w:name="_Toc288744729" w:displacedByCustomXml="prev"/>
    <w:bookmarkStart w:id="3" w:name="_Toc486693351" w:displacedByCustomXml="prev"/>
    <w:bookmarkStart w:id="4" w:name="_Toc486842767" w:displacedByCustomXml="prev"/>
    <w:bookmarkStart w:id="5" w:name="_Toc486842905" w:displacedByCustomXml="prev"/>
    <w:bookmarkStart w:id="6" w:name="_Toc491935490" w:displacedByCustomXml="prev"/>
    <w:p w14:paraId="3B171176" w14:textId="6AD3C130" w:rsidR="001D1455" w:rsidRPr="007B2402" w:rsidRDefault="001D1455" w:rsidP="000230DA">
      <w:pPr>
        <w:keepNext/>
        <w:keepLines/>
        <w:snapToGrid w:val="0"/>
        <w:spacing w:after="0" w:line="240" w:lineRule="auto"/>
        <w:ind w:right="-6"/>
        <w:jc w:val="center"/>
        <w:outlineLvl w:val="0"/>
        <w:rPr>
          <w:rFonts w:eastAsia="Times New Roman" w:cs="Verdana"/>
          <w:b/>
          <w:bCs/>
          <w:caps/>
          <w:noProof/>
          <w:szCs w:val="20"/>
          <w:lang w:val="en-US" w:eastAsia="es-ES"/>
        </w:rPr>
      </w:pPr>
      <w:bookmarkStart w:id="7" w:name="_Toc506984071"/>
      <w:r w:rsidRPr="007B2402">
        <w:rPr>
          <w:rFonts w:eastAsia="Times New Roman" w:cs="Verdana"/>
          <w:b/>
          <w:bCs/>
          <w:caps/>
          <w:noProof/>
          <w:szCs w:val="20"/>
          <w:lang w:val="en-US" w:eastAsia="es-ES"/>
        </w:rPr>
        <w:lastRenderedPageBreak/>
        <w:t>I</w:t>
      </w:r>
      <w:r w:rsidRPr="007B2402">
        <w:rPr>
          <w:rFonts w:eastAsia="Times New Roman" w:cs="Verdana"/>
          <w:b/>
          <w:bCs/>
          <w:caps/>
          <w:noProof/>
          <w:color w:val="FFFFFF" w:themeColor="background1"/>
          <w:szCs w:val="20"/>
          <w:lang w:val="en-US" w:eastAsia="es-ES"/>
        </w:rPr>
        <w:t>.</w:t>
      </w:r>
      <w:r w:rsidRPr="007B2402">
        <w:rPr>
          <w:rFonts w:eastAsia="Times New Roman" w:cs="Verdana"/>
          <w:b/>
          <w:bCs/>
          <w:caps/>
          <w:noProof/>
          <w:szCs w:val="20"/>
          <w:lang w:val="en-US" w:eastAsia="es-ES"/>
        </w:rPr>
        <w:br/>
      </w:r>
      <w:r w:rsidR="00AF4344" w:rsidRPr="007B2402">
        <w:rPr>
          <w:rFonts w:eastAsia="Times New Roman" w:cs="Verdana"/>
          <w:b/>
          <w:bCs/>
          <w:caps/>
          <w:noProof/>
          <w:szCs w:val="20"/>
          <w:lang w:val="en-US" w:eastAsia="es-ES"/>
        </w:rPr>
        <w:t>INTRODUCTION OF THE CASE AND PURPOSE OF THE DISPUTE</w:t>
      </w:r>
      <w:bookmarkEnd w:id="7"/>
      <w:bookmarkEnd w:id="6"/>
      <w:bookmarkEnd w:id="5"/>
      <w:bookmarkEnd w:id="4"/>
      <w:bookmarkEnd w:id="3"/>
      <w:bookmarkEnd w:id="2"/>
      <w:bookmarkEnd w:id="1"/>
      <w:bookmarkEnd w:id="0"/>
    </w:p>
    <w:p w14:paraId="1A70D7AE" w14:textId="77777777" w:rsidR="000230DA" w:rsidRPr="007B2402" w:rsidRDefault="000230DA" w:rsidP="000230DA">
      <w:pPr>
        <w:autoSpaceDE w:val="0"/>
        <w:autoSpaceDN w:val="0"/>
        <w:adjustRightInd w:val="0"/>
        <w:spacing w:after="0" w:line="240" w:lineRule="auto"/>
        <w:ind w:right="6"/>
        <w:jc w:val="both"/>
        <w:rPr>
          <w:rFonts w:eastAsia="Batang" w:cs="Times"/>
          <w:noProof/>
          <w:szCs w:val="20"/>
          <w:lang w:val="en-US"/>
        </w:rPr>
      </w:pPr>
    </w:p>
    <w:p w14:paraId="7F05AD50" w14:textId="1C9ECCEF" w:rsidR="001D1455" w:rsidRPr="007B2402" w:rsidRDefault="00AF4344" w:rsidP="00DB1F30">
      <w:pPr>
        <w:numPr>
          <w:ilvl w:val="0"/>
          <w:numId w:val="6"/>
        </w:numPr>
        <w:autoSpaceDE w:val="0"/>
        <w:autoSpaceDN w:val="0"/>
        <w:adjustRightInd w:val="0"/>
        <w:spacing w:after="0" w:line="240" w:lineRule="auto"/>
        <w:ind w:right="6"/>
        <w:jc w:val="both"/>
        <w:rPr>
          <w:rFonts w:eastAsia="Batang" w:cs="Times"/>
          <w:noProof/>
          <w:szCs w:val="20"/>
          <w:lang w:val="en-US"/>
        </w:rPr>
      </w:pPr>
      <w:r w:rsidRPr="007B2402">
        <w:rPr>
          <w:rFonts w:eastAsia="Batang" w:cs="Times"/>
          <w:i/>
          <w:noProof/>
          <w:szCs w:val="20"/>
          <w:lang w:val="en-US"/>
        </w:rPr>
        <w:t>The case submitted to</w:t>
      </w:r>
      <w:r w:rsidR="001D1455" w:rsidRPr="007B2402">
        <w:rPr>
          <w:rFonts w:eastAsia="Batang" w:cs="Times"/>
          <w:i/>
          <w:noProof/>
          <w:szCs w:val="20"/>
          <w:lang w:val="en-US"/>
        </w:rPr>
        <w:t xml:space="preserve"> </w:t>
      </w:r>
      <w:r w:rsidRPr="007B2402">
        <w:rPr>
          <w:rFonts w:eastAsia="Batang" w:cs="Times"/>
          <w:i/>
          <w:noProof/>
          <w:szCs w:val="20"/>
          <w:lang w:val="en-US"/>
        </w:rPr>
        <w:t>the Court</w:t>
      </w:r>
      <w:r w:rsidR="001D1455" w:rsidRPr="007B2402">
        <w:rPr>
          <w:rFonts w:eastAsia="Batang" w:cs="Times"/>
          <w:i/>
          <w:noProof/>
          <w:szCs w:val="20"/>
          <w:lang w:val="en-US"/>
        </w:rPr>
        <w:t xml:space="preserve">. </w:t>
      </w:r>
      <w:bookmarkStart w:id="8" w:name="_Ref363651855"/>
      <w:r w:rsidRPr="007B2402">
        <w:rPr>
          <w:rFonts w:eastAsia="Batang" w:cs="Times"/>
          <w:noProof/>
          <w:szCs w:val="20"/>
          <w:lang w:val="en-US"/>
        </w:rPr>
        <w:t>On April 22,</w:t>
      </w:r>
      <w:r w:rsidR="001D1455" w:rsidRPr="007B2402">
        <w:rPr>
          <w:rFonts w:eastAsia="Batang" w:cs="Times"/>
          <w:noProof/>
          <w:szCs w:val="20"/>
          <w:lang w:val="en-US"/>
        </w:rPr>
        <w:t xml:space="preserve"> 2016</w:t>
      </w:r>
      <w:r w:rsidRPr="007B2402">
        <w:rPr>
          <w:rFonts w:eastAsia="Batang" w:cs="Times"/>
          <w:noProof/>
          <w:szCs w:val="20"/>
          <w:lang w:val="en-US"/>
        </w:rPr>
        <w:t>,</w:t>
      </w:r>
      <w:r w:rsidR="001D1455" w:rsidRPr="007B2402">
        <w:rPr>
          <w:rFonts w:eastAsia="Batang" w:cs="Times"/>
          <w:noProof/>
          <w:szCs w:val="20"/>
          <w:lang w:val="en-US"/>
        </w:rPr>
        <w:t xml:space="preserve"> </w:t>
      </w:r>
      <w:r w:rsidRPr="007B2402">
        <w:rPr>
          <w:rFonts w:eastAsia="Batang" w:cs="Times"/>
          <w:noProof/>
          <w:szCs w:val="20"/>
          <w:lang w:val="en-US"/>
        </w:rPr>
        <w:t>the Inter-American Commission on Human Rights</w:t>
      </w:r>
      <w:r w:rsidR="001D1455" w:rsidRPr="007B2402">
        <w:rPr>
          <w:rFonts w:eastAsia="Batang" w:cs="Times"/>
          <w:noProof/>
          <w:szCs w:val="20"/>
          <w:lang w:val="en-US"/>
        </w:rPr>
        <w:t xml:space="preserve"> (</w:t>
      </w:r>
      <w:r w:rsidRPr="007B2402">
        <w:rPr>
          <w:rFonts w:eastAsia="Batang" w:cs="Times"/>
          <w:noProof/>
          <w:szCs w:val="20"/>
          <w:lang w:val="en-US"/>
        </w:rPr>
        <w:t>hereinafter</w:t>
      </w:r>
      <w:r w:rsidR="001D1455" w:rsidRPr="007B2402">
        <w:rPr>
          <w:rFonts w:eastAsia="Batang" w:cs="Times"/>
          <w:noProof/>
          <w:szCs w:val="20"/>
          <w:lang w:val="en-US"/>
        </w:rPr>
        <w:t xml:space="preserve"> “</w:t>
      </w:r>
      <w:r w:rsidRPr="007B2402">
        <w:rPr>
          <w:rFonts w:eastAsia="Batang" w:cs="Times"/>
          <w:noProof/>
          <w:szCs w:val="20"/>
          <w:lang w:val="en-US"/>
        </w:rPr>
        <w:t>the Inter-American Commission</w:t>
      </w:r>
      <w:r w:rsidR="001D1455" w:rsidRPr="007B2402">
        <w:rPr>
          <w:rFonts w:eastAsia="Batang" w:cs="Times"/>
          <w:noProof/>
          <w:szCs w:val="20"/>
          <w:lang w:val="en-US"/>
        </w:rPr>
        <w:t>” o</w:t>
      </w:r>
      <w:r w:rsidRPr="007B2402">
        <w:rPr>
          <w:rFonts w:eastAsia="Batang" w:cs="Times"/>
          <w:noProof/>
          <w:szCs w:val="20"/>
          <w:lang w:val="en-US"/>
        </w:rPr>
        <w:t>r</w:t>
      </w:r>
      <w:r w:rsidR="001D1455" w:rsidRPr="007B2402">
        <w:rPr>
          <w:rFonts w:eastAsia="Batang" w:cs="Times"/>
          <w:noProof/>
          <w:szCs w:val="20"/>
          <w:lang w:val="en-US"/>
        </w:rPr>
        <w:t xml:space="preserve"> “</w:t>
      </w:r>
      <w:r w:rsidRPr="007B2402">
        <w:rPr>
          <w:rFonts w:eastAsia="Batang" w:cs="Times"/>
          <w:noProof/>
          <w:szCs w:val="20"/>
          <w:lang w:val="en-US"/>
        </w:rPr>
        <w:t>the Commission</w:t>
      </w:r>
      <w:r w:rsidR="001D1455" w:rsidRPr="007B2402">
        <w:rPr>
          <w:rFonts w:eastAsia="Batang" w:cs="Times"/>
          <w:noProof/>
          <w:szCs w:val="20"/>
          <w:lang w:val="en-US"/>
        </w:rPr>
        <w:t>”) s</w:t>
      </w:r>
      <w:r w:rsidRPr="007B2402">
        <w:rPr>
          <w:rFonts w:eastAsia="Batang" w:cs="Times"/>
          <w:noProof/>
          <w:szCs w:val="20"/>
          <w:lang w:val="en-US"/>
        </w:rPr>
        <w:t>ubmitted to</w:t>
      </w:r>
      <w:r w:rsidR="001D1455" w:rsidRPr="007B2402">
        <w:rPr>
          <w:rFonts w:eastAsia="Batang" w:cs="Times"/>
          <w:noProof/>
          <w:szCs w:val="20"/>
          <w:lang w:val="en-US"/>
        </w:rPr>
        <w:t xml:space="preserve"> </w:t>
      </w:r>
      <w:r w:rsidRPr="007B2402">
        <w:rPr>
          <w:rFonts w:eastAsia="Batang" w:cs="Times"/>
          <w:noProof/>
          <w:szCs w:val="20"/>
          <w:lang w:val="en-US"/>
        </w:rPr>
        <w:t>the Court</w:t>
      </w:r>
      <w:r w:rsidR="001D1455" w:rsidRPr="007B2402">
        <w:rPr>
          <w:rFonts w:eastAsia="Batang" w:cs="Times"/>
          <w:noProof/>
          <w:szCs w:val="20"/>
          <w:lang w:val="en-US"/>
        </w:rPr>
        <w:t xml:space="preserve"> </w:t>
      </w:r>
      <w:r w:rsidRPr="007B2402">
        <w:rPr>
          <w:rFonts w:eastAsia="Batang" w:cs="Times"/>
          <w:noProof/>
          <w:szCs w:val="20"/>
          <w:lang w:val="en-US"/>
        </w:rPr>
        <w:t>the case of</w:t>
      </w:r>
      <w:r w:rsidR="001D1455" w:rsidRPr="007B2402">
        <w:rPr>
          <w:rFonts w:eastAsia="Batang" w:cs="Times"/>
          <w:noProof/>
          <w:szCs w:val="20"/>
          <w:lang w:val="en-US"/>
        </w:rPr>
        <w:t xml:space="preserve"> </w:t>
      </w:r>
      <w:r w:rsidR="004522FD" w:rsidRPr="007B2402">
        <w:rPr>
          <w:rFonts w:eastAsia="Batang" w:cs="Times"/>
          <w:noProof/>
          <w:szCs w:val="20"/>
          <w:lang w:val="en-US"/>
        </w:rPr>
        <w:t xml:space="preserve">Vladimir </w:t>
      </w:r>
      <w:r w:rsidRPr="007B2402">
        <w:rPr>
          <w:rFonts w:eastAsia="Batang" w:cs="Times"/>
          <w:noProof/>
          <w:szCs w:val="20"/>
          <w:lang w:val="en-US"/>
        </w:rPr>
        <w:t xml:space="preserve">Herzog </w:t>
      </w:r>
      <w:r w:rsidRPr="007B2402">
        <w:rPr>
          <w:rFonts w:eastAsia="Batang" w:cs="Times"/>
          <w:i/>
          <w:noProof/>
          <w:szCs w:val="20"/>
          <w:lang w:val="en-US"/>
        </w:rPr>
        <w:t>et al.</w:t>
      </w:r>
      <w:r w:rsidR="001D1455" w:rsidRPr="007B2402">
        <w:rPr>
          <w:rFonts w:eastAsia="Batang" w:cs="Times"/>
          <w:i/>
          <w:iCs/>
          <w:noProof/>
          <w:szCs w:val="20"/>
          <w:lang w:val="en-US"/>
        </w:rPr>
        <w:t xml:space="preserve"> </w:t>
      </w:r>
      <w:r w:rsidRPr="007B2402">
        <w:rPr>
          <w:rFonts w:eastAsia="Batang" w:cs="Times"/>
          <w:i/>
          <w:iCs/>
          <w:noProof/>
          <w:szCs w:val="20"/>
          <w:lang w:val="en-US"/>
        </w:rPr>
        <w:t>v</w:t>
      </w:r>
      <w:r w:rsidR="00D94A00" w:rsidRPr="007B2402">
        <w:rPr>
          <w:rFonts w:eastAsia="Batang" w:cs="Times"/>
          <w:i/>
          <w:iCs/>
          <w:noProof/>
          <w:szCs w:val="20"/>
          <w:lang w:val="en-US"/>
        </w:rPr>
        <w:t>.</w:t>
      </w:r>
      <w:r w:rsidRPr="007B2402">
        <w:rPr>
          <w:rFonts w:eastAsia="Batang" w:cs="Times"/>
          <w:noProof/>
          <w:szCs w:val="20"/>
          <w:lang w:val="en-US"/>
        </w:rPr>
        <w:t xml:space="preserve"> the Fedrative Republic of </w:t>
      </w:r>
      <w:r w:rsidR="001D1455" w:rsidRPr="007B2402">
        <w:rPr>
          <w:rFonts w:eastAsia="Batang" w:cs="Times"/>
          <w:noProof/>
          <w:szCs w:val="20"/>
          <w:lang w:val="en-US"/>
        </w:rPr>
        <w:t xml:space="preserve"> </w:t>
      </w:r>
      <w:r w:rsidRPr="007B2402">
        <w:rPr>
          <w:rFonts w:eastAsia="Batang" w:cs="Times"/>
          <w:noProof/>
          <w:szCs w:val="20"/>
          <w:lang w:val="en-US"/>
        </w:rPr>
        <w:t>Brazil</w:t>
      </w:r>
      <w:r w:rsidR="001D1455" w:rsidRPr="007B2402">
        <w:rPr>
          <w:rFonts w:eastAsia="Batang" w:cs="Times"/>
          <w:i/>
          <w:noProof/>
          <w:szCs w:val="20"/>
          <w:lang w:val="en-US"/>
        </w:rPr>
        <w:t xml:space="preserve"> </w:t>
      </w:r>
      <w:r w:rsidR="001D1455" w:rsidRPr="007B2402">
        <w:rPr>
          <w:rFonts w:eastAsia="Batang" w:cs="Times"/>
          <w:noProof/>
          <w:szCs w:val="20"/>
          <w:lang w:val="en-US"/>
        </w:rPr>
        <w:t>(</w:t>
      </w:r>
      <w:r w:rsidRPr="007B2402">
        <w:rPr>
          <w:rFonts w:eastAsia="Batang" w:cs="Times"/>
          <w:noProof/>
          <w:szCs w:val="20"/>
          <w:lang w:val="en-US"/>
        </w:rPr>
        <w:t>hereinafter</w:t>
      </w:r>
      <w:r w:rsidR="001D1455" w:rsidRPr="007B2402">
        <w:rPr>
          <w:rFonts w:eastAsia="Batang" w:cs="Times"/>
          <w:noProof/>
          <w:szCs w:val="20"/>
          <w:lang w:val="en-US"/>
        </w:rPr>
        <w:t xml:space="preserve"> “</w:t>
      </w:r>
      <w:r w:rsidRPr="007B2402">
        <w:rPr>
          <w:rFonts w:eastAsia="Batang" w:cs="Times"/>
          <w:noProof/>
          <w:szCs w:val="20"/>
          <w:lang w:val="en-US"/>
        </w:rPr>
        <w:t>the State</w:t>
      </w:r>
      <w:r w:rsidR="001D1455" w:rsidRPr="007B2402">
        <w:rPr>
          <w:rFonts w:eastAsia="Batang" w:cs="Times"/>
          <w:noProof/>
          <w:szCs w:val="20"/>
          <w:lang w:val="en-US"/>
        </w:rPr>
        <w:t>” o</w:t>
      </w:r>
      <w:r w:rsidRPr="007B2402">
        <w:rPr>
          <w:rFonts w:eastAsia="Batang" w:cs="Times"/>
          <w:noProof/>
          <w:szCs w:val="20"/>
          <w:lang w:val="en-US"/>
        </w:rPr>
        <w:t>r</w:t>
      </w:r>
      <w:r w:rsidR="001D1455" w:rsidRPr="007B2402">
        <w:rPr>
          <w:rFonts w:eastAsia="Batang" w:cs="Times"/>
          <w:noProof/>
          <w:szCs w:val="20"/>
          <w:lang w:val="en-US"/>
        </w:rPr>
        <w:t xml:space="preserve"> “</w:t>
      </w:r>
      <w:r w:rsidRPr="007B2402">
        <w:rPr>
          <w:rFonts w:eastAsia="Batang" w:cs="Times"/>
          <w:noProof/>
          <w:szCs w:val="20"/>
          <w:lang w:val="en-US"/>
        </w:rPr>
        <w:t>Brazil</w:t>
      </w:r>
      <w:r w:rsidR="001D1455" w:rsidRPr="007B2402">
        <w:rPr>
          <w:rFonts w:eastAsia="Batang" w:cs="Times"/>
          <w:noProof/>
          <w:szCs w:val="20"/>
          <w:lang w:val="en-US"/>
        </w:rPr>
        <w:t>”).</w:t>
      </w:r>
      <w:r w:rsidR="001D1455" w:rsidRPr="007B2402">
        <w:rPr>
          <w:rFonts w:eastAsia="Batang" w:cs="Times"/>
          <w:noProof/>
          <w:color w:val="000000"/>
          <w:szCs w:val="20"/>
          <w:lang w:val="en-US"/>
        </w:rPr>
        <w:t xml:space="preserve"> </w:t>
      </w:r>
      <w:r w:rsidRPr="007B2402">
        <w:rPr>
          <w:rFonts w:eastAsia="Batang" w:cs="Times"/>
          <w:noProof/>
          <w:color w:val="000000"/>
          <w:szCs w:val="20"/>
          <w:lang w:val="en-US"/>
        </w:rPr>
        <w:t>According to the Commission</w:t>
      </w:r>
      <w:r w:rsidR="001D1455" w:rsidRPr="007B2402">
        <w:rPr>
          <w:rFonts w:eastAsia="Batang" w:cs="Times"/>
          <w:noProof/>
          <w:color w:val="000000"/>
          <w:szCs w:val="20"/>
          <w:lang w:val="en-US"/>
        </w:rPr>
        <w:t xml:space="preserve">, </w:t>
      </w:r>
      <w:r w:rsidRPr="007B2402">
        <w:rPr>
          <w:rFonts w:eastAsia="Batang" w:cs="Times"/>
          <w:noProof/>
          <w:color w:val="000000"/>
          <w:szCs w:val="20"/>
          <w:lang w:val="en-US"/>
        </w:rPr>
        <w:t xml:space="preserve">the case refers to the presumed international responsibility of the State for the situation of impunity of the arbitrary detention, torture and death of the journalist </w:t>
      </w:r>
      <w:r w:rsidR="004522FD" w:rsidRPr="007B2402">
        <w:rPr>
          <w:rFonts w:eastAsia="Batang" w:cs="Times"/>
          <w:noProof/>
          <w:szCs w:val="20"/>
          <w:lang w:val="en-US"/>
        </w:rPr>
        <w:t xml:space="preserve">Vladimir Herzog </w:t>
      </w:r>
      <w:r w:rsidRPr="007B2402">
        <w:rPr>
          <w:rFonts w:eastAsia="Batang" w:cs="Times"/>
          <w:noProof/>
          <w:szCs w:val="20"/>
          <w:lang w:val="en-US"/>
        </w:rPr>
        <w:t>on October</w:t>
      </w:r>
      <w:r w:rsidR="004522FD" w:rsidRPr="007B2402">
        <w:rPr>
          <w:rFonts w:eastAsia="Batang" w:cs="Times"/>
          <w:noProof/>
          <w:szCs w:val="20"/>
          <w:lang w:val="en-US"/>
        </w:rPr>
        <w:t xml:space="preserve"> 25</w:t>
      </w:r>
      <w:r w:rsidRPr="007B2402">
        <w:rPr>
          <w:rFonts w:eastAsia="Batang" w:cs="Times"/>
          <w:noProof/>
          <w:szCs w:val="20"/>
          <w:lang w:val="en-US"/>
        </w:rPr>
        <w:t xml:space="preserve">, </w:t>
      </w:r>
      <w:r w:rsidR="004522FD" w:rsidRPr="007B2402">
        <w:rPr>
          <w:rFonts w:eastAsia="Batang" w:cs="Times"/>
          <w:noProof/>
          <w:szCs w:val="20"/>
          <w:lang w:val="en-US"/>
        </w:rPr>
        <w:t>1975, dur</w:t>
      </w:r>
      <w:r w:rsidRPr="007B2402">
        <w:rPr>
          <w:rFonts w:eastAsia="Batang" w:cs="Times"/>
          <w:noProof/>
          <w:szCs w:val="20"/>
          <w:lang w:val="en-US"/>
        </w:rPr>
        <w:t>ing the mi</w:t>
      </w:r>
      <w:r w:rsidR="00375567" w:rsidRPr="007B2402">
        <w:rPr>
          <w:rFonts w:eastAsia="Batang" w:cs="Times"/>
          <w:noProof/>
          <w:szCs w:val="20"/>
          <w:lang w:val="en-US"/>
        </w:rPr>
        <w:t xml:space="preserve">litary dictatorship. This impunity was allegedly the result, </w:t>
      </w:r>
      <w:r w:rsidR="00375567" w:rsidRPr="007B2402">
        <w:rPr>
          <w:rFonts w:eastAsia="Batang" w:cs="Times"/>
          <w:i/>
          <w:noProof/>
          <w:szCs w:val="20"/>
          <w:lang w:val="en-US"/>
        </w:rPr>
        <w:t>inter alia</w:t>
      </w:r>
      <w:r w:rsidR="00375567" w:rsidRPr="007B2402">
        <w:rPr>
          <w:rFonts w:eastAsia="Batang" w:cs="Times"/>
          <w:noProof/>
          <w:szCs w:val="20"/>
          <w:lang w:val="en-US"/>
        </w:rPr>
        <w:t xml:space="preserve">, of Law </w:t>
      </w:r>
      <w:r w:rsidR="004522FD" w:rsidRPr="007B2402">
        <w:rPr>
          <w:rFonts w:eastAsia="Batang" w:cs="Times"/>
          <w:noProof/>
          <w:szCs w:val="20"/>
          <w:lang w:val="en-US"/>
        </w:rPr>
        <w:t xml:space="preserve">No. </w:t>
      </w:r>
      <w:r w:rsidR="00D94A00" w:rsidRPr="007B2402">
        <w:rPr>
          <w:rFonts w:eastAsia="Batang" w:cs="Times"/>
          <w:noProof/>
          <w:szCs w:val="20"/>
          <w:lang w:val="en-US"/>
        </w:rPr>
        <w:t>6,683</w:t>
      </w:r>
      <w:r w:rsidR="004522FD" w:rsidRPr="007B2402">
        <w:rPr>
          <w:rFonts w:eastAsia="Batang" w:cs="Times"/>
          <w:noProof/>
          <w:szCs w:val="20"/>
          <w:lang w:val="en-US"/>
        </w:rPr>
        <w:t>/79 (</w:t>
      </w:r>
      <w:r w:rsidR="00375567" w:rsidRPr="007B2402">
        <w:rPr>
          <w:rFonts w:eastAsia="Batang" w:cs="Times"/>
          <w:noProof/>
          <w:szCs w:val="20"/>
          <w:lang w:val="en-US"/>
        </w:rPr>
        <w:t>Amnesty Law</w:t>
      </w:r>
      <w:r w:rsidR="004522FD" w:rsidRPr="007B2402">
        <w:rPr>
          <w:rFonts w:eastAsia="Batang" w:cs="Times"/>
          <w:noProof/>
          <w:szCs w:val="20"/>
          <w:lang w:val="en-US"/>
        </w:rPr>
        <w:t>) promulga</w:t>
      </w:r>
      <w:r w:rsidR="00375567" w:rsidRPr="007B2402">
        <w:rPr>
          <w:rFonts w:eastAsia="Batang" w:cs="Times"/>
          <w:noProof/>
          <w:szCs w:val="20"/>
          <w:lang w:val="en-US"/>
        </w:rPr>
        <w:t xml:space="preserve">ted during the Brazilian military dictatorship. The presumed victims in this case are </w:t>
      </w:r>
      <w:r w:rsidR="00A8284E" w:rsidRPr="007B2402">
        <w:rPr>
          <w:rFonts w:eastAsia="Batang" w:cs="Times"/>
          <w:noProof/>
          <w:szCs w:val="20"/>
          <w:lang w:val="en-US"/>
        </w:rPr>
        <w:t xml:space="preserve">Clarice Herzog, Ivo Herzog, André Herzog </w:t>
      </w:r>
      <w:r w:rsidR="00375567" w:rsidRPr="007B2402">
        <w:rPr>
          <w:rFonts w:eastAsia="Batang" w:cs="Times"/>
          <w:noProof/>
          <w:szCs w:val="20"/>
          <w:lang w:val="en-US"/>
        </w:rPr>
        <w:t>and</w:t>
      </w:r>
      <w:r w:rsidR="00A8284E" w:rsidRPr="007B2402">
        <w:rPr>
          <w:rFonts w:eastAsia="Batang" w:cs="Times"/>
          <w:noProof/>
          <w:szCs w:val="20"/>
          <w:lang w:val="en-US"/>
        </w:rPr>
        <w:t xml:space="preserve"> Zora Herzog</w:t>
      </w:r>
      <w:r w:rsidR="00145791" w:rsidRPr="007B2402">
        <w:rPr>
          <w:rFonts w:eastAsia="Batang" w:cs="Times"/>
          <w:noProof/>
          <w:szCs w:val="20"/>
          <w:lang w:val="en-US"/>
        </w:rPr>
        <w:t>.</w:t>
      </w:r>
      <w:r w:rsidR="00A8284E" w:rsidRPr="007B2402">
        <w:rPr>
          <w:rFonts w:eastAsia="Batang" w:cs="Times"/>
          <w:noProof/>
          <w:szCs w:val="20"/>
          <w:lang w:val="en-US"/>
        </w:rPr>
        <w:t xml:space="preserve"> </w:t>
      </w:r>
    </w:p>
    <w:p w14:paraId="17D6D7EA" w14:textId="0A583B84" w:rsidR="001D1455" w:rsidRPr="007B2402" w:rsidRDefault="001D1455" w:rsidP="001D1455">
      <w:pPr>
        <w:autoSpaceDE w:val="0"/>
        <w:autoSpaceDN w:val="0"/>
        <w:adjustRightInd w:val="0"/>
        <w:spacing w:after="0" w:line="240" w:lineRule="auto"/>
        <w:ind w:right="4"/>
        <w:jc w:val="both"/>
        <w:rPr>
          <w:rFonts w:eastAsia="Batang" w:cs="Times"/>
          <w:noProof/>
          <w:szCs w:val="20"/>
          <w:lang w:val="en-US"/>
        </w:rPr>
      </w:pPr>
    </w:p>
    <w:p w14:paraId="2825FD9B" w14:textId="0BB740FF" w:rsidR="001D1455" w:rsidRPr="007B2402" w:rsidRDefault="00375567" w:rsidP="00DB1F30">
      <w:pPr>
        <w:numPr>
          <w:ilvl w:val="0"/>
          <w:numId w:val="6"/>
        </w:numPr>
        <w:spacing w:after="0" w:line="240" w:lineRule="auto"/>
        <w:ind w:right="4"/>
        <w:jc w:val="both"/>
        <w:rPr>
          <w:rFonts w:eastAsia="Batang" w:cs="Times"/>
          <w:noProof/>
          <w:szCs w:val="20"/>
          <w:lang w:val="en-US"/>
        </w:rPr>
      </w:pPr>
      <w:r w:rsidRPr="007B2402">
        <w:rPr>
          <w:rFonts w:eastAsia="Batang" w:cs="Times"/>
          <w:i/>
          <w:noProof/>
          <w:szCs w:val="20"/>
          <w:lang w:val="en-US"/>
        </w:rPr>
        <w:t>Procedure before</w:t>
      </w:r>
      <w:r w:rsidR="001D1455" w:rsidRPr="007B2402">
        <w:rPr>
          <w:rFonts w:eastAsia="Batang" w:cs="Times"/>
          <w:i/>
          <w:noProof/>
          <w:szCs w:val="20"/>
          <w:lang w:val="en-US"/>
        </w:rPr>
        <w:t xml:space="preserve"> </w:t>
      </w:r>
      <w:r w:rsidR="00AF4344" w:rsidRPr="007B2402">
        <w:rPr>
          <w:rFonts w:eastAsia="Batang" w:cs="Times"/>
          <w:i/>
          <w:noProof/>
          <w:szCs w:val="20"/>
          <w:lang w:val="en-US"/>
        </w:rPr>
        <w:t>the Commission</w:t>
      </w:r>
      <w:r w:rsidR="001D1455" w:rsidRPr="007B2402">
        <w:rPr>
          <w:rFonts w:eastAsia="Batang" w:cs="Times"/>
          <w:i/>
          <w:noProof/>
          <w:szCs w:val="20"/>
          <w:lang w:val="en-US"/>
        </w:rPr>
        <w:t xml:space="preserve">. </w:t>
      </w:r>
      <w:bookmarkEnd w:id="8"/>
      <w:r w:rsidRPr="007B2402">
        <w:rPr>
          <w:rFonts w:eastAsia="Batang" w:cs="Times"/>
          <w:noProof/>
          <w:szCs w:val="20"/>
          <w:lang w:val="en-US"/>
        </w:rPr>
        <w:t xml:space="preserve">The processing of the case before </w:t>
      </w:r>
      <w:r w:rsidR="00AF4344" w:rsidRPr="007B2402">
        <w:rPr>
          <w:rFonts w:eastAsia="Batang" w:cs="Times"/>
          <w:noProof/>
          <w:szCs w:val="20"/>
          <w:lang w:val="en-US"/>
        </w:rPr>
        <w:t>the Inter-American Commission</w:t>
      </w:r>
      <w:r w:rsidR="001D1455" w:rsidRPr="007B2402">
        <w:rPr>
          <w:rFonts w:eastAsia="Batang" w:cs="Times"/>
          <w:noProof/>
          <w:szCs w:val="20"/>
          <w:lang w:val="en-US"/>
        </w:rPr>
        <w:t xml:space="preserve"> </w:t>
      </w:r>
      <w:r w:rsidRPr="007B2402">
        <w:rPr>
          <w:rFonts w:eastAsia="Batang" w:cs="Times"/>
          <w:noProof/>
          <w:szCs w:val="20"/>
          <w:lang w:val="en-US"/>
        </w:rPr>
        <w:t>was as follows:</w:t>
      </w:r>
    </w:p>
    <w:p w14:paraId="547EF5BB" w14:textId="77777777" w:rsidR="001D1455" w:rsidRPr="007B2402" w:rsidRDefault="001D1455" w:rsidP="001D1455">
      <w:pPr>
        <w:spacing w:after="0" w:line="240" w:lineRule="auto"/>
        <w:jc w:val="both"/>
        <w:rPr>
          <w:rFonts w:eastAsia="Batang" w:cs="Times"/>
          <w:noProof/>
          <w:szCs w:val="20"/>
          <w:lang w:val="en-US"/>
        </w:rPr>
      </w:pPr>
    </w:p>
    <w:p w14:paraId="25A5D948" w14:textId="7E06D18C" w:rsidR="001D1455" w:rsidRPr="007B2402" w:rsidRDefault="001D1455" w:rsidP="00DB1F30">
      <w:pPr>
        <w:numPr>
          <w:ilvl w:val="0"/>
          <w:numId w:val="7"/>
        </w:numPr>
        <w:spacing w:after="0" w:line="240" w:lineRule="auto"/>
        <w:ind w:right="4"/>
        <w:jc w:val="both"/>
        <w:rPr>
          <w:rFonts w:eastAsia="Batang" w:cs="Times"/>
          <w:noProof/>
          <w:szCs w:val="20"/>
          <w:lang w:val="en-US"/>
        </w:rPr>
      </w:pPr>
      <w:r w:rsidRPr="007B2402">
        <w:rPr>
          <w:rFonts w:eastAsia="Batang" w:cs="Times"/>
          <w:i/>
          <w:noProof/>
          <w:szCs w:val="20"/>
          <w:lang w:val="en-US"/>
        </w:rPr>
        <w:t>Peti</w:t>
      </w:r>
      <w:r w:rsidR="00375567" w:rsidRPr="007B2402">
        <w:rPr>
          <w:rFonts w:eastAsia="Batang" w:cs="Times"/>
          <w:i/>
          <w:noProof/>
          <w:szCs w:val="20"/>
          <w:lang w:val="en-US"/>
        </w:rPr>
        <w:t>tio</w:t>
      </w:r>
      <w:r w:rsidRPr="007B2402">
        <w:rPr>
          <w:rFonts w:eastAsia="Batang" w:cs="Times"/>
          <w:i/>
          <w:noProof/>
          <w:szCs w:val="20"/>
          <w:lang w:val="en-US"/>
        </w:rPr>
        <w:t xml:space="preserve">n. </w:t>
      </w:r>
      <w:r w:rsidR="00375567" w:rsidRPr="007B2402">
        <w:rPr>
          <w:rFonts w:eastAsia="Batang" w:cs="Times"/>
          <w:noProof/>
          <w:szCs w:val="20"/>
          <w:lang w:val="en-US"/>
        </w:rPr>
        <w:t>On July 10,</w:t>
      </w:r>
      <w:r w:rsidR="00933A36" w:rsidRPr="007B2402">
        <w:rPr>
          <w:rFonts w:eastAsia="Batang" w:cs="Times"/>
          <w:noProof/>
          <w:szCs w:val="20"/>
          <w:lang w:val="en-US"/>
        </w:rPr>
        <w:t xml:space="preserve"> 2009</w:t>
      </w:r>
      <w:r w:rsidR="00375567" w:rsidRPr="007B2402">
        <w:rPr>
          <w:rFonts w:eastAsia="Batang" w:cs="Times"/>
          <w:noProof/>
          <w:szCs w:val="20"/>
          <w:lang w:val="en-US"/>
        </w:rPr>
        <w:t>,</w:t>
      </w:r>
      <w:r w:rsidRPr="007B2402">
        <w:rPr>
          <w:rFonts w:eastAsia="Batang" w:cs="Times"/>
          <w:noProof/>
          <w:szCs w:val="20"/>
          <w:lang w:val="en-US"/>
        </w:rPr>
        <w:t xml:space="preserve"> </w:t>
      </w:r>
      <w:r w:rsidR="00AF4344" w:rsidRPr="007B2402">
        <w:rPr>
          <w:rFonts w:eastAsia="Batang" w:cs="Times"/>
          <w:noProof/>
          <w:szCs w:val="20"/>
          <w:lang w:val="en-US"/>
        </w:rPr>
        <w:t>the Commission</w:t>
      </w:r>
      <w:r w:rsidRPr="007B2402">
        <w:rPr>
          <w:rFonts w:eastAsia="Batang" w:cs="Times"/>
          <w:noProof/>
          <w:szCs w:val="20"/>
          <w:lang w:val="en-US"/>
        </w:rPr>
        <w:t xml:space="preserve"> rec</w:t>
      </w:r>
      <w:r w:rsidR="00375567" w:rsidRPr="007B2402">
        <w:rPr>
          <w:rFonts w:eastAsia="Batang" w:cs="Times"/>
          <w:noProof/>
          <w:szCs w:val="20"/>
          <w:lang w:val="en-US"/>
        </w:rPr>
        <w:t xml:space="preserve">eived the initial petiton lodged by the Center for Justice and International Law </w:t>
      </w:r>
      <w:r w:rsidR="00933A36" w:rsidRPr="007B2402">
        <w:rPr>
          <w:rFonts w:eastAsia="Batang" w:cs="Times"/>
          <w:noProof/>
          <w:szCs w:val="20"/>
          <w:lang w:val="en-US"/>
        </w:rPr>
        <w:t xml:space="preserve">(CEJIL), </w:t>
      </w:r>
      <w:r w:rsidR="00375567" w:rsidRPr="007B2402">
        <w:rPr>
          <w:rFonts w:eastAsia="Batang" w:cs="Times"/>
          <w:noProof/>
          <w:szCs w:val="20"/>
          <w:lang w:val="en-US"/>
        </w:rPr>
        <w:t xml:space="preserve">the Inter-American Foundation for the Defense of Human Rights </w:t>
      </w:r>
      <w:r w:rsidR="00933A36" w:rsidRPr="007B2402">
        <w:rPr>
          <w:rFonts w:eastAsia="Batang" w:cs="Times"/>
          <w:noProof/>
          <w:szCs w:val="20"/>
          <w:lang w:val="en-US"/>
        </w:rPr>
        <w:t>(F</w:t>
      </w:r>
      <w:r w:rsidR="00375567" w:rsidRPr="007B2402">
        <w:rPr>
          <w:rFonts w:eastAsia="Batang" w:cs="Times"/>
          <w:noProof/>
          <w:szCs w:val="20"/>
          <w:lang w:val="en-US"/>
        </w:rPr>
        <w:t>ID</w:t>
      </w:r>
      <w:r w:rsidR="00933A36" w:rsidRPr="007B2402">
        <w:rPr>
          <w:rFonts w:eastAsia="Batang" w:cs="Times"/>
          <w:noProof/>
          <w:szCs w:val="20"/>
          <w:lang w:val="en-US"/>
        </w:rPr>
        <w:t xml:space="preserve">DH), </w:t>
      </w:r>
      <w:r w:rsidR="00375567" w:rsidRPr="007B2402">
        <w:rPr>
          <w:rFonts w:eastAsia="Batang" w:cs="Times"/>
          <w:noProof/>
          <w:szCs w:val="20"/>
          <w:lang w:val="en-US"/>
        </w:rPr>
        <w:t>the</w:t>
      </w:r>
      <w:r w:rsidR="00933A36" w:rsidRPr="007B2402">
        <w:rPr>
          <w:rFonts w:eastAsia="Batang" w:cs="Times"/>
          <w:noProof/>
          <w:szCs w:val="20"/>
          <w:lang w:val="en-US"/>
        </w:rPr>
        <w:t xml:space="preserve"> </w:t>
      </w:r>
      <w:r w:rsidR="00375567" w:rsidRPr="007B2402">
        <w:rPr>
          <w:rFonts w:eastAsia="Batang" w:cs="Times"/>
          <w:noProof/>
          <w:szCs w:val="20"/>
          <w:lang w:val="en-US"/>
        </w:rPr>
        <w:t>“</w:t>
      </w:r>
      <w:r w:rsidR="00933A36" w:rsidRPr="007B2402">
        <w:rPr>
          <w:rFonts w:eastAsia="Batang" w:cs="Times"/>
          <w:noProof/>
          <w:szCs w:val="20"/>
          <w:lang w:val="en-US"/>
        </w:rPr>
        <w:t>Santos Días</w:t>
      </w:r>
      <w:r w:rsidR="00375567" w:rsidRPr="007B2402">
        <w:rPr>
          <w:rFonts w:eastAsia="Batang" w:cs="Times"/>
          <w:noProof/>
          <w:szCs w:val="20"/>
          <w:lang w:val="en-US"/>
        </w:rPr>
        <w:t xml:space="preserve">” Center of the </w:t>
      </w:r>
      <w:r w:rsidR="00375567" w:rsidRPr="007B2402">
        <w:rPr>
          <w:szCs w:val="20"/>
          <w:lang w:val="en-US"/>
        </w:rPr>
        <w:t xml:space="preserve">Archdiocese of </w:t>
      </w:r>
      <w:r w:rsidR="00375567" w:rsidRPr="007B2402">
        <w:rPr>
          <w:rStyle w:val="nfasis"/>
          <w:rFonts w:ascii="Verdana" w:hAnsi="Verdana" w:cs="Arial"/>
          <w:i w:val="0"/>
          <w:szCs w:val="20"/>
          <w:lang w:val="en-US"/>
        </w:rPr>
        <w:t>São Paulo</w:t>
      </w:r>
      <w:r w:rsidR="00375567" w:rsidRPr="007B2402">
        <w:rPr>
          <w:szCs w:val="20"/>
          <w:lang w:val="en-US"/>
        </w:rPr>
        <w:t xml:space="preserve"> and the “No More Torture” Group of </w:t>
      </w:r>
      <w:r w:rsidR="00375567" w:rsidRPr="007B2402">
        <w:rPr>
          <w:rStyle w:val="nfasis"/>
          <w:rFonts w:ascii="Verdana" w:hAnsi="Verdana" w:cs="Arial"/>
          <w:i w:val="0"/>
          <w:szCs w:val="20"/>
          <w:lang w:val="en-US"/>
        </w:rPr>
        <w:t>São Paulo</w:t>
      </w:r>
      <w:r w:rsidR="002A3AA3" w:rsidRPr="007B2402">
        <w:rPr>
          <w:rFonts w:eastAsia="Batang" w:cs="Times"/>
          <w:noProof/>
          <w:szCs w:val="20"/>
          <w:lang w:val="en-US"/>
        </w:rPr>
        <w:t>, and it became</w:t>
      </w:r>
      <w:r w:rsidRPr="007B2402">
        <w:rPr>
          <w:rFonts w:eastAsia="Batang" w:cs="Times"/>
          <w:noProof/>
          <w:szCs w:val="20"/>
          <w:lang w:val="en-US"/>
        </w:rPr>
        <w:t xml:space="preserve"> </w:t>
      </w:r>
      <w:r w:rsidR="00375567" w:rsidRPr="007B2402">
        <w:rPr>
          <w:rFonts w:eastAsia="Batang" w:cs="Times"/>
          <w:noProof/>
          <w:szCs w:val="20"/>
          <w:lang w:val="en-US"/>
        </w:rPr>
        <w:t xml:space="preserve">case </w:t>
      </w:r>
      <w:r w:rsidR="002A3AA3" w:rsidRPr="007B2402">
        <w:rPr>
          <w:rFonts w:eastAsia="Batang" w:cs="Times"/>
          <w:noProof/>
          <w:szCs w:val="20"/>
          <w:lang w:val="en-US"/>
        </w:rPr>
        <w:t xml:space="preserve">No. </w:t>
      </w:r>
      <w:r w:rsidR="00375567" w:rsidRPr="007B2402">
        <w:rPr>
          <w:rFonts w:eastAsia="Batang" w:cs="Times"/>
          <w:noProof/>
          <w:szCs w:val="20"/>
          <w:lang w:val="en-US"/>
        </w:rPr>
        <w:t>12,879</w:t>
      </w:r>
      <w:r w:rsidRPr="007B2402">
        <w:rPr>
          <w:rFonts w:eastAsia="Calibri" w:cs="Times New Roman"/>
          <w:noProof/>
          <w:szCs w:val="20"/>
          <w:lang w:val="en-US"/>
        </w:rPr>
        <w:t>.</w:t>
      </w:r>
    </w:p>
    <w:p w14:paraId="668D6A88" w14:textId="77777777" w:rsidR="001D1455" w:rsidRPr="007B2402" w:rsidRDefault="001D1455" w:rsidP="001D1455">
      <w:pPr>
        <w:spacing w:after="0" w:line="240" w:lineRule="auto"/>
        <w:ind w:left="720" w:right="4"/>
        <w:jc w:val="both"/>
        <w:rPr>
          <w:rFonts w:eastAsia="Batang" w:cs="Times"/>
          <w:noProof/>
          <w:szCs w:val="20"/>
          <w:lang w:val="en-US"/>
        </w:rPr>
      </w:pPr>
    </w:p>
    <w:p w14:paraId="5A3CD944" w14:textId="67B4B6B7" w:rsidR="001D1455" w:rsidRPr="007B2402" w:rsidRDefault="00375567" w:rsidP="00DB1F30">
      <w:pPr>
        <w:numPr>
          <w:ilvl w:val="0"/>
          <w:numId w:val="7"/>
        </w:numPr>
        <w:spacing w:after="0" w:line="240" w:lineRule="auto"/>
        <w:ind w:right="4"/>
        <w:jc w:val="both"/>
        <w:rPr>
          <w:rFonts w:eastAsia="Calibri" w:cs="Times New Roman"/>
          <w:b/>
          <w:noProof/>
          <w:szCs w:val="20"/>
          <w:lang w:val="en-US"/>
        </w:rPr>
      </w:pPr>
      <w:r w:rsidRPr="007B2402">
        <w:rPr>
          <w:rFonts w:eastAsia="Batang" w:cs="Times"/>
          <w:i/>
          <w:noProof/>
          <w:szCs w:val="20"/>
          <w:lang w:val="en-US"/>
        </w:rPr>
        <w:t>Admissibility Report</w:t>
      </w:r>
      <w:r w:rsidR="001D1455" w:rsidRPr="007B2402">
        <w:rPr>
          <w:rFonts w:eastAsia="Batang" w:cs="Times"/>
          <w:i/>
          <w:noProof/>
          <w:szCs w:val="20"/>
          <w:lang w:val="en-US"/>
        </w:rPr>
        <w:t xml:space="preserve">. </w:t>
      </w:r>
      <w:r w:rsidRPr="007B2402">
        <w:rPr>
          <w:rFonts w:eastAsia="Batang" w:cs="Times"/>
          <w:noProof/>
          <w:szCs w:val="20"/>
          <w:lang w:val="en-US"/>
        </w:rPr>
        <w:t>On</w:t>
      </w:r>
      <w:r w:rsidR="001D1455" w:rsidRPr="007B2402">
        <w:rPr>
          <w:rFonts w:eastAsia="Batang" w:cs="Times"/>
          <w:noProof/>
          <w:szCs w:val="20"/>
          <w:lang w:val="en-US"/>
        </w:rPr>
        <w:t xml:space="preserve"> </w:t>
      </w:r>
      <w:r w:rsidRPr="007B2402">
        <w:rPr>
          <w:rFonts w:eastAsia="Batang" w:cs="Times"/>
          <w:noProof/>
          <w:szCs w:val="20"/>
          <w:lang w:val="en-US"/>
        </w:rPr>
        <w:t>November 8,</w:t>
      </w:r>
      <w:r w:rsidR="00F771AB" w:rsidRPr="007B2402">
        <w:rPr>
          <w:rFonts w:eastAsia="Batang" w:cs="Times"/>
          <w:noProof/>
          <w:szCs w:val="20"/>
          <w:lang w:val="en-US"/>
        </w:rPr>
        <w:t xml:space="preserve"> 2012</w:t>
      </w:r>
      <w:r w:rsidR="001D1455" w:rsidRPr="007B2402">
        <w:rPr>
          <w:rFonts w:eastAsia="Batang" w:cs="Times"/>
          <w:noProof/>
          <w:szCs w:val="20"/>
          <w:lang w:val="en-US"/>
        </w:rPr>
        <w:t xml:space="preserve"> </w:t>
      </w:r>
      <w:r w:rsidR="00AF4344" w:rsidRPr="007B2402">
        <w:rPr>
          <w:rFonts w:eastAsia="Batang" w:cs="Times"/>
          <w:noProof/>
          <w:szCs w:val="20"/>
          <w:lang w:val="en-US"/>
        </w:rPr>
        <w:t>the Commission</w:t>
      </w:r>
      <w:r w:rsidR="001D1455" w:rsidRPr="007B2402">
        <w:rPr>
          <w:rFonts w:eastAsia="Batang" w:cs="Times"/>
          <w:noProof/>
          <w:szCs w:val="20"/>
          <w:lang w:val="en-US"/>
        </w:rPr>
        <w:t xml:space="preserve"> </w:t>
      </w:r>
      <w:r w:rsidRPr="007B2402">
        <w:rPr>
          <w:rFonts w:eastAsia="Batang" w:cs="Times"/>
          <w:noProof/>
          <w:szCs w:val="20"/>
          <w:lang w:val="en-US"/>
        </w:rPr>
        <w:t>adopted</w:t>
      </w:r>
      <w:r w:rsidR="001D1455" w:rsidRPr="007B2402">
        <w:rPr>
          <w:rFonts w:eastAsia="Batang" w:cs="Times"/>
          <w:noProof/>
          <w:szCs w:val="20"/>
          <w:lang w:val="en-US"/>
        </w:rPr>
        <w:t xml:space="preserve"> </w:t>
      </w:r>
      <w:r w:rsidRPr="007B2402">
        <w:rPr>
          <w:rFonts w:eastAsia="Batang" w:cs="Times"/>
          <w:noProof/>
          <w:szCs w:val="20"/>
          <w:lang w:val="en-US"/>
        </w:rPr>
        <w:t>Admissibility Report</w:t>
      </w:r>
      <w:r w:rsidR="001D1455" w:rsidRPr="007B2402">
        <w:rPr>
          <w:rFonts w:eastAsia="Batang" w:cs="Times"/>
          <w:noProof/>
          <w:szCs w:val="20"/>
          <w:lang w:val="en-US"/>
        </w:rPr>
        <w:t xml:space="preserve"> No. </w:t>
      </w:r>
      <w:r w:rsidR="00F771AB" w:rsidRPr="007B2402">
        <w:rPr>
          <w:rFonts w:eastAsia="Batang" w:cs="Times"/>
          <w:noProof/>
          <w:szCs w:val="20"/>
          <w:lang w:val="en-US"/>
        </w:rPr>
        <w:t>80/12</w:t>
      </w:r>
      <w:r w:rsidR="001D1455" w:rsidRPr="007B2402">
        <w:rPr>
          <w:rFonts w:eastAsia="Batang" w:cs="Times"/>
          <w:noProof/>
          <w:szCs w:val="20"/>
          <w:lang w:val="en-US"/>
        </w:rPr>
        <w:t xml:space="preserve"> (</w:t>
      </w:r>
      <w:r w:rsidR="00AF4344" w:rsidRPr="007B2402">
        <w:rPr>
          <w:rFonts w:eastAsia="Batang" w:cs="Times"/>
          <w:noProof/>
          <w:szCs w:val="20"/>
          <w:lang w:val="en-US"/>
        </w:rPr>
        <w:t>hereinafter</w:t>
      </w:r>
      <w:r w:rsidR="001D1455" w:rsidRPr="007B2402">
        <w:rPr>
          <w:rFonts w:eastAsia="Batang" w:cs="Times"/>
          <w:noProof/>
          <w:szCs w:val="20"/>
          <w:lang w:val="en-US"/>
        </w:rPr>
        <w:t xml:space="preserve"> “</w:t>
      </w:r>
      <w:r w:rsidRPr="007B2402">
        <w:rPr>
          <w:rFonts w:eastAsia="Batang" w:cs="Times"/>
          <w:noProof/>
          <w:szCs w:val="20"/>
          <w:lang w:val="en-US"/>
        </w:rPr>
        <w:t>Admissibility Report</w:t>
      </w:r>
      <w:r w:rsidR="001D1455" w:rsidRPr="007B2402">
        <w:rPr>
          <w:rFonts w:eastAsia="Batang" w:cs="Times"/>
          <w:noProof/>
          <w:szCs w:val="20"/>
          <w:lang w:val="en-US"/>
        </w:rPr>
        <w:t xml:space="preserve">”). </w:t>
      </w:r>
    </w:p>
    <w:p w14:paraId="6B67FB30" w14:textId="77777777" w:rsidR="001D1455" w:rsidRPr="007B2402" w:rsidRDefault="001D1455" w:rsidP="001D1455">
      <w:pPr>
        <w:spacing w:after="0" w:line="240" w:lineRule="auto"/>
        <w:ind w:right="4"/>
        <w:jc w:val="both"/>
        <w:rPr>
          <w:rFonts w:eastAsia="Batang" w:cs="Times"/>
          <w:noProof/>
          <w:szCs w:val="20"/>
          <w:lang w:val="en-US"/>
        </w:rPr>
      </w:pPr>
    </w:p>
    <w:p w14:paraId="0F1C5973" w14:textId="0C5DB4A1" w:rsidR="001D1455" w:rsidRPr="007B2402" w:rsidRDefault="00375567" w:rsidP="00DB1F30">
      <w:pPr>
        <w:numPr>
          <w:ilvl w:val="0"/>
          <w:numId w:val="7"/>
        </w:numPr>
        <w:spacing w:after="0" w:line="240" w:lineRule="auto"/>
        <w:ind w:right="4"/>
        <w:jc w:val="both"/>
        <w:rPr>
          <w:rFonts w:eastAsia="Batang" w:cs="Times"/>
          <w:noProof/>
          <w:szCs w:val="20"/>
          <w:lang w:val="en-US"/>
        </w:rPr>
      </w:pPr>
      <w:r w:rsidRPr="007B2402">
        <w:rPr>
          <w:rFonts w:eastAsia="Batang" w:cs="Times"/>
          <w:i/>
          <w:noProof/>
          <w:szCs w:val="20"/>
          <w:lang w:val="en-US"/>
        </w:rPr>
        <w:t>Merits Report</w:t>
      </w:r>
      <w:r w:rsidR="001D1455" w:rsidRPr="007B2402">
        <w:rPr>
          <w:rFonts w:eastAsia="Batang" w:cs="Times"/>
          <w:i/>
          <w:noProof/>
          <w:szCs w:val="20"/>
          <w:lang w:val="en-US"/>
        </w:rPr>
        <w:t xml:space="preserve">. </w:t>
      </w:r>
      <w:r w:rsidRPr="007B2402">
        <w:rPr>
          <w:rFonts w:eastAsia="Batang" w:cs="Times"/>
          <w:noProof/>
          <w:szCs w:val="20"/>
          <w:lang w:val="en-US"/>
        </w:rPr>
        <w:t>On</w:t>
      </w:r>
      <w:r w:rsidR="001D1455" w:rsidRPr="007B2402">
        <w:rPr>
          <w:rFonts w:eastAsia="Batang" w:cs="Times"/>
          <w:noProof/>
          <w:szCs w:val="20"/>
          <w:lang w:val="en-US"/>
        </w:rPr>
        <w:t xml:space="preserve"> </w:t>
      </w:r>
      <w:r w:rsidRPr="007B2402">
        <w:rPr>
          <w:rFonts w:eastAsia="Batang" w:cs="Times"/>
          <w:noProof/>
          <w:szCs w:val="20"/>
          <w:lang w:val="en-US"/>
        </w:rPr>
        <w:t>October 28,</w:t>
      </w:r>
      <w:r w:rsidR="001D1455" w:rsidRPr="007B2402">
        <w:rPr>
          <w:rFonts w:eastAsia="Batang" w:cs="Times"/>
          <w:noProof/>
          <w:szCs w:val="20"/>
          <w:lang w:val="en-US"/>
        </w:rPr>
        <w:t xml:space="preserve"> 2015 </w:t>
      </w:r>
      <w:r w:rsidR="00AF4344" w:rsidRPr="007B2402">
        <w:rPr>
          <w:rFonts w:eastAsia="Batang" w:cs="Times"/>
          <w:noProof/>
          <w:szCs w:val="20"/>
          <w:lang w:val="en-US"/>
        </w:rPr>
        <w:t>the Commission</w:t>
      </w:r>
      <w:r w:rsidR="001D1455" w:rsidRPr="007B2402">
        <w:rPr>
          <w:rFonts w:eastAsia="Batang" w:cs="Times"/>
          <w:noProof/>
          <w:szCs w:val="20"/>
          <w:lang w:val="en-US"/>
        </w:rPr>
        <w:t xml:space="preserve"> </w:t>
      </w:r>
      <w:r w:rsidRPr="007B2402">
        <w:rPr>
          <w:rFonts w:eastAsia="Batang" w:cs="Times"/>
          <w:noProof/>
          <w:szCs w:val="20"/>
          <w:lang w:val="en-US"/>
        </w:rPr>
        <w:t>adopted</w:t>
      </w:r>
      <w:r w:rsidR="001D1455" w:rsidRPr="007B2402">
        <w:rPr>
          <w:rFonts w:eastAsia="Batang" w:cs="Times"/>
          <w:noProof/>
          <w:szCs w:val="20"/>
          <w:lang w:val="en-US"/>
        </w:rPr>
        <w:t xml:space="preserve"> </w:t>
      </w:r>
      <w:r w:rsidRPr="007B2402">
        <w:rPr>
          <w:rFonts w:eastAsia="Batang" w:cs="Times"/>
          <w:noProof/>
          <w:szCs w:val="20"/>
          <w:lang w:val="en-US"/>
        </w:rPr>
        <w:t>Merits Report</w:t>
      </w:r>
      <w:r w:rsidR="001D1455" w:rsidRPr="007B2402">
        <w:rPr>
          <w:rFonts w:eastAsia="Batang" w:cs="Times"/>
          <w:noProof/>
          <w:szCs w:val="20"/>
          <w:lang w:val="en-US"/>
        </w:rPr>
        <w:t xml:space="preserve"> No. </w:t>
      </w:r>
      <w:r w:rsidR="00F771AB" w:rsidRPr="007B2402">
        <w:rPr>
          <w:rFonts w:eastAsia="Batang" w:cs="Times"/>
          <w:noProof/>
          <w:szCs w:val="20"/>
          <w:lang w:val="en-US"/>
        </w:rPr>
        <w:t>71</w:t>
      </w:r>
      <w:r w:rsidR="00167039" w:rsidRPr="007B2402">
        <w:rPr>
          <w:rFonts w:eastAsia="Batang" w:cs="Times"/>
          <w:noProof/>
          <w:szCs w:val="20"/>
          <w:lang w:val="en-US"/>
        </w:rPr>
        <w:t>/15</w:t>
      </w:r>
      <w:r w:rsidR="001D1455" w:rsidRPr="007B2402">
        <w:rPr>
          <w:rFonts w:eastAsia="Batang" w:cs="Times"/>
          <w:noProof/>
          <w:szCs w:val="20"/>
          <w:lang w:val="en-US"/>
        </w:rPr>
        <w:t xml:space="preserve"> </w:t>
      </w:r>
      <w:r w:rsidR="00F652C6" w:rsidRPr="007B2402">
        <w:rPr>
          <w:rFonts w:eastAsia="Batang" w:cs="Times"/>
          <w:noProof/>
          <w:szCs w:val="20"/>
          <w:lang w:val="en-US"/>
        </w:rPr>
        <w:t>(</w:t>
      </w:r>
      <w:r w:rsidR="00AF4344" w:rsidRPr="007B2402">
        <w:rPr>
          <w:rFonts w:eastAsia="Batang" w:cs="Times"/>
          <w:noProof/>
          <w:szCs w:val="20"/>
          <w:lang w:val="en-US"/>
        </w:rPr>
        <w:t>hereinafter</w:t>
      </w:r>
      <w:r w:rsidR="002A3AA3" w:rsidRPr="007B2402">
        <w:rPr>
          <w:rFonts w:eastAsia="Batang" w:cs="Times"/>
          <w:noProof/>
          <w:szCs w:val="20"/>
          <w:lang w:val="en-US"/>
        </w:rPr>
        <w:t xml:space="preserve"> </w:t>
      </w:r>
      <w:r w:rsidR="00F652C6" w:rsidRPr="007B2402">
        <w:rPr>
          <w:rFonts w:eastAsia="Batang" w:cs="Times"/>
          <w:noProof/>
          <w:szCs w:val="20"/>
          <w:lang w:val="en-US"/>
        </w:rPr>
        <w:t>“</w:t>
      </w:r>
      <w:r w:rsidR="002A3AA3" w:rsidRPr="007B2402">
        <w:rPr>
          <w:rFonts w:eastAsia="Batang" w:cs="Times"/>
          <w:noProof/>
          <w:szCs w:val="20"/>
          <w:lang w:val="en-US"/>
        </w:rPr>
        <w:t xml:space="preserve">the </w:t>
      </w:r>
      <w:r w:rsidRPr="007B2402">
        <w:rPr>
          <w:rFonts w:eastAsia="Batang" w:cs="Times"/>
          <w:noProof/>
          <w:szCs w:val="20"/>
          <w:lang w:val="en-US"/>
        </w:rPr>
        <w:t>Merits Report</w:t>
      </w:r>
      <w:r w:rsidR="00F652C6" w:rsidRPr="007B2402">
        <w:rPr>
          <w:rFonts w:eastAsia="Batang" w:cs="Times"/>
          <w:noProof/>
          <w:szCs w:val="20"/>
          <w:lang w:val="en-US"/>
        </w:rPr>
        <w:t>”)</w:t>
      </w:r>
      <w:r w:rsidR="00167039" w:rsidRPr="007B2402">
        <w:rPr>
          <w:rFonts w:eastAsia="Batang" w:cs="Times"/>
          <w:noProof/>
          <w:szCs w:val="20"/>
          <w:lang w:val="en-US"/>
        </w:rPr>
        <w:t>,</w:t>
      </w:r>
      <w:r w:rsidR="00F652C6" w:rsidRPr="007B2402">
        <w:rPr>
          <w:rFonts w:eastAsia="Batang" w:cs="Times"/>
          <w:noProof/>
          <w:szCs w:val="20"/>
          <w:lang w:val="en-US"/>
        </w:rPr>
        <w:t xml:space="preserve"> </w:t>
      </w:r>
      <w:r w:rsidR="002A3AA3" w:rsidRPr="007B2402">
        <w:rPr>
          <w:rFonts w:eastAsia="Batang" w:cs="Times"/>
          <w:noProof/>
          <w:szCs w:val="20"/>
          <w:lang w:val="en-US"/>
        </w:rPr>
        <w:t>under</w:t>
      </w:r>
      <w:r w:rsidR="001D1455" w:rsidRPr="007B2402">
        <w:rPr>
          <w:rFonts w:eastAsia="Batang" w:cs="Times"/>
          <w:noProof/>
          <w:szCs w:val="20"/>
          <w:lang w:val="en-US"/>
        </w:rPr>
        <w:t xml:space="preserve"> </w:t>
      </w:r>
      <w:r w:rsidR="00AF4344" w:rsidRPr="007B2402">
        <w:rPr>
          <w:rFonts w:eastAsia="Batang" w:cs="Times"/>
          <w:noProof/>
          <w:szCs w:val="20"/>
          <w:lang w:val="en-US"/>
        </w:rPr>
        <w:t>Article</w:t>
      </w:r>
      <w:r w:rsidR="00F652C6" w:rsidRPr="007B2402">
        <w:rPr>
          <w:rFonts w:eastAsia="Batang" w:cs="Times"/>
          <w:noProof/>
          <w:szCs w:val="20"/>
          <w:lang w:val="en-US"/>
        </w:rPr>
        <w:t xml:space="preserve"> 50</w:t>
      </w:r>
      <w:r w:rsidR="00AF4344" w:rsidRPr="007B2402">
        <w:rPr>
          <w:rFonts w:eastAsia="Batang" w:cs="Times"/>
          <w:noProof/>
          <w:szCs w:val="20"/>
          <w:lang w:val="en-US"/>
        </w:rPr>
        <w:t xml:space="preserve"> of the American Convention</w:t>
      </w:r>
      <w:r w:rsidR="00F652C6" w:rsidRPr="007B2402">
        <w:rPr>
          <w:rFonts w:eastAsia="Batang" w:cs="Times"/>
          <w:noProof/>
          <w:szCs w:val="20"/>
          <w:lang w:val="en-US"/>
        </w:rPr>
        <w:t>.</w:t>
      </w:r>
      <w:r w:rsidR="00B02AAB" w:rsidRPr="007B2402">
        <w:rPr>
          <w:rFonts w:eastAsia="Batang" w:cs="Times"/>
          <w:noProof/>
          <w:szCs w:val="20"/>
          <w:lang w:val="en-US"/>
        </w:rPr>
        <w:t xml:space="preserve"> </w:t>
      </w:r>
    </w:p>
    <w:p w14:paraId="4DA051BD" w14:textId="764610A4" w:rsidR="001D1455" w:rsidRPr="007B2402" w:rsidRDefault="001D1455" w:rsidP="001D1455">
      <w:pPr>
        <w:spacing w:after="0" w:line="240" w:lineRule="auto"/>
        <w:jc w:val="both"/>
        <w:rPr>
          <w:rFonts w:eastAsia="Batang" w:cs="Times"/>
          <w:noProof/>
          <w:szCs w:val="20"/>
          <w:lang w:val="en-US"/>
        </w:rPr>
      </w:pPr>
    </w:p>
    <w:p w14:paraId="1A6CAC02" w14:textId="01E745D4" w:rsidR="001D1455" w:rsidRPr="007B2402" w:rsidRDefault="001D1455" w:rsidP="00DB1F30">
      <w:pPr>
        <w:numPr>
          <w:ilvl w:val="0"/>
          <w:numId w:val="8"/>
        </w:numPr>
        <w:spacing w:after="0" w:line="240" w:lineRule="auto"/>
        <w:ind w:left="1418" w:right="29"/>
        <w:jc w:val="both"/>
        <w:rPr>
          <w:rFonts w:eastAsia="Calibri" w:cs="Times New Roman"/>
          <w:noProof/>
          <w:szCs w:val="20"/>
          <w:lang w:val="en-US"/>
        </w:rPr>
      </w:pPr>
      <w:r w:rsidRPr="007B2402">
        <w:rPr>
          <w:rFonts w:eastAsia="Calibri" w:cs="Times New Roman"/>
          <w:i/>
          <w:noProof/>
          <w:szCs w:val="20"/>
          <w:lang w:val="en-US"/>
        </w:rPr>
        <w:t xml:space="preserve">Conclusions. </w:t>
      </w:r>
      <w:r w:rsidR="00AF4344" w:rsidRPr="007B2402">
        <w:rPr>
          <w:rFonts w:eastAsia="Calibri" w:cs="Times New Roman"/>
          <w:noProof/>
          <w:szCs w:val="20"/>
          <w:lang w:val="en-US"/>
        </w:rPr>
        <w:t>The Commission</w:t>
      </w:r>
      <w:r w:rsidRPr="007B2402">
        <w:rPr>
          <w:rFonts w:eastAsia="Calibri" w:cs="Times New Roman"/>
          <w:noProof/>
          <w:szCs w:val="20"/>
          <w:lang w:val="en-US"/>
        </w:rPr>
        <w:t xml:space="preserve"> conclu</w:t>
      </w:r>
      <w:r w:rsidR="00375567" w:rsidRPr="007B2402">
        <w:rPr>
          <w:rFonts w:eastAsia="Calibri" w:cs="Times New Roman"/>
          <w:noProof/>
          <w:szCs w:val="20"/>
          <w:lang w:val="en-US"/>
        </w:rPr>
        <w:t>ded that</w:t>
      </w:r>
      <w:r w:rsidRPr="007B2402">
        <w:rPr>
          <w:rFonts w:eastAsia="Calibri" w:cs="Times New Roman"/>
          <w:noProof/>
          <w:szCs w:val="20"/>
          <w:lang w:val="en-US"/>
        </w:rPr>
        <w:t xml:space="preserve"> </w:t>
      </w:r>
      <w:r w:rsidR="00AF4344" w:rsidRPr="007B2402">
        <w:rPr>
          <w:rFonts w:eastAsia="Calibri" w:cs="Times New Roman"/>
          <w:noProof/>
          <w:szCs w:val="20"/>
          <w:lang w:val="en-US"/>
        </w:rPr>
        <w:t>the State</w:t>
      </w:r>
      <w:r w:rsidRPr="007B2402">
        <w:rPr>
          <w:rFonts w:eastAsia="Calibri" w:cs="Times New Roman"/>
          <w:noProof/>
          <w:szCs w:val="20"/>
          <w:lang w:val="en-US"/>
        </w:rPr>
        <w:t xml:space="preserve"> </w:t>
      </w:r>
      <w:r w:rsidR="00375567" w:rsidRPr="007B2402">
        <w:rPr>
          <w:rFonts w:eastAsia="Calibri" w:cs="Times New Roman"/>
          <w:noProof/>
          <w:szCs w:val="20"/>
          <w:lang w:val="en-US"/>
        </w:rPr>
        <w:t>was internationally</w:t>
      </w:r>
      <w:r w:rsidRPr="007B2402">
        <w:rPr>
          <w:rFonts w:eastAsia="Calibri" w:cs="Times New Roman"/>
          <w:noProof/>
          <w:szCs w:val="20"/>
          <w:lang w:val="en-US"/>
        </w:rPr>
        <w:t xml:space="preserve"> respons</w:t>
      </w:r>
      <w:r w:rsidR="00375567" w:rsidRPr="007B2402">
        <w:rPr>
          <w:rFonts w:eastAsia="Calibri" w:cs="Times New Roman"/>
          <w:noProof/>
          <w:szCs w:val="20"/>
          <w:lang w:val="en-US"/>
        </w:rPr>
        <w:t>i</w:t>
      </w:r>
      <w:r w:rsidRPr="007B2402">
        <w:rPr>
          <w:rFonts w:eastAsia="Calibri" w:cs="Times New Roman"/>
          <w:noProof/>
          <w:szCs w:val="20"/>
          <w:lang w:val="en-US"/>
        </w:rPr>
        <w:t xml:space="preserve">ble </w:t>
      </w:r>
      <w:r w:rsidR="00375567" w:rsidRPr="007B2402">
        <w:rPr>
          <w:rFonts w:eastAsia="Calibri" w:cs="Times New Roman"/>
          <w:noProof/>
          <w:szCs w:val="20"/>
          <w:lang w:val="en-US"/>
        </w:rPr>
        <w:t>for</w:t>
      </w:r>
      <w:r w:rsidRPr="007B2402">
        <w:rPr>
          <w:rFonts w:eastAsia="Calibri" w:cs="Times New Roman"/>
          <w:noProof/>
          <w:szCs w:val="20"/>
          <w:lang w:val="en-US"/>
        </w:rPr>
        <w:t xml:space="preserve">: </w:t>
      </w:r>
    </w:p>
    <w:p w14:paraId="560F953A" w14:textId="77777777" w:rsidR="001D1455" w:rsidRPr="007B2402" w:rsidRDefault="001D1455" w:rsidP="001D1455">
      <w:pPr>
        <w:spacing w:after="0" w:line="240" w:lineRule="auto"/>
        <w:ind w:left="2214" w:right="29"/>
        <w:jc w:val="both"/>
        <w:rPr>
          <w:rFonts w:eastAsia="Calibri" w:cs="Times New Roman"/>
          <w:noProof/>
          <w:sz w:val="18"/>
          <w:szCs w:val="18"/>
          <w:lang w:val="en-US"/>
        </w:rPr>
      </w:pPr>
      <w:r w:rsidRPr="007B2402">
        <w:rPr>
          <w:rFonts w:eastAsia="Calibri" w:cs="Times New Roman"/>
          <w:noProof/>
          <w:szCs w:val="20"/>
          <w:lang w:val="en-US"/>
        </w:rPr>
        <w:t xml:space="preserve"> </w:t>
      </w:r>
    </w:p>
    <w:p w14:paraId="2EDCBD5E" w14:textId="064D5277" w:rsidR="00F771AB" w:rsidRPr="007B2402" w:rsidRDefault="00375567" w:rsidP="00DB1F30">
      <w:pPr>
        <w:numPr>
          <w:ilvl w:val="1"/>
          <w:numId w:val="8"/>
        </w:numPr>
        <w:spacing w:after="0" w:line="240" w:lineRule="auto"/>
        <w:ind w:left="1702" w:right="28" w:hanging="284"/>
        <w:jc w:val="both"/>
        <w:rPr>
          <w:rFonts w:eastAsia="Calibri" w:cs="Times New Roman"/>
          <w:noProof/>
          <w:sz w:val="18"/>
          <w:szCs w:val="18"/>
          <w:lang w:val="en-US"/>
        </w:rPr>
      </w:pPr>
      <w:r w:rsidRPr="007B2402">
        <w:rPr>
          <w:rFonts w:eastAsia="Calibri" w:cs="Times New Roman"/>
          <w:noProof/>
          <w:sz w:val="18"/>
          <w:szCs w:val="18"/>
          <w:lang w:val="en-US"/>
        </w:rPr>
        <w:t>The violation of the rights recognized in</w:t>
      </w:r>
      <w:r w:rsidR="00F771AB" w:rsidRPr="007B2402">
        <w:rPr>
          <w:rFonts w:eastAsia="Calibri" w:cs="Times New Roman"/>
          <w:noProof/>
          <w:sz w:val="18"/>
          <w:szCs w:val="18"/>
          <w:lang w:val="en-US"/>
        </w:rPr>
        <w:t xml:space="preserve"> </w:t>
      </w:r>
      <w:r w:rsidR="00AF4344" w:rsidRPr="007B2402">
        <w:rPr>
          <w:rFonts w:eastAsia="Calibri" w:cs="Times New Roman"/>
          <w:noProof/>
          <w:sz w:val="18"/>
          <w:szCs w:val="18"/>
          <w:lang w:val="en-US"/>
        </w:rPr>
        <w:t>Articles</w:t>
      </w:r>
      <w:r w:rsidR="00F771AB" w:rsidRPr="007B2402">
        <w:rPr>
          <w:rFonts w:eastAsia="Calibri" w:cs="Times New Roman"/>
          <w:noProof/>
          <w:sz w:val="18"/>
          <w:szCs w:val="18"/>
          <w:lang w:val="en-US"/>
        </w:rPr>
        <w:t xml:space="preserve"> I, IV, VII, XVIII, XXII </w:t>
      </w:r>
      <w:r w:rsidRPr="007B2402">
        <w:rPr>
          <w:rFonts w:eastAsia="Calibri" w:cs="Times New Roman"/>
          <w:noProof/>
          <w:sz w:val="18"/>
          <w:szCs w:val="18"/>
          <w:lang w:val="en-US"/>
        </w:rPr>
        <w:t>and</w:t>
      </w:r>
      <w:r w:rsidR="00F771AB" w:rsidRPr="007B2402">
        <w:rPr>
          <w:rFonts w:eastAsia="Calibri" w:cs="Times New Roman"/>
          <w:noProof/>
          <w:sz w:val="18"/>
          <w:szCs w:val="18"/>
          <w:lang w:val="en-US"/>
        </w:rPr>
        <w:t xml:space="preserve"> XXV </w:t>
      </w:r>
      <w:r w:rsidRPr="007B2402">
        <w:rPr>
          <w:rFonts w:eastAsia="Calibri" w:cs="Times New Roman"/>
          <w:noProof/>
          <w:sz w:val="18"/>
          <w:szCs w:val="18"/>
          <w:lang w:val="en-US"/>
        </w:rPr>
        <w:t>of the American Declaration</w:t>
      </w:r>
      <w:r w:rsidR="00E75851" w:rsidRPr="007B2402">
        <w:rPr>
          <w:rFonts w:eastAsia="Calibri" w:cs="Times New Roman"/>
          <w:noProof/>
          <w:sz w:val="18"/>
          <w:szCs w:val="18"/>
          <w:lang w:val="en-US"/>
        </w:rPr>
        <w:t>.</w:t>
      </w:r>
      <w:r w:rsidR="00F771AB" w:rsidRPr="007B2402">
        <w:rPr>
          <w:rFonts w:eastAsia="Calibri" w:cs="Times New Roman"/>
          <w:noProof/>
          <w:sz w:val="18"/>
          <w:szCs w:val="18"/>
          <w:lang w:val="en-US"/>
        </w:rPr>
        <w:t xml:space="preserve"> </w:t>
      </w:r>
    </w:p>
    <w:p w14:paraId="65599D2E" w14:textId="2AF5EA4C" w:rsidR="00F771AB" w:rsidRPr="007B2402" w:rsidRDefault="00375567" w:rsidP="00DB1F30">
      <w:pPr>
        <w:numPr>
          <w:ilvl w:val="1"/>
          <w:numId w:val="8"/>
        </w:numPr>
        <w:spacing w:after="0" w:line="240" w:lineRule="auto"/>
        <w:ind w:left="1702" w:right="28" w:hanging="284"/>
        <w:jc w:val="both"/>
        <w:rPr>
          <w:rFonts w:eastAsia="Calibri" w:cs="Times New Roman"/>
          <w:noProof/>
          <w:sz w:val="18"/>
          <w:szCs w:val="18"/>
          <w:lang w:val="en-US"/>
        </w:rPr>
      </w:pPr>
      <w:r w:rsidRPr="007B2402">
        <w:rPr>
          <w:rFonts w:eastAsia="Calibri" w:cs="Times New Roman"/>
          <w:noProof/>
          <w:sz w:val="18"/>
          <w:szCs w:val="18"/>
          <w:lang w:val="en-US"/>
        </w:rPr>
        <w:t xml:space="preserve">The violation of the rights recognized in </w:t>
      </w:r>
      <w:r w:rsidR="00AF4344" w:rsidRPr="007B2402">
        <w:rPr>
          <w:rFonts w:eastAsia="Calibri" w:cs="Times New Roman"/>
          <w:noProof/>
          <w:sz w:val="18"/>
          <w:szCs w:val="18"/>
          <w:lang w:val="en-US"/>
        </w:rPr>
        <w:t>Articles</w:t>
      </w:r>
      <w:r w:rsidR="00816D10" w:rsidRPr="007B2402">
        <w:rPr>
          <w:rFonts w:eastAsia="Calibri" w:cs="Times New Roman"/>
          <w:noProof/>
          <w:sz w:val="18"/>
          <w:szCs w:val="18"/>
          <w:lang w:val="en-US"/>
        </w:rPr>
        <w:t xml:space="preserve"> </w:t>
      </w:r>
      <w:r w:rsidRPr="007B2402">
        <w:rPr>
          <w:rFonts w:eastAsia="Calibri" w:cs="Times New Roman"/>
          <w:noProof/>
          <w:sz w:val="18"/>
          <w:szCs w:val="18"/>
          <w:lang w:val="en-US"/>
        </w:rPr>
        <w:t>5(1)</w:t>
      </w:r>
      <w:r w:rsidR="00816D10" w:rsidRPr="007B2402">
        <w:rPr>
          <w:rFonts w:eastAsia="Calibri" w:cs="Times New Roman"/>
          <w:noProof/>
          <w:sz w:val="18"/>
          <w:szCs w:val="18"/>
          <w:lang w:val="en-US"/>
        </w:rPr>
        <w:t xml:space="preserve">, </w:t>
      </w:r>
      <w:r w:rsidRPr="007B2402">
        <w:rPr>
          <w:rFonts w:eastAsia="Calibri" w:cs="Times New Roman"/>
          <w:noProof/>
          <w:sz w:val="18"/>
          <w:szCs w:val="18"/>
          <w:lang w:val="en-US"/>
        </w:rPr>
        <w:t>8(1)</w:t>
      </w:r>
      <w:r w:rsidR="00816D10" w:rsidRPr="007B2402">
        <w:rPr>
          <w:rFonts w:eastAsia="Calibri" w:cs="Times New Roman"/>
          <w:noProof/>
          <w:sz w:val="18"/>
          <w:szCs w:val="18"/>
          <w:lang w:val="en-US"/>
        </w:rPr>
        <w:t xml:space="preserve"> </w:t>
      </w:r>
      <w:r w:rsidRPr="007B2402">
        <w:rPr>
          <w:rFonts w:eastAsia="Calibri" w:cs="Times New Roman"/>
          <w:noProof/>
          <w:sz w:val="18"/>
          <w:szCs w:val="18"/>
          <w:lang w:val="en-US"/>
        </w:rPr>
        <w:t>and</w:t>
      </w:r>
      <w:r w:rsidR="00816D10" w:rsidRPr="007B2402">
        <w:rPr>
          <w:rFonts w:eastAsia="Calibri" w:cs="Times New Roman"/>
          <w:noProof/>
          <w:sz w:val="18"/>
          <w:szCs w:val="18"/>
          <w:lang w:val="en-US"/>
        </w:rPr>
        <w:t xml:space="preserve"> 2</w:t>
      </w:r>
      <w:r w:rsidRPr="007B2402">
        <w:rPr>
          <w:rFonts w:eastAsia="Calibri" w:cs="Times New Roman"/>
          <w:noProof/>
          <w:sz w:val="18"/>
          <w:szCs w:val="18"/>
          <w:lang w:val="en-US"/>
        </w:rPr>
        <w:t>5(1)</w:t>
      </w:r>
      <w:r w:rsidR="00AF4344" w:rsidRPr="007B2402">
        <w:rPr>
          <w:rFonts w:eastAsia="Calibri" w:cs="Times New Roman"/>
          <w:noProof/>
          <w:sz w:val="18"/>
          <w:szCs w:val="18"/>
          <w:lang w:val="en-US"/>
        </w:rPr>
        <w:t xml:space="preserve"> of the American Convention</w:t>
      </w:r>
      <w:r w:rsidR="00F771AB" w:rsidRPr="007B2402">
        <w:rPr>
          <w:rFonts w:eastAsia="Calibri" w:cs="Times New Roman"/>
          <w:noProof/>
          <w:sz w:val="18"/>
          <w:szCs w:val="18"/>
          <w:lang w:val="en-US"/>
        </w:rPr>
        <w:t xml:space="preserve">, </w:t>
      </w:r>
      <w:r w:rsidRPr="007B2402">
        <w:rPr>
          <w:rFonts w:eastAsia="Calibri" w:cs="Times New Roman"/>
          <w:noProof/>
          <w:sz w:val="18"/>
          <w:szCs w:val="18"/>
          <w:lang w:val="en-US"/>
        </w:rPr>
        <w:t>in relation to</w:t>
      </w:r>
      <w:r w:rsidR="00F771AB" w:rsidRPr="007B2402">
        <w:rPr>
          <w:rFonts w:eastAsia="Calibri" w:cs="Times New Roman"/>
          <w:noProof/>
          <w:sz w:val="18"/>
          <w:szCs w:val="18"/>
          <w:lang w:val="en-US"/>
        </w:rPr>
        <w:t xml:space="preserve"> </w:t>
      </w:r>
      <w:r w:rsidR="00AF4344" w:rsidRPr="007B2402">
        <w:rPr>
          <w:rFonts w:eastAsia="Calibri" w:cs="Times New Roman"/>
          <w:noProof/>
          <w:sz w:val="18"/>
          <w:szCs w:val="18"/>
          <w:lang w:val="en-US"/>
        </w:rPr>
        <w:t>Articles</w:t>
      </w:r>
      <w:r w:rsidR="00F771AB" w:rsidRPr="007B2402">
        <w:rPr>
          <w:rFonts w:eastAsia="Calibri" w:cs="Times New Roman"/>
          <w:noProof/>
          <w:sz w:val="18"/>
          <w:szCs w:val="18"/>
          <w:lang w:val="en-US"/>
        </w:rPr>
        <w:t xml:space="preserve"> </w:t>
      </w:r>
      <w:r w:rsidRPr="007B2402">
        <w:rPr>
          <w:rFonts w:eastAsia="Calibri" w:cs="Times New Roman"/>
          <w:noProof/>
          <w:sz w:val="18"/>
          <w:szCs w:val="18"/>
          <w:lang w:val="en-US"/>
        </w:rPr>
        <w:t>1(1) and 2</w:t>
      </w:r>
      <w:r w:rsidR="00F771AB" w:rsidRPr="007B2402">
        <w:rPr>
          <w:rFonts w:eastAsia="Calibri" w:cs="Times New Roman"/>
          <w:noProof/>
          <w:sz w:val="18"/>
          <w:szCs w:val="18"/>
          <w:lang w:val="en-US"/>
        </w:rPr>
        <w:t xml:space="preserve"> </w:t>
      </w:r>
      <w:r w:rsidRPr="007B2402">
        <w:rPr>
          <w:rFonts w:eastAsia="Calibri" w:cs="Times New Roman"/>
          <w:noProof/>
          <w:sz w:val="18"/>
          <w:szCs w:val="18"/>
          <w:lang w:val="en-US"/>
        </w:rPr>
        <w:t>of this instrument</w:t>
      </w:r>
      <w:r w:rsidR="00F771AB" w:rsidRPr="007B2402">
        <w:rPr>
          <w:rFonts w:eastAsia="Calibri" w:cs="Times New Roman"/>
          <w:noProof/>
          <w:sz w:val="18"/>
          <w:szCs w:val="18"/>
          <w:lang w:val="en-US"/>
        </w:rPr>
        <w:t xml:space="preserve">. </w:t>
      </w:r>
    </w:p>
    <w:p w14:paraId="39EFEC57" w14:textId="25AB7BEA" w:rsidR="00314AE8" w:rsidRPr="007B2402" w:rsidRDefault="00375567" w:rsidP="00DB1F30">
      <w:pPr>
        <w:numPr>
          <w:ilvl w:val="1"/>
          <w:numId w:val="8"/>
        </w:numPr>
        <w:spacing w:after="0" w:line="240" w:lineRule="auto"/>
        <w:ind w:left="1702" w:right="28" w:hanging="284"/>
        <w:jc w:val="both"/>
        <w:rPr>
          <w:rFonts w:eastAsia="Calibri" w:cs="Times New Roman"/>
          <w:noProof/>
          <w:sz w:val="18"/>
          <w:szCs w:val="18"/>
          <w:lang w:val="en-US"/>
        </w:rPr>
      </w:pPr>
      <w:r w:rsidRPr="007B2402">
        <w:rPr>
          <w:rFonts w:eastAsia="Calibri" w:cs="Times New Roman"/>
          <w:noProof/>
          <w:sz w:val="18"/>
          <w:szCs w:val="18"/>
          <w:lang w:val="en-US"/>
        </w:rPr>
        <w:t>The violation of</w:t>
      </w:r>
      <w:r w:rsidR="00F771AB" w:rsidRPr="007B2402">
        <w:rPr>
          <w:rFonts w:eastAsia="Calibri" w:cs="Times New Roman"/>
          <w:noProof/>
          <w:sz w:val="18"/>
          <w:szCs w:val="18"/>
          <w:lang w:val="en-US"/>
        </w:rPr>
        <w:t xml:space="preserve"> </w:t>
      </w:r>
      <w:r w:rsidR="00AF4344" w:rsidRPr="007B2402">
        <w:rPr>
          <w:rFonts w:eastAsia="Calibri" w:cs="Times New Roman"/>
          <w:noProof/>
          <w:sz w:val="18"/>
          <w:szCs w:val="18"/>
          <w:lang w:val="en-US"/>
        </w:rPr>
        <w:t>Articles</w:t>
      </w:r>
      <w:r w:rsidR="00816D10" w:rsidRPr="007B2402">
        <w:rPr>
          <w:rFonts w:eastAsia="Calibri" w:cs="Times New Roman"/>
          <w:noProof/>
          <w:sz w:val="18"/>
          <w:szCs w:val="18"/>
          <w:lang w:val="en-US"/>
        </w:rPr>
        <w:t xml:space="preserve"> 1, 6 </w:t>
      </w:r>
      <w:r w:rsidRPr="007B2402">
        <w:rPr>
          <w:rFonts w:eastAsia="Calibri" w:cs="Times New Roman"/>
          <w:noProof/>
          <w:sz w:val="18"/>
          <w:szCs w:val="18"/>
          <w:lang w:val="en-US"/>
        </w:rPr>
        <w:t>and</w:t>
      </w:r>
      <w:r w:rsidR="00816D10" w:rsidRPr="007B2402">
        <w:rPr>
          <w:rFonts w:eastAsia="Calibri" w:cs="Times New Roman"/>
          <w:noProof/>
          <w:sz w:val="18"/>
          <w:szCs w:val="18"/>
          <w:lang w:val="en-US"/>
        </w:rPr>
        <w:t xml:space="preserve"> 8</w:t>
      </w:r>
      <w:r w:rsidR="00AF4344" w:rsidRPr="007B2402">
        <w:rPr>
          <w:rFonts w:eastAsia="Calibri" w:cs="Times New Roman"/>
          <w:noProof/>
          <w:sz w:val="18"/>
          <w:szCs w:val="18"/>
          <w:lang w:val="en-US"/>
        </w:rPr>
        <w:t xml:space="preserve"> of the </w:t>
      </w:r>
      <w:r w:rsidRPr="007B2402">
        <w:rPr>
          <w:rFonts w:eastAsia="Calibri" w:cs="Times New Roman"/>
          <w:noProof/>
          <w:sz w:val="18"/>
          <w:szCs w:val="18"/>
          <w:lang w:val="en-US"/>
        </w:rPr>
        <w:t>Inter-American Convention to Prevent and Punish Torture</w:t>
      </w:r>
      <w:r w:rsidR="00CE7924" w:rsidRPr="007B2402">
        <w:rPr>
          <w:rFonts w:eastAsia="Calibri" w:cs="Times New Roman"/>
          <w:noProof/>
          <w:sz w:val="18"/>
          <w:szCs w:val="18"/>
          <w:lang w:val="en-US"/>
        </w:rPr>
        <w:t xml:space="preserve"> (</w:t>
      </w:r>
      <w:r w:rsidR="00AF4344" w:rsidRPr="007B2402">
        <w:rPr>
          <w:rFonts w:eastAsia="Calibri" w:cs="Times New Roman"/>
          <w:noProof/>
          <w:sz w:val="18"/>
          <w:szCs w:val="18"/>
          <w:lang w:val="en-US"/>
        </w:rPr>
        <w:t>hereinafter</w:t>
      </w:r>
      <w:r w:rsidR="00CE7924" w:rsidRPr="007B2402">
        <w:rPr>
          <w:rFonts w:eastAsia="Calibri" w:cs="Times New Roman"/>
          <w:noProof/>
          <w:sz w:val="18"/>
          <w:szCs w:val="18"/>
          <w:lang w:val="en-US"/>
        </w:rPr>
        <w:t xml:space="preserve"> </w:t>
      </w:r>
      <w:r w:rsidRPr="007B2402">
        <w:rPr>
          <w:rFonts w:eastAsia="Calibri" w:cs="Times New Roman"/>
          <w:noProof/>
          <w:sz w:val="18"/>
          <w:szCs w:val="18"/>
          <w:lang w:val="en-US"/>
        </w:rPr>
        <w:t>also</w:t>
      </w:r>
      <w:r w:rsidR="00CE7924" w:rsidRPr="007B2402">
        <w:rPr>
          <w:rFonts w:eastAsia="Calibri" w:cs="Times New Roman"/>
          <w:noProof/>
          <w:sz w:val="18"/>
          <w:szCs w:val="18"/>
          <w:lang w:val="en-US"/>
        </w:rPr>
        <w:t xml:space="preserve"> “</w:t>
      </w:r>
      <w:r w:rsidR="002A3AA3" w:rsidRPr="007B2402">
        <w:rPr>
          <w:rFonts w:eastAsia="Calibri" w:cs="Times New Roman"/>
          <w:noProof/>
          <w:sz w:val="18"/>
          <w:szCs w:val="18"/>
          <w:lang w:val="en-US"/>
        </w:rPr>
        <w:t xml:space="preserve">the </w:t>
      </w:r>
      <w:r w:rsidRPr="007B2402">
        <w:rPr>
          <w:rFonts w:eastAsia="Calibri" w:cs="Times New Roman"/>
          <w:noProof/>
          <w:sz w:val="18"/>
          <w:szCs w:val="18"/>
          <w:lang w:val="en-US"/>
        </w:rPr>
        <w:t>ICPPT</w:t>
      </w:r>
      <w:r w:rsidR="00CE7924" w:rsidRPr="007B2402">
        <w:rPr>
          <w:rFonts w:eastAsia="Calibri" w:cs="Times New Roman"/>
          <w:noProof/>
          <w:sz w:val="18"/>
          <w:szCs w:val="18"/>
          <w:lang w:val="en-US"/>
        </w:rPr>
        <w:t>”)</w:t>
      </w:r>
      <w:r w:rsidR="00F771AB" w:rsidRPr="007B2402">
        <w:rPr>
          <w:rFonts w:eastAsia="Calibri" w:cs="Times New Roman"/>
          <w:noProof/>
          <w:sz w:val="18"/>
          <w:szCs w:val="18"/>
          <w:lang w:val="en-US"/>
        </w:rPr>
        <w:t>.</w:t>
      </w:r>
    </w:p>
    <w:p w14:paraId="444A9E65" w14:textId="77777777" w:rsidR="001D1455" w:rsidRPr="007B2402" w:rsidRDefault="001D1455" w:rsidP="001D1455">
      <w:pPr>
        <w:spacing w:after="0" w:line="240" w:lineRule="auto"/>
        <w:ind w:left="1701" w:right="29"/>
        <w:jc w:val="both"/>
        <w:rPr>
          <w:rFonts w:eastAsia="Calibri" w:cs="Times New Roman"/>
          <w:noProof/>
          <w:szCs w:val="20"/>
          <w:lang w:val="en-US"/>
        </w:rPr>
      </w:pPr>
    </w:p>
    <w:p w14:paraId="7DAB6BE5" w14:textId="3E9DF2DD" w:rsidR="001D1455" w:rsidRPr="007B2402" w:rsidRDefault="001D1455" w:rsidP="00DB1F30">
      <w:pPr>
        <w:numPr>
          <w:ilvl w:val="0"/>
          <w:numId w:val="8"/>
        </w:numPr>
        <w:spacing w:after="0" w:line="240" w:lineRule="auto"/>
        <w:ind w:left="1418" w:right="29"/>
        <w:jc w:val="both"/>
        <w:rPr>
          <w:rFonts w:eastAsia="Calibri" w:cs="Times New Roman"/>
          <w:noProof/>
          <w:szCs w:val="20"/>
          <w:lang w:val="en-US"/>
        </w:rPr>
      </w:pPr>
      <w:r w:rsidRPr="007B2402">
        <w:rPr>
          <w:rFonts w:eastAsia="Calibri" w:cs="Verdana"/>
          <w:i/>
          <w:noProof/>
          <w:szCs w:val="20"/>
          <w:lang w:val="en-US" w:eastAsia="es-ES"/>
        </w:rPr>
        <w:t>Recom</w:t>
      </w:r>
      <w:r w:rsidR="00375567" w:rsidRPr="007B2402">
        <w:rPr>
          <w:rFonts w:eastAsia="Calibri" w:cs="Verdana"/>
          <w:i/>
          <w:noProof/>
          <w:szCs w:val="20"/>
          <w:lang w:val="en-US" w:eastAsia="es-ES"/>
        </w:rPr>
        <w:t>mendation</w:t>
      </w:r>
      <w:r w:rsidRPr="007B2402">
        <w:rPr>
          <w:rFonts w:eastAsia="Calibri" w:cs="Verdana"/>
          <w:i/>
          <w:noProof/>
          <w:szCs w:val="20"/>
          <w:lang w:val="en-US" w:eastAsia="es-ES"/>
        </w:rPr>
        <w:t>s</w:t>
      </w:r>
      <w:r w:rsidRPr="007B2402">
        <w:rPr>
          <w:rFonts w:eastAsia="Calibri" w:cs="Verdana"/>
          <w:noProof/>
          <w:szCs w:val="20"/>
          <w:lang w:val="en-US" w:eastAsia="es-ES"/>
        </w:rPr>
        <w:t xml:space="preserve">. </w:t>
      </w:r>
      <w:r w:rsidR="00375567" w:rsidRPr="007B2402">
        <w:rPr>
          <w:rFonts w:eastAsia="Calibri" w:cs="Times New Roman"/>
          <w:noProof/>
          <w:szCs w:val="20"/>
          <w:lang w:val="en-US"/>
        </w:rPr>
        <w:t xml:space="preserve">Consequently, </w:t>
      </w:r>
      <w:r w:rsidR="00AF4344" w:rsidRPr="007B2402">
        <w:rPr>
          <w:rFonts w:eastAsia="Calibri" w:cs="Times New Roman"/>
          <w:noProof/>
          <w:szCs w:val="20"/>
          <w:lang w:val="en-US"/>
        </w:rPr>
        <w:t>the Commission</w:t>
      </w:r>
      <w:r w:rsidRPr="007B2402">
        <w:rPr>
          <w:rFonts w:eastAsia="Calibri" w:cs="Times New Roman"/>
          <w:noProof/>
          <w:szCs w:val="20"/>
          <w:lang w:val="en-US"/>
        </w:rPr>
        <w:t xml:space="preserve"> </w:t>
      </w:r>
      <w:r w:rsidR="00375567" w:rsidRPr="007B2402">
        <w:rPr>
          <w:rFonts w:eastAsia="Calibri" w:cs="Times New Roman"/>
          <w:noProof/>
          <w:szCs w:val="20"/>
          <w:lang w:val="en-US"/>
        </w:rPr>
        <w:t>made the following recommendations to the State:</w:t>
      </w:r>
    </w:p>
    <w:p w14:paraId="34571CEA" w14:textId="77777777" w:rsidR="001D1455" w:rsidRPr="007B2402" w:rsidRDefault="001D1455" w:rsidP="001D1455">
      <w:pPr>
        <w:spacing w:after="0" w:line="240" w:lineRule="auto"/>
        <w:ind w:left="1701" w:right="29"/>
        <w:jc w:val="both"/>
        <w:rPr>
          <w:rFonts w:eastAsia="Calibri" w:cs="Times New Roman"/>
          <w:noProof/>
          <w:sz w:val="18"/>
          <w:szCs w:val="18"/>
          <w:lang w:val="en-US"/>
        </w:rPr>
      </w:pPr>
    </w:p>
    <w:p w14:paraId="16C59160" w14:textId="3EBD7ECC" w:rsidR="008C3FB3" w:rsidRPr="007B2402" w:rsidRDefault="008C3FB3" w:rsidP="008C3FB3">
      <w:pPr>
        <w:pStyle w:val="Prrafodelista"/>
        <w:numPr>
          <w:ilvl w:val="1"/>
          <w:numId w:val="8"/>
        </w:numPr>
        <w:rPr>
          <w:sz w:val="18"/>
          <w:szCs w:val="18"/>
          <w:lang w:val="en-US"/>
        </w:rPr>
      </w:pPr>
      <w:r w:rsidRPr="007B2402">
        <w:rPr>
          <w:rFonts w:cs="Univers"/>
          <w:color w:val="000000"/>
          <w:sz w:val="18"/>
          <w:szCs w:val="18"/>
          <w:lang w:val="en-US" w:eastAsia="zh-CN"/>
        </w:rPr>
        <w:t>Determine, through the ordinary courts, the criminal responsibility for the arbitrary detention, torture and murder of Vladimir Herzog, with a thorough and impartial judicial investigation of the facts in accordance with due legal process, in order to identify those responsible for such violations and and impose criminal sanction</w:t>
      </w:r>
      <w:r w:rsidR="002A3AA3" w:rsidRPr="007B2402">
        <w:rPr>
          <w:rFonts w:cs="Univers"/>
          <w:color w:val="000000"/>
          <w:sz w:val="18"/>
          <w:szCs w:val="18"/>
          <w:lang w:val="en-US" w:eastAsia="zh-CN"/>
        </w:rPr>
        <w:t>s</w:t>
      </w:r>
      <w:r w:rsidRPr="007B2402">
        <w:rPr>
          <w:rFonts w:cs="Univers"/>
          <w:color w:val="000000"/>
          <w:sz w:val="18"/>
          <w:szCs w:val="18"/>
          <w:lang w:val="en-US" w:eastAsia="zh-CN"/>
        </w:rPr>
        <w:t xml:space="preserve"> on them, and publish the results of the investigation. When complying with this recommendation, the State shall take into account that these crimes against humanity are not subject to amnesties or statutes of limitations. </w:t>
      </w:r>
    </w:p>
    <w:p w14:paraId="3466DD21" w14:textId="16F0AAD5" w:rsidR="008C3FB3" w:rsidRPr="007B2402" w:rsidRDefault="008C3FB3" w:rsidP="008C3FB3">
      <w:pPr>
        <w:pStyle w:val="Prrafodelista"/>
        <w:numPr>
          <w:ilvl w:val="1"/>
          <w:numId w:val="8"/>
        </w:numPr>
        <w:rPr>
          <w:sz w:val="18"/>
          <w:szCs w:val="18"/>
          <w:lang w:val="en-US"/>
        </w:rPr>
      </w:pPr>
      <w:r w:rsidRPr="007B2402">
        <w:rPr>
          <w:rFonts w:cs="Univers"/>
          <w:color w:val="000000"/>
          <w:sz w:val="18"/>
          <w:szCs w:val="18"/>
          <w:lang w:val="en-US" w:eastAsia="zh-CN"/>
        </w:rPr>
        <w:t xml:space="preserve">Take all necessary measures to ensure that Law No. </w:t>
      </w:r>
      <w:r w:rsidR="00D94A00" w:rsidRPr="007B2402">
        <w:rPr>
          <w:rFonts w:cs="Univers"/>
          <w:color w:val="000000"/>
          <w:sz w:val="18"/>
          <w:szCs w:val="18"/>
          <w:lang w:val="en-US" w:eastAsia="zh-CN"/>
        </w:rPr>
        <w:t>6,683</w:t>
      </w:r>
      <w:r w:rsidRPr="007B2402">
        <w:rPr>
          <w:rFonts w:cs="Univers"/>
          <w:color w:val="000000"/>
          <w:sz w:val="18"/>
          <w:szCs w:val="18"/>
          <w:lang w:val="en-US" w:eastAsia="zh-CN"/>
        </w:rPr>
        <w:t xml:space="preserve">/79 (Amnesty Law), as well as other provisions of criminal law, such as statutes of limitations, </w:t>
      </w:r>
      <w:r w:rsidRPr="007B2402">
        <w:rPr>
          <w:rFonts w:cs="Univers"/>
          <w:i/>
          <w:color w:val="000000"/>
          <w:sz w:val="18"/>
          <w:szCs w:val="18"/>
          <w:lang w:val="en-US" w:eastAsia="zh-CN"/>
        </w:rPr>
        <w:t>res judicata</w:t>
      </w:r>
      <w:r w:rsidRPr="007B2402">
        <w:rPr>
          <w:rFonts w:cs="Univers"/>
          <w:color w:val="000000"/>
          <w:sz w:val="18"/>
          <w:szCs w:val="18"/>
          <w:lang w:val="en-US" w:eastAsia="zh-CN"/>
        </w:rPr>
        <w:t xml:space="preserve">, the principle of non-retroactivity and </w:t>
      </w:r>
      <w:r w:rsidRPr="007B2402">
        <w:rPr>
          <w:rFonts w:cs="Univers"/>
          <w:i/>
          <w:color w:val="000000"/>
          <w:sz w:val="18"/>
          <w:szCs w:val="18"/>
          <w:lang w:val="en-US" w:eastAsia="zh-CN"/>
        </w:rPr>
        <w:t>ne bis in idem</w:t>
      </w:r>
      <w:r w:rsidRPr="007B2402">
        <w:rPr>
          <w:rFonts w:cs="Univers"/>
          <w:color w:val="000000"/>
          <w:sz w:val="18"/>
          <w:szCs w:val="18"/>
          <w:lang w:val="en-US" w:eastAsia="zh-CN"/>
        </w:rPr>
        <w:t xml:space="preserve">, do not continue to represent an obstacle for the criminal prosecution of serious human rights violations, </w:t>
      </w:r>
      <w:r w:rsidR="00D94A00" w:rsidRPr="007B2402">
        <w:rPr>
          <w:rFonts w:cs="Univers"/>
          <w:color w:val="000000"/>
          <w:sz w:val="18"/>
          <w:szCs w:val="18"/>
          <w:lang w:val="en-US" w:eastAsia="zh-CN"/>
        </w:rPr>
        <w:t xml:space="preserve">such </w:t>
      </w:r>
      <w:r w:rsidRPr="007B2402">
        <w:rPr>
          <w:rFonts w:cs="Univers"/>
          <w:color w:val="000000"/>
          <w:sz w:val="18"/>
          <w:szCs w:val="18"/>
          <w:lang w:val="en-US" w:eastAsia="zh-CN"/>
        </w:rPr>
        <w:t xml:space="preserve">as those of the instant case. </w:t>
      </w:r>
    </w:p>
    <w:p w14:paraId="693DF8E0" w14:textId="56FE29F6" w:rsidR="008C3FB3" w:rsidRPr="007B2402" w:rsidRDefault="008C3FB3" w:rsidP="008C3FB3">
      <w:pPr>
        <w:pStyle w:val="Prrafodelista"/>
        <w:numPr>
          <w:ilvl w:val="1"/>
          <w:numId w:val="8"/>
        </w:numPr>
        <w:rPr>
          <w:sz w:val="18"/>
          <w:szCs w:val="18"/>
          <w:lang w:val="en-US"/>
        </w:rPr>
      </w:pPr>
      <w:r w:rsidRPr="007B2402">
        <w:rPr>
          <w:rFonts w:cs="Univers"/>
          <w:color w:val="000000"/>
          <w:sz w:val="18"/>
          <w:szCs w:val="18"/>
          <w:lang w:val="en-US" w:eastAsia="zh-CN"/>
        </w:rPr>
        <w:t xml:space="preserve">Grant reparation to the next of kin of Vladimir Herzog, including physical and psychological treatment, holding events of symbolic importance that guarantee the </w:t>
      </w:r>
      <w:r w:rsidRPr="007B2402">
        <w:rPr>
          <w:rFonts w:cs="Univers"/>
          <w:color w:val="000000"/>
          <w:sz w:val="18"/>
          <w:szCs w:val="18"/>
          <w:lang w:val="en-US" w:eastAsia="zh-CN"/>
        </w:rPr>
        <w:lastRenderedPageBreak/>
        <w:t>non-repetition of the crimes committed in this case, and the acknowledgement of State responsibility for the arbitrary detention, torture and murder of Vladimir Herzog and the suffering of his relatives</w:t>
      </w:r>
      <w:r w:rsidR="005B1590" w:rsidRPr="007B2402">
        <w:rPr>
          <w:rFonts w:cs="Univers"/>
          <w:color w:val="000000"/>
          <w:sz w:val="18"/>
          <w:szCs w:val="18"/>
          <w:lang w:val="en-US" w:eastAsia="zh-CN"/>
        </w:rPr>
        <w:t>.</w:t>
      </w:r>
    </w:p>
    <w:p w14:paraId="0981AAEE" w14:textId="5342793B" w:rsidR="008C3FB3" w:rsidRPr="007B2402" w:rsidRDefault="008C3FB3" w:rsidP="008C3FB3">
      <w:pPr>
        <w:pStyle w:val="Prrafodelista"/>
        <w:numPr>
          <w:ilvl w:val="1"/>
          <w:numId w:val="8"/>
        </w:numPr>
        <w:rPr>
          <w:sz w:val="18"/>
          <w:szCs w:val="18"/>
          <w:lang w:val="en-US"/>
        </w:rPr>
      </w:pPr>
      <w:r w:rsidRPr="007B2402">
        <w:rPr>
          <w:sz w:val="18"/>
          <w:szCs w:val="18"/>
          <w:lang w:val="en-US"/>
        </w:rPr>
        <w:t>Grant adequate reparation</w:t>
      </w:r>
      <w:r w:rsidR="005B1590" w:rsidRPr="007B2402">
        <w:rPr>
          <w:sz w:val="18"/>
          <w:szCs w:val="18"/>
          <w:lang w:val="en-US"/>
        </w:rPr>
        <w:t xml:space="preserve"> for both the pecuniary and the non-pecuniary aspects of</w:t>
      </w:r>
      <w:r w:rsidRPr="007B2402">
        <w:rPr>
          <w:sz w:val="18"/>
          <w:szCs w:val="18"/>
          <w:lang w:val="en-US"/>
        </w:rPr>
        <w:t xml:space="preserve"> </w:t>
      </w:r>
      <w:r w:rsidR="005B1590" w:rsidRPr="007B2402">
        <w:rPr>
          <w:sz w:val="18"/>
          <w:szCs w:val="18"/>
          <w:lang w:val="en-US"/>
        </w:rPr>
        <w:t xml:space="preserve">the </w:t>
      </w:r>
      <w:r w:rsidRPr="007B2402">
        <w:rPr>
          <w:sz w:val="18"/>
          <w:szCs w:val="18"/>
          <w:lang w:val="en-US"/>
        </w:rPr>
        <w:t>human rights violations.</w:t>
      </w:r>
    </w:p>
    <w:p w14:paraId="6208D234" w14:textId="77777777" w:rsidR="009B70B1" w:rsidRPr="007B2402" w:rsidRDefault="009B70B1" w:rsidP="009B70B1">
      <w:pPr>
        <w:spacing w:after="0" w:line="240" w:lineRule="auto"/>
        <w:ind w:left="1854" w:right="29"/>
        <w:jc w:val="both"/>
        <w:rPr>
          <w:rFonts w:eastAsia="Batang" w:cs="Times"/>
          <w:b/>
          <w:i/>
          <w:noProof/>
          <w:szCs w:val="20"/>
          <w:lang w:val="en-US"/>
        </w:rPr>
      </w:pPr>
    </w:p>
    <w:p w14:paraId="0774ECEF" w14:textId="74B10571" w:rsidR="001D1455" w:rsidRPr="007B2402" w:rsidRDefault="001D1455" w:rsidP="00DB1F30">
      <w:pPr>
        <w:numPr>
          <w:ilvl w:val="0"/>
          <w:numId w:val="6"/>
        </w:numPr>
        <w:autoSpaceDE w:val="0"/>
        <w:autoSpaceDN w:val="0"/>
        <w:adjustRightInd w:val="0"/>
        <w:spacing w:after="0" w:line="240" w:lineRule="auto"/>
        <w:ind w:right="6"/>
        <w:jc w:val="both"/>
        <w:rPr>
          <w:rFonts w:eastAsia="Batang" w:cs="Verdana"/>
          <w:noProof/>
          <w:szCs w:val="20"/>
          <w:lang w:val="en-US" w:eastAsia="es-ES"/>
        </w:rPr>
      </w:pPr>
      <w:r w:rsidRPr="007B2402">
        <w:rPr>
          <w:rFonts w:eastAsia="Batang" w:cs="Times"/>
          <w:i/>
          <w:noProof/>
          <w:szCs w:val="20"/>
          <w:lang w:val="en-US"/>
        </w:rPr>
        <w:t>Notifica</w:t>
      </w:r>
      <w:r w:rsidR="005B1590" w:rsidRPr="007B2402">
        <w:rPr>
          <w:rFonts w:eastAsia="Batang" w:cs="Times"/>
          <w:i/>
          <w:noProof/>
          <w:szCs w:val="20"/>
          <w:lang w:val="en-US"/>
        </w:rPr>
        <w:t>tion to the State</w:t>
      </w:r>
      <w:r w:rsidRPr="007B2402">
        <w:rPr>
          <w:rFonts w:eastAsia="Batang" w:cs="Times"/>
          <w:i/>
          <w:noProof/>
          <w:szCs w:val="20"/>
          <w:lang w:val="en-US"/>
        </w:rPr>
        <w:t xml:space="preserve">. </w:t>
      </w:r>
      <w:r w:rsidR="002A3AA3" w:rsidRPr="007B2402">
        <w:rPr>
          <w:rFonts w:eastAsia="Batang" w:cs="Times"/>
          <w:noProof/>
          <w:szCs w:val="20"/>
          <w:lang w:val="en-US"/>
        </w:rPr>
        <w:t>The</w:t>
      </w:r>
      <w:r w:rsidRPr="007B2402">
        <w:rPr>
          <w:rFonts w:eastAsia="Batang" w:cs="Times"/>
          <w:noProof/>
          <w:szCs w:val="20"/>
          <w:lang w:val="en-US"/>
        </w:rPr>
        <w:t xml:space="preserve"> </w:t>
      </w:r>
      <w:r w:rsidR="00375567" w:rsidRPr="007B2402">
        <w:rPr>
          <w:rFonts w:eastAsia="Batang" w:cs="Times"/>
          <w:noProof/>
          <w:szCs w:val="20"/>
          <w:lang w:val="en-US"/>
        </w:rPr>
        <w:t>Merits Report</w:t>
      </w:r>
      <w:r w:rsidRPr="007B2402">
        <w:rPr>
          <w:rFonts w:eastAsia="Batang" w:cs="Times"/>
          <w:noProof/>
          <w:szCs w:val="20"/>
          <w:lang w:val="en-US"/>
        </w:rPr>
        <w:t xml:space="preserve"> </w:t>
      </w:r>
      <w:r w:rsidR="005B1590" w:rsidRPr="007B2402">
        <w:rPr>
          <w:rFonts w:eastAsia="Batang" w:cs="Times"/>
          <w:noProof/>
          <w:szCs w:val="20"/>
          <w:lang w:val="en-US"/>
        </w:rPr>
        <w:t xml:space="preserve">was notified to the State in a communication dated December 22, 2015, in which the State was granted two </w:t>
      </w:r>
      <w:r w:rsidR="002A3AA3" w:rsidRPr="007B2402">
        <w:rPr>
          <w:rFonts w:eastAsia="Batang" w:cs="Times"/>
          <w:noProof/>
          <w:szCs w:val="20"/>
          <w:lang w:val="en-US"/>
        </w:rPr>
        <w:t>months</w:t>
      </w:r>
      <w:r w:rsidR="005B1590" w:rsidRPr="007B2402">
        <w:rPr>
          <w:rFonts w:eastAsia="Batang" w:cs="Times"/>
          <w:noProof/>
          <w:szCs w:val="20"/>
          <w:lang w:val="en-US"/>
        </w:rPr>
        <w:t xml:space="preserve"> to provide information on compliance with the recommendations. The State reiterated the information presented at the merits stage before </w:t>
      </w:r>
      <w:r w:rsidR="00AF4344" w:rsidRPr="007B2402">
        <w:rPr>
          <w:rFonts w:eastAsia="Batang" w:cs="Times"/>
          <w:noProof/>
          <w:szCs w:val="20"/>
          <w:lang w:val="en-US"/>
        </w:rPr>
        <w:t>the Commission</w:t>
      </w:r>
      <w:r w:rsidR="00F22725" w:rsidRPr="007B2402">
        <w:rPr>
          <w:rFonts w:eastAsia="Batang" w:cs="Times"/>
          <w:noProof/>
          <w:szCs w:val="20"/>
          <w:lang w:val="en-US"/>
        </w:rPr>
        <w:t xml:space="preserve"> </w:t>
      </w:r>
      <w:r w:rsidR="005B1590" w:rsidRPr="007B2402">
        <w:rPr>
          <w:rFonts w:eastAsia="Batang" w:cs="Times"/>
          <w:noProof/>
          <w:szCs w:val="20"/>
          <w:lang w:val="en-US"/>
        </w:rPr>
        <w:t xml:space="preserve">and added some elements related to a proposal for pecuniary compensation. However, </w:t>
      </w:r>
      <w:r w:rsidR="00AF4344" w:rsidRPr="007B2402">
        <w:rPr>
          <w:rFonts w:eastAsia="Batang" w:cs="Times"/>
          <w:noProof/>
          <w:szCs w:val="20"/>
          <w:lang w:val="en-US"/>
        </w:rPr>
        <w:t>the Commission</w:t>
      </w:r>
      <w:r w:rsidR="00F22725" w:rsidRPr="007B2402">
        <w:rPr>
          <w:rFonts w:eastAsia="Batang" w:cs="Times"/>
          <w:noProof/>
          <w:szCs w:val="20"/>
          <w:lang w:val="en-US"/>
        </w:rPr>
        <w:t xml:space="preserve"> </w:t>
      </w:r>
      <w:r w:rsidR="00D94A00" w:rsidRPr="007B2402">
        <w:rPr>
          <w:rFonts w:eastAsia="Batang" w:cs="Times"/>
          <w:noProof/>
          <w:szCs w:val="20"/>
          <w:lang w:val="en-US"/>
        </w:rPr>
        <w:t>noted</w:t>
      </w:r>
      <w:r w:rsidR="005B1590" w:rsidRPr="007B2402">
        <w:rPr>
          <w:rFonts w:eastAsia="Batang" w:cs="Times"/>
          <w:noProof/>
          <w:szCs w:val="20"/>
          <w:lang w:val="en-US"/>
        </w:rPr>
        <w:t xml:space="preserve"> that the State did not provide information on re-opening the investigation </w:t>
      </w:r>
      <w:r w:rsidR="002A3AA3" w:rsidRPr="007B2402">
        <w:rPr>
          <w:rFonts w:eastAsia="Batang" w:cs="Times"/>
          <w:noProof/>
          <w:szCs w:val="20"/>
          <w:lang w:val="en-US"/>
        </w:rPr>
        <w:t>into</w:t>
      </w:r>
      <w:r w:rsidR="005B1590" w:rsidRPr="007B2402">
        <w:rPr>
          <w:rFonts w:eastAsia="Batang" w:cs="Times"/>
          <w:noProof/>
          <w:szCs w:val="20"/>
          <w:lang w:val="en-US"/>
        </w:rPr>
        <w:t xml:space="preserve"> this case</w:t>
      </w:r>
      <w:r w:rsidR="00526002" w:rsidRPr="007B2402">
        <w:rPr>
          <w:rFonts w:eastAsia="Batang" w:cs="Times"/>
          <w:noProof/>
          <w:szCs w:val="20"/>
          <w:lang w:val="en-US"/>
        </w:rPr>
        <w:t xml:space="preserve">. </w:t>
      </w:r>
    </w:p>
    <w:p w14:paraId="2BB250B6" w14:textId="77777777" w:rsidR="00F22725" w:rsidRPr="007B2402" w:rsidRDefault="00F22725" w:rsidP="00F22725">
      <w:pPr>
        <w:autoSpaceDE w:val="0"/>
        <w:autoSpaceDN w:val="0"/>
        <w:adjustRightInd w:val="0"/>
        <w:spacing w:after="0" w:line="240" w:lineRule="auto"/>
        <w:ind w:right="6"/>
        <w:jc w:val="both"/>
        <w:rPr>
          <w:rFonts w:eastAsia="Batang" w:cs="Verdana"/>
          <w:noProof/>
          <w:szCs w:val="20"/>
          <w:lang w:val="en-US" w:eastAsia="es-ES"/>
        </w:rPr>
      </w:pPr>
    </w:p>
    <w:p w14:paraId="72CF1F52" w14:textId="6B39BA83" w:rsidR="001D1455" w:rsidRPr="007B2402" w:rsidRDefault="005B1590" w:rsidP="00DB1F30">
      <w:pPr>
        <w:numPr>
          <w:ilvl w:val="0"/>
          <w:numId w:val="6"/>
        </w:numPr>
        <w:autoSpaceDE w:val="0"/>
        <w:autoSpaceDN w:val="0"/>
        <w:adjustRightInd w:val="0"/>
        <w:spacing w:after="0" w:line="240" w:lineRule="auto"/>
        <w:ind w:right="6"/>
        <w:jc w:val="both"/>
        <w:rPr>
          <w:rFonts w:eastAsia="Batang" w:cs="Verdana"/>
          <w:noProof/>
          <w:szCs w:val="20"/>
          <w:lang w:val="en-US" w:eastAsia="es-ES"/>
        </w:rPr>
      </w:pPr>
      <w:r w:rsidRPr="007B2402">
        <w:rPr>
          <w:rFonts w:eastAsia="Batang" w:cs="Verdana"/>
          <w:i/>
          <w:noProof/>
          <w:szCs w:val="20"/>
          <w:lang w:val="en-US" w:eastAsia="es-ES"/>
        </w:rPr>
        <w:t>Submission to</w:t>
      </w:r>
      <w:r w:rsidR="001D1455" w:rsidRPr="007B2402">
        <w:rPr>
          <w:rFonts w:eastAsia="Batang" w:cs="Verdana"/>
          <w:i/>
          <w:noProof/>
          <w:szCs w:val="20"/>
          <w:lang w:val="en-US" w:eastAsia="es-ES"/>
        </w:rPr>
        <w:t xml:space="preserve"> </w:t>
      </w:r>
      <w:r w:rsidR="00AF4344" w:rsidRPr="007B2402">
        <w:rPr>
          <w:rFonts w:eastAsia="Batang" w:cs="Verdana"/>
          <w:i/>
          <w:noProof/>
          <w:szCs w:val="20"/>
          <w:lang w:val="en-US" w:eastAsia="es-ES"/>
        </w:rPr>
        <w:t>the Court</w:t>
      </w:r>
      <w:r w:rsidR="001D1455" w:rsidRPr="007B2402">
        <w:rPr>
          <w:rFonts w:eastAsia="Batang" w:cs="Verdana"/>
          <w:i/>
          <w:noProof/>
          <w:szCs w:val="20"/>
          <w:lang w:val="en-US" w:eastAsia="es-ES"/>
        </w:rPr>
        <w:t>.</w:t>
      </w:r>
      <w:r w:rsidR="001D1455" w:rsidRPr="007B2402">
        <w:rPr>
          <w:rFonts w:eastAsia="Batang" w:cs="Verdana"/>
          <w:noProof/>
          <w:szCs w:val="20"/>
          <w:lang w:val="en-US" w:eastAsia="es-ES"/>
        </w:rPr>
        <w:t xml:space="preserve"> </w:t>
      </w:r>
      <w:r w:rsidRPr="007B2402">
        <w:rPr>
          <w:rFonts w:eastAsia="Batang" w:cs="Verdana"/>
          <w:noProof/>
          <w:szCs w:val="20"/>
          <w:lang w:val="en-US" w:eastAsia="es-ES"/>
        </w:rPr>
        <w:t>On April 22,</w:t>
      </w:r>
      <w:r w:rsidR="001D1455" w:rsidRPr="007B2402">
        <w:rPr>
          <w:rFonts w:eastAsia="Batang" w:cs="Verdana"/>
          <w:noProof/>
          <w:szCs w:val="20"/>
          <w:lang w:val="en-US" w:eastAsia="es-ES"/>
        </w:rPr>
        <w:t xml:space="preserve"> 2016</w:t>
      </w:r>
      <w:r w:rsidRPr="007B2402">
        <w:rPr>
          <w:rFonts w:eastAsia="Batang" w:cs="Verdana"/>
          <w:noProof/>
          <w:szCs w:val="20"/>
          <w:lang w:val="en-US" w:eastAsia="es-ES"/>
        </w:rPr>
        <w:t>,</w:t>
      </w:r>
      <w:r w:rsidR="001D1455" w:rsidRPr="007B2402">
        <w:rPr>
          <w:rFonts w:eastAsia="Batang" w:cs="Verdana"/>
          <w:noProof/>
          <w:szCs w:val="20"/>
          <w:lang w:val="en-US" w:eastAsia="es-ES"/>
        </w:rPr>
        <w:t xml:space="preserve"> </w:t>
      </w:r>
      <w:r w:rsidR="00AF4344" w:rsidRPr="007B2402">
        <w:rPr>
          <w:rFonts w:eastAsia="Batang" w:cs="Verdana"/>
          <w:noProof/>
          <w:szCs w:val="20"/>
          <w:lang w:val="en-US" w:eastAsia="es-ES"/>
        </w:rPr>
        <w:t>the Commission</w:t>
      </w:r>
      <w:r w:rsidR="001D1455" w:rsidRPr="007B2402">
        <w:rPr>
          <w:rFonts w:eastAsia="Batang" w:cs="Verdana"/>
          <w:noProof/>
          <w:szCs w:val="20"/>
          <w:lang w:val="en-US" w:eastAsia="es-ES"/>
        </w:rPr>
        <w:t xml:space="preserve"> </w:t>
      </w:r>
      <w:r w:rsidRPr="007B2402">
        <w:rPr>
          <w:rFonts w:eastAsia="Batang" w:cs="Verdana"/>
          <w:noProof/>
          <w:szCs w:val="20"/>
          <w:lang w:val="en-US" w:eastAsia="es-ES"/>
        </w:rPr>
        <w:t>submitted the case to</w:t>
      </w:r>
      <w:r w:rsidR="001D1455" w:rsidRPr="007B2402">
        <w:rPr>
          <w:rFonts w:eastAsia="Batang" w:cs="Verdana"/>
          <w:noProof/>
          <w:szCs w:val="20"/>
          <w:lang w:val="en-US" w:eastAsia="es-ES"/>
        </w:rPr>
        <w:t xml:space="preserve"> </w:t>
      </w:r>
      <w:r w:rsidR="00AF4344" w:rsidRPr="007B2402">
        <w:rPr>
          <w:rFonts w:eastAsia="Batang" w:cs="Verdana"/>
          <w:noProof/>
          <w:szCs w:val="20"/>
          <w:lang w:val="en-US" w:eastAsia="es-ES"/>
        </w:rPr>
        <w:t>the Court</w:t>
      </w:r>
      <w:r w:rsidR="00167039" w:rsidRPr="007B2402">
        <w:rPr>
          <w:rFonts w:eastAsia="Batang" w:cs="Verdana"/>
          <w:noProof/>
          <w:szCs w:val="20"/>
          <w:lang w:val="en-US" w:eastAsia="es-ES"/>
        </w:rPr>
        <w:t xml:space="preserve"> </w:t>
      </w:r>
      <w:r w:rsidRPr="007B2402">
        <w:rPr>
          <w:rFonts w:eastAsia="Batang" w:cs="Verdana"/>
          <w:noProof/>
          <w:szCs w:val="20"/>
          <w:lang w:val="en-US" w:eastAsia="es-ES"/>
        </w:rPr>
        <w:t xml:space="preserve">in relation to the facts and human rights violations described in the </w:t>
      </w:r>
      <w:r w:rsidR="00375567" w:rsidRPr="007B2402">
        <w:rPr>
          <w:rFonts w:eastAsia="Batang" w:cs="Verdana"/>
          <w:noProof/>
          <w:szCs w:val="20"/>
          <w:lang w:val="en-US" w:eastAsia="es-ES"/>
        </w:rPr>
        <w:t>Merits Report</w:t>
      </w:r>
      <w:r w:rsidR="001D1455" w:rsidRPr="007B2402">
        <w:rPr>
          <w:rFonts w:eastAsia="Batang" w:cs="Verdana"/>
          <w:noProof/>
          <w:szCs w:val="20"/>
          <w:lang w:val="en-US" w:eastAsia="es-ES"/>
        </w:rPr>
        <w:t>, “</w:t>
      </w:r>
      <w:r w:rsidRPr="007B2402">
        <w:rPr>
          <w:rFonts w:eastAsia="Batang" w:cs="Verdana"/>
          <w:noProof/>
          <w:szCs w:val="20"/>
          <w:lang w:val="en-US" w:eastAsia="es-ES"/>
        </w:rPr>
        <w:t>due to the need to obtain justice,” and because “they involve matters of inter-American public order.</w:t>
      </w:r>
      <w:r w:rsidR="000D37F4" w:rsidRPr="007B2402">
        <w:rPr>
          <w:rFonts w:eastAsia="Batang" w:cs="Verdana"/>
          <w:noProof/>
          <w:szCs w:val="20"/>
          <w:lang w:val="en-US" w:eastAsia="es-ES"/>
        </w:rPr>
        <w:t>”</w:t>
      </w:r>
      <w:r w:rsidR="001D1455" w:rsidRPr="007B2402">
        <w:rPr>
          <w:rFonts w:eastAsia="Batang" w:cs="Times New Roman"/>
          <w:noProof/>
          <w:szCs w:val="20"/>
          <w:vertAlign w:val="superscript"/>
          <w:lang w:val="en-US" w:eastAsia="es-ES"/>
        </w:rPr>
        <w:footnoteReference w:id="2"/>
      </w:r>
      <w:r w:rsidRPr="007B2402">
        <w:rPr>
          <w:rFonts w:eastAsia="Batang" w:cs="Verdana"/>
          <w:noProof/>
          <w:szCs w:val="20"/>
          <w:lang w:val="en-US" w:eastAsia="es-ES"/>
        </w:rPr>
        <w:t xml:space="preserve"> Specifically, </w:t>
      </w:r>
      <w:r w:rsidR="00AF4344" w:rsidRPr="007B2402">
        <w:rPr>
          <w:rFonts w:eastAsia="Batang" w:cs="Verdana"/>
          <w:noProof/>
          <w:szCs w:val="20"/>
          <w:lang w:val="en-US" w:eastAsia="es-ES"/>
        </w:rPr>
        <w:t>the Commission</w:t>
      </w:r>
      <w:r w:rsidR="001D1455" w:rsidRPr="007B2402">
        <w:rPr>
          <w:rFonts w:eastAsia="Batang" w:cs="Verdana"/>
          <w:noProof/>
          <w:szCs w:val="20"/>
          <w:lang w:val="en-US" w:eastAsia="es-ES"/>
        </w:rPr>
        <w:t xml:space="preserve"> </w:t>
      </w:r>
      <w:r w:rsidRPr="007B2402">
        <w:rPr>
          <w:rFonts w:eastAsia="Batang" w:cs="Verdana"/>
          <w:noProof/>
          <w:szCs w:val="20"/>
          <w:lang w:val="en-US" w:eastAsia="es-ES"/>
        </w:rPr>
        <w:t>submitted to</w:t>
      </w:r>
      <w:r w:rsidR="001D1455" w:rsidRPr="007B2402">
        <w:rPr>
          <w:rFonts w:eastAsia="Batang" w:cs="Verdana"/>
          <w:noProof/>
          <w:szCs w:val="20"/>
          <w:lang w:val="en-US" w:eastAsia="es-ES"/>
        </w:rPr>
        <w:t xml:space="preserve"> </w:t>
      </w:r>
      <w:r w:rsidR="00AF4344" w:rsidRPr="007B2402">
        <w:rPr>
          <w:rFonts w:eastAsia="Batang" w:cs="Verdana"/>
          <w:noProof/>
          <w:szCs w:val="20"/>
          <w:lang w:val="en-US" w:eastAsia="es-ES"/>
        </w:rPr>
        <w:t>the Court</w:t>
      </w:r>
      <w:r w:rsidR="001D1455" w:rsidRPr="007B2402">
        <w:rPr>
          <w:rFonts w:eastAsia="Batang" w:cs="Verdana"/>
          <w:noProof/>
          <w:szCs w:val="20"/>
          <w:lang w:val="en-US" w:eastAsia="es-ES"/>
        </w:rPr>
        <w:t xml:space="preserve"> </w:t>
      </w:r>
      <w:r w:rsidRPr="007B2402">
        <w:rPr>
          <w:rFonts w:eastAsia="Batang" w:cs="Verdana"/>
          <w:noProof/>
          <w:szCs w:val="20"/>
          <w:lang w:val="en-US" w:eastAsia="es-ES"/>
        </w:rPr>
        <w:t>the State’s acts and omissions that occurred, or continued to occur, after December 10, 1998, the date o</w:t>
      </w:r>
      <w:r w:rsidR="002A3AA3" w:rsidRPr="007B2402">
        <w:rPr>
          <w:rFonts w:eastAsia="Batang" w:cs="Verdana"/>
          <w:noProof/>
          <w:szCs w:val="20"/>
          <w:lang w:val="en-US" w:eastAsia="es-ES"/>
        </w:rPr>
        <w:t>n</w:t>
      </w:r>
      <w:r w:rsidRPr="007B2402">
        <w:rPr>
          <w:rFonts w:eastAsia="Batang" w:cs="Verdana"/>
          <w:noProof/>
          <w:szCs w:val="20"/>
          <w:lang w:val="en-US" w:eastAsia="es-ES"/>
        </w:rPr>
        <w:t xml:space="preserve"> which the State accepted the Court’s jurisdiction.</w:t>
      </w:r>
      <w:r w:rsidR="001D1455" w:rsidRPr="007B2402">
        <w:rPr>
          <w:rFonts w:eastAsia="Batang" w:cs="Times New Roman"/>
          <w:noProof/>
          <w:szCs w:val="20"/>
          <w:vertAlign w:val="superscript"/>
          <w:lang w:val="en-US" w:eastAsia="es-ES"/>
        </w:rPr>
        <w:footnoteReference w:id="3"/>
      </w:r>
      <w:r w:rsidR="001D1455" w:rsidRPr="007B2402">
        <w:rPr>
          <w:rFonts w:eastAsia="Batang" w:cs="Verdana"/>
          <w:noProof/>
          <w:szCs w:val="20"/>
          <w:lang w:val="en-US" w:eastAsia="es-ES"/>
        </w:rPr>
        <w:t xml:space="preserve"> </w:t>
      </w:r>
    </w:p>
    <w:p w14:paraId="0EF17864" w14:textId="77777777" w:rsidR="001D1455" w:rsidRPr="007B2402" w:rsidRDefault="001D1455" w:rsidP="001D1455">
      <w:pPr>
        <w:autoSpaceDE w:val="0"/>
        <w:autoSpaceDN w:val="0"/>
        <w:adjustRightInd w:val="0"/>
        <w:spacing w:after="0" w:line="240" w:lineRule="auto"/>
        <w:jc w:val="both"/>
        <w:rPr>
          <w:rFonts w:eastAsia="Batang" w:cs="Verdana"/>
          <w:noProof/>
          <w:szCs w:val="20"/>
          <w:lang w:val="en-US" w:eastAsia="es-ES"/>
        </w:rPr>
      </w:pPr>
    </w:p>
    <w:p w14:paraId="45D82EAE" w14:textId="0E2D3445" w:rsidR="000230DA" w:rsidRPr="007B2402" w:rsidRDefault="005B1590" w:rsidP="000230DA">
      <w:pPr>
        <w:numPr>
          <w:ilvl w:val="0"/>
          <w:numId w:val="6"/>
        </w:numPr>
        <w:autoSpaceDE w:val="0"/>
        <w:autoSpaceDN w:val="0"/>
        <w:adjustRightInd w:val="0"/>
        <w:spacing w:after="0" w:line="240" w:lineRule="auto"/>
        <w:ind w:right="6"/>
        <w:jc w:val="both"/>
        <w:rPr>
          <w:rFonts w:eastAsia="Batang" w:cs="Times"/>
          <w:szCs w:val="20"/>
          <w:lang w:val="en-US"/>
        </w:rPr>
      </w:pPr>
      <w:r w:rsidRPr="007B2402">
        <w:rPr>
          <w:rFonts w:eastAsia="Batang" w:cs="Verdana"/>
          <w:i/>
          <w:noProof/>
          <w:szCs w:val="20"/>
          <w:lang w:val="en-US" w:eastAsia="es-ES"/>
        </w:rPr>
        <w:t>Requests of</w:t>
      </w:r>
      <w:r w:rsidR="001D1455" w:rsidRPr="007B2402">
        <w:rPr>
          <w:rFonts w:eastAsia="Batang" w:cs="Verdana"/>
          <w:i/>
          <w:noProof/>
          <w:szCs w:val="20"/>
          <w:lang w:val="en-US" w:eastAsia="es-ES"/>
        </w:rPr>
        <w:t xml:space="preserve"> </w:t>
      </w:r>
      <w:r w:rsidR="00AF4344" w:rsidRPr="007B2402">
        <w:rPr>
          <w:rFonts w:eastAsia="Batang" w:cs="Verdana"/>
          <w:i/>
          <w:noProof/>
          <w:szCs w:val="20"/>
          <w:lang w:val="en-US" w:eastAsia="es-ES"/>
        </w:rPr>
        <w:t>the Inter-American Commission</w:t>
      </w:r>
      <w:r w:rsidR="001D1455" w:rsidRPr="007B2402">
        <w:rPr>
          <w:rFonts w:eastAsia="Batang" w:cs="Verdana"/>
          <w:i/>
          <w:noProof/>
          <w:szCs w:val="20"/>
          <w:lang w:val="en-US" w:eastAsia="es-ES"/>
        </w:rPr>
        <w:t xml:space="preserve">. </w:t>
      </w:r>
      <w:r w:rsidRPr="007B2402">
        <w:rPr>
          <w:rFonts w:eastAsia="Batang" w:cs="Verdana"/>
          <w:noProof/>
          <w:szCs w:val="20"/>
          <w:lang w:val="en-US" w:eastAsia="es-ES"/>
        </w:rPr>
        <w:t>Based on the above,</w:t>
      </w:r>
      <w:r w:rsidR="001D1455" w:rsidRPr="007B2402">
        <w:rPr>
          <w:rFonts w:eastAsia="Batang" w:cs="Verdana"/>
          <w:noProof/>
          <w:szCs w:val="20"/>
          <w:lang w:val="en-US" w:eastAsia="es-ES"/>
        </w:rPr>
        <w:t xml:space="preserve"> </w:t>
      </w:r>
      <w:r w:rsidR="00AF4344" w:rsidRPr="007B2402">
        <w:rPr>
          <w:rFonts w:eastAsia="Batang" w:cs="Verdana"/>
          <w:noProof/>
          <w:szCs w:val="20"/>
          <w:lang w:val="en-US" w:eastAsia="es-ES"/>
        </w:rPr>
        <w:t>the Inter-American Commission</w:t>
      </w:r>
      <w:r w:rsidR="001D1455" w:rsidRPr="007B2402">
        <w:rPr>
          <w:rFonts w:eastAsia="Batang" w:cs="Verdana"/>
          <w:noProof/>
          <w:szCs w:val="20"/>
          <w:lang w:val="en-US" w:eastAsia="es-ES"/>
        </w:rPr>
        <w:t xml:space="preserve"> </w:t>
      </w:r>
      <w:r w:rsidRPr="007B2402">
        <w:rPr>
          <w:rFonts w:eastAsia="Batang" w:cs="Verdana"/>
          <w:noProof/>
          <w:szCs w:val="20"/>
          <w:lang w:val="en-US" w:eastAsia="es-ES"/>
        </w:rPr>
        <w:t xml:space="preserve">asked this Court to conclude and declare the international responsibility of Brazil for the violations described in the </w:t>
      </w:r>
      <w:r w:rsidR="00375567" w:rsidRPr="007B2402">
        <w:rPr>
          <w:rFonts w:eastAsia="Batang" w:cs="Verdana"/>
          <w:noProof/>
          <w:szCs w:val="20"/>
          <w:lang w:val="en-US" w:eastAsia="es-ES"/>
        </w:rPr>
        <w:t>Merits Report</w:t>
      </w:r>
      <w:r w:rsidRPr="007B2402">
        <w:rPr>
          <w:rFonts w:eastAsia="Batang" w:cs="Verdana"/>
          <w:noProof/>
          <w:szCs w:val="20"/>
          <w:lang w:val="en-US" w:eastAsia="es-ES"/>
        </w:rPr>
        <w:t xml:space="preserve"> that occurred after the State had accepted the jurisdiction of the Court, and to require the State, as measures of reparation</w:t>
      </w:r>
      <w:r w:rsidR="009776EA" w:rsidRPr="007B2402">
        <w:rPr>
          <w:rFonts w:eastAsia="Batang" w:cs="Verdana"/>
          <w:noProof/>
          <w:szCs w:val="20"/>
          <w:lang w:val="en-US" w:eastAsia="es-ES"/>
        </w:rPr>
        <w:t>,</w:t>
      </w:r>
      <w:r w:rsidRPr="007B2402">
        <w:rPr>
          <w:rFonts w:eastAsia="Batang" w:cs="Verdana"/>
          <w:noProof/>
          <w:szCs w:val="20"/>
          <w:lang w:val="en-US" w:eastAsia="es-ES"/>
        </w:rPr>
        <w:t xml:space="preserve"> to comply with the recommendations included in th</w:t>
      </w:r>
      <w:r w:rsidR="00D94A00" w:rsidRPr="007B2402">
        <w:rPr>
          <w:rFonts w:eastAsia="Batang" w:cs="Verdana"/>
          <w:noProof/>
          <w:szCs w:val="20"/>
          <w:lang w:val="en-US" w:eastAsia="es-ES"/>
        </w:rPr>
        <w:t>e said</w:t>
      </w:r>
      <w:r w:rsidRPr="007B2402">
        <w:rPr>
          <w:rFonts w:eastAsia="Batang" w:cs="Verdana"/>
          <w:noProof/>
          <w:szCs w:val="20"/>
          <w:lang w:val="en-US" w:eastAsia="es-ES"/>
        </w:rPr>
        <w:t xml:space="preserve"> report</w:t>
      </w:r>
      <w:r w:rsidR="00726E20" w:rsidRPr="007B2402">
        <w:rPr>
          <w:rFonts w:eastAsia="Batang" w:cs="Verdana"/>
          <w:noProof/>
          <w:szCs w:val="20"/>
          <w:lang w:val="en-US" w:eastAsia="es-ES"/>
        </w:rPr>
        <w:t xml:space="preserve"> </w:t>
      </w:r>
      <w:r w:rsidR="001D1455" w:rsidRPr="007B2402">
        <w:rPr>
          <w:rFonts w:eastAsia="Batang" w:cs="Verdana"/>
          <w:noProof/>
          <w:szCs w:val="20"/>
          <w:lang w:val="en-US" w:eastAsia="es-ES"/>
        </w:rPr>
        <w:t>(</w:t>
      </w:r>
      <w:r w:rsidR="001D1455" w:rsidRPr="007B2402">
        <w:rPr>
          <w:rFonts w:eastAsia="Batang" w:cs="Verdana"/>
          <w:i/>
          <w:noProof/>
          <w:szCs w:val="20"/>
          <w:lang w:val="en-US" w:eastAsia="es-ES"/>
        </w:rPr>
        <w:t xml:space="preserve">supra </w:t>
      </w:r>
      <w:r w:rsidRPr="007B2402">
        <w:rPr>
          <w:rFonts w:eastAsia="Batang" w:cs="Verdana"/>
          <w:noProof/>
          <w:szCs w:val="20"/>
          <w:lang w:val="en-US" w:eastAsia="es-ES"/>
        </w:rPr>
        <w:t>para.</w:t>
      </w:r>
      <w:r w:rsidR="00167039" w:rsidRPr="007B2402">
        <w:rPr>
          <w:rFonts w:eastAsia="Batang" w:cs="Verdana"/>
          <w:noProof/>
          <w:szCs w:val="20"/>
          <w:lang w:val="en-US" w:eastAsia="es-ES"/>
        </w:rPr>
        <w:t xml:space="preserve"> 2</w:t>
      </w:r>
      <w:r w:rsidR="001D1455" w:rsidRPr="007B2402">
        <w:rPr>
          <w:rFonts w:eastAsia="Batang" w:cs="Verdana"/>
          <w:noProof/>
          <w:szCs w:val="20"/>
          <w:lang w:val="en-US" w:eastAsia="es-ES"/>
        </w:rPr>
        <w:t>).</w:t>
      </w:r>
    </w:p>
    <w:p w14:paraId="60A44182" w14:textId="1183A634" w:rsidR="001D1455" w:rsidRPr="007B2402" w:rsidRDefault="00B02AAB" w:rsidP="000230DA">
      <w:pPr>
        <w:autoSpaceDE w:val="0"/>
        <w:autoSpaceDN w:val="0"/>
        <w:adjustRightInd w:val="0"/>
        <w:spacing w:after="0" w:line="240" w:lineRule="auto"/>
        <w:ind w:right="6"/>
        <w:jc w:val="both"/>
        <w:rPr>
          <w:rFonts w:eastAsia="Batang" w:cs="Times"/>
          <w:szCs w:val="20"/>
          <w:lang w:val="en-US"/>
        </w:rPr>
      </w:pPr>
      <w:r w:rsidRPr="007B2402">
        <w:rPr>
          <w:rFonts w:eastAsia="Batang" w:cs="Verdana"/>
          <w:noProof/>
          <w:szCs w:val="20"/>
          <w:lang w:val="en-US" w:eastAsia="es-ES"/>
        </w:rPr>
        <w:t xml:space="preserve"> </w:t>
      </w:r>
    </w:p>
    <w:p w14:paraId="18720660" w14:textId="49DD77BE" w:rsidR="001D1455" w:rsidRPr="007B2402" w:rsidRDefault="001D1455" w:rsidP="000230DA">
      <w:pPr>
        <w:keepNext/>
        <w:keepLines/>
        <w:snapToGrid w:val="0"/>
        <w:spacing w:after="0" w:line="240" w:lineRule="auto"/>
        <w:ind w:right="-6"/>
        <w:jc w:val="center"/>
        <w:outlineLvl w:val="0"/>
        <w:rPr>
          <w:rFonts w:eastAsia="Times New Roman" w:cs="Verdana"/>
          <w:b/>
          <w:bCs/>
          <w:caps/>
          <w:szCs w:val="20"/>
          <w:lang w:val="en-US" w:eastAsia="es-ES"/>
        </w:rPr>
      </w:pPr>
      <w:bookmarkStart w:id="9" w:name="_Toc491935491"/>
      <w:bookmarkStart w:id="10" w:name="_Toc486842906"/>
      <w:bookmarkStart w:id="11" w:name="_Toc486842768"/>
      <w:bookmarkStart w:id="12" w:name="_Toc486693352"/>
      <w:bookmarkStart w:id="13" w:name="_Toc311128353"/>
      <w:bookmarkStart w:id="14" w:name="_Toc311128156"/>
      <w:bookmarkStart w:id="15" w:name="_Toc438132270"/>
      <w:bookmarkStart w:id="16" w:name="_Toc369989730"/>
      <w:bookmarkStart w:id="17" w:name="_Toc369989449"/>
      <w:bookmarkStart w:id="18" w:name="_Toc369989362"/>
      <w:bookmarkStart w:id="19" w:name="_Toc369076778"/>
      <w:bookmarkStart w:id="20" w:name="_Toc365021392"/>
      <w:bookmarkStart w:id="21" w:name="_Toc362456863"/>
      <w:bookmarkStart w:id="22" w:name="_Toc361732832"/>
      <w:bookmarkStart w:id="23" w:name="_Toc361732789"/>
      <w:bookmarkStart w:id="24" w:name="_Toc361671992"/>
      <w:bookmarkStart w:id="25" w:name="_Toc361671572"/>
      <w:bookmarkStart w:id="26" w:name="_Toc359314415"/>
      <w:bookmarkStart w:id="27" w:name="_Toc506984072"/>
      <w:r w:rsidRPr="007B2402">
        <w:rPr>
          <w:rFonts w:eastAsia="Times New Roman" w:cs="Verdana"/>
          <w:b/>
          <w:bCs/>
          <w:caps/>
          <w:szCs w:val="20"/>
          <w:lang w:val="en-US" w:eastAsia="es-ES"/>
        </w:rPr>
        <w:t>II</w:t>
      </w:r>
      <w:r w:rsidRPr="007B2402">
        <w:rPr>
          <w:rFonts w:eastAsia="Times New Roman" w:cs="Verdana"/>
          <w:b/>
          <w:bCs/>
          <w:caps/>
          <w:color w:val="FFFFFF" w:themeColor="background1"/>
          <w:szCs w:val="20"/>
          <w:lang w:val="en-US" w:eastAsia="es-ES"/>
        </w:rPr>
        <w:t>.</w:t>
      </w:r>
      <w:r w:rsidRPr="007B2402">
        <w:rPr>
          <w:rFonts w:eastAsia="Times New Roman" w:cs="Verdana"/>
          <w:b/>
          <w:bCs/>
          <w:caps/>
          <w:szCs w:val="20"/>
          <w:lang w:val="en-US" w:eastAsia="es-ES"/>
        </w:rPr>
        <w:br/>
      </w:r>
      <w:r w:rsidR="005B1590" w:rsidRPr="007B2402">
        <w:rPr>
          <w:rFonts w:eastAsia="Times New Roman" w:cs="Verdana"/>
          <w:b/>
          <w:bCs/>
          <w:caps/>
          <w:szCs w:val="20"/>
          <w:lang w:val="en-US" w:eastAsia="es-ES"/>
        </w:rPr>
        <w:t>PROCEEDINGS BEFORE THE</w:t>
      </w:r>
      <w:r w:rsidR="00AF4344" w:rsidRPr="007B2402">
        <w:rPr>
          <w:rFonts w:eastAsia="Times New Roman" w:cs="Verdana"/>
          <w:b/>
          <w:bCs/>
          <w:caps/>
          <w:szCs w:val="20"/>
          <w:lang w:val="en-US" w:eastAsia="es-ES"/>
        </w:rPr>
        <w:t xml:space="preserve"> COURT</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5FA3F79C" w14:textId="77777777" w:rsidR="000230DA" w:rsidRPr="007B2402" w:rsidRDefault="000230DA" w:rsidP="000230DA">
      <w:pPr>
        <w:autoSpaceDE w:val="0"/>
        <w:autoSpaceDN w:val="0"/>
        <w:adjustRightInd w:val="0"/>
        <w:spacing w:after="0" w:line="240" w:lineRule="auto"/>
        <w:ind w:right="6"/>
        <w:jc w:val="both"/>
        <w:rPr>
          <w:rFonts w:eastAsia="Batang" w:cs="Times New Roman"/>
          <w:b/>
          <w:noProof/>
          <w:szCs w:val="20"/>
          <w:lang w:val="en-US" w:eastAsia="es-ES"/>
        </w:rPr>
      </w:pPr>
    </w:p>
    <w:p w14:paraId="696B44CC" w14:textId="40C3A851" w:rsidR="001D1455" w:rsidRPr="007B2402" w:rsidRDefault="001D1455" w:rsidP="00DB1F30">
      <w:pPr>
        <w:numPr>
          <w:ilvl w:val="0"/>
          <w:numId w:val="6"/>
        </w:numPr>
        <w:autoSpaceDE w:val="0"/>
        <w:autoSpaceDN w:val="0"/>
        <w:adjustRightInd w:val="0"/>
        <w:spacing w:after="0" w:line="240" w:lineRule="auto"/>
        <w:ind w:right="6"/>
        <w:jc w:val="both"/>
        <w:rPr>
          <w:rFonts w:eastAsia="Batang" w:cs="Times New Roman"/>
          <w:b/>
          <w:i/>
          <w:noProof/>
          <w:szCs w:val="20"/>
          <w:lang w:val="en-US" w:eastAsia="es-ES"/>
        </w:rPr>
      </w:pPr>
      <w:r w:rsidRPr="007B2402">
        <w:rPr>
          <w:rFonts w:eastAsia="Batang" w:cs="Verdana"/>
          <w:i/>
          <w:noProof/>
          <w:szCs w:val="20"/>
          <w:lang w:val="en-US" w:eastAsia="es-ES"/>
        </w:rPr>
        <w:t>Notifica</w:t>
      </w:r>
      <w:r w:rsidR="005B1590" w:rsidRPr="007B2402">
        <w:rPr>
          <w:rFonts w:eastAsia="Batang" w:cs="Verdana"/>
          <w:i/>
          <w:noProof/>
          <w:szCs w:val="20"/>
          <w:lang w:val="en-US" w:eastAsia="es-ES"/>
        </w:rPr>
        <w:t>tion of t</w:t>
      </w:r>
      <w:r w:rsidR="001131ED" w:rsidRPr="007B2402">
        <w:rPr>
          <w:rFonts w:eastAsia="Batang" w:cs="Verdana"/>
          <w:i/>
          <w:noProof/>
          <w:szCs w:val="20"/>
          <w:lang w:val="en-US" w:eastAsia="es-ES"/>
        </w:rPr>
        <w:t>he</w:t>
      </w:r>
      <w:r w:rsidR="005B1590" w:rsidRPr="007B2402">
        <w:rPr>
          <w:rFonts w:eastAsia="Batang" w:cs="Verdana"/>
          <w:i/>
          <w:noProof/>
          <w:szCs w:val="20"/>
          <w:lang w:val="en-US" w:eastAsia="es-ES"/>
        </w:rPr>
        <w:t xml:space="preserve"> State and the representatives.</w:t>
      </w:r>
      <w:r w:rsidRPr="007B2402">
        <w:rPr>
          <w:rFonts w:eastAsia="Batang" w:cs="Times New Roman"/>
          <w:i/>
          <w:noProof/>
          <w:szCs w:val="20"/>
          <w:lang w:val="en-US" w:eastAsia="es-ES"/>
        </w:rPr>
        <w:t xml:space="preserve"> </w:t>
      </w:r>
      <w:r w:rsidR="005B1590" w:rsidRPr="007B2402">
        <w:rPr>
          <w:rFonts w:eastAsia="Batang" w:cs="Times New Roman"/>
          <w:noProof/>
          <w:szCs w:val="20"/>
          <w:lang w:val="en-US"/>
        </w:rPr>
        <w:t>The case was notified to</w:t>
      </w:r>
      <w:r w:rsidRPr="007B2402">
        <w:rPr>
          <w:rFonts w:eastAsia="Batang" w:cs="Times New Roman"/>
          <w:noProof/>
          <w:szCs w:val="20"/>
          <w:lang w:val="en-US"/>
        </w:rPr>
        <w:t xml:space="preserve"> </w:t>
      </w:r>
      <w:r w:rsidR="00AF4344" w:rsidRPr="007B2402">
        <w:rPr>
          <w:rFonts w:eastAsia="Batang" w:cs="Times New Roman"/>
          <w:noProof/>
          <w:szCs w:val="20"/>
          <w:lang w:val="en-US"/>
        </w:rPr>
        <w:t>Brazil</w:t>
      </w:r>
      <w:r w:rsidR="00E44079" w:rsidRPr="007B2402">
        <w:rPr>
          <w:rFonts w:eastAsia="Batang" w:cs="Times New Roman"/>
          <w:noProof/>
          <w:szCs w:val="20"/>
          <w:lang w:val="en-US"/>
        </w:rPr>
        <w:t xml:space="preserve"> </w:t>
      </w:r>
      <w:r w:rsidR="005B1590" w:rsidRPr="007B2402">
        <w:rPr>
          <w:rFonts w:eastAsia="Batang" w:cs="Times New Roman"/>
          <w:noProof/>
          <w:szCs w:val="20"/>
          <w:lang w:val="en-US"/>
        </w:rPr>
        <w:t>and to</w:t>
      </w:r>
      <w:r w:rsidRPr="007B2402">
        <w:rPr>
          <w:rFonts w:eastAsia="Batang" w:cs="Times New Roman"/>
          <w:noProof/>
          <w:szCs w:val="20"/>
          <w:lang w:val="en-US"/>
        </w:rPr>
        <w:t xml:space="preserve"> </w:t>
      </w:r>
      <w:r w:rsidR="005B1590" w:rsidRPr="007B2402">
        <w:rPr>
          <w:rFonts w:eastAsia="Batang" w:cs="Times New Roman"/>
          <w:noProof/>
          <w:szCs w:val="20"/>
          <w:lang w:val="en-US"/>
        </w:rPr>
        <w:t>the representatives of the presumed victims</w:t>
      </w:r>
      <w:r w:rsidR="00CA1272" w:rsidRPr="007B2402">
        <w:rPr>
          <w:rFonts w:eastAsia="Batang" w:cs="Times New Roman"/>
          <w:noProof/>
          <w:szCs w:val="20"/>
          <w:lang w:val="en-US"/>
        </w:rPr>
        <w:t xml:space="preserve"> (</w:t>
      </w:r>
      <w:r w:rsidR="00AF4344" w:rsidRPr="007B2402">
        <w:rPr>
          <w:rFonts w:eastAsia="Batang" w:cs="Times New Roman"/>
          <w:noProof/>
          <w:szCs w:val="20"/>
          <w:lang w:val="en-US"/>
        </w:rPr>
        <w:t>hereinafter</w:t>
      </w:r>
      <w:r w:rsidR="00CA1272" w:rsidRPr="007B2402">
        <w:rPr>
          <w:rFonts w:eastAsia="Batang" w:cs="Times New Roman"/>
          <w:noProof/>
          <w:szCs w:val="20"/>
          <w:lang w:val="en-US"/>
        </w:rPr>
        <w:t xml:space="preserve"> “</w:t>
      </w:r>
      <w:r w:rsidR="005B1590" w:rsidRPr="007B2402">
        <w:rPr>
          <w:rFonts w:eastAsia="Batang" w:cs="Times New Roman"/>
          <w:noProof/>
          <w:szCs w:val="20"/>
          <w:lang w:val="en-US"/>
        </w:rPr>
        <w:t>the representatives</w:t>
      </w:r>
      <w:r w:rsidR="00CA1272" w:rsidRPr="007B2402">
        <w:rPr>
          <w:rFonts w:eastAsia="Batang" w:cs="Times New Roman"/>
          <w:noProof/>
          <w:szCs w:val="20"/>
          <w:lang w:val="en-US"/>
        </w:rPr>
        <w:t xml:space="preserve">”) </w:t>
      </w:r>
      <w:r w:rsidR="005B1590" w:rsidRPr="007B2402">
        <w:rPr>
          <w:rFonts w:eastAsia="Batang" w:cs="Times New Roman"/>
          <w:noProof/>
          <w:szCs w:val="20"/>
          <w:lang w:val="en-US"/>
        </w:rPr>
        <w:t>on June 13,</w:t>
      </w:r>
      <w:r w:rsidRPr="007B2402">
        <w:rPr>
          <w:rFonts w:eastAsia="Batang" w:cs="Times New Roman"/>
          <w:noProof/>
          <w:szCs w:val="20"/>
          <w:lang w:val="en-US"/>
        </w:rPr>
        <w:t xml:space="preserve"> 2016.</w:t>
      </w:r>
    </w:p>
    <w:p w14:paraId="533B4197" w14:textId="77777777" w:rsidR="001D1455" w:rsidRPr="007B2402" w:rsidRDefault="001D1455" w:rsidP="001D1455">
      <w:pPr>
        <w:spacing w:after="0" w:line="240" w:lineRule="auto"/>
        <w:jc w:val="both"/>
        <w:rPr>
          <w:rFonts w:eastAsia="Batang" w:cs="Times New Roman"/>
          <w:b/>
          <w:i/>
          <w:noProof/>
          <w:szCs w:val="20"/>
          <w:lang w:val="en-US" w:eastAsia="es-ES"/>
        </w:rPr>
      </w:pPr>
    </w:p>
    <w:p w14:paraId="235024E2" w14:textId="2CA447BC" w:rsidR="00CA1272" w:rsidRPr="007B2402" w:rsidRDefault="005B1590" w:rsidP="00DB1F30">
      <w:pPr>
        <w:numPr>
          <w:ilvl w:val="0"/>
          <w:numId w:val="6"/>
        </w:numPr>
        <w:autoSpaceDE w:val="0"/>
        <w:autoSpaceDN w:val="0"/>
        <w:adjustRightInd w:val="0"/>
        <w:spacing w:after="0" w:line="240" w:lineRule="auto"/>
        <w:ind w:right="6"/>
        <w:jc w:val="both"/>
        <w:rPr>
          <w:rFonts w:eastAsia="Batang" w:cs="Times New Roman"/>
          <w:noProof/>
          <w:szCs w:val="20"/>
          <w:lang w:val="en-US"/>
        </w:rPr>
      </w:pPr>
      <w:r w:rsidRPr="007B2402">
        <w:rPr>
          <w:rFonts w:eastAsia="Batang" w:cs="Verdana"/>
          <w:i/>
          <w:noProof/>
          <w:szCs w:val="20"/>
          <w:lang w:val="en-US" w:eastAsia="es-ES"/>
        </w:rPr>
        <w:t>Brief with motions, pleadings and evidence</w:t>
      </w:r>
      <w:r w:rsidR="001D1455" w:rsidRPr="007B2402">
        <w:rPr>
          <w:rFonts w:eastAsia="Batang" w:cs="Times New Roman"/>
          <w:i/>
          <w:noProof/>
          <w:szCs w:val="20"/>
          <w:lang w:val="en-US" w:eastAsia="es-ES"/>
        </w:rPr>
        <w:t xml:space="preserve">. </w:t>
      </w:r>
      <w:r w:rsidRPr="007B2402">
        <w:rPr>
          <w:rFonts w:eastAsia="Batang" w:cs="Times New Roman"/>
          <w:noProof/>
          <w:szCs w:val="20"/>
          <w:lang w:val="en-US"/>
        </w:rPr>
        <w:t>On August 16,</w:t>
      </w:r>
      <w:r w:rsidR="00C773AE" w:rsidRPr="007B2402">
        <w:rPr>
          <w:rFonts w:eastAsia="Batang" w:cs="Times New Roman"/>
          <w:noProof/>
          <w:szCs w:val="20"/>
          <w:lang w:val="en-US"/>
        </w:rPr>
        <w:t xml:space="preserve"> 2016</w:t>
      </w:r>
      <w:r w:rsidRPr="007B2402">
        <w:rPr>
          <w:rFonts w:eastAsia="Batang" w:cs="Times New Roman"/>
          <w:noProof/>
          <w:szCs w:val="20"/>
          <w:lang w:val="en-US"/>
        </w:rPr>
        <w:t>,</w:t>
      </w:r>
      <w:r w:rsidR="00CA1272" w:rsidRPr="007B2402">
        <w:rPr>
          <w:rFonts w:eastAsia="Batang" w:cs="Times New Roman"/>
          <w:noProof/>
          <w:szCs w:val="20"/>
          <w:lang w:val="en-US"/>
        </w:rPr>
        <w:t xml:space="preserve"> </w:t>
      </w:r>
      <w:r w:rsidRPr="007B2402">
        <w:rPr>
          <w:rFonts w:eastAsia="Batang" w:cs="Times New Roman"/>
          <w:noProof/>
          <w:szCs w:val="20"/>
          <w:lang w:val="en-US"/>
        </w:rPr>
        <w:t>the representatives</w:t>
      </w:r>
      <w:r w:rsidR="00CA1272" w:rsidRPr="007B2402">
        <w:rPr>
          <w:rStyle w:val="Refdenotaalpie"/>
          <w:rFonts w:ascii="Verdana" w:eastAsia="Batang" w:hAnsi="Verdana"/>
          <w:noProof/>
          <w:lang w:val="en-US" w:eastAsia="es-ES"/>
        </w:rPr>
        <w:footnoteReference w:id="4"/>
      </w:r>
      <w:r w:rsidR="001D1455" w:rsidRPr="007B2402">
        <w:rPr>
          <w:rFonts w:eastAsia="Batang" w:cs="Times New Roman"/>
          <w:noProof/>
          <w:szCs w:val="20"/>
          <w:lang w:val="en-US"/>
        </w:rPr>
        <w:t xml:space="preserve"> present</w:t>
      </w:r>
      <w:r w:rsidRPr="007B2402">
        <w:rPr>
          <w:rFonts w:eastAsia="Batang" w:cs="Times New Roman"/>
          <w:noProof/>
          <w:szCs w:val="20"/>
          <w:lang w:val="en-US"/>
        </w:rPr>
        <w:t>ed their</w:t>
      </w:r>
      <w:r w:rsidR="001D1455" w:rsidRPr="007B2402">
        <w:rPr>
          <w:rFonts w:eastAsia="Batang" w:cs="Times New Roman"/>
          <w:noProof/>
          <w:szCs w:val="20"/>
          <w:lang w:val="en-US"/>
        </w:rPr>
        <w:t xml:space="preserve"> </w:t>
      </w:r>
      <w:r w:rsidRPr="007B2402">
        <w:rPr>
          <w:rFonts w:eastAsia="Batang" w:cs="Times New Roman"/>
          <w:noProof/>
          <w:szCs w:val="20"/>
          <w:lang w:val="en-US"/>
        </w:rPr>
        <w:t>brief with motions, pleadings and evidence</w:t>
      </w:r>
      <w:r w:rsidR="001D1455" w:rsidRPr="007B2402">
        <w:rPr>
          <w:rFonts w:eastAsia="Batang" w:cs="Times New Roman"/>
          <w:noProof/>
          <w:szCs w:val="20"/>
          <w:lang w:val="en-US"/>
        </w:rPr>
        <w:t xml:space="preserve">. </w:t>
      </w:r>
      <w:r w:rsidRPr="007B2402">
        <w:rPr>
          <w:rFonts w:eastAsia="Batang" w:cs="Times New Roman"/>
          <w:noProof/>
          <w:szCs w:val="20"/>
          <w:lang w:val="en-US"/>
        </w:rPr>
        <w:t xml:space="preserve">In this brief, they agreed with the </w:t>
      </w:r>
      <w:r w:rsidR="001131ED" w:rsidRPr="007B2402">
        <w:rPr>
          <w:rFonts w:eastAsia="Batang" w:cs="Times New Roman"/>
          <w:noProof/>
          <w:szCs w:val="20"/>
          <w:lang w:val="en-US"/>
        </w:rPr>
        <w:t xml:space="preserve">Commission’s </w:t>
      </w:r>
      <w:r w:rsidRPr="007B2402">
        <w:rPr>
          <w:rFonts w:eastAsia="Batang" w:cs="Times New Roman"/>
          <w:noProof/>
          <w:szCs w:val="20"/>
          <w:lang w:val="en-US"/>
        </w:rPr>
        <w:t xml:space="preserve">considerations concerning the provisions that had allegedly been violated and, </w:t>
      </w:r>
      <w:r w:rsidR="00A60D66" w:rsidRPr="007B2402">
        <w:rPr>
          <w:rFonts w:eastAsia="Batang" w:cs="Times New Roman"/>
          <w:noProof/>
          <w:szCs w:val="20"/>
          <w:lang w:val="en-US"/>
        </w:rPr>
        <w:t>in addition</w:t>
      </w:r>
      <w:r w:rsidRPr="007B2402">
        <w:rPr>
          <w:rFonts w:eastAsia="Batang" w:cs="Times New Roman"/>
          <w:noProof/>
          <w:szCs w:val="20"/>
          <w:lang w:val="en-US"/>
        </w:rPr>
        <w:t>, alleged violations of the oblgatio</w:t>
      </w:r>
      <w:r w:rsidR="00A60D66" w:rsidRPr="007B2402">
        <w:rPr>
          <w:rFonts w:eastAsia="Batang" w:cs="Times New Roman"/>
          <w:noProof/>
          <w:szCs w:val="20"/>
          <w:lang w:val="en-US"/>
        </w:rPr>
        <w:t>n</w:t>
      </w:r>
      <w:r w:rsidRPr="007B2402">
        <w:rPr>
          <w:rFonts w:eastAsia="Batang" w:cs="Times New Roman"/>
          <w:noProof/>
          <w:szCs w:val="20"/>
          <w:lang w:val="en-US"/>
        </w:rPr>
        <w:t xml:space="preserve"> to ensure the right</w:t>
      </w:r>
      <w:r w:rsidR="001131ED" w:rsidRPr="007B2402">
        <w:rPr>
          <w:rFonts w:eastAsia="Batang" w:cs="Times New Roman"/>
          <w:noProof/>
          <w:szCs w:val="20"/>
          <w:lang w:val="en-US"/>
        </w:rPr>
        <w:t>s</w:t>
      </w:r>
      <w:r w:rsidRPr="007B2402">
        <w:rPr>
          <w:rFonts w:eastAsia="Batang" w:cs="Times New Roman"/>
          <w:noProof/>
          <w:szCs w:val="20"/>
          <w:lang w:val="en-US"/>
        </w:rPr>
        <w:t xml:space="preserve"> to personal integrity and to freedom of expression </w:t>
      </w:r>
      <w:r w:rsidR="00180045" w:rsidRPr="007B2402">
        <w:rPr>
          <w:rFonts w:eastAsia="Batang" w:cs="Times New Roman"/>
          <w:noProof/>
          <w:szCs w:val="20"/>
          <w:lang w:val="en-US"/>
        </w:rPr>
        <w:t>(</w:t>
      </w:r>
      <w:r w:rsidRPr="007B2402">
        <w:rPr>
          <w:rFonts w:eastAsia="Batang" w:cs="Times New Roman"/>
          <w:noProof/>
          <w:szCs w:val="20"/>
          <w:lang w:val="en-US"/>
        </w:rPr>
        <w:t xml:space="preserve">Articles </w:t>
      </w:r>
      <w:r w:rsidR="00180045" w:rsidRPr="007B2402">
        <w:rPr>
          <w:rFonts w:eastAsia="Batang" w:cs="Times New Roman"/>
          <w:noProof/>
          <w:szCs w:val="20"/>
          <w:lang w:val="en-US"/>
        </w:rPr>
        <w:t>5</w:t>
      </w:r>
      <w:r w:rsidRPr="007B2402">
        <w:rPr>
          <w:rFonts w:eastAsia="Batang" w:cs="Times New Roman"/>
          <w:noProof/>
          <w:szCs w:val="20"/>
          <w:lang w:val="en-US"/>
        </w:rPr>
        <w:t xml:space="preserve"> and </w:t>
      </w:r>
      <w:r w:rsidR="00180045" w:rsidRPr="007B2402">
        <w:rPr>
          <w:rFonts w:eastAsia="Batang" w:cs="Times New Roman"/>
          <w:noProof/>
          <w:szCs w:val="20"/>
          <w:lang w:val="en-US"/>
        </w:rPr>
        <w:t>13</w:t>
      </w:r>
      <w:r w:rsidR="00AF4344" w:rsidRPr="007B2402">
        <w:rPr>
          <w:rFonts w:eastAsia="Batang" w:cs="Times New Roman"/>
          <w:noProof/>
          <w:szCs w:val="20"/>
          <w:lang w:val="en-US"/>
        </w:rPr>
        <w:t xml:space="preserve"> of the Convention</w:t>
      </w:r>
      <w:r w:rsidR="00180045" w:rsidRPr="007B2402">
        <w:rPr>
          <w:rFonts w:eastAsia="Batang" w:cs="Times New Roman"/>
          <w:noProof/>
          <w:szCs w:val="20"/>
          <w:lang w:val="en-US"/>
        </w:rPr>
        <w:t xml:space="preserve">), </w:t>
      </w:r>
      <w:r w:rsidRPr="007B2402">
        <w:rPr>
          <w:rFonts w:eastAsia="Batang" w:cs="Times New Roman"/>
          <w:noProof/>
          <w:szCs w:val="20"/>
          <w:lang w:val="en-US"/>
        </w:rPr>
        <w:t>in relation to</w:t>
      </w:r>
      <w:r w:rsidR="00180045" w:rsidRPr="007B2402">
        <w:rPr>
          <w:rFonts w:eastAsia="Batang" w:cs="Times New Roman"/>
          <w:noProof/>
          <w:szCs w:val="20"/>
          <w:lang w:val="en-US"/>
        </w:rPr>
        <w:t xml:space="preserve"> </w:t>
      </w:r>
      <w:r w:rsidR="00AF4344" w:rsidRPr="007B2402">
        <w:rPr>
          <w:rFonts w:eastAsia="Batang" w:cs="Times New Roman"/>
          <w:noProof/>
          <w:szCs w:val="20"/>
          <w:lang w:val="en-US"/>
        </w:rPr>
        <w:t>Articles</w:t>
      </w:r>
      <w:r w:rsidR="00180045" w:rsidRPr="007B2402">
        <w:rPr>
          <w:rFonts w:eastAsia="Batang" w:cs="Times New Roman"/>
          <w:noProof/>
          <w:szCs w:val="20"/>
          <w:lang w:val="en-US"/>
        </w:rPr>
        <w:t xml:space="preserve"> </w:t>
      </w:r>
      <w:r w:rsidR="00375567" w:rsidRPr="007B2402">
        <w:rPr>
          <w:rFonts w:eastAsia="Batang" w:cs="Times New Roman"/>
          <w:noProof/>
          <w:szCs w:val="20"/>
          <w:lang w:val="en-US"/>
        </w:rPr>
        <w:t>1(1)</w:t>
      </w:r>
      <w:r w:rsidR="00180045" w:rsidRPr="007B2402">
        <w:rPr>
          <w:rFonts w:eastAsia="Batang" w:cs="Times New Roman"/>
          <w:noProof/>
          <w:szCs w:val="20"/>
          <w:lang w:val="en-US"/>
        </w:rPr>
        <w:t>, 8</w:t>
      </w:r>
      <w:r w:rsidRPr="007B2402">
        <w:rPr>
          <w:rFonts w:eastAsia="Batang" w:cs="Times New Roman"/>
          <w:noProof/>
          <w:szCs w:val="20"/>
          <w:lang w:val="en-US"/>
        </w:rPr>
        <w:t xml:space="preserve"> and </w:t>
      </w:r>
      <w:r w:rsidR="00180045" w:rsidRPr="007B2402">
        <w:rPr>
          <w:rFonts w:eastAsia="Batang" w:cs="Times New Roman"/>
          <w:noProof/>
          <w:szCs w:val="20"/>
          <w:lang w:val="en-US"/>
        </w:rPr>
        <w:t xml:space="preserve">25 </w:t>
      </w:r>
      <w:r w:rsidRPr="007B2402">
        <w:rPr>
          <w:rFonts w:eastAsia="Batang" w:cs="Times New Roman"/>
          <w:noProof/>
          <w:szCs w:val="20"/>
          <w:lang w:val="en-US"/>
        </w:rPr>
        <w:t xml:space="preserve">of this instrument, and </w:t>
      </w:r>
      <w:r w:rsidR="00AF4344" w:rsidRPr="007B2402">
        <w:rPr>
          <w:rFonts w:eastAsia="Batang" w:cs="Times New Roman"/>
          <w:noProof/>
          <w:szCs w:val="20"/>
          <w:lang w:val="en-US"/>
        </w:rPr>
        <w:t>Articles</w:t>
      </w:r>
      <w:r w:rsidR="00180045" w:rsidRPr="007B2402">
        <w:rPr>
          <w:rFonts w:eastAsia="Batang" w:cs="Times New Roman"/>
          <w:noProof/>
          <w:szCs w:val="20"/>
          <w:lang w:val="en-US"/>
        </w:rPr>
        <w:t xml:space="preserve"> 1, 6</w:t>
      </w:r>
      <w:r w:rsidRPr="007B2402">
        <w:rPr>
          <w:rFonts w:eastAsia="Batang" w:cs="Times New Roman"/>
          <w:noProof/>
          <w:szCs w:val="20"/>
          <w:lang w:val="en-US"/>
        </w:rPr>
        <w:t xml:space="preserve"> and </w:t>
      </w:r>
      <w:r w:rsidR="00180045" w:rsidRPr="007B2402">
        <w:rPr>
          <w:rFonts w:eastAsia="Batang" w:cs="Times New Roman"/>
          <w:noProof/>
          <w:szCs w:val="20"/>
          <w:lang w:val="en-US"/>
        </w:rPr>
        <w:t xml:space="preserve">8 </w:t>
      </w:r>
      <w:r w:rsidR="00A60D66" w:rsidRPr="007B2402">
        <w:rPr>
          <w:rFonts w:eastAsia="Batang" w:cs="Times New Roman"/>
          <w:noProof/>
          <w:szCs w:val="20"/>
          <w:lang w:val="en-US"/>
        </w:rPr>
        <w:t>of the</w:t>
      </w:r>
      <w:r w:rsidR="00180045" w:rsidRPr="007B2402">
        <w:rPr>
          <w:rFonts w:eastAsia="Batang" w:cs="Times New Roman"/>
          <w:noProof/>
          <w:szCs w:val="20"/>
          <w:lang w:val="en-US"/>
        </w:rPr>
        <w:t xml:space="preserve"> </w:t>
      </w:r>
      <w:r w:rsidR="00375567" w:rsidRPr="007B2402">
        <w:rPr>
          <w:rFonts w:eastAsia="Batang" w:cs="Times New Roman"/>
          <w:noProof/>
          <w:szCs w:val="20"/>
          <w:lang w:val="en-US"/>
        </w:rPr>
        <w:t>ICPPT</w:t>
      </w:r>
      <w:r w:rsidR="00180045" w:rsidRPr="007B2402">
        <w:rPr>
          <w:rFonts w:eastAsia="Batang" w:cs="Times New Roman"/>
          <w:noProof/>
          <w:szCs w:val="20"/>
          <w:lang w:val="en-US"/>
        </w:rPr>
        <w:t>,</w:t>
      </w:r>
      <w:r w:rsidRPr="007B2402">
        <w:rPr>
          <w:rFonts w:eastAsia="Batang" w:cs="Times New Roman"/>
          <w:noProof/>
          <w:szCs w:val="20"/>
          <w:lang w:val="en-US"/>
        </w:rPr>
        <w:t xml:space="preserve"> to the detriment of</w:t>
      </w:r>
      <w:r w:rsidR="00180045" w:rsidRPr="007B2402">
        <w:rPr>
          <w:rFonts w:eastAsia="Batang" w:cs="Times New Roman"/>
          <w:noProof/>
          <w:szCs w:val="20"/>
          <w:lang w:val="en-US"/>
        </w:rPr>
        <w:t xml:space="preserve"> Vladimir Herzog, </w:t>
      </w:r>
      <w:r w:rsidR="00A60D66" w:rsidRPr="007B2402">
        <w:rPr>
          <w:rFonts w:eastAsia="Batang" w:cs="Times New Roman"/>
          <w:noProof/>
          <w:szCs w:val="20"/>
          <w:lang w:val="en-US"/>
        </w:rPr>
        <w:t xml:space="preserve">due to the failure to investigate his torture to date. They also alleged the violation of the rights to judicial guarantees and judicial protection recognized in </w:t>
      </w:r>
      <w:r w:rsidR="00AF4344" w:rsidRPr="007B2402">
        <w:rPr>
          <w:rFonts w:eastAsia="Batang" w:cs="Times New Roman"/>
          <w:noProof/>
          <w:szCs w:val="20"/>
          <w:lang w:val="en-US"/>
        </w:rPr>
        <w:t>Articles</w:t>
      </w:r>
      <w:r w:rsidR="006C7443" w:rsidRPr="007B2402">
        <w:rPr>
          <w:rFonts w:eastAsia="Batang" w:cs="Times New Roman"/>
          <w:noProof/>
          <w:szCs w:val="20"/>
          <w:lang w:val="en-US"/>
        </w:rPr>
        <w:t xml:space="preserve"> 8</w:t>
      </w:r>
      <w:r w:rsidRPr="007B2402">
        <w:rPr>
          <w:rFonts w:eastAsia="Batang" w:cs="Times New Roman"/>
          <w:noProof/>
          <w:szCs w:val="20"/>
          <w:lang w:val="en-US"/>
        </w:rPr>
        <w:t xml:space="preserve"> and </w:t>
      </w:r>
      <w:r w:rsidR="006C7443" w:rsidRPr="007B2402">
        <w:rPr>
          <w:rFonts w:eastAsia="Batang" w:cs="Times New Roman"/>
          <w:noProof/>
          <w:szCs w:val="20"/>
          <w:lang w:val="en-US"/>
        </w:rPr>
        <w:t>25</w:t>
      </w:r>
      <w:r w:rsidR="00AF4344" w:rsidRPr="007B2402">
        <w:rPr>
          <w:rFonts w:eastAsia="Batang" w:cs="Times New Roman"/>
          <w:noProof/>
          <w:szCs w:val="20"/>
          <w:lang w:val="en-US"/>
        </w:rPr>
        <w:t xml:space="preserve"> of the Convention</w:t>
      </w:r>
      <w:r w:rsidR="006C7443" w:rsidRPr="007B2402">
        <w:rPr>
          <w:rFonts w:eastAsia="Batang" w:cs="Times New Roman"/>
          <w:noProof/>
          <w:szCs w:val="20"/>
          <w:lang w:val="en-US"/>
        </w:rPr>
        <w:t xml:space="preserve">, </w:t>
      </w:r>
      <w:r w:rsidR="00A60D66" w:rsidRPr="007B2402">
        <w:rPr>
          <w:rFonts w:eastAsia="Batang" w:cs="Times New Roman"/>
          <w:noProof/>
          <w:szCs w:val="20"/>
          <w:lang w:val="en-US"/>
        </w:rPr>
        <w:t>in relation to</w:t>
      </w:r>
      <w:r w:rsidR="006C7443" w:rsidRPr="007B2402">
        <w:rPr>
          <w:rFonts w:eastAsia="Batang" w:cs="Times New Roman"/>
          <w:noProof/>
          <w:szCs w:val="20"/>
          <w:lang w:val="en-US"/>
        </w:rPr>
        <w:t xml:space="preserve"> </w:t>
      </w:r>
      <w:r w:rsidR="00AF4344" w:rsidRPr="007B2402">
        <w:rPr>
          <w:rFonts w:eastAsia="Batang" w:cs="Times New Roman"/>
          <w:noProof/>
          <w:szCs w:val="20"/>
          <w:lang w:val="en-US"/>
        </w:rPr>
        <w:t>Articles</w:t>
      </w:r>
      <w:r w:rsidR="006C7443" w:rsidRPr="007B2402">
        <w:rPr>
          <w:rFonts w:eastAsia="Batang" w:cs="Times New Roman"/>
          <w:noProof/>
          <w:szCs w:val="20"/>
          <w:lang w:val="en-US"/>
        </w:rPr>
        <w:t xml:space="preserve"> </w:t>
      </w:r>
      <w:r w:rsidR="00375567" w:rsidRPr="007B2402">
        <w:rPr>
          <w:rFonts w:eastAsia="Batang" w:cs="Times New Roman"/>
          <w:noProof/>
          <w:szCs w:val="20"/>
          <w:lang w:val="en-US"/>
        </w:rPr>
        <w:t>1(1) and 2</w:t>
      </w:r>
      <w:r w:rsidR="006C7443" w:rsidRPr="007B2402">
        <w:rPr>
          <w:rFonts w:eastAsia="Batang" w:cs="Times New Roman"/>
          <w:noProof/>
          <w:szCs w:val="20"/>
          <w:lang w:val="en-US"/>
        </w:rPr>
        <w:t xml:space="preserve"> </w:t>
      </w:r>
      <w:r w:rsidR="00375567" w:rsidRPr="007B2402">
        <w:rPr>
          <w:rFonts w:eastAsia="Batang" w:cs="Times New Roman"/>
          <w:noProof/>
          <w:szCs w:val="20"/>
          <w:lang w:val="en-US"/>
        </w:rPr>
        <w:t>of this instrument</w:t>
      </w:r>
      <w:r w:rsidR="006C7443" w:rsidRPr="007B2402">
        <w:rPr>
          <w:rFonts w:eastAsia="Batang" w:cs="Times New Roman"/>
          <w:noProof/>
          <w:szCs w:val="20"/>
          <w:lang w:val="en-US"/>
        </w:rPr>
        <w:t xml:space="preserve">, </w:t>
      </w:r>
      <w:r w:rsidR="00A60D66" w:rsidRPr="007B2402">
        <w:rPr>
          <w:rFonts w:eastAsia="Batang" w:cs="Times New Roman"/>
          <w:noProof/>
          <w:szCs w:val="20"/>
          <w:lang w:val="en-US"/>
        </w:rPr>
        <w:t xml:space="preserve">of the members of Mr. Herzog’s family. Additionally, they asked the Court to declare the violation of the right to the truth, established </w:t>
      </w:r>
      <w:r w:rsidR="00A60D66" w:rsidRPr="007B2402">
        <w:rPr>
          <w:rFonts w:eastAsia="Batang" w:cs="Times New Roman"/>
          <w:noProof/>
          <w:szCs w:val="20"/>
          <w:lang w:val="en-US"/>
        </w:rPr>
        <w:lastRenderedPageBreak/>
        <w:t xml:space="preserve">in </w:t>
      </w:r>
      <w:r w:rsidR="00AF4344" w:rsidRPr="007B2402">
        <w:rPr>
          <w:rFonts w:eastAsia="Batang" w:cs="Times New Roman"/>
          <w:noProof/>
          <w:szCs w:val="20"/>
          <w:lang w:val="en-US"/>
        </w:rPr>
        <w:t>Articles</w:t>
      </w:r>
      <w:r w:rsidR="006C7443" w:rsidRPr="007B2402">
        <w:rPr>
          <w:rFonts w:eastAsia="Batang" w:cs="Times New Roman"/>
          <w:noProof/>
          <w:szCs w:val="20"/>
          <w:lang w:val="en-US"/>
        </w:rPr>
        <w:t xml:space="preserve"> 5, 8, 13</w:t>
      </w:r>
      <w:r w:rsidRPr="007B2402">
        <w:rPr>
          <w:rFonts w:eastAsia="Batang" w:cs="Times New Roman"/>
          <w:noProof/>
          <w:szCs w:val="20"/>
          <w:lang w:val="en-US"/>
        </w:rPr>
        <w:t xml:space="preserve"> and </w:t>
      </w:r>
      <w:r w:rsidR="006C7443" w:rsidRPr="007B2402">
        <w:rPr>
          <w:rFonts w:eastAsia="Batang" w:cs="Times New Roman"/>
          <w:noProof/>
          <w:szCs w:val="20"/>
          <w:lang w:val="en-US"/>
        </w:rPr>
        <w:t xml:space="preserve">25, </w:t>
      </w:r>
      <w:r w:rsidR="00A60D66" w:rsidRPr="007B2402">
        <w:rPr>
          <w:rFonts w:eastAsia="Batang" w:cs="Times New Roman"/>
          <w:noProof/>
          <w:szCs w:val="20"/>
          <w:lang w:val="en-US"/>
        </w:rPr>
        <w:t xml:space="preserve">together with </w:t>
      </w:r>
      <w:r w:rsidR="00AF4344" w:rsidRPr="007B2402">
        <w:rPr>
          <w:rFonts w:eastAsia="Batang" w:cs="Times New Roman"/>
          <w:noProof/>
          <w:szCs w:val="20"/>
          <w:lang w:val="en-US"/>
        </w:rPr>
        <w:t>Article</w:t>
      </w:r>
      <w:r w:rsidR="006C7443" w:rsidRPr="007B2402">
        <w:rPr>
          <w:rFonts w:eastAsia="Batang" w:cs="Times New Roman"/>
          <w:noProof/>
          <w:szCs w:val="20"/>
          <w:lang w:val="en-US"/>
        </w:rPr>
        <w:t xml:space="preserve"> </w:t>
      </w:r>
      <w:r w:rsidR="00375567" w:rsidRPr="007B2402">
        <w:rPr>
          <w:rFonts w:eastAsia="Batang" w:cs="Times New Roman"/>
          <w:noProof/>
          <w:szCs w:val="20"/>
          <w:lang w:val="en-US"/>
        </w:rPr>
        <w:t>1(1)</w:t>
      </w:r>
      <w:r w:rsidR="00AF4344" w:rsidRPr="007B2402">
        <w:rPr>
          <w:rFonts w:eastAsia="Batang" w:cs="Times New Roman"/>
          <w:noProof/>
          <w:szCs w:val="20"/>
          <w:lang w:val="en-US"/>
        </w:rPr>
        <w:t xml:space="preserve"> of the Convention</w:t>
      </w:r>
      <w:r w:rsidR="006C7443" w:rsidRPr="007B2402">
        <w:rPr>
          <w:rFonts w:eastAsia="Batang" w:cs="Times New Roman"/>
          <w:noProof/>
          <w:szCs w:val="20"/>
          <w:lang w:val="en-US"/>
        </w:rPr>
        <w:t xml:space="preserve">, </w:t>
      </w:r>
      <w:r w:rsidR="00A60D66" w:rsidRPr="007B2402">
        <w:rPr>
          <w:rFonts w:eastAsia="Batang" w:cs="Times New Roman"/>
          <w:noProof/>
          <w:szCs w:val="20"/>
          <w:lang w:val="en-US"/>
        </w:rPr>
        <w:t>to the detriment of the family members, owing to the false version of suicide</w:t>
      </w:r>
      <w:r w:rsidR="00554584" w:rsidRPr="007B2402">
        <w:rPr>
          <w:rFonts w:eastAsia="Batang" w:cs="Times New Roman"/>
          <w:noProof/>
          <w:szCs w:val="20"/>
          <w:lang w:val="en-US"/>
        </w:rPr>
        <w:t>, and the concealment and denial of information on the case.</w:t>
      </w:r>
      <w:r w:rsidR="00A60D66" w:rsidRPr="007B2402">
        <w:rPr>
          <w:rFonts w:eastAsia="Batang" w:cs="Times New Roman"/>
          <w:noProof/>
          <w:szCs w:val="20"/>
          <w:lang w:val="en-US"/>
        </w:rPr>
        <w:t xml:space="preserve"> </w:t>
      </w:r>
      <w:r w:rsidR="00554584" w:rsidRPr="007B2402">
        <w:rPr>
          <w:rFonts w:eastAsia="Batang" w:cs="Times New Roman"/>
          <w:noProof/>
          <w:szCs w:val="20"/>
          <w:lang w:val="en-US"/>
        </w:rPr>
        <w:t>The</w:t>
      </w:r>
      <w:r w:rsidR="001131ED" w:rsidRPr="007B2402">
        <w:rPr>
          <w:rFonts w:eastAsia="Batang" w:cs="Times New Roman"/>
          <w:noProof/>
          <w:szCs w:val="20"/>
          <w:lang w:val="en-US"/>
        </w:rPr>
        <w:t>y</w:t>
      </w:r>
      <w:r w:rsidR="00554584" w:rsidRPr="007B2402">
        <w:rPr>
          <w:rFonts w:eastAsia="Batang" w:cs="Times New Roman"/>
          <w:noProof/>
          <w:szCs w:val="20"/>
          <w:lang w:val="en-US"/>
        </w:rPr>
        <w:t xml:space="preserve"> also alleged the violation of the right to personal integrity, recognized in </w:t>
      </w:r>
      <w:r w:rsidR="00AF4344" w:rsidRPr="007B2402">
        <w:rPr>
          <w:rFonts w:eastAsia="Batang" w:cs="Times New Roman"/>
          <w:noProof/>
          <w:szCs w:val="20"/>
          <w:lang w:val="en-US"/>
        </w:rPr>
        <w:t>Article</w:t>
      </w:r>
      <w:r w:rsidR="006C7443" w:rsidRPr="007B2402">
        <w:rPr>
          <w:rFonts w:eastAsia="Batang" w:cs="Times New Roman"/>
          <w:noProof/>
          <w:szCs w:val="20"/>
          <w:lang w:val="en-US"/>
        </w:rPr>
        <w:t xml:space="preserve"> 5</w:t>
      </w:r>
      <w:r w:rsidR="00AF4344" w:rsidRPr="007B2402">
        <w:rPr>
          <w:rFonts w:eastAsia="Batang" w:cs="Times New Roman"/>
          <w:noProof/>
          <w:szCs w:val="20"/>
          <w:lang w:val="en-US"/>
        </w:rPr>
        <w:t xml:space="preserve"> of the American Convention</w:t>
      </w:r>
      <w:r w:rsidR="006C7443" w:rsidRPr="007B2402">
        <w:rPr>
          <w:rFonts w:eastAsia="Batang" w:cs="Times New Roman"/>
          <w:noProof/>
          <w:szCs w:val="20"/>
          <w:lang w:val="en-US"/>
        </w:rPr>
        <w:t xml:space="preserve">, </w:t>
      </w:r>
      <w:r w:rsidR="00554584" w:rsidRPr="007B2402">
        <w:rPr>
          <w:rFonts w:eastAsia="Batang" w:cs="Times New Roman"/>
          <w:noProof/>
          <w:szCs w:val="20"/>
          <w:lang w:val="en-US"/>
        </w:rPr>
        <w:t xml:space="preserve">of the members of </w:t>
      </w:r>
      <w:r w:rsidR="006C7443" w:rsidRPr="007B2402">
        <w:rPr>
          <w:rFonts w:eastAsia="Batang" w:cs="Times New Roman"/>
          <w:noProof/>
          <w:szCs w:val="20"/>
          <w:lang w:val="en-US"/>
        </w:rPr>
        <w:t>Vladimir Herzog</w:t>
      </w:r>
      <w:r w:rsidR="00554584" w:rsidRPr="007B2402">
        <w:rPr>
          <w:rFonts w:eastAsia="Batang" w:cs="Times New Roman"/>
          <w:noProof/>
          <w:szCs w:val="20"/>
          <w:lang w:val="en-US"/>
        </w:rPr>
        <w:t>’s family</w:t>
      </w:r>
      <w:r w:rsidR="006C7443" w:rsidRPr="007B2402">
        <w:rPr>
          <w:rFonts w:eastAsia="Batang" w:cs="Times New Roman"/>
          <w:noProof/>
          <w:szCs w:val="20"/>
          <w:lang w:val="en-US"/>
        </w:rPr>
        <w:t>.</w:t>
      </w:r>
      <w:r w:rsidR="00CA1272" w:rsidRPr="007B2402">
        <w:rPr>
          <w:rFonts w:eastAsia="Batang" w:cs="Times New Roman"/>
          <w:noProof/>
          <w:szCs w:val="20"/>
          <w:lang w:val="en-US"/>
        </w:rPr>
        <w:t xml:space="preserve"> </w:t>
      </w:r>
      <w:r w:rsidR="00554584" w:rsidRPr="007B2402">
        <w:rPr>
          <w:rFonts w:eastAsia="Batang" w:cs="Times New Roman"/>
          <w:noProof/>
          <w:szCs w:val="20"/>
          <w:lang w:val="en-US"/>
        </w:rPr>
        <w:t>T</w:t>
      </w:r>
      <w:r w:rsidRPr="007B2402">
        <w:rPr>
          <w:rFonts w:eastAsia="Batang" w:cs="Times New Roman"/>
          <w:noProof/>
          <w:szCs w:val="20"/>
          <w:lang w:val="en-US"/>
        </w:rPr>
        <w:t>he presumed victims</w:t>
      </w:r>
      <w:r w:rsidR="00CA1272" w:rsidRPr="007B2402">
        <w:rPr>
          <w:rFonts w:eastAsia="Batang" w:cs="Times New Roman"/>
          <w:noProof/>
          <w:szCs w:val="20"/>
          <w:lang w:val="en-US"/>
        </w:rPr>
        <w:t xml:space="preserve"> </w:t>
      </w:r>
      <w:r w:rsidR="00554584" w:rsidRPr="007B2402">
        <w:rPr>
          <w:rFonts w:eastAsia="Batang" w:cs="Times New Roman"/>
          <w:noProof/>
          <w:szCs w:val="20"/>
          <w:lang w:val="en-US"/>
        </w:rPr>
        <w:t>requested, through their representatives, access to the</w:t>
      </w:r>
      <w:r w:rsidR="00CA1272" w:rsidRPr="007B2402">
        <w:rPr>
          <w:rFonts w:eastAsia="Batang" w:cs="Times New Roman"/>
          <w:noProof/>
          <w:szCs w:val="20"/>
          <w:lang w:val="en-US"/>
        </w:rPr>
        <w:t xml:space="preserve"> </w:t>
      </w:r>
      <w:r w:rsidR="00554584" w:rsidRPr="007B2402">
        <w:rPr>
          <w:rFonts w:eastAsia="Batang" w:cs="Times New Roman"/>
          <w:noProof/>
          <w:szCs w:val="20"/>
          <w:lang w:val="en-US"/>
        </w:rPr>
        <w:t>Victim’s Legal Assistance Fund</w:t>
      </w:r>
      <w:r w:rsidR="00AF4344" w:rsidRPr="007B2402">
        <w:rPr>
          <w:rFonts w:eastAsia="Batang" w:cs="Times New Roman"/>
          <w:noProof/>
          <w:szCs w:val="20"/>
          <w:lang w:val="en-US"/>
        </w:rPr>
        <w:t xml:space="preserve"> of the Inter-American Court</w:t>
      </w:r>
      <w:r w:rsidR="00CA1272" w:rsidRPr="007B2402">
        <w:rPr>
          <w:rFonts w:eastAsia="Batang" w:cs="Times New Roman"/>
          <w:noProof/>
          <w:szCs w:val="20"/>
          <w:lang w:val="en-US"/>
        </w:rPr>
        <w:t xml:space="preserve"> (</w:t>
      </w:r>
      <w:r w:rsidR="00AF4344" w:rsidRPr="007B2402">
        <w:rPr>
          <w:rFonts w:eastAsia="Batang" w:cs="Times New Roman"/>
          <w:noProof/>
          <w:szCs w:val="20"/>
          <w:lang w:val="en-US"/>
        </w:rPr>
        <w:t>hereinafter</w:t>
      </w:r>
      <w:r w:rsidR="00CA1272" w:rsidRPr="007B2402">
        <w:rPr>
          <w:rFonts w:eastAsia="Batang" w:cs="Times New Roman"/>
          <w:noProof/>
          <w:szCs w:val="20"/>
          <w:lang w:val="en-US"/>
        </w:rPr>
        <w:t xml:space="preserve"> “</w:t>
      </w:r>
      <w:r w:rsidR="00554584" w:rsidRPr="007B2402">
        <w:rPr>
          <w:rFonts w:eastAsia="Batang" w:cs="Times New Roman"/>
          <w:noProof/>
          <w:szCs w:val="20"/>
          <w:lang w:val="en-US"/>
        </w:rPr>
        <w:t>the Court’s Legal Assistance Fund</w:t>
      </w:r>
      <w:r w:rsidR="00CA1272" w:rsidRPr="007B2402">
        <w:rPr>
          <w:rFonts w:eastAsia="Batang" w:cs="Times New Roman"/>
          <w:noProof/>
          <w:szCs w:val="20"/>
          <w:lang w:val="en-US"/>
        </w:rPr>
        <w:t xml:space="preserve">” </w:t>
      </w:r>
      <w:r w:rsidR="00554584" w:rsidRPr="007B2402">
        <w:rPr>
          <w:rFonts w:eastAsia="Batang" w:cs="Times New Roman"/>
          <w:noProof/>
          <w:szCs w:val="20"/>
          <w:lang w:val="en-US"/>
        </w:rPr>
        <w:t>or</w:t>
      </w:r>
      <w:r w:rsidR="00CA1272" w:rsidRPr="007B2402">
        <w:rPr>
          <w:rFonts w:eastAsia="Batang" w:cs="Times New Roman"/>
          <w:noProof/>
          <w:szCs w:val="20"/>
          <w:lang w:val="en-US"/>
        </w:rPr>
        <w:t xml:space="preserve"> “</w:t>
      </w:r>
      <w:r w:rsidR="00554584" w:rsidRPr="007B2402">
        <w:rPr>
          <w:rFonts w:eastAsia="Batang" w:cs="Times New Roman"/>
          <w:noProof/>
          <w:szCs w:val="20"/>
          <w:lang w:val="en-US"/>
        </w:rPr>
        <w:t xml:space="preserve">the </w:t>
      </w:r>
      <w:r w:rsidR="00CA1272" w:rsidRPr="007B2402">
        <w:rPr>
          <w:rFonts w:eastAsia="Batang" w:cs="Times New Roman"/>
          <w:noProof/>
          <w:szCs w:val="20"/>
          <w:lang w:val="en-US"/>
        </w:rPr>
        <w:t>F</w:t>
      </w:r>
      <w:r w:rsidR="00554584" w:rsidRPr="007B2402">
        <w:rPr>
          <w:rFonts w:eastAsia="Batang" w:cs="Times New Roman"/>
          <w:noProof/>
          <w:szCs w:val="20"/>
          <w:lang w:val="en-US"/>
        </w:rPr>
        <w:t>und</w:t>
      </w:r>
      <w:r w:rsidR="00CA1272" w:rsidRPr="007B2402">
        <w:rPr>
          <w:rFonts w:eastAsia="Batang" w:cs="Times New Roman"/>
          <w:noProof/>
          <w:szCs w:val="20"/>
          <w:lang w:val="en-US"/>
        </w:rPr>
        <w:t>”).</w:t>
      </w:r>
      <w:r w:rsidR="00E84F79" w:rsidRPr="007B2402">
        <w:rPr>
          <w:rFonts w:eastAsia="Batang" w:cs="Times New Roman"/>
          <w:noProof/>
          <w:szCs w:val="20"/>
          <w:lang w:val="en-US"/>
        </w:rPr>
        <w:t xml:space="preserve"> </w:t>
      </w:r>
      <w:r w:rsidR="00554584" w:rsidRPr="007B2402">
        <w:rPr>
          <w:rFonts w:eastAsia="Batang" w:cs="Times New Roman"/>
          <w:noProof/>
          <w:szCs w:val="20"/>
          <w:lang w:val="en-US"/>
        </w:rPr>
        <w:t xml:space="preserve">Lastly, </w:t>
      </w:r>
      <w:r w:rsidRPr="007B2402">
        <w:rPr>
          <w:rFonts w:eastAsia="Batang" w:cs="Times New Roman"/>
          <w:noProof/>
          <w:szCs w:val="20"/>
          <w:lang w:val="en-US"/>
        </w:rPr>
        <w:t>the representatives</w:t>
      </w:r>
      <w:r w:rsidR="00CA1272" w:rsidRPr="007B2402">
        <w:rPr>
          <w:rFonts w:eastAsia="Batang" w:cs="Times New Roman"/>
          <w:noProof/>
          <w:szCs w:val="20"/>
          <w:lang w:val="en-US"/>
        </w:rPr>
        <w:t xml:space="preserve"> </w:t>
      </w:r>
      <w:r w:rsidR="00554584" w:rsidRPr="007B2402">
        <w:rPr>
          <w:rFonts w:eastAsia="Batang" w:cs="Times New Roman"/>
          <w:noProof/>
          <w:szCs w:val="20"/>
          <w:lang w:val="en-US"/>
        </w:rPr>
        <w:t>asked</w:t>
      </w:r>
      <w:r w:rsidR="00CA1272" w:rsidRPr="007B2402">
        <w:rPr>
          <w:rFonts w:eastAsia="Batang" w:cs="Times New Roman"/>
          <w:noProof/>
          <w:szCs w:val="20"/>
          <w:lang w:val="en-US"/>
        </w:rPr>
        <w:t xml:space="preserve"> </w:t>
      </w:r>
      <w:r w:rsidR="00AF4344" w:rsidRPr="007B2402">
        <w:rPr>
          <w:rFonts w:eastAsia="Batang" w:cs="Times New Roman"/>
          <w:noProof/>
          <w:szCs w:val="20"/>
          <w:lang w:val="en-US"/>
        </w:rPr>
        <w:t>the Court</w:t>
      </w:r>
      <w:r w:rsidR="00CA1272" w:rsidRPr="007B2402">
        <w:rPr>
          <w:rFonts w:eastAsia="Batang" w:cs="Times New Roman"/>
          <w:noProof/>
          <w:szCs w:val="20"/>
          <w:lang w:val="en-US"/>
        </w:rPr>
        <w:t xml:space="preserve"> </w:t>
      </w:r>
      <w:r w:rsidR="00554584" w:rsidRPr="007B2402">
        <w:rPr>
          <w:rFonts w:eastAsia="Batang" w:cs="Times New Roman"/>
          <w:noProof/>
          <w:szCs w:val="20"/>
          <w:lang w:val="en-US"/>
        </w:rPr>
        <w:t>to require the State to adopt various measures of reparation and reimburse certain costs and expenses</w:t>
      </w:r>
      <w:r w:rsidR="00CA1272" w:rsidRPr="007B2402">
        <w:rPr>
          <w:rFonts w:eastAsia="Batang" w:cs="Times New Roman"/>
          <w:noProof/>
          <w:szCs w:val="20"/>
          <w:lang w:val="en-US"/>
        </w:rPr>
        <w:t>.</w:t>
      </w:r>
    </w:p>
    <w:p w14:paraId="54A3C293" w14:textId="77777777" w:rsidR="001D1455" w:rsidRPr="007B2402" w:rsidRDefault="001D1455" w:rsidP="00551E57">
      <w:pPr>
        <w:autoSpaceDE w:val="0"/>
        <w:autoSpaceDN w:val="0"/>
        <w:adjustRightInd w:val="0"/>
        <w:spacing w:after="0" w:line="240" w:lineRule="auto"/>
        <w:ind w:right="6"/>
        <w:jc w:val="both"/>
        <w:rPr>
          <w:rFonts w:eastAsia="Batang" w:cs="Times New Roman"/>
          <w:noProof/>
          <w:szCs w:val="20"/>
          <w:lang w:val="en-US"/>
        </w:rPr>
      </w:pPr>
    </w:p>
    <w:p w14:paraId="296C5E64" w14:textId="04CEE7B5" w:rsidR="001D1455" w:rsidRPr="007B2402" w:rsidRDefault="006E2CFF" w:rsidP="00DB1F30">
      <w:pPr>
        <w:numPr>
          <w:ilvl w:val="0"/>
          <w:numId w:val="6"/>
        </w:numPr>
        <w:autoSpaceDE w:val="0"/>
        <w:autoSpaceDN w:val="0"/>
        <w:adjustRightInd w:val="0"/>
        <w:spacing w:after="0" w:line="240" w:lineRule="auto"/>
        <w:ind w:right="6"/>
        <w:jc w:val="both"/>
        <w:rPr>
          <w:rFonts w:eastAsia="Batang" w:cs="Times New Roman"/>
          <w:noProof/>
          <w:szCs w:val="20"/>
          <w:lang w:val="en-US" w:eastAsia="es-ES"/>
        </w:rPr>
      </w:pPr>
      <w:r w:rsidRPr="007B2402">
        <w:rPr>
          <w:rFonts w:eastAsia="Calibri" w:cs="Times New Roman"/>
          <w:bCs/>
          <w:i/>
          <w:noProof/>
          <w:szCs w:val="20"/>
          <w:lang w:val="en-US"/>
        </w:rPr>
        <w:t>Brief with</w:t>
      </w:r>
      <w:r w:rsidR="001D1455" w:rsidRPr="007B2402">
        <w:rPr>
          <w:rFonts w:eastAsia="Calibri" w:cs="Times New Roman"/>
          <w:bCs/>
          <w:i/>
          <w:noProof/>
          <w:szCs w:val="20"/>
          <w:lang w:val="en-US"/>
        </w:rPr>
        <w:t xml:space="preserve"> </w:t>
      </w:r>
      <w:r w:rsidRPr="007B2402">
        <w:rPr>
          <w:rFonts w:eastAsia="Calibri" w:cs="Times New Roman"/>
          <w:bCs/>
          <w:i/>
          <w:noProof/>
          <w:szCs w:val="20"/>
          <w:lang w:val="en-US"/>
        </w:rPr>
        <w:t>preliminary objections and answering the</w:t>
      </w:r>
      <w:r w:rsidR="001D1455" w:rsidRPr="007B2402">
        <w:rPr>
          <w:rFonts w:eastAsia="Calibri" w:cs="Times New Roman"/>
          <w:bCs/>
          <w:i/>
          <w:noProof/>
          <w:szCs w:val="20"/>
          <w:lang w:val="en-US"/>
        </w:rPr>
        <w:t xml:space="preserve"> </w:t>
      </w:r>
      <w:r w:rsidRPr="007B2402">
        <w:rPr>
          <w:rFonts w:eastAsia="Batang" w:cs="Times New Roman"/>
          <w:i/>
          <w:noProof/>
          <w:szCs w:val="20"/>
          <w:lang w:val="en-US"/>
        </w:rPr>
        <w:t>brief with motions, pleadings and evidence</w:t>
      </w:r>
      <w:r w:rsidR="001D1455" w:rsidRPr="007B2402">
        <w:rPr>
          <w:rFonts w:eastAsia="Calibri" w:cs="Times New Roman"/>
          <w:bCs/>
          <w:i/>
          <w:noProof/>
          <w:szCs w:val="20"/>
          <w:lang w:val="en-US"/>
        </w:rPr>
        <w:t xml:space="preserve">. </w:t>
      </w:r>
      <w:r w:rsidRPr="007B2402">
        <w:rPr>
          <w:rFonts w:eastAsia="Batang" w:cs="Times New Roman"/>
          <w:noProof/>
          <w:szCs w:val="20"/>
          <w:lang w:val="en-US"/>
        </w:rPr>
        <w:t>On Novemb</w:t>
      </w:r>
      <w:r w:rsidR="001131ED" w:rsidRPr="007B2402">
        <w:rPr>
          <w:rFonts w:eastAsia="Batang" w:cs="Times New Roman"/>
          <w:noProof/>
          <w:szCs w:val="20"/>
          <w:lang w:val="en-US"/>
        </w:rPr>
        <w:t>e</w:t>
      </w:r>
      <w:r w:rsidRPr="007B2402">
        <w:rPr>
          <w:rFonts w:eastAsia="Batang" w:cs="Times New Roman"/>
          <w:noProof/>
          <w:szCs w:val="20"/>
          <w:lang w:val="en-US"/>
        </w:rPr>
        <w:t xml:space="preserve">r 14, 2016, </w:t>
      </w:r>
      <w:r w:rsidR="00AF4344" w:rsidRPr="007B2402">
        <w:rPr>
          <w:rFonts w:eastAsia="Batang" w:cs="Times New Roman"/>
          <w:noProof/>
          <w:szCs w:val="20"/>
          <w:lang w:val="en-US"/>
        </w:rPr>
        <w:t>the State</w:t>
      </w:r>
      <w:r w:rsidR="006652EA" w:rsidRPr="007B2402">
        <w:rPr>
          <w:rStyle w:val="Refdenotaalpie"/>
          <w:rFonts w:ascii="Verdana" w:eastAsia="Batang" w:hAnsi="Verdana"/>
          <w:noProof/>
          <w:lang w:val="en-US"/>
        </w:rPr>
        <w:footnoteReference w:id="5"/>
      </w:r>
      <w:r w:rsidR="001D1455" w:rsidRPr="007B2402">
        <w:rPr>
          <w:rFonts w:eastAsia="Batang" w:cs="Times New Roman"/>
          <w:noProof/>
          <w:szCs w:val="20"/>
          <w:lang w:val="en-US"/>
        </w:rPr>
        <w:t xml:space="preserve"> present</w:t>
      </w:r>
      <w:r w:rsidRPr="007B2402">
        <w:rPr>
          <w:rFonts w:eastAsia="Batang" w:cs="Times New Roman"/>
          <w:noProof/>
          <w:szCs w:val="20"/>
          <w:lang w:val="en-US"/>
        </w:rPr>
        <w:t xml:space="preserve">ed its brief filing </w:t>
      </w:r>
      <w:r w:rsidRPr="007B2402">
        <w:rPr>
          <w:rFonts w:eastAsia="Batang" w:cs="Verdana"/>
          <w:noProof/>
          <w:szCs w:val="20"/>
          <w:lang w:val="en-US" w:eastAsia="es-ES"/>
        </w:rPr>
        <w:t>preliminary objections</w:t>
      </w:r>
      <w:r w:rsidR="005B1590" w:rsidRPr="007B2402">
        <w:rPr>
          <w:rFonts w:eastAsia="Batang" w:cs="Times New Roman"/>
          <w:noProof/>
          <w:szCs w:val="20"/>
          <w:lang w:val="en-US"/>
        </w:rPr>
        <w:t xml:space="preserve"> and </w:t>
      </w:r>
      <w:r w:rsidRPr="007B2402">
        <w:rPr>
          <w:rFonts w:eastAsia="Batang" w:cs="Times New Roman"/>
          <w:noProof/>
          <w:szCs w:val="20"/>
          <w:lang w:val="en-US"/>
        </w:rPr>
        <w:t xml:space="preserve">answering the submission of the case, and with observations </w:t>
      </w:r>
      <w:r w:rsidRPr="007B2402">
        <w:rPr>
          <w:rFonts w:eastAsia="Batang" w:cs="Verdana"/>
          <w:noProof/>
          <w:szCs w:val="20"/>
          <w:lang w:val="en-US" w:eastAsia="es-ES"/>
        </w:rPr>
        <w:t>on the</w:t>
      </w:r>
      <w:r w:rsidR="001F36AF" w:rsidRPr="007B2402">
        <w:rPr>
          <w:rFonts w:eastAsia="Batang" w:cs="Times New Roman"/>
          <w:noProof/>
          <w:szCs w:val="20"/>
          <w:lang w:val="en-US"/>
        </w:rPr>
        <w:t xml:space="preserve"> </w:t>
      </w:r>
      <w:r w:rsidRPr="007B2402">
        <w:rPr>
          <w:rFonts w:eastAsia="Batang" w:cs="Times New Roman"/>
          <w:noProof/>
          <w:szCs w:val="20"/>
          <w:lang w:val="en-US"/>
        </w:rPr>
        <w:t>b</w:t>
      </w:r>
      <w:r w:rsidR="005B1590" w:rsidRPr="007B2402">
        <w:rPr>
          <w:rFonts w:eastAsia="Batang" w:cs="Times New Roman"/>
          <w:noProof/>
          <w:szCs w:val="20"/>
          <w:lang w:val="en-US"/>
        </w:rPr>
        <w:t>rief with motions, pleadings and evidence</w:t>
      </w:r>
      <w:r w:rsidR="001F36AF" w:rsidRPr="007B2402">
        <w:rPr>
          <w:rFonts w:eastAsia="Batang" w:cs="Times New Roman"/>
          <w:noProof/>
          <w:szCs w:val="20"/>
          <w:lang w:val="en-US"/>
        </w:rPr>
        <w:t xml:space="preserve"> </w:t>
      </w:r>
      <w:r w:rsidR="001D1455" w:rsidRPr="007B2402">
        <w:rPr>
          <w:rFonts w:eastAsia="Batang" w:cs="Times New Roman"/>
          <w:noProof/>
          <w:szCs w:val="20"/>
          <w:lang w:val="en-US"/>
        </w:rPr>
        <w:t>(</w:t>
      </w:r>
      <w:r w:rsidR="00AF4344" w:rsidRPr="007B2402">
        <w:rPr>
          <w:rFonts w:eastAsia="Batang" w:cs="Times New Roman"/>
          <w:noProof/>
          <w:szCs w:val="20"/>
          <w:lang w:val="en-US"/>
        </w:rPr>
        <w:t>hereinafter</w:t>
      </w:r>
      <w:r w:rsidR="001D1455" w:rsidRPr="007B2402">
        <w:rPr>
          <w:rFonts w:eastAsia="Batang" w:cs="Times New Roman"/>
          <w:noProof/>
          <w:szCs w:val="20"/>
          <w:lang w:val="en-US"/>
        </w:rPr>
        <w:t xml:space="preserve"> “</w:t>
      </w:r>
      <w:r w:rsidR="00F675D5" w:rsidRPr="007B2402">
        <w:rPr>
          <w:rFonts w:eastAsia="Batang" w:cs="Times New Roman"/>
          <w:noProof/>
          <w:szCs w:val="20"/>
          <w:lang w:val="en-US"/>
        </w:rPr>
        <w:t xml:space="preserve">the </w:t>
      </w:r>
      <w:r w:rsidRPr="007B2402">
        <w:rPr>
          <w:rFonts w:eastAsia="Batang" w:cs="Times New Roman"/>
          <w:noProof/>
          <w:szCs w:val="20"/>
          <w:lang w:val="en-US"/>
        </w:rPr>
        <w:t>answer</w:t>
      </w:r>
      <w:r w:rsidR="001D1455" w:rsidRPr="007B2402">
        <w:rPr>
          <w:rFonts w:eastAsia="Batang" w:cs="Times New Roman"/>
          <w:noProof/>
          <w:szCs w:val="20"/>
          <w:lang w:val="en-US"/>
        </w:rPr>
        <w:t>” o</w:t>
      </w:r>
      <w:r w:rsidRPr="007B2402">
        <w:rPr>
          <w:rFonts w:eastAsia="Batang" w:cs="Times New Roman"/>
          <w:noProof/>
          <w:szCs w:val="20"/>
          <w:lang w:val="en-US"/>
        </w:rPr>
        <w:t>r</w:t>
      </w:r>
      <w:r w:rsidR="001D1455" w:rsidRPr="007B2402">
        <w:rPr>
          <w:rFonts w:eastAsia="Batang" w:cs="Times New Roman"/>
          <w:noProof/>
          <w:szCs w:val="20"/>
          <w:lang w:val="en-US"/>
        </w:rPr>
        <w:t xml:space="preserve"> “</w:t>
      </w:r>
      <w:r w:rsidR="00F675D5" w:rsidRPr="007B2402">
        <w:rPr>
          <w:rFonts w:eastAsia="Batang" w:cs="Times New Roman"/>
          <w:noProof/>
          <w:szCs w:val="20"/>
          <w:lang w:val="en-US"/>
        </w:rPr>
        <w:t xml:space="preserve">the </w:t>
      </w:r>
      <w:r w:rsidRPr="007B2402">
        <w:rPr>
          <w:rFonts w:eastAsia="Batang" w:cs="Times New Roman"/>
          <w:noProof/>
          <w:szCs w:val="20"/>
          <w:lang w:val="en-US"/>
        </w:rPr>
        <w:t>answering brief</w:t>
      </w:r>
      <w:r w:rsidR="001D1455" w:rsidRPr="007B2402">
        <w:rPr>
          <w:rFonts w:eastAsia="Batang" w:cs="Times New Roman"/>
          <w:noProof/>
          <w:szCs w:val="20"/>
          <w:lang w:val="en-US"/>
        </w:rPr>
        <w:t xml:space="preserve">”), </w:t>
      </w:r>
      <w:r w:rsidRPr="007B2402">
        <w:rPr>
          <w:rFonts w:eastAsia="Batang" w:cs="Times New Roman"/>
          <w:noProof/>
          <w:szCs w:val="20"/>
          <w:lang w:val="en-US"/>
        </w:rPr>
        <w:t>in accordance with Article</w:t>
      </w:r>
      <w:r w:rsidR="001D1455" w:rsidRPr="007B2402">
        <w:rPr>
          <w:rFonts w:eastAsia="Batang" w:cs="Times New Roman"/>
          <w:noProof/>
          <w:szCs w:val="20"/>
          <w:lang w:val="en-US"/>
        </w:rPr>
        <w:t xml:space="preserve"> 41</w:t>
      </w:r>
      <w:r w:rsidRPr="007B2402">
        <w:rPr>
          <w:rFonts w:eastAsia="Batang" w:cs="Times New Roman"/>
          <w:noProof/>
          <w:szCs w:val="20"/>
          <w:lang w:val="en-US"/>
        </w:rPr>
        <w:t xml:space="preserve"> of the Court’s </w:t>
      </w:r>
      <w:r w:rsidR="00AF4344" w:rsidRPr="007B2402">
        <w:rPr>
          <w:rFonts w:eastAsia="Batang" w:cs="Times New Roman"/>
          <w:noProof/>
          <w:szCs w:val="20"/>
          <w:lang w:val="en-US"/>
        </w:rPr>
        <w:t>Rules of Procedure</w:t>
      </w:r>
      <w:r w:rsidR="001D1455" w:rsidRPr="007B2402">
        <w:rPr>
          <w:rFonts w:eastAsia="Batang" w:cs="Times New Roman"/>
          <w:noProof/>
          <w:szCs w:val="20"/>
          <w:lang w:val="en-US"/>
        </w:rPr>
        <w:t xml:space="preserve">. </w:t>
      </w:r>
      <w:r w:rsidR="00AF4344" w:rsidRPr="007B2402">
        <w:rPr>
          <w:rFonts w:eastAsia="Batang" w:cs="Times New Roman"/>
          <w:noProof/>
          <w:szCs w:val="20"/>
          <w:lang w:val="en-US"/>
        </w:rPr>
        <w:t>The State</w:t>
      </w:r>
      <w:r w:rsidR="001D1455" w:rsidRPr="007B2402">
        <w:rPr>
          <w:rFonts w:eastAsia="Batang" w:cs="Times New Roman"/>
          <w:noProof/>
          <w:szCs w:val="20"/>
          <w:lang w:val="en-US"/>
        </w:rPr>
        <w:t xml:space="preserve"> </w:t>
      </w:r>
      <w:r w:rsidRPr="007B2402">
        <w:rPr>
          <w:rFonts w:eastAsia="Batang" w:cs="Times New Roman"/>
          <w:noProof/>
          <w:szCs w:val="20"/>
          <w:lang w:val="en-US"/>
        </w:rPr>
        <w:t>filed nine</w:t>
      </w:r>
      <w:r w:rsidR="001D1455" w:rsidRPr="007B2402">
        <w:rPr>
          <w:rFonts w:eastAsia="Batang" w:cs="Times New Roman"/>
          <w:noProof/>
          <w:szCs w:val="20"/>
          <w:lang w:val="en-US"/>
        </w:rPr>
        <w:t xml:space="preserve"> </w:t>
      </w:r>
      <w:r w:rsidRPr="007B2402">
        <w:rPr>
          <w:rFonts w:eastAsia="Batang" w:cs="Times New Roman"/>
          <w:noProof/>
          <w:szCs w:val="20"/>
          <w:lang w:val="en-US"/>
        </w:rPr>
        <w:t>preliminary objections</w:t>
      </w:r>
      <w:r w:rsidR="005B1590" w:rsidRPr="007B2402">
        <w:rPr>
          <w:rFonts w:eastAsia="Batang" w:cs="Times New Roman"/>
          <w:noProof/>
          <w:szCs w:val="20"/>
          <w:lang w:val="en-US"/>
        </w:rPr>
        <w:t xml:space="preserve"> and </w:t>
      </w:r>
      <w:r w:rsidRPr="007B2402">
        <w:rPr>
          <w:rFonts w:eastAsia="Batang" w:cs="Times New Roman"/>
          <w:noProof/>
          <w:szCs w:val="20"/>
          <w:lang w:val="en-US"/>
        </w:rPr>
        <w:t xml:space="preserve">acknowledged the responsibility of its agents for the violation </w:t>
      </w:r>
      <w:r w:rsidRPr="007B2402">
        <w:rPr>
          <w:rFonts w:eastAsia="Batang" w:cs="Verdana"/>
          <w:noProof/>
          <w:szCs w:val="20"/>
          <w:lang w:val="en-US"/>
        </w:rPr>
        <w:t>of Article</w:t>
      </w:r>
      <w:r w:rsidR="00FD30E0" w:rsidRPr="007B2402">
        <w:rPr>
          <w:rFonts w:eastAsia="Batang" w:cs="Verdana"/>
          <w:noProof/>
          <w:szCs w:val="20"/>
          <w:lang w:val="en-US"/>
        </w:rPr>
        <w:t xml:space="preserve"> 5</w:t>
      </w:r>
      <w:r w:rsidR="00AF4344" w:rsidRPr="007B2402">
        <w:rPr>
          <w:rFonts w:eastAsia="Batang" w:cs="Verdana"/>
          <w:noProof/>
          <w:szCs w:val="20"/>
          <w:lang w:val="en-US"/>
        </w:rPr>
        <w:t xml:space="preserve"> of the Convention</w:t>
      </w:r>
      <w:r w:rsidR="00FD30E0" w:rsidRPr="007B2402">
        <w:rPr>
          <w:rFonts w:eastAsia="Batang" w:cs="Verdana"/>
          <w:noProof/>
          <w:szCs w:val="20"/>
          <w:lang w:val="en-US"/>
        </w:rPr>
        <w:t xml:space="preserve"> </w:t>
      </w:r>
      <w:r w:rsidR="00F675D5" w:rsidRPr="007B2402">
        <w:rPr>
          <w:rFonts w:eastAsia="Batang" w:cs="Verdana"/>
          <w:noProof/>
          <w:szCs w:val="20"/>
          <w:lang w:val="en-US"/>
        </w:rPr>
        <w:t>with regard to the</w:t>
      </w:r>
      <w:r w:rsidRPr="007B2402">
        <w:rPr>
          <w:rFonts w:eastAsia="Batang" w:cs="Verdana"/>
          <w:noProof/>
          <w:szCs w:val="20"/>
          <w:lang w:val="en-US"/>
        </w:rPr>
        <w:t xml:space="preserve"> members of </w:t>
      </w:r>
      <w:r w:rsidR="00FD30E0" w:rsidRPr="007B2402">
        <w:rPr>
          <w:rFonts w:eastAsia="Batang" w:cs="Verdana"/>
          <w:noProof/>
          <w:szCs w:val="20"/>
          <w:lang w:val="en-US"/>
        </w:rPr>
        <w:t>Vladimir Herzog</w:t>
      </w:r>
      <w:r w:rsidRPr="007B2402">
        <w:rPr>
          <w:rFonts w:eastAsia="Batang" w:cs="Verdana"/>
          <w:noProof/>
          <w:szCs w:val="20"/>
          <w:lang w:val="en-US"/>
        </w:rPr>
        <w:t xml:space="preserve">’s family as a result of his arbitrary </w:t>
      </w:r>
      <w:r w:rsidR="00D94A00" w:rsidRPr="007B2402">
        <w:rPr>
          <w:rFonts w:eastAsia="Batang" w:cs="Verdana"/>
          <w:noProof/>
          <w:szCs w:val="20"/>
          <w:lang w:val="en-US"/>
        </w:rPr>
        <w:t>detention</w:t>
      </w:r>
      <w:r w:rsidRPr="007B2402">
        <w:rPr>
          <w:rFonts w:eastAsia="Batang" w:cs="Verdana"/>
          <w:noProof/>
          <w:szCs w:val="20"/>
          <w:lang w:val="en-US"/>
        </w:rPr>
        <w:t>, torture and death</w:t>
      </w:r>
      <w:r w:rsidR="0007545E" w:rsidRPr="007B2402">
        <w:rPr>
          <w:rFonts w:eastAsia="Batang" w:cs="Verdana"/>
          <w:noProof/>
          <w:szCs w:val="20"/>
          <w:lang w:val="en-US"/>
        </w:rPr>
        <w:t xml:space="preserve">. </w:t>
      </w:r>
      <w:r w:rsidRPr="007B2402">
        <w:rPr>
          <w:rFonts w:eastAsia="Batang" w:cs="Verdana"/>
          <w:noProof/>
          <w:szCs w:val="20"/>
          <w:lang w:val="en-US"/>
        </w:rPr>
        <w:t xml:space="preserve">However, </w:t>
      </w:r>
      <w:r w:rsidR="00F675D5" w:rsidRPr="007B2402">
        <w:rPr>
          <w:rFonts w:eastAsia="Batang" w:cs="Verdana"/>
          <w:noProof/>
          <w:szCs w:val="20"/>
          <w:lang w:val="en-US"/>
        </w:rPr>
        <w:t>it</w:t>
      </w:r>
      <w:r w:rsidRPr="007B2402">
        <w:rPr>
          <w:rFonts w:eastAsia="Batang" w:cs="Verdana"/>
          <w:noProof/>
          <w:szCs w:val="20"/>
          <w:lang w:val="en-US"/>
        </w:rPr>
        <w:t xml:space="preserve"> contest</w:t>
      </w:r>
      <w:r w:rsidR="00F675D5" w:rsidRPr="007B2402">
        <w:rPr>
          <w:rFonts w:eastAsia="Batang" w:cs="Verdana"/>
          <w:noProof/>
          <w:szCs w:val="20"/>
          <w:lang w:val="en-US"/>
        </w:rPr>
        <w:t>ed</w:t>
      </w:r>
      <w:r w:rsidRPr="007B2402">
        <w:rPr>
          <w:rFonts w:eastAsia="Batang" w:cs="Verdana"/>
          <w:noProof/>
          <w:szCs w:val="20"/>
          <w:lang w:val="en-US"/>
        </w:rPr>
        <w:t xml:space="preserve"> the other violations that had been alleged.</w:t>
      </w:r>
    </w:p>
    <w:p w14:paraId="3D6DE5C4" w14:textId="77777777" w:rsidR="009F67A7" w:rsidRPr="007B2402" w:rsidRDefault="009F67A7" w:rsidP="009F67A7">
      <w:pPr>
        <w:pStyle w:val="Prrafodelista"/>
        <w:rPr>
          <w:rFonts w:cs="Times New Roman"/>
          <w:szCs w:val="20"/>
          <w:lang w:val="en-US" w:eastAsia="es-ES"/>
        </w:rPr>
      </w:pPr>
    </w:p>
    <w:p w14:paraId="77A413CF" w14:textId="480CCFB6" w:rsidR="009F67A7" w:rsidRPr="007B2402" w:rsidRDefault="001D1455" w:rsidP="00DB1F30">
      <w:pPr>
        <w:numPr>
          <w:ilvl w:val="0"/>
          <w:numId w:val="6"/>
        </w:numPr>
        <w:autoSpaceDE w:val="0"/>
        <w:autoSpaceDN w:val="0"/>
        <w:adjustRightInd w:val="0"/>
        <w:spacing w:after="0" w:line="240" w:lineRule="auto"/>
        <w:ind w:right="6"/>
        <w:jc w:val="both"/>
        <w:rPr>
          <w:rFonts w:eastAsia="Batang" w:cs="Times New Roman"/>
          <w:noProof/>
          <w:szCs w:val="20"/>
          <w:lang w:val="en-US" w:eastAsia="es-ES"/>
        </w:rPr>
      </w:pPr>
      <w:r w:rsidRPr="007B2402">
        <w:rPr>
          <w:rFonts w:eastAsia="Batang" w:cs="Times New Roman"/>
          <w:i/>
          <w:noProof/>
          <w:szCs w:val="20"/>
          <w:lang w:val="en-US" w:eastAsia="es-ES"/>
        </w:rPr>
        <w:t>Observa</w:t>
      </w:r>
      <w:r w:rsidR="006E2CFF" w:rsidRPr="007B2402">
        <w:rPr>
          <w:rFonts w:eastAsia="Batang" w:cs="Times New Roman"/>
          <w:i/>
          <w:noProof/>
          <w:szCs w:val="20"/>
          <w:lang w:val="en-US" w:eastAsia="es-ES"/>
        </w:rPr>
        <w:t>tions on the preliminary objections</w:t>
      </w:r>
      <w:r w:rsidR="005B1590" w:rsidRPr="007B2402">
        <w:rPr>
          <w:rFonts w:eastAsia="Batang" w:cs="Times New Roman"/>
          <w:i/>
          <w:noProof/>
          <w:szCs w:val="20"/>
          <w:lang w:val="en-US" w:eastAsia="es-ES"/>
        </w:rPr>
        <w:t xml:space="preserve"> and </w:t>
      </w:r>
      <w:r w:rsidR="006E2CFF" w:rsidRPr="007B2402">
        <w:rPr>
          <w:rFonts w:eastAsia="Batang" w:cs="Times New Roman"/>
          <w:i/>
          <w:noProof/>
          <w:szCs w:val="20"/>
          <w:lang w:val="en-US" w:eastAsia="es-ES"/>
        </w:rPr>
        <w:t>on the State’s acknowledgement of responsibiity</w:t>
      </w:r>
      <w:r w:rsidRPr="007B2402">
        <w:rPr>
          <w:rFonts w:eastAsia="Batang" w:cs="Times New Roman"/>
          <w:i/>
          <w:noProof/>
          <w:szCs w:val="20"/>
          <w:lang w:val="en-US" w:eastAsia="es-ES"/>
        </w:rPr>
        <w:t xml:space="preserve">. </w:t>
      </w:r>
      <w:r w:rsidR="006E2CFF" w:rsidRPr="007B2402">
        <w:rPr>
          <w:rFonts w:eastAsia="Batang" w:cs="Times New Roman"/>
          <w:noProof/>
          <w:szCs w:val="20"/>
          <w:lang w:val="en-US" w:eastAsia="es-ES"/>
        </w:rPr>
        <w:t>On January 9,</w:t>
      </w:r>
      <w:r w:rsidR="009F67A7" w:rsidRPr="007B2402">
        <w:rPr>
          <w:rFonts w:eastAsia="Batang" w:cs="Times New Roman"/>
          <w:noProof/>
          <w:szCs w:val="20"/>
          <w:lang w:val="en-US" w:eastAsia="es-ES"/>
        </w:rPr>
        <w:t xml:space="preserve"> 2017</w:t>
      </w:r>
      <w:r w:rsidR="006E2CFF" w:rsidRPr="007B2402">
        <w:rPr>
          <w:rFonts w:eastAsia="Batang" w:cs="Times New Roman"/>
          <w:noProof/>
          <w:szCs w:val="20"/>
          <w:lang w:val="en-US" w:eastAsia="es-ES"/>
        </w:rPr>
        <w:t>,</w:t>
      </w:r>
      <w:r w:rsidR="009F67A7" w:rsidRPr="007B2402">
        <w:rPr>
          <w:rFonts w:eastAsia="Batang" w:cs="Times New Roman"/>
          <w:noProof/>
          <w:szCs w:val="20"/>
          <w:lang w:val="en-US" w:eastAsia="es-ES"/>
        </w:rPr>
        <w:t xml:space="preserve"> </w:t>
      </w:r>
      <w:r w:rsidR="00AF4344" w:rsidRPr="007B2402">
        <w:rPr>
          <w:rFonts w:eastAsia="Batang" w:cs="Times New Roman"/>
          <w:noProof/>
          <w:szCs w:val="20"/>
          <w:lang w:val="en-US" w:eastAsia="es-ES"/>
        </w:rPr>
        <w:t>the Commission</w:t>
      </w:r>
      <w:r w:rsidR="005B1590" w:rsidRPr="007B2402">
        <w:rPr>
          <w:rFonts w:eastAsia="Batang" w:cs="Times New Roman"/>
          <w:noProof/>
          <w:szCs w:val="20"/>
          <w:lang w:val="en-US" w:eastAsia="es-ES"/>
        </w:rPr>
        <w:t xml:space="preserve"> and the representatives</w:t>
      </w:r>
      <w:r w:rsidR="00F079DF" w:rsidRPr="007B2402">
        <w:rPr>
          <w:rFonts w:eastAsia="Batang" w:cs="Times New Roman"/>
          <w:noProof/>
          <w:szCs w:val="20"/>
          <w:lang w:val="en-US" w:eastAsia="es-ES"/>
        </w:rPr>
        <w:t xml:space="preserve"> </w:t>
      </w:r>
      <w:r w:rsidR="00F675D5" w:rsidRPr="007B2402">
        <w:rPr>
          <w:rFonts w:eastAsia="Batang" w:cs="Times New Roman"/>
          <w:noProof/>
          <w:szCs w:val="20"/>
          <w:lang w:val="en-US" w:eastAsia="es-ES"/>
        </w:rPr>
        <w:t>submitted</w:t>
      </w:r>
      <w:r w:rsidR="006E2CFF" w:rsidRPr="007B2402">
        <w:rPr>
          <w:rFonts w:eastAsia="Batang" w:cs="Times New Roman"/>
          <w:noProof/>
          <w:szCs w:val="20"/>
          <w:lang w:val="en-US" w:eastAsia="es-ES"/>
        </w:rPr>
        <w:t xml:space="preserve"> their observations on the State’s acknowledgement of responsibility and on the preliminary objections</w:t>
      </w:r>
      <w:r w:rsidR="00DF4484" w:rsidRPr="007B2402">
        <w:rPr>
          <w:rFonts w:eastAsia="Batang" w:cs="Times New Roman"/>
          <w:noProof/>
          <w:szCs w:val="20"/>
          <w:lang w:val="en-US" w:eastAsia="es-ES"/>
        </w:rPr>
        <w:t>.</w:t>
      </w:r>
    </w:p>
    <w:p w14:paraId="114ED45F" w14:textId="77777777" w:rsidR="00810746" w:rsidRPr="007B2402" w:rsidRDefault="00810746" w:rsidP="00810746">
      <w:pPr>
        <w:pStyle w:val="Prrafodelista"/>
        <w:rPr>
          <w:rFonts w:cs="Times New Roman"/>
          <w:szCs w:val="20"/>
          <w:lang w:val="en-US" w:eastAsia="es-ES"/>
        </w:rPr>
      </w:pPr>
    </w:p>
    <w:p w14:paraId="7831DC35" w14:textId="7BF0E39E" w:rsidR="00810746" w:rsidRPr="007B2402" w:rsidRDefault="006E2CFF" w:rsidP="00810746">
      <w:pPr>
        <w:pStyle w:val="Prrafodelista"/>
        <w:numPr>
          <w:ilvl w:val="0"/>
          <w:numId w:val="6"/>
        </w:numPr>
        <w:rPr>
          <w:rFonts w:cs="Times New Roman"/>
          <w:szCs w:val="20"/>
          <w:lang w:val="en-US" w:eastAsia="es-ES"/>
        </w:rPr>
      </w:pPr>
      <w:r w:rsidRPr="007B2402">
        <w:rPr>
          <w:rFonts w:cs="Times New Roman"/>
          <w:i/>
          <w:szCs w:val="20"/>
          <w:lang w:val="en-US" w:eastAsia="es-ES"/>
        </w:rPr>
        <w:t>Access to the</w:t>
      </w:r>
      <w:r w:rsidR="00810746" w:rsidRPr="007B2402">
        <w:rPr>
          <w:rFonts w:cs="Times New Roman"/>
          <w:i/>
          <w:szCs w:val="20"/>
          <w:lang w:val="en-US" w:eastAsia="es-ES"/>
        </w:rPr>
        <w:t xml:space="preserve"> </w:t>
      </w:r>
      <w:r w:rsidRPr="007B2402">
        <w:rPr>
          <w:rFonts w:cs="Times New Roman"/>
          <w:i/>
          <w:szCs w:val="20"/>
          <w:lang w:val="en-US" w:eastAsia="es-ES"/>
        </w:rPr>
        <w:t>Legal Assistance Fund</w:t>
      </w:r>
      <w:r w:rsidR="00810746" w:rsidRPr="007B2402">
        <w:rPr>
          <w:rFonts w:cs="Times New Roman"/>
          <w:szCs w:val="20"/>
          <w:lang w:val="en-US" w:eastAsia="es-ES"/>
        </w:rPr>
        <w:t xml:space="preserve">. </w:t>
      </w:r>
      <w:r w:rsidRPr="007B2402">
        <w:rPr>
          <w:rFonts w:cs="Times New Roman"/>
          <w:szCs w:val="20"/>
          <w:lang w:val="en-US" w:eastAsia="es-ES"/>
        </w:rPr>
        <w:t xml:space="preserve">In an order of the acting </w:t>
      </w:r>
      <w:r w:rsidR="00AF4344" w:rsidRPr="007B2402">
        <w:rPr>
          <w:rFonts w:cs="Times New Roman"/>
          <w:szCs w:val="20"/>
          <w:lang w:val="en-US" w:eastAsia="es-ES"/>
        </w:rPr>
        <w:t>President of the Court</w:t>
      </w:r>
      <w:r w:rsidR="00810746" w:rsidRPr="007B2402">
        <w:rPr>
          <w:rFonts w:cs="Times New Roman"/>
          <w:szCs w:val="20"/>
          <w:lang w:val="en-US" w:eastAsia="es-ES"/>
        </w:rPr>
        <w:t xml:space="preserve"> </w:t>
      </w:r>
      <w:r w:rsidR="00F675D5" w:rsidRPr="007B2402">
        <w:rPr>
          <w:rFonts w:cs="Times New Roman"/>
          <w:szCs w:val="20"/>
          <w:lang w:val="en-US" w:eastAsia="es-ES"/>
        </w:rPr>
        <w:t>of</w:t>
      </w:r>
      <w:r w:rsidR="00810746" w:rsidRPr="007B2402">
        <w:rPr>
          <w:rFonts w:cs="Times New Roman"/>
          <w:szCs w:val="20"/>
          <w:lang w:val="en-US" w:eastAsia="es-ES"/>
        </w:rPr>
        <w:t xml:space="preserve"> </w:t>
      </w:r>
      <w:r w:rsidRPr="007B2402">
        <w:rPr>
          <w:rFonts w:cs="Times New Roman"/>
          <w:szCs w:val="20"/>
          <w:lang w:val="en-US" w:eastAsia="es-ES"/>
        </w:rPr>
        <w:t>February 23,</w:t>
      </w:r>
      <w:r w:rsidR="00810746" w:rsidRPr="007B2402">
        <w:rPr>
          <w:rFonts w:cs="Times New Roman"/>
          <w:szCs w:val="20"/>
          <w:lang w:val="en-US" w:eastAsia="es-ES"/>
        </w:rPr>
        <w:t xml:space="preserve"> 2017, </w:t>
      </w:r>
      <w:r w:rsidRPr="007B2402">
        <w:rPr>
          <w:rFonts w:cs="Times New Roman"/>
          <w:szCs w:val="20"/>
          <w:lang w:val="en-US" w:eastAsia="es-ES"/>
        </w:rPr>
        <w:t xml:space="preserve">the request </w:t>
      </w:r>
      <w:r w:rsidR="0029493C" w:rsidRPr="007B2402">
        <w:rPr>
          <w:rFonts w:cs="Times New Roman"/>
          <w:szCs w:val="20"/>
          <w:lang w:val="en-US" w:eastAsia="es-ES"/>
        </w:rPr>
        <w:t>submitted by</w:t>
      </w:r>
      <w:r w:rsidR="00810746" w:rsidRPr="007B2402">
        <w:rPr>
          <w:rFonts w:cs="Times New Roman"/>
          <w:szCs w:val="20"/>
          <w:lang w:val="en-US" w:eastAsia="es-ES"/>
        </w:rPr>
        <w:t xml:space="preserve"> </w:t>
      </w:r>
      <w:r w:rsidR="005B1590" w:rsidRPr="007B2402">
        <w:rPr>
          <w:rFonts w:cs="Times New Roman"/>
          <w:szCs w:val="20"/>
          <w:lang w:val="en-US" w:eastAsia="es-ES"/>
        </w:rPr>
        <w:t>the presumed victims</w:t>
      </w:r>
      <w:r w:rsidR="00810746" w:rsidRPr="007B2402">
        <w:rPr>
          <w:rFonts w:cs="Times New Roman"/>
          <w:szCs w:val="20"/>
          <w:lang w:val="en-US" w:eastAsia="es-ES"/>
        </w:rPr>
        <w:t xml:space="preserve">, </w:t>
      </w:r>
      <w:r w:rsidR="0029493C" w:rsidRPr="007B2402">
        <w:rPr>
          <w:rFonts w:cs="Times New Roman"/>
          <w:szCs w:val="20"/>
          <w:lang w:val="en-US" w:eastAsia="es-ES"/>
        </w:rPr>
        <w:t>through their</w:t>
      </w:r>
      <w:r w:rsidR="00810746" w:rsidRPr="007B2402">
        <w:rPr>
          <w:rFonts w:cs="Times New Roman"/>
          <w:szCs w:val="20"/>
          <w:lang w:val="en-US" w:eastAsia="es-ES"/>
        </w:rPr>
        <w:t xml:space="preserve"> representa</w:t>
      </w:r>
      <w:r w:rsidR="0029493C" w:rsidRPr="007B2402">
        <w:rPr>
          <w:rFonts w:cs="Times New Roman"/>
          <w:szCs w:val="20"/>
          <w:lang w:val="en-US" w:eastAsia="es-ES"/>
        </w:rPr>
        <w:t>tive</w:t>
      </w:r>
      <w:r w:rsidR="00810746" w:rsidRPr="007B2402">
        <w:rPr>
          <w:rFonts w:cs="Times New Roman"/>
          <w:szCs w:val="20"/>
          <w:lang w:val="en-US" w:eastAsia="es-ES"/>
        </w:rPr>
        <w:t xml:space="preserve">, </w:t>
      </w:r>
      <w:r w:rsidR="0029493C" w:rsidRPr="007B2402">
        <w:rPr>
          <w:rFonts w:cs="Times New Roman"/>
          <w:szCs w:val="20"/>
          <w:lang w:val="en-US" w:eastAsia="es-ES"/>
        </w:rPr>
        <w:t>to access the</w:t>
      </w:r>
      <w:r w:rsidR="00810746" w:rsidRPr="007B2402">
        <w:rPr>
          <w:rFonts w:cs="Times New Roman"/>
          <w:szCs w:val="20"/>
          <w:lang w:val="en-US" w:eastAsia="es-ES"/>
        </w:rPr>
        <w:t xml:space="preserve"> </w:t>
      </w:r>
      <w:r w:rsidR="00554584" w:rsidRPr="007B2402">
        <w:rPr>
          <w:rFonts w:cs="Times New Roman"/>
          <w:szCs w:val="20"/>
          <w:lang w:val="en-US" w:eastAsia="es-ES"/>
        </w:rPr>
        <w:t>Victim’s Legal Assistance Fund</w:t>
      </w:r>
      <w:r w:rsidR="0029493C" w:rsidRPr="007B2402">
        <w:rPr>
          <w:rFonts w:cs="Times New Roman"/>
          <w:szCs w:val="20"/>
          <w:lang w:val="en-US" w:eastAsia="es-ES"/>
        </w:rPr>
        <w:t xml:space="preserve"> of the Court was declared admissible.</w:t>
      </w:r>
      <w:r w:rsidR="00810746" w:rsidRPr="007B2402">
        <w:rPr>
          <w:rStyle w:val="Refdenotaalpie"/>
          <w:rFonts w:ascii="Verdana" w:hAnsi="Verdana"/>
          <w:lang w:val="en-US" w:eastAsia="es-ES"/>
        </w:rPr>
        <w:footnoteReference w:id="6"/>
      </w:r>
    </w:p>
    <w:p w14:paraId="6C98EF8C" w14:textId="77777777" w:rsidR="001D1455" w:rsidRPr="007B2402" w:rsidRDefault="001D1455" w:rsidP="001D1455">
      <w:pPr>
        <w:autoSpaceDE w:val="0"/>
        <w:autoSpaceDN w:val="0"/>
        <w:adjustRightInd w:val="0"/>
        <w:spacing w:after="0" w:line="240" w:lineRule="auto"/>
        <w:jc w:val="both"/>
        <w:rPr>
          <w:rFonts w:eastAsia="Batang" w:cs="Verdana"/>
          <w:noProof/>
          <w:szCs w:val="20"/>
          <w:lang w:val="en-US" w:eastAsia="es-ES"/>
        </w:rPr>
      </w:pPr>
    </w:p>
    <w:p w14:paraId="422AB7BC" w14:textId="4C979DDD" w:rsidR="001D1455" w:rsidRPr="007B2402" w:rsidRDefault="0029493C" w:rsidP="00DB1F30">
      <w:pPr>
        <w:numPr>
          <w:ilvl w:val="0"/>
          <w:numId w:val="6"/>
        </w:numPr>
        <w:autoSpaceDE w:val="0"/>
        <w:autoSpaceDN w:val="0"/>
        <w:adjustRightInd w:val="0"/>
        <w:spacing w:after="0" w:line="240" w:lineRule="auto"/>
        <w:ind w:right="6"/>
        <w:jc w:val="both"/>
        <w:rPr>
          <w:rFonts w:eastAsia="Batang" w:cs="Times New Roman"/>
          <w:noProof/>
          <w:szCs w:val="20"/>
          <w:lang w:val="en-US" w:eastAsia="es-ES"/>
        </w:rPr>
      </w:pPr>
      <w:r w:rsidRPr="007B2402">
        <w:rPr>
          <w:rFonts w:eastAsia="Batang" w:cs="Times New Roman"/>
          <w:i/>
          <w:noProof/>
          <w:szCs w:val="20"/>
          <w:lang w:val="en-US" w:eastAsia="es-ES"/>
        </w:rPr>
        <w:t>Public hearing</w:t>
      </w:r>
      <w:r w:rsidR="001D1455" w:rsidRPr="007B2402">
        <w:rPr>
          <w:rFonts w:eastAsia="Batang" w:cs="Times New Roman"/>
          <w:i/>
          <w:noProof/>
          <w:szCs w:val="20"/>
          <w:lang w:val="en-US" w:eastAsia="es-ES"/>
        </w:rPr>
        <w:t>.</w:t>
      </w:r>
      <w:r w:rsidR="001D1455" w:rsidRPr="007B2402">
        <w:rPr>
          <w:rFonts w:eastAsia="Batang" w:cs="Times New Roman"/>
          <w:noProof/>
          <w:szCs w:val="20"/>
          <w:lang w:val="en-US" w:eastAsia="es-ES"/>
        </w:rPr>
        <w:t xml:space="preserve"> </w:t>
      </w:r>
      <w:r w:rsidRPr="007B2402">
        <w:rPr>
          <w:rFonts w:eastAsia="Batang" w:cs="Times New Roman"/>
          <w:noProof/>
          <w:szCs w:val="20"/>
          <w:lang w:val="en-US" w:eastAsia="es-ES"/>
        </w:rPr>
        <w:t>On</w:t>
      </w:r>
      <w:r w:rsidR="00D61A28" w:rsidRPr="007B2402">
        <w:rPr>
          <w:rFonts w:eastAsia="Batang" w:cs="Times New Roman"/>
          <w:noProof/>
          <w:szCs w:val="20"/>
          <w:lang w:val="en-US" w:eastAsia="es-ES"/>
        </w:rPr>
        <w:t xml:space="preserve"> </w:t>
      </w:r>
      <w:r w:rsidRPr="007B2402">
        <w:rPr>
          <w:rFonts w:eastAsia="Batang" w:cs="Times New Roman"/>
          <w:noProof/>
          <w:szCs w:val="20"/>
          <w:lang w:val="en-US" w:eastAsia="es-ES"/>
        </w:rPr>
        <w:t>April 7,</w:t>
      </w:r>
      <w:r w:rsidR="001D1455" w:rsidRPr="007B2402">
        <w:rPr>
          <w:rFonts w:eastAsia="Batang" w:cs="Times New Roman"/>
          <w:noProof/>
          <w:szCs w:val="20"/>
          <w:lang w:val="en-US" w:eastAsia="es-ES"/>
        </w:rPr>
        <w:t xml:space="preserve"> 2017</w:t>
      </w:r>
      <w:r w:rsidRPr="007B2402">
        <w:rPr>
          <w:rFonts w:eastAsia="Batang" w:cs="Times New Roman"/>
          <w:noProof/>
          <w:szCs w:val="20"/>
          <w:lang w:val="en-US" w:eastAsia="es-ES"/>
        </w:rPr>
        <w:t>,</w:t>
      </w:r>
      <w:r w:rsidR="00D61A28" w:rsidRPr="007B2402">
        <w:rPr>
          <w:rFonts w:eastAsia="Batang" w:cs="Times New Roman"/>
          <w:noProof/>
          <w:szCs w:val="20"/>
          <w:lang w:val="en-US" w:eastAsia="es-ES"/>
        </w:rPr>
        <w:t xml:space="preserve"> </w:t>
      </w:r>
      <w:r w:rsidR="00AF4344" w:rsidRPr="007B2402">
        <w:rPr>
          <w:rFonts w:eastAsia="Batang" w:cs="Times New Roman"/>
          <w:noProof/>
          <w:szCs w:val="20"/>
          <w:lang w:val="en-US" w:eastAsia="es-ES"/>
        </w:rPr>
        <w:t xml:space="preserve">the </w:t>
      </w:r>
      <w:r w:rsidRPr="007B2402">
        <w:rPr>
          <w:rFonts w:eastAsia="Batang" w:cs="Times New Roman"/>
          <w:noProof/>
          <w:szCs w:val="20"/>
          <w:lang w:val="en-US" w:eastAsia="es-ES"/>
        </w:rPr>
        <w:t xml:space="preserve">acting </w:t>
      </w:r>
      <w:r w:rsidR="00AF4344" w:rsidRPr="007B2402">
        <w:rPr>
          <w:rFonts w:eastAsia="Batang" w:cs="Times New Roman"/>
          <w:noProof/>
          <w:szCs w:val="20"/>
          <w:lang w:val="en-US" w:eastAsia="es-ES"/>
        </w:rPr>
        <w:t>President</w:t>
      </w:r>
      <w:r w:rsidR="00D61A28" w:rsidRPr="007B2402">
        <w:rPr>
          <w:rFonts w:eastAsia="Batang" w:cs="Times New Roman"/>
          <w:noProof/>
          <w:szCs w:val="20"/>
          <w:lang w:val="en-US" w:eastAsia="es-ES"/>
        </w:rPr>
        <w:t xml:space="preserve"> </w:t>
      </w:r>
      <w:r w:rsidR="00AF4344" w:rsidRPr="007B2402">
        <w:rPr>
          <w:rFonts w:eastAsia="Batang" w:cs="Times New Roman"/>
          <w:noProof/>
          <w:szCs w:val="20"/>
          <w:lang w:val="en-US" w:eastAsia="es-ES"/>
        </w:rPr>
        <w:t>of the Court</w:t>
      </w:r>
      <w:r w:rsidR="00D61A28" w:rsidRPr="007B2402">
        <w:rPr>
          <w:rFonts w:eastAsia="Batang" w:cs="Times New Roman"/>
          <w:noProof/>
          <w:szCs w:val="20"/>
          <w:lang w:val="en-US" w:eastAsia="es-ES"/>
        </w:rPr>
        <w:t xml:space="preserve"> </w:t>
      </w:r>
      <w:r w:rsidRPr="007B2402">
        <w:rPr>
          <w:rFonts w:eastAsia="Batang" w:cs="Times New Roman"/>
          <w:noProof/>
          <w:szCs w:val="20"/>
          <w:lang w:val="en-US" w:eastAsia="es-ES"/>
        </w:rPr>
        <w:t>issued an order</w:t>
      </w:r>
      <w:r w:rsidR="001D1455" w:rsidRPr="007B2402">
        <w:rPr>
          <w:rFonts w:eastAsia="Batang" w:cs="Times New Roman"/>
          <w:noProof/>
          <w:szCs w:val="20"/>
          <w:vertAlign w:val="superscript"/>
          <w:lang w:val="en-US" w:eastAsia="es-ES"/>
        </w:rPr>
        <w:footnoteReference w:id="7"/>
      </w:r>
      <w:r w:rsidRPr="007B2402">
        <w:rPr>
          <w:rFonts w:eastAsia="Batang" w:cs="Times New Roman"/>
          <w:noProof/>
          <w:szCs w:val="20"/>
          <w:lang w:val="en-US" w:eastAsia="es-ES"/>
        </w:rPr>
        <w:t xml:space="preserve"> in which he</w:t>
      </w:r>
      <w:r w:rsidR="00D94A00" w:rsidRPr="007B2402">
        <w:rPr>
          <w:rFonts w:eastAsia="Batang" w:cs="Times New Roman"/>
          <w:noProof/>
          <w:szCs w:val="20"/>
          <w:lang w:val="en-US" w:eastAsia="es-ES"/>
        </w:rPr>
        <w:t xml:space="preserve"> called</w:t>
      </w:r>
      <w:r w:rsidRPr="007B2402">
        <w:rPr>
          <w:rFonts w:eastAsia="Batang" w:cs="Times New Roman"/>
          <w:noProof/>
          <w:szCs w:val="20"/>
          <w:lang w:val="en-US" w:eastAsia="es-ES"/>
        </w:rPr>
        <w:t xml:space="preserve"> the parties and the </w:t>
      </w:r>
      <w:r w:rsidR="00AF4344" w:rsidRPr="007B2402">
        <w:rPr>
          <w:rFonts w:eastAsia="Batang" w:cs="Times New Roman"/>
          <w:noProof/>
          <w:szCs w:val="20"/>
          <w:lang w:val="en-US" w:eastAsia="es-ES"/>
        </w:rPr>
        <w:t>Commission</w:t>
      </w:r>
      <w:r w:rsidR="001D1455" w:rsidRPr="007B2402">
        <w:rPr>
          <w:rFonts w:eastAsia="Batang" w:cs="Times New Roman"/>
          <w:noProof/>
          <w:szCs w:val="20"/>
          <w:lang w:val="en-US" w:eastAsia="es-ES"/>
        </w:rPr>
        <w:t xml:space="preserve"> </w:t>
      </w:r>
      <w:r w:rsidRPr="007B2402">
        <w:rPr>
          <w:rFonts w:eastAsia="Batang" w:cs="Times New Roman"/>
          <w:noProof/>
          <w:szCs w:val="20"/>
          <w:lang w:val="en-US" w:eastAsia="es-ES"/>
        </w:rPr>
        <w:t>to a</w:t>
      </w:r>
      <w:r w:rsidR="001D1455" w:rsidRPr="007B2402">
        <w:rPr>
          <w:rFonts w:eastAsia="Batang" w:cs="Times New Roman"/>
          <w:noProof/>
          <w:szCs w:val="20"/>
          <w:lang w:val="en-US" w:eastAsia="es-ES"/>
        </w:rPr>
        <w:t xml:space="preserve"> </w:t>
      </w:r>
      <w:r w:rsidRPr="007B2402">
        <w:rPr>
          <w:rFonts w:eastAsia="Batang" w:cs="Verdana"/>
          <w:noProof/>
          <w:szCs w:val="20"/>
          <w:lang w:val="en-US" w:eastAsia="es-ES"/>
        </w:rPr>
        <w:t>public hearing</w:t>
      </w:r>
      <w:r w:rsidR="001D1455" w:rsidRPr="007B2402">
        <w:rPr>
          <w:rFonts w:eastAsia="Batang" w:cs="Times New Roman"/>
          <w:noProof/>
          <w:szCs w:val="20"/>
          <w:lang w:val="en-US" w:eastAsia="es-ES"/>
        </w:rPr>
        <w:t xml:space="preserve"> </w:t>
      </w:r>
      <w:r w:rsidRPr="007B2402">
        <w:rPr>
          <w:rFonts w:eastAsia="Batang" w:cs="Times New Roman"/>
          <w:noProof/>
          <w:szCs w:val="20"/>
          <w:lang w:val="en-US" w:eastAsia="es-ES"/>
        </w:rPr>
        <w:t xml:space="preserve">on the </w:t>
      </w:r>
      <w:r w:rsidR="006E2CFF" w:rsidRPr="007B2402">
        <w:rPr>
          <w:rFonts w:eastAsia="Batang" w:cs="Times New Roman"/>
          <w:noProof/>
          <w:szCs w:val="20"/>
          <w:lang w:val="en-US" w:eastAsia="es-ES"/>
        </w:rPr>
        <w:t>preliminary objections</w:t>
      </w:r>
      <w:r w:rsidR="005B1590" w:rsidRPr="007B2402">
        <w:rPr>
          <w:rFonts w:eastAsia="Batang" w:cs="Times New Roman"/>
          <w:noProof/>
          <w:szCs w:val="20"/>
          <w:lang w:val="en-US" w:eastAsia="es-ES"/>
        </w:rPr>
        <w:t xml:space="preserve"> and </w:t>
      </w:r>
      <w:r w:rsidR="00D61A28" w:rsidRPr="007B2402">
        <w:rPr>
          <w:rFonts w:eastAsia="Batang" w:cs="Times New Roman"/>
          <w:noProof/>
          <w:szCs w:val="20"/>
          <w:lang w:val="en-US" w:eastAsia="es-ES"/>
        </w:rPr>
        <w:t>eventual</w:t>
      </w:r>
      <w:r w:rsidRPr="007B2402">
        <w:rPr>
          <w:rFonts w:eastAsia="Batang" w:cs="Times New Roman"/>
          <w:noProof/>
          <w:szCs w:val="20"/>
          <w:lang w:val="en-US" w:eastAsia="es-ES"/>
        </w:rPr>
        <w:t xml:space="preserve"> merits, reparations and costs, and to receive the final oral arguments and observations of the parties </w:t>
      </w:r>
      <w:r w:rsidR="005B1590" w:rsidRPr="007B2402">
        <w:rPr>
          <w:rFonts w:eastAsia="Batang" w:cs="Times New Roman"/>
          <w:noProof/>
          <w:szCs w:val="20"/>
          <w:lang w:val="en-US" w:eastAsia="es-ES"/>
        </w:rPr>
        <w:t xml:space="preserve">and of the </w:t>
      </w:r>
      <w:r w:rsidR="00AF4344" w:rsidRPr="007B2402">
        <w:rPr>
          <w:rFonts w:eastAsia="Batang" w:cs="Times New Roman"/>
          <w:noProof/>
          <w:szCs w:val="20"/>
          <w:lang w:val="en-US" w:eastAsia="es-ES"/>
        </w:rPr>
        <w:t>Commission</w:t>
      </w:r>
      <w:r w:rsidR="00D61A28" w:rsidRPr="007B2402">
        <w:rPr>
          <w:rFonts w:eastAsia="Batang" w:cs="Times New Roman"/>
          <w:noProof/>
          <w:szCs w:val="20"/>
          <w:lang w:val="en-US" w:eastAsia="es-ES"/>
        </w:rPr>
        <w:t>, respectiv</w:t>
      </w:r>
      <w:r w:rsidRPr="007B2402">
        <w:rPr>
          <w:rFonts w:eastAsia="Batang" w:cs="Times New Roman"/>
          <w:noProof/>
          <w:szCs w:val="20"/>
          <w:lang w:val="en-US" w:eastAsia="es-ES"/>
        </w:rPr>
        <w:t>ely</w:t>
      </w:r>
      <w:r w:rsidR="00D61A28" w:rsidRPr="007B2402">
        <w:rPr>
          <w:rFonts w:eastAsia="Batang" w:cs="Times New Roman"/>
          <w:noProof/>
          <w:szCs w:val="20"/>
          <w:lang w:val="en-US" w:eastAsia="es-ES"/>
        </w:rPr>
        <w:t xml:space="preserve">. </w:t>
      </w:r>
      <w:r w:rsidRPr="007B2402">
        <w:rPr>
          <w:rFonts w:eastAsia="Batang" w:cs="Times New Roman"/>
          <w:noProof/>
          <w:szCs w:val="20"/>
          <w:lang w:val="en-US" w:eastAsia="es-ES"/>
        </w:rPr>
        <w:t>In addition, he required that the statement</w:t>
      </w:r>
      <w:r w:rsidR="00F675D5" w:rsidRPr="007B2402">
        <w:rPr>
          <w:rFonts w:eastAsia="Batang" w:cs="Times New Roman"/>
          <w:noProof/>
          <w:szCs w:val="20"/>
          <w:lang w:val="en-US" w:eastAsia="es-ES"/>
        </w:rPr>
        <w:t>s</w:t>
      </w:r>
      <w:r w:rsidRPr="007B2402">
        <w:rPr>
          <w:rFonts w:eastAsia="Batang" w:cs="Times New Roman"/>
          <w:noProof/>
          <w:szCs w:val="20"/>
          <w:lang w:val="en-US" w:eastAsia="es-ES"/>
        </w:rPr>
        <w:t xml:space="preserve"> of one presumed victim, one witness, and two expert witnesses proposed by </w:t>
      </w:r>
      <w:r w:rsidR="005B1590" w:rsidRPr="007B2402">
        <w:rPr>
          <w:rFonts w:eastAsia="Batang" w:cs="Times New Roman"/>
          <w:noProof/>
          <w:szCs w:val="20"/>
          <w:lang w:val="en-US" w:eastAsia="es-ES"/>
        </w:rPr>
        <w:t xml:space="preserve">the representatives and </w:t>
      </w:r>
      <w:r w:rsidR="00AF4344" w:rsidRPr="007B2402">
        <w:rPr>
          <w:rFonts w:eastAsia="Batang" w:cs="Times New Roman"/>
          <w:noProof/>
          <w:szCs w:val="20"/>
          <w:lang w:val="en-US" w:eastAsia="es-ES"/>
        </w:rPr>
        <w:t>the State</w:t>
      </w:r>
      <w:r w:rsidR="00F675D5" w:rsidRPr="007B2402">
        <w:rPr>
          <w:rFonts w:eastAsia="Batang" w:cs="Times New Roman"/>
          <w:noProof/>
          <w:szCs w:val="20"/>
          <w:lang w:val="en-US" w:eastAsia="es-ES"/>
        </w:rPr>
        <w:t xml:space="preserve"> </w:t>
      </w:r>
      <w:r w:rsidRPr="007B2402">
        <w:rPr>
          <w:rFonts w:eastAsia="Batang" w:cs="Times New Roman"/>
          <w:noProof/>
          <w:szCs w:val="20"/>
          <w:lang w:val="en-US" w:eastAsia="es-ES"/>
        </w:rPr>
        <w:t>be received during the hearing</w:t>
      </w:r>
      <w:r w:rsidR="001D1455" w:rsidRPr="007B2402">
        <w:rPr>
          <w:rFonts w:eastAsia="Batang" w:cs="Times New Roman"/>
          <w:noProof/>
          <w:szCs w:val="20"/>
          <w:lang w:val="en-US" w:eastAsia="es-ES"/>
        </w:rPr>
        <w:t xml:space="preserve">. </w:t>
      </w:r>
      <w:r w:rsidRPr="007B2402">
        <w:rPr>
          <w:rFonts w:eastAsia="Batang" w:cs="Times New Roman"/>
          <w:noProof/>
          <w:szCs w:val="20"/>
          <w:lang w:val="en-US" w:eastAsia="es-ES"/>
        </w:rPr>
        <w:t xml:space="preserve">Also, in this order, he required affidavits from two presumed victims and eight expert witnesses proposed by the parties </w:t>
      </w:r>
      <w:r w:rsidR="005B1590" w:rsidRPr="007B2402">
        <w:rPr>
          <w:rFonts w:eastAsia="Batang" w:cs="Times New Roman"/>
          <w:noProof/>
          <w:szCs w:val="20"/>
          <w:lang w:val="en-US" w:eastAsia="es-ES"/>
        </w:rPr>
        <w:t xml:space="preserve">and </w:t>
      </w:r>
      <w:r w:rsidR="00AF4344" w:rsidRPr="007B2402">
        <w:rPr>
          <w:rFonts w:eastAsia="Batang" w:cs="Times New Roman"/>
          <w:noProof/>
          <w:szCs w:val="20"/>
          <w:lang w:val="en-US" w:eastAsia="es-ES"/>
        </w:rPr>
        <w:t>the Commission</w:t>
      </w:r>
      <w:r w:rsidR="001D1455" w:rsidRPr="007B2402">
        <w:rPr>
          <w:rFonts w:eastAsia="Batang" w:cs="Times New Roman"/>
          <w:noProof/>
          <w:szCs w:val="20"/>
          <w:lang w:val="en-US" w:eastAsia="es-ES"/>
        </w:rPr>
        <w:t xml:space="preserve">. </w:t>
      </w:r>
      <w:r w:rsidRPr="007B2402">
        <w:rPr>
          <w:rFonts w:eastAsia="Batang" w:cs="Times New Roman"/>
          <w:noProof/>
          <w:szCs w:val="20"/>
          <w:lang w:val="en-US" w:eastAsia="es-ES"/>
        </w:rPr>
        <w:t>The public hearing</w:t>
      </w:r>
      <w:r w:rsidR="001D1455" w:rsidRPr="007B2402">
        <w:rPr>
          <w:rFonts w:eastAsia="Batang" w:cs="Times New Roman"/>
          <w:noProof/>
          <w:szCs w:val="20"/>
          <w:lang w:val="en-US" w:eastAsia="es-ES"/>
        </w:rPr>
        <w:t xml:space="preserve"> </w:t>
      </w:r>
      <w:r w:rsidRPr="007B2402">
        <w:rPr>
          <w:rFonts w:eastAsia="Batang" w:cs="Times New Roman"/>
          <w:noProof/>
          <w:szCs w:val="20"/>
          <w:lang w:val="en-US" w:eastAsia="es-ES"/>
        </w:rPr>
        <w:t>was held on May</w:t>
      </w:r>
      <w:r w:rsidR="001D1455" w:rsidRPr="007B2402">
        <w:rPr>
          <w:rFonts w:eastAsia="Batang" w:cs="Times New Roman"/>
          <w:noProof/>
          <w:szCs w:val="20"/>
          <w:lang w:val="en-US" w:eastAsia="es-ES"/>
        </w:rPr>
        <w:t xml:space="preserve"> 2</w:t>
      </w:r>
      <w:r w:rsidR="00796876" w:rsidRPr="007B2402">
        <w:rPr>
          <w:rFonts w:eastAsia="Batang" w:cs="Times New Roman"/>
          <w:noProof/>
          <w:szCs w:val="20"/>
          <w:lang w:val="en-US" w:eastAsia="es-ES"/>
        </w:rPr>
        <w:t>4</w:t>
      </w:r>
      <w:r w:rsidRPr="007B2402">
        <w:rPr>
          <w:rFonts w:eastAsia="Batang" w:cs="Times New Roman"/>
          <w:noProof/>
          <w:szCs w:val="20"/>
          <w:lang w:val="en-US" w:eastAsia="es-ES"/>
        </w:rPr>
        <w:t xml:space="preserve">, </w:t>
      </w:r>
      <w:r w:rsidR="001D1455" w:rsidRPr="007B2402">
        <w:rPr>
          <w:rFonts w:eastAsia="Batang" w:cs="Times New Roman"/>
          <w:noProof/>
          <w:szCs w:val="20"/>
          <w:lang w:val="en-US" w:eastAsia="es-ES"/>
        </w:rPr>
        <w:t>2017</w:t>
      </w:r>
      <w:r w:rsidR="00810746" w:rsidRPr="007B2402">
        <w:rPr>
          <w:rFonts w:eastAsia="Batang" w:cs="Times New Roman"/>
          <w:noProof/>
          <w:szCs w:val="20"/>
          <w:lang w:val="en-US" w:eastAsia="es-ES"/>
        </w:rPr>
        <w:t>,</w:t>
      </w:r>
      <w:r w:rsidR="001D1455" w:rsidRPr="007B2402">
        <w:rPr>
          <w:rFonts w:eastAsia="Batang" w:cs="Times New Roman"/>
          <w:noProof/>
          <w:szCs w:val="20"/>
          <w:lang w:val="en-US" w:eastAsia="es-ES"/>
        </w:rPr>
        <w:t xml:space="preserve"> dur</w:t>
      </w:r>
      <w:r w:rsidRPr="007B2402">
        <w:rPr>
          <w:rFonts w:eastAsia="Batang" w:cs="Times New Roman"/>
          <w:noProof/>
          <w:szCs w:val="20"/>
          <w:lang w:val="en-US" w:eastAsia="es-ES"/>
        </w:rPr>
        <w:t>ing the 118</w:t>
      </w:r>
      <w:r w:rsidRPr="007B2402">
        <w:rPr>
          <w:rFonts w:eastAsia="Batang" w:cs="Times New Roman"/>
          <w:noProof/>
          <w:szCs w:val="20"/>
          <w:vertAlign w:val="superscript"/>
          <w:lang w:val="en-US" w:eastAsia="es-ES"/>
        </w:rPr>
        <w:t>th</w:t>
      </w:r>
      <w:r w:rsidRPr="007B2402">
        <w:rPr>
          <w:rFonts w:eastAsia="Batang" w:cs="Times New Roman"/>
          <w:noProof/>
          <w:szCs w:val="20"/>
          <w:lang w:val="en-US" w:eastAsia="es-ES"/>
        </w:rPr>
        <w:t xml:space="preserve"> regular session of Court that took place in </w:t>
      </w:r>
      <w:r w:rsidR="00796876" w:rsidRPr="007B2402">
        <w:rPr>
          <w:rFonts w:eastAsia="Batang" w:cs="Times New Roman"/>
          <w:noProof/>
          <w:szCs w:val="20"/>
          <w:lang w:val="en-US" w:eastAsia="es-ES"/>
        </w:rPr>
        <w:t>San José, Costa Rica</w:t>
      </w:r>
      <w:r w:rsidRPr="007B2402">
        <w:rPr>
          <w:rFonts w:eastAsia="Batang" w:cs="Times New Roman"/>
          <w:noProof/>
          <w:szCs w:val="20"/>
          <w:lang w:val="en-US" w:eastAsia="es-ES"/>
        </w:rPr>
        <w:t>.</w:t>
      </w:r>
      <w:r w:rsidR="001D1455" w:rsidRPr="007B2402">
        <w:rPr>
          <w:rFonts w:eastAsia="Batang" w:cs="Times New Roman"/>
          <w:noProof/>
          <w:szCs w:val="20"/>
          <w:vertAlign w:val="superscript"/>
          <w:lang w:val="en-US" w:eastAsia="es-ES"/>
        </w:rPr>
        <w:footnoteReference w:id="8"/>
      </w:r>
      <w:r w:rsidR="001D1455" w:rsidRPr="007B2402">
        <w:rPr>
          <w:rFonts w:eastAsia="Batang" w:cs="Times New Roman"/>
          <w:noProof/>
          <w:szCs w:val="20"/>
          <w:lang w:val="en-US" w:eastAsia="es-ES"/>
        </w:rPr>
        <w:t xml:space="preserve"> </w:t>
      </w:r>
    </w:p>
    <w:p w14:paraId="7BD77418" w14:textId="77777777" w:rsidR="001D1455" w:rsidRPr="007B2402" w:rsidRDefault="001D1455" w:rsidP="001D1455">
      <w:pPr>
        <w:spacing w:after="0" w:line="240" w:lineRule="auto"/>
        <w:jc w:val="both"/>
        <w:rPr>
          <w:rFonts w:eastAsia="Batang" w:cs="Times New Roman"/>
          <w:noProof/>
          <w:szCs w:val="20"/>
          <w:lang w:val="en-US" w:eastAsia="es-ES"/>
        </w:rPr>
      </w:pPr>
    </w:p>
    <w:p w14:paraId="138DC3E4" w14:textId="143711A4" w:rsidR="001D1455" w:rsidRPr="007B2402" w:rsidRDefault="001D1455" w:rsidP="00CA49F9">
      <w:pPr>
        <w:numPr>
          <w:ilvl w:val="0"/>
          <w:numId w:val="6"/>
        </w:numPr>
        <w:autoSpaceDE w:val="0"/>
        <w:autoSpaceDN w:val="0"/>
        <w:adjustRightInd w:val="0"/>
        <w:spacing w:after="0" w:line="240" w:lineRule="auto"/>
        <w:ind w:right="6"/>
        <w:jc w:val="both"/>
        <w:rPr>
          <w:rFonts w:eastAsia="Batang" w:cs="Times New Roman"/>
          <w:noProof/>
          <w:szCs w:val="20"/>
          <w:lang w:val="en-US"/>
        </w:rPr>
      </w:pPr>
      <w:r w:rsidRPr="007B2402">
        <w:rPr>
          <w:rFonts w:eastAsia="Batang" w:cs="Times New Roman"/>
          <w:i/>
          <w:noProof/>
          <w:szCs w:val="20"/>
          <w:lang w:val="en-US"/>
        </w:rPr>
        <w:lastRenderedPageBreak/>
        <w:t>Amici curiae.</w:t>
      </w:r>
      <w:r w:rsidRPr="007B2402">
        <w:rPr>
          <w:rFonts w:eastAsia="Batang" w:cs="Arial"/>
          <w:i/>
          <w:noProof/>
          <w:szCs w:val="20"/>
          <w:lang w:val="en-US"/>
        </w:rPr>
        <w:t xml:space="preserve"> </w:t>
      </w:r>
      <w:r w:rsidR="0029493C" w:rsidRPr="007B2402">
        <w:rPr>
          <w:rFonts w:eastAsia="Batang" w:cs="Arial"/>
          <w:noProof/>
          <w:szCs w:val="20"/>
          <w:lang w:val="en-US"/>
        </w:rPr>
        <w:t xml:space="preserve">The Court received five </w:t>
      </w:r>
      <w:r w:rsidRPr="007B2402">
        <w:rPr>
          <w:rFonts w:eastAsia="Batang" w:cs="Times New Roman"/>
          <w:i/>
          <w:noProof/>
          <w:szCs w:val="20"/>
          <w:lang w:val="en-US"/>
        </w:rPr>
        <w:t>amici curiae</w:t>
      </w:r>
      <w:r w:rsidRPr="007B2402">
        <w:rPr>
          <w:rFonts w:eastAsia="Batang" w:cs="Times New Roman"/>
          <w:noProof/>
          <w:szCs w:val="20"/>
          <w:lang w:val="en-US"/>
        </w:rPr>
        <w:t xml:space="preserve"> </w:t>
      </w:r>
      <w:r w:rsidR="0029493C" w:rsidRPr="007B2402">
        <w:rPr>
          <w:rFonts w:eastAsia="Batang" w:cs="Times New Roman"/>
          <w:noProof/>
          <w:szCs w:val="20"/>
          <w:lang w:val="en-US"/>
        </w:rPr>
        <w:t>briefs presented</w:t>
      </w:r>
      <w:r w:rsidRPr="007B2402">
        <w:rPr>
          <w:rFonts w:eastAsia="Batang" w:cs="Times New Roman"/>
          <w:noProof/>
          <w:szCs w:val="20"/>
          <w:lang w:val="en-US"/>
        </w:rPr>
        <w:t xml:space="preserve">: </w:t>
      </w:r>
      <w:r w:rsidR="0029493C" w:rsidRPr="007B2402">
        <w:rPr>
          <w:rFonts w:eastAsia="Batang" w:cs="Times New Roman"/>
          <w:noProof/>
          <w:szCs w:val="20"/>
          <w:lang w:val="en-US"/>
        </w:rPr>
        <w:t>(</w:t>
      </w:r>
      <w:r w:rsidRPr="007B2402">
        <w:rPr>
          <w:rFonts w:eastAsia="Batang" w:cs="Times New Roman"/>
          <w:noProof/>
          <w:szCs w:val="20"/>
          <w:lang w:val="en-US"/>
        </w:rPr>
        <w:t>1)</w:t>
      </w:r>
      <w:r w:rsidR="00085806" w:rsidRPr="007B2402">
        <w:rPr>
          <w:rFonts w:eastAsia="Batang" w:cs="Times New Roman"/>
          <w:noProof/>
          <w:szCs w:val="20"/>
          <w:lang w:val="en-US"/>
        </w:rPr>
        <w:t xml:space="preserve"> </w:t>
      </w:r>
      <w:r w:rsidR="0099079D" w:rsidRPr="007B2402">
        <w:rPr>
          <w:rFonts w:eastAsia="Batang" w:cs="Times New Roman"/>
          <w:noProof/>
          <w:szCs w:val="20"/>
          <w:lang w:val="en-US"/>
        </w:rPr>
        <w:t>by t</w:t>
      </w:r>
      <w:r w:rsidR="0029493C" w:rsidRPr="007B2402">
        <w:rPr>
          <w:rFonts w:eastAsia="Batang" w:cs="Times New Roman"/>
          <w:noProof/>
          <w:szCs w:val="20"/>
          <w:lang w:val="en-US"/>
        </w:rPr>
        <w:t>he Research Group on</w:t>
      </w:r>
      <w:r w:rsidR="00F675D5" w:rsidRPr="007B2402">
        <w:rPr>
          <w:rFonts w:eastAsia="Batang" w:cs="Times New Roman"/>
          <w:noProof/>
          <w:szCs w:val="20"/>
          <w:lang w:val="en-US"/>
        </w:rPr>
        <w:t xml:space="preserve"> Transition</w:t>
      </w:r>
      <w:r w:rsidR="0099079D" w:rsidRPr="007B2402">
        <w:rPr>
          <w:rFonts w:eastAsia="Batang" w:cs="Times New Roman"/>
          <w:noProof/>
          <w:szCs w:val="20"/>
          <w:lang w:val="en-US"/>
        </w:rPr>
        <w:t>al</w:t>
      </w:r>
      <w:r w:rsidR="00F675D5" w:rsidRPr="007B2402">
        <w:rPr>
          <w:rFonts w:eastAsia="Batang" w:cs="Times New Roman"/>
          <w:noProof/>
          <w:szCs w:val="20"/>
          <w:lang w:val="en-US"/>
        </w:rPr>
        <w:t xml:space="preserve"> Justice and</w:t>
      </w:r>
      <w:r w:rsidR="0029493C" w:rsidRPr="007B2402">
        <w:rPr>
          <w:rFonts w:eastAsia="Batang" w:cs="Times New Roman"/>
          <w:noProof/>
          <w:szCs w:val="20"/>
          <w:lang w:val="en-US"/>
        </w:rPr>
        <w:t xml:space="preserve"> the Right to Truth and to Remembranc</w:t>
      </w:r>
      <w:r w:rsidR="00F675D5" w:rsidRPr="007B2402">
        <w:rPr>
          <w:rFonts w:eastAsia="Batang" w:cs="Times New Roman"/>
          <w:noProof/>
          <w:szCs w:val="20"/>
          <w:lang w:val="en-US"/>
        </w:rPr>
        <w:t xml:space="preserve">e </w:t>
      </w:r>
      <w:r w:rsidR="0029493C" w:rsidRPr="007B2402">
        <w:rPr>
          <w:rFonts w:eastAsia="Batang" w:cs="Times New Roman"/>
          <w:noProof/>
          <w:szCs w:val="20"/>
          <w:lang w:val="en-US"/>
        </w:rPr>
        <w:t>at the</w:t>
      </w:r>
      <w:r w:rsidR="00085806" w:rsidRPr="007B2402">
        <w:rPr>
          <w:rFonts w:eastAsia="Batang" w:cs="Times New Roman"/>
          <w:noProof/>
          <w:szCs w:val="20"/>
          <w:lang w:val="en-US"/>
        </w:rPr>
        <w:t xml:space="preserve"> </w:t>
      </w:r>
      <w:r w:rsidR="0050490C" w:rsidRPr="007B2402">
        <w:rPr>
          <w:rFonts w:eastAsia="Batang" w:cs="Times New Roman"/>
          <w:noProof/>
          <w:szCs w:val="20"/>
          <w:lang w:val="en-US"/>
        </w:rPr>
        <w:t xml:space="preserve">Pontificia </w:t>
      </w:r>
      <w:r w:rsidR="00085806" w:rsidRPr="007B2402">
        <w:rPr>
          <w:rFonts w:eastAsia="Batang" w:cs="Times New Roman"/>
          <w:noProof/>
          <w:szCs w:val="20"/>
          <w:lang w:val="en-US"/>
        </w:rPr>
        <w:t>Universidad</w:t>
      </w:r>
      <w:r w:rsidR="0099079D" w:rsidRPr="007B2402">
        <w:rPr>
          <w:rFonts w:eastAsia="Batang" w:cs="Times New Roman"/>
          <w:noProof/>
          <w:szCs w:val="20"/>
          <w:lang w:val="en-US"/>
        </w:rPr>
        <w:t>e</w:t>
      </w:r>
      <w:r w:rsidR="00085806" w:rsidRPr="007B2402">
        <w:rPr>
          <w:rFonts w:eastAsia="Batang" w:cs="Times New Roman"/>
          <w:noProof/>
          <w:szCs w:val="20"/>
          <w:lang w:val="en-US"/>
        </w:rPr>
        <w:t xml:space="preserve"> Católica d</w:t>
      </w:r>
      <w:r w:rsidR="0099079D" w:rsidRPr="007B2402">
        <w:rPr>
          <w:rFonts w:eastAsia="Batang" w:cs="Times New Roman"/>
          <w:noProof/>
          <w:szCs w:val="20"/>
          <w:lang w:val="en-US"/>
        </w:rPr>
        <w:t>o</w:t>
      </w:r>
      <w:r w:rsidR="00085806" w:rsidRPr="007B2402">
        <w:rPr>
          <w:rFonts w:eastAsia="Batang" w:cs="Times New Roman"/>
          <w:noProof/>
          <w:szCs w:val="20"/>
          <w:lang w:val="en-US"/>
        </w:rPr>
        <w:t xml:space="preserve"> Río Grande d</w:t>
      </w:r>
      <w:r w:rsidR="0099079D" w:rsidRPr="007B2402">
        <w:rPr>
          <w:rFonts w:eastAsia="Batang" w:cs="Times New Roman"/>
          <w:noProof/>
          <w:szCs w:val="20"/>
          <w:lang w:val="en-US"/>
        </w:rPr>
        <w:t>o</w:t>
      </w:r>
      <w:r w:rsidR="00085806" w:rsidRPr="007B2402">
        <w:rPr>
          <w:rFonts w:eastAsia="Batang" w:cs="Times New Roman"/>
          <w:noProof/>
          <w:szCs w:val="20"/>
          <w:lang w:val="en-US"/>
        </w:rPr>
        <w:t xml:space="preserve"> Sur (PUC</w:t>
      </w:r>
      <w:r w:rsidR="00785101" w:rsidRPr="007B2402">
        <w:rPr>
          <w:rFonts w:eastAsia="Batang" w:cs="Times New Roman"/>
          <w:noProof/>
          <w:szCs w:val="20"/>
          <w:lang w:val="en-US"/>
        </w:rPr>
        <w:t>-</w:t>
      </w:r>
      <w:r w:rsidR="00085806" w:rsidRPr="007B2402">
        <w:rPr>
          <w:rFonts w:eastAsia="Batang" w:cs="Times New Roman"/>
          <w:noProof/>
          <w:szCs w:val="20"/>
          <w:lang w:val="en-US"/>
        </w:rPr>
        <w:t>RS)</w:t>
      </w:r>
      <w:r w:rsidR="0029493C" w:rsidRPr="007B2402">
        <w:rPr>
          <w:rFonts w:eastAsia="Batang" w:cs="Times New Roman"/>
          <w:noProof/>
          <w:szCs w:val="20"/>
          <w:lang w:val="en-US"/>
        </w:rPr>
        <w:t>,</w:t>
      </w:r>
      <w:r w:rsidR="006D65A9" w:rsidRPr="007B2402">
        <w:rPr>
          <w:rStyle w:val="Refdenotaalpie"/>
          <w:rFonts w:ascii="Verdana" w:eastAsia="Batang" w:hAnsi="Verdana"/>
          <w:noProof/>
          <w:lang w:val="en-US"/>
        </w:rPr>
        <w:footnoteReference w:id="9"/>
      </w:r>
      <w:r w:rsidR="0029493C" w:rsidRPr="007B2402">
        <w:rPr>
          <w:rFonts w:eastAsia="Batang" w:cs="Times New Roman"/>
          <w:noProof/>
          <w:szCs w:val="20"/>
          <w:lang w:val="en-US"/>
        </w:rPr>
        <w:t xml:space="preserve"> on the right to </w:t>
      </w:r>
      <w:r w:rsidR="00B95053" w:rsidRPr="007B2402">
        <w:rPr>
          <w:rFonts w:eastAsia="Batang" w:cs="Times New Roman"/>
          <w:noProof/>
          <w:szCs w:val="20"/>
          <w:lang w:val="en-US"/>
        </w:rPr>
        <w:t xml:space="preserve">the </w:t>
      </w:r>
      <w:r w:rsidR="0029493C" w:rsidRPr="007B2402">
        <w:rPr>
          <w:rFonts w:eastAsia="Batang" w:cs="Times New Roman"/>
          <w:noProof/>
          <w:szCs w:val="20"/>
          <w:lang w:val="en-US"/>
        </w:rPr>
        <w:t xml:space="preserve">truth and on the </w:t>
      </w:r>
      <w:r w:rsidR="00F675D5" w:rsidRPr="007B2402">
        <w:rPr>
          <w:rFonts w:eastAsia="Batang" w:cs="Times New Roman"/>
          <w:noProof/>
          <w:szCs w:val="20"/>
          <w:lang w:val="en-US"/>
        </w:rPr>
        <w:t>setbacks</w:t>
      </w:r>
      <w:r w:rsidR="0029493C" w:rsidRPr="007B2402">
        <w:rPr>
          <w:rFonts w:eastAsia="Batang" w:cs="Times New Roman"/>
          <w:noProof/>
          <w:szCs w:val="20"/>
          <w:lang w:val="en-US"/>
        </w:rPr>
        <w:t xml:space="preserve"> in the process of transition</w:t>
      </w:r>
      <w:r w:rsidR="0099079D" w:rsidRPr="007B2402">
        <w:rPr>
          <w:rFonts w:eastAsia="Batang" w:cs="Times New Roman"/>
          <w:noProof/>
          <w:szCs w:val="20"/>
          <w:lang w:val="en-US"/>
        </w:rPr>
        <w:t>al</w:t>
      </w:r>
      <w:r w:rsidR="0029493C" w:rsidRPr="007B2402">
        <w:rPr>
          <w:rFonts w:eastAsia="Batang" w:cs="Times New Roman"/>
          <w:noProof/>
          <w:szCs w:val="20"/>
          <w:lang w:val="en-US"/>
        </w:rPr>
        <w:t xml:space="preserve"> justice in </w:t>
      </w:r>
      <w:r w:rsidR="00AF4344" w:rsidRPr="007B2402">
        <w:rPr>
          <w:rFonts w:eastAsia="Batang" w:cs="Times New Roman"/>
          <w:noProof/>
          <w:szCs w:val="20"/>
          <w:lang w:val="en-US"/>
        </w:rPr>
        <w:t>Brazil</w:t>
      </w:r>
      <w:r w:rsidR="00AE3CE4" w:rsidRPr="007B2402">
        <w:rPr>
          <w:rFonts w:eastAsia="Batang" w:cs="Times New Roman"/>
          <w:noProof/>
          <w:szCs w:val="20"/>
          <w:lang w:val="en-US"/>
        </w:rPr>
        <w:t>;</w:t>
      </w:r>
      <w:r w:rsidR="002A44B3" w:rsidRPr="007B2402">
        <w:rPr>
          <w:rFonts w:eastAsia="Batang" w:cs="Times New Roman"/>
          <w:noProof/>
          <w:szCs w:val="20"/>
          <w:lang w:val="en-US"/>
        </w:rPr>
        <w:t xml:space="preserve"> </w:t>
      </w:r>
      <w:r w:rsidR="0029493C" w:rsidRPr="007B2402">
        <w:rPr>
          <w:rFonts w:eastAsia="Batang" w:cs="Times New Roman"/>
          <w:noProof/>
          <w:szCs w:val="20"/>
          <w:lang w:val="en-US"/>
        </w:rPr>
        <w:t>(</w:t>
      </w:r>
      <w:r w:rsidR="00085806" w:rsidRPr="007B2402">
        <w:rPr>
          <w:rFonts w:eastAsia="Batang" w:cs="Times New Roman"/>
          <w:noProof/>
          <w:szCs w:val="20"/>
          <w:lang w:val="en-US"/>
        </w:rPr>
        <w:t>2)</w:t>
      </w:r>
      <w:r w:rsidR="00AE3CE4" w:rsidRPr="007B2402">
        <w:rPr>
          <w:rFonts w:eastAsia="Batang" w:cs="Times New Roman"/>
          <w:noProof/>
          <w:szCs w:val="20"/>
          <w:lang w:val="en-US"/>
        </w:rPr>
        <w:t xml:space="preserve"> </w:t>
      </w:r>
      <w:r w:rsidR="0029493C" w:rsidRPr="007B2402">
        <w:rPr>
          <w:rFonts w:eastAsia="Batang" w:cs="Times New Roman"/>
          <w:noProof/>
          <w:szCs w:val="20"/>
          <w:lang w:val="en-US"/>
        </w:rPr>
        <w:t>jointly</w:t>
      </w:r>
      <w:r w:rsidR="0099079D" w:rsidRPr="007B2402">
        <w:rPr>
          <w:rFonts w:eastAsia="Batang" w:cs="Times New Roman"/>
          <w:noProof/>
          <w:szCs w:val="20"/>
          <w:lang w:val="en-US"/>
        </w:rPr>
        <w:t>,</w:t>
      </w:r>
      <w:r w:rsidR="0029493C" w:rsidRPr="007B2402">
        <w:rPr>
          <w:rFonts w:eastAsia="Batang" w:cs="Times New Roman"/>
          <w:noProof/>
          <w:szCs w:val="20"/>
          <w:lang w:val="en-US"/>
        </w:rPr>
        <w:t xml:space="preserve"> by the Human Rights and Environmental Law Clinic of the </w:t>
      </w:r>
      <w:r w:rsidRPr="007B2402">
        <w:rPr>
          <w:rFonts w:eastAsia="Batang" w:cs="Times New Roman"/>
          <w:noProof/>
          <w:szCs w:val="20"/>
          <w:lang w:val="en-US"/>
        </w:rPr>
        <w:t>Universidad</w:t>
      </w:r>
      <w:r w:rsidR="0099079D" w:rsidRPr="007B2402">
        <w:rPr>
          <w:rFonts w:eastAsia="Batang" w:cs="Times New Roman"/>
          <w:noProof/>
          <w:szCs w:val="20"/>
          <w:lang w:val="en-US"/>
        </w:rPr>
        <w:t>e</w:t>
      </w:r>
      <w:r w:rsidR="006E2CFF" w:rsidRPr="007B2402">
        <w:rPr>
          <w:rFonts w:eastAsia="Batang" w:cs="Times New Roman"/>
          <w:noProof/>
          <w:szCs w:val="20"/>
          <w:lang w:val="en-US"/>
        </w:rPr>
        <w:t xml:space="preserve"> </w:t>
      </w:r>
      <w:r w:rsidR="0029493C" w:rsidRPr="007B2402">
        <w:rPr>
          <w:rFonts w:eastAsia="Batang" w:cs="Times New Roman"/>
          <w:noProof/>
          <w:szCs w:val="20"/>
          <w:lang w:val="en-US"/>
        </w:rPr>
        <w:t>do Estado d</w:t>
      </w:r>
      <w:r w:rsidR="0099079D" w:rsidRPr="007B2402">
        <w:rPr>
          <w:rFonts w:eastAsia="Batang" w:cs="Times New Roman"/>
          <w:noProof/>
          <w:szCs w:val="20"/>
          <w:lang w:val="en-US"/>
        </w:rPr>
        <w:t>o</w:t>
      </w:r>
      <w:r w:rsidRPr="007B2402">
        <w:rPr>
          <w:rFonts w:eastAsia="Batang" w:cs="Times New Roman"/>
          <w:noProof/>
          <w:szCs w:val="20"/>
          <w:lang w:val="en-US"/>
        </w:rPr>
        <w:t xml:space="preserve"> Amazonas</w:t>
      </w:r>
      <w:r w:rsidR="005B1590" w:rsidRPr="007B2402">
        <w:rPr>
          <w:rFonts w:eastAsia="Batang" w:cs="Times New Roman"/>
          <w:noProof/>
          <w:szCs w:val="20"/>
          <w:lang w:val="en-US"/>
        </w:rPr>
        <w:t xml:space="preserve"> and </w:t>
      </w:r>
      <w:r w:rsidR="0029493C" w:rsidRPr="007B2402">
        <w:rPr>
          <w:rFonts w:eastAsia="Batang" w:cs="Times New Roman"/>
          <w:noProof/>
          <w:szCs w:val="20"/>
          <w:lang w:val="en-US"/>
        </w:rPr>
        <w:t>the Research Group on Human Rights in Amazonia,</w:t>
      </w:r>
      <w:r w:rsidRPr="007B2402">
        <w:rPr>
          <w:rFonts w:eastAsia="Batang" w:cs="Times New Roman"/>
          <w:noProof/>
          <w:szCs w:val="20"/>
          <w:vertAlign w:val="superscript"/>
          <w:lang w:val="en-US"/>
        </w:rPr>
        <w:footnoteReference w:id="10"/>
      </w:r>
      <w:r w:rsidR="0029493C" w:rsidRPr="007B2402">
        <w:rPr>
          <w:rFonts w:eastAsia="Batang" w:cs="Times New Roman"/>
          <w:noProof/>
          <w:szCs w:val="20"/>
          <w:lang w:val="en-US"/>
        </w:rPr>
        <w:t xml:space="preserve"> on the</w:t>
      </w:r>
      <w:r w:rsidR="0099079D" w:rsidRPr="007B2402">
        <w:rPr>
          <w:rFonts w:eastAsia="Batang" w:cs="Times New Roman"/>
          <w:noProof/>
          <w:szCs w:val="20"/>
          <w:lang w:val="en-US"/>
        </w:rPr>
        <w:t xml:space="preserve"> </w:t>
      </w:r>
      <w:r w:rsidR="00B95053" w:rsidRPr="007B2402">
        <w:rPr>
          <w:rFonts w:eastAsia="Batang" w:cs="Times New Roman"/>
          <w:noProof/>
          <w:szCs w:val="20"/>
          <w:lang w:val="en-US"/>
        </w:rPr>
        <w:t>non-compliance with</w:t>
      </w:r>
      <w:r w:rsidR="00CA49F9" w:rsidRPr="007B2402">
        <w:rPr>
          <w:rFonts w:eastAsia="Batang" w:cs="Times New Roman"/>
          <w:noProof/>
          <w:szCs w:val="20"/>
          <w:lang w:val="en-US"/>
        </w:rPr>
        <w:t xml:space="preserve"> the Convention </w:t>
      </w:r>
      <w:r w:rsidR="00B95053" w:rsidRPr="007B2402">
        <w:rPr>
          <w:rFonts w:eastAsia="Batang" w:cs="Times New Roman"/>
          <w:noProof/>
          <w:szCs w:val="20"/>
          <w:lang w:val="en-US"/>
        </w:rPr>
        <w:t>of</w:t>
      </w:r>
      <w:r w:rsidR="00CA49F9" w:rsidRPr="007B2402">
        <w:rPr>
          <w:rFonts w:eastAsia="Batang" w:cs="Times New Roman"/>
          <w:noProof/>
          <w:szCs w:val="20"/>
          <w:lang w:val="en-US"/>
        </w:rPr>
        <w:t xml:space="preserve"> the amnesty laws promulgated during the transition periods following the Latin American dictatorships</w:t>
      </w:r>
      <w:r w:rsidR="0099079D" w:rsidRPr="007B2402">
        <w:rPr>
          <w:rFonts w:eastAsia="Batang" w:cs="Times New Roman"/>
          <w:noProof/>
          <w:szCs w:val="20"/>
          <w:lang w:val="en-US"/>
        </w:rPr>
        <w:t>, which prevented</w:t>
      </w:r>
      <w:r w:rsidR="00CA49F9" w:rsidRPr="007B2402">
        <w:rPr>
          <w:rFonts w:eastAsia="Batang" w:cs="Times New Roman"/>
          <w:noProof/>
          <w:szCs w:val="20"/>
          <w:lang w:val="en-US"/>
        </w:rPr>
        <w:t xml:space="preserve"> obtain</w:t>
      </w:r>
      <w:r w:rsidR="0099079D" w:rsidRPr="007B2402">
        <w:rPr>
          <w:rFonts w:eastAsia="Batang" w:cs="Times New Roman"/>
          <w:noProof/>
          <w:szCs w:val="20"/>
          <w:lang w:val="en-US"/>
        </w:rPr>
        <w:t>ing</w:t>
      </w:r>
      <w:r w:rsidR="00CA49F9" w:rsidRPr="007B2402">
        <w:rPr>
          <w:rFonts w:eastAsia="Batang" w:cs="Times New Roman"/>
          <w:noProof/>
          <w:szCs w:val="20"/>
          <w:lang w:val="en-US"/>
        </w:rPr>
        <w:t xml:space="preserve"> the truth and justice in cases of gross and systematic human rights violations; (3) the Center for Studies on International Human Rights Systems</w:t>
      </w:r>
      <w:r w:rsidR="00DE4DAA" w:rsidRPr="007B2402">
        <w:rPr>
          <w:rFonts w:eastAsia="Batang" w:cs="Times New Roman"/>
          <w:noProof/>
          <w:szCs w:val="20"/>
          <w:lang w:val="en-US"/>
        </w:rPr>
        <w:t xml:space="preserve"> </w:t>
      </w:r>
      <w:r w:rsidR="00CA49F9" w:rsidRPr="007B2402">
        <w:rPr>
          <w:rFonts w:eastAsia="Batang" w:cs="Times New Roman"/>
          <w:noProof/>
          <w:szCs w:val="20"/>
          <w:lang w:val="en-US"/>
        </w:rPr>
        <w:t>at the</w:t>
      </w:r>
      <w:r w:rsidR="00DE4DAA" w:rsidRPr="007B2402">
        <w:rPr>
          <w:rFonts w:eastAsia="Batang" w:cs="Times New Roman"/>
          <w:noProof/>
          <w:szCs w:val="20"/>
          <w:lang w:val="en-US"/>
        </w:rPr>
        <w:t xml:space="preserve"> Universidad</w:t>
      </w:r>
      <w:r w:rsidR="0099079D" w:rsidRPr="007B2402">
        <w:rPr>
          <w:rFonts w:eastAsia="Batang" w:cs="Times New Roman"/>
          <w:noProof/>
          <w:szCs w:val="20"/>
          <w:lang w:val="en-US"/>
        </w:rPr>
        <w:t>e</w:t>
      </w:r>
      <w:r w:rsidR="00DE4DAA" w:rsidRPr="007B2402">
        <w:rPr>
          <w:rFonts w:eastAsia="Batang" w:cs="Times New Roman"/>
          <w:noProof/>
          <w:szCs w:val="20"/>
          <w:lang w:val="en-US"/>
        </w:rPr>
        <w:t xml:space="preserve"> Federal d</w:t>
      </w:r>
      <w:r w:rsidR="0099079D" w:rsidRPr="007B2402">
        <w:rPr>
          <w:rFonts w:eastAsia="Batang" w:cs="Times New Roman"/>
          <w:noProof/>
          <w:szCs w:val="20"/>
          <w:lang w:val="en-US"/>
        </w:rPr>
        <w:t>o</w:t>
      </w:r>
      <w:r w:rsidR="00DE4DAA" w:rsidRPr="007B2402">
        <w:rPr>
          <w:rFonts w:eastAsia="Batang" w:cs="Times New Roman"/>
          <w:noProof/>
          <w:szCs w:val="20"/>
          <w:lang w:val="en-US"/>
        </w:rPr>
        <w:t xml:space="preserve"> Paraná (UFPR)</w:t>
      </w:r>
      <w:r w:rsidR="00CA49F9" w:rsidRPr="007B2402">
        <w:rPr>
          <w:rFonts w:eastAsia="Batang" w:cs="Times New Roman"/>
          <w:noProof/>
          <w:szCs w:val="20"/>
          <w:lang w:val="en-US"/>
        </w:rPr>
        <w:t>,</w:t>
      </w:r>
      <w:r w:rsidR="00DE4DAA" w:rsidRPr="007B2402">
        <w:rPr>
          <w:rStyle w:val="Refdenotaalpie"/>
          <w:rFonts w:ascii="Verdana" w:eastAsia="Batang" w:hAnsi="Verdana"/>
          <w:noProof/>
          <w:lang w:val="en-US"/>
        </w:rPr>
        <w:footnoteReference w:id="11"/>
      </w:r>
      <w:r w:rsidR="00CA49F9" w:rsidRPr="007B2402">
        <w:rPr>
          <w:rFonts w:eastAsia="Batang" w:cs="Times New Roman"/>
          <w:noProof/>
          <w:szCs w:val="20"/>
          <w:lang w:val="en-US"/>
        </w:rPr>
        <w:t xml:space="preserve"> on the right to the truth; (</w:t>
      </w:r>
      <w:r w:rsidR="008E207A" w:rsidRPr="007B2402">
        <w:rPr>
          <w:rFonts w:eastAsia="Batang" w:cs="Times New Roman"/>
          <w:noProof/>
          <w:szCs w:val="20"/>
          <w:lang w:val="en-US"/>
        </w:rPr>
        <w:t xml:space="preserve">4) </w:t>
      </w:r>
      <w:r w:rsidR="00CA49F9" w:rsidRPr="007B2402">
        <w:rPr>
          <w:rFonts w:eastAsia="Batang" w:cs="Times New Roman"/>
          <w:noProof/>
          <w:szCs w:val="20"/>
          <w:lang w:val="en-US"/>
        </w:rPr>
        <w:t>the</w:t>
      </w:r>
      <w:r w:rsidR="00F079DF" w:rsidRPr="007B2402">
        <w:rPr>
          <w:rFonts w:eastAsia="Batang" w:cs="Times New Roman"/>
          <w:noProof/>
          <w:szCs w:val="20"/>
          <w:lang w:val="en-US"/>
        </w:rPr>
        <w:t xml:space="preserve"> </w:t>
      </w:r>
      <w:r w:rsidR="00AF4344" w:rsidRPr="007B2402">
        <w:rPr>
          <w:rFonts w:eastAsia="Batang" w:cs="Times New Roman"/>
          <w:noProof/>
          <w:szCs w:val="20"/>
          <w:lang w:val="en-US"/>
        </w:rPr>
        <w:t>Article</w:t>
      </w:r>
      <w:r w:rsidR="008E207A" w:rsidRPr="007B2402">
        <w:rPr>
          <w:rFonts w:eastAsia="Batang" w:cs="Times New Roman"/>
          <w:noProof/>
          <w:szCs w:val="20"/>
          <w:lang w:val="en-US"/>
        </w:rPr>
        <w:t xml:space="preserve"> 19</w:t>
      </w:r>
      <w:r w:rsidR="00CA49F9" w:rsidRPr="007B2402">
        <w:rPr>
          <w:rFonts w:eastAsia="Batang" w:cs="Times New Roman"/>
          <w:noProof/>
          <w:szCs w:val="20"/>
          <w:lang w:val="en-US"/>
        </w:rPr>
        <w:t xml:space="preserve"> Organization</w:t>
      </w:r>
      <w:r w:rsidR="00D41DF6" w:rsidRPr="007B2402">
        <w:rPr>
          <w:rFonts w:eastAsia="Batang" w:cs="Times New Roman"/>
          <w:noProof/>
          <w:szCs w:val="20"/>
          <w:lang w:val="en-US"/>
        </w:rPr>
        <w:t>,</w:t>
      </w:r>
      <w:r w:rsidR="008E207A" w:rsidRPr="007B2402">
        <w:rPr>
          <w:rStyle w:val="Refdenotaalpie"/>
          <w:rFonts w:ascii="Verdana" w:eastAsia="Batang" w:hAnsi="Verdana"/>
          <w:noProof/>
          <w:lang w:val="en-US"/>
        </w:rPr>
        <w:footnoteReference w:id="12"/>
      </w:r>
      <w:r w:rsidR="00D41DF6" w:rsidRPr="007B2402">
        <w:rPr>
          <w:rFonts w:eastAsia="Batang" w:cs="Times New Roman"/>
          <w:noProof/>
          <w:szCs w:val="20"/>
          <w:lang w:val="en-US"/>
        </w:rPr>
        <w:t xml:space="preserve"> </w:t>
      </w:r>
      <w:r w:rsidR="00CA49F9" w:rsidRPr="007B2402">
        <w:rPr>
          <w:rFonts w:eastAsia="Batang" w:cs="Times New Roman"/>
          <w:noProof/>
          <w:szCs w:val="20"/>
          <w:lang w:val="en-US"/>
        </w:rPr>
        <w:t xml:space="preserve">on the </w:t>
      </w:r>
      <w:r w:rsidR="001D087B" w:rsidRPr="007B2402">
        <w:rPr>
          <w:rFonts w:eastAsia="Batang" w:cs="Times New Roman"/>
          <w:noProof/>
          <w:szCs w:val="20"/>
          <w:lang w:val="en-US"/>
        </w:rPr>
        <w:t>serious</w:t>
      </w:r>
      <w:r w:rsidR="00CA49F9" w:rsidRPr="007B2402">
        <w:rPr>
          <w:rFonts w:eastAsia="Batang" w:cs="Times New Roman"/>
          <w:noProof/>
          <w:szCs w:val="20"/>
          <w:lang w:val="en-US"/>
        </w:rPr>
        <w:t xml:space="preserve"> violations of the right to freedom of expression in its collective dimension, and (</w:t>
      </w:r>
      <w:r w:rsidR="00A36083" w:rsidRPr="007B2402">
        <w:rPr>
          <w:rFonts w:eastAsia="Batang" w:cs="Times New Roman"/>
          <w:noProof/>
          <w:szCs w:val="20"/>
          <w:lang w:val="en-US"/>
        </w:rPr>
        <w:t xml:space="preserve">5) </w:t>
      </w:r>
      <w:r w:rsidR="00AF4344" w:rsidRPr="007B2402">
        <w:rPr>
          <w:rFonts w:eastAsia="Batang" w:cs="Times New Roman"/>
          <w:noProof/>
          <w:szCs w:val="20"/>
          <w:lang w:val="en-US"/>
        </w:rPr>
        <w:t xml:space="preserve">the </w:t>
      </w:r>
      <w:r w:rsidR="00CA49F9" w:rsidRPr="007B2402">
        <w:rPr>
          <w:rFonts w:eastAsia="Batang" w:cs="Times New Roman"/>
          <w:noProof/>
          <w:szCs w:val="20"/>
          <w:lang w:val="en-US"/>
        </w:rPr>
        <w:t xml:space="preserve">National Human Rights </w:t>
      </w:r>
      <w:r w:rsidR="00AF4344" w:rsidRPr="007B2402">
        <w:rPr>
          <w:rFonts w:eastAsia="Batang" w:cs="Times New Roman"/>
          <w:noProof/>
          <w:szCs w:val="20"/>
          <w:lang w:val="en-US"/>
        </w:rPr>
        <w:t>Commission</w:t>
      </w:r>
      <w:r w:rsidR="000C1EDB" w:rsidRPr="007B2402">
        <w:rPr>
          <w:rFonts w:eastAsia="Batang" w:cs="Times New Roman"/>
          <w:noProof/>
          <w:szCs w:val="20"/>
          <w:lang w:val="en-US"/>
        </w:rPr>
        <w:t xml:space="preserve"> </w:t>
      </w:r>
      <w:r w:rsidR="00CA49F9" w:rsidRPr="007B2402">
        <w:rPr>
          <w:rFonts w:eastAsia="Batang" w:cs="Times New Roman"/>
          <w:noProof/>
          <w:szCs w:val="20"/>
          <w:lang w:val="en-US"/>
        </w:rPr>
        <w:t>of Mexico</w:t>
      </w:r>
      <w:r w:rsidR="000C1EDB" w:rsidRPr="007B2402">
        <w:rPr>
          <w:rFonts w:eastAsia="Batang" w:cs="Times New Roman"/>
          <w:noProof/>
          <w:szCs w:val="20"/>
          <w:lang w:val="en-US"/>
        </w:rPr>
        <w:t>,</w:t>
      </w:r>
      <w:r w:rsidR="000C1EDB" w:rsidRPr="007B2402">
        <w:rPr>
          <w:rStyle w:val="Refdenotaalpie"/>
          <w:rFonts w:ascii="Verdana" w:eastAsia="Batang" w:hAnsi="Verdana"/>
          <w:noProof/>
          <w:lang w:val="en-US"/>
        </w:rPr>
        <w:footnoteReference w:id="13"/>
      </w:r>
      <w:r w:rsidR="000C1EDB" w:rsidRPr="007B2402">
        <w:rPr>
          <w:rFonts w:eastAsia="Batang" w:cs="Times New Roman"/>
          <w:noProof/>
          <w:szCs w:val="20"/>
          <w:lang w:val="en-US"/>
        </w:rPr>
        <w:t xml:space="preserve"> </w:t>
      </w:r>
      <w:r w:rsidR="00CA49F9" w:rsidRPr="007B2402">
        <w:rPr>
          <w:rFonts w:eastAsia="Batang" w:cs="Times New Roman"/>
          <w:noProof/>
          <w:szCs w:val="20"/>
          <w:lang w:val="en-US"/>
        </w:rPr>
        <w:t xml:space="preserve">on the standards for the protection of journalists, with special emphasis on the chilling effect of </w:t>
      </w:r>
      <w:r w:rsidR="0099079D" w:rsidRPr="007B2402">
        <w:rPr>
          <w:rFonts w:eastAsia="Batang" w:cs="Times New Roman"/>
          <w:noProof/>
          <w:szCs w:val="20"/>
          <w:lang w:val="en-US"/>
        </w:rPr>
        <w:t xml:space="preserve">threats and physical </w:t>
      </w:r>
      <w:r w:rsidR="00980BBA" w:rsidRPr="007B2402">
        <w:rPr>
          <w:rFonts w:eastAsia="Batang" w:cs="Times New Roman"/>
          <w:noProof/>
          <w:szCs w:val="20"/>
          <w:lang w:val="en-US"/>
        </w:rPr>
        <w:t>violence</w:t>
      </w:r>
      <w:r w:rsidR="00CA49F9" w:rsidRPr="007B2402">
        <w:rPr>
          <w:rFonts w:eastAsia="Batang" w:cs="Times New Roman"/>
          <w:noProof/>
          <w:szCs w:val="20"/>
          <w:lang w:val="en-US"/>
        </w:rPr>
        <w:t xml:space="preserve"> </w:t>
      </w:r>
      <w:r w:rsidR="0099079D" w:rsidRPr="007B2402">
        <w:rPr>
          <w:rFonts w:eastAsia="Batang" w:cs="Times New Roman"/>
          <w:noProof/>
          <w:szCs w:val="20"/>
          <w:lang w:val="en-US"/>
        </w:rPr>
        <w:t>against</w:t>
      </w:r>
      <w:r w:rsidR="00CA49F9" w:rsidRPr="007B2402">
        <w:rPr>
          <w:rFonts w:eastAsia="Batang" w:cs="Times New Roman"/>
          <w:noProof/>
          <w:szCs w:val="20"/>
          <w:lang w:val="en-US"/>
        </w:rPr>
        <w:t xml:space="preserve"> journalists</w:t>
      </w:r>
      <w:r w:rsidR="000C1EDB" w:rsidRPr="007B2402">
        <w:rPr>
          <w:rFonts w:eastAsia="Batang" w:cs="Times New Roman"/>
          <w:noProof/>
          <w:szCs w:val="20"/>
          <w:lang w:val="en-US"/>
        </w:rPr>
        <w:t>.</w:t>
      </w:r>
      <w:r w:rsidR="00F44021" w:rsidRPr="007B2402">
        <w:rPr>
          <w:rFonts w:eastAsia="Batang" w:cs="Times New Roman"/>
          <w:noProof/>
          <w:szCs w:val="20"/>
          <w:lang w:val="en-US"/>
        </w:rPr>
        <w:t xml:space="preserve"> </w:t>
      </w:r>
    </w:p>
    <w:p w14:paraId="40A0CF61" w14:textId="77777777" w:rsidR="00DE4DAA" w:rsidRPr="007B2402" w:rsidRDefault="00DE4DAA" w:rsidP="00DE4DAA">
      <w:pPr>
        <w:pStyle w:val="Prrafodelista"/>
        <w:rPr>
          <w:rFonts w:cs="Arial"/>
          <w:szCs w:val="20"/>
          <w:lang w:val="en-US"/>
        </w:rPr>
      </w:pPr>
    </w:p>
    <w:p w14:paraId="74409600" w14:textId="50521124" w:rsidR="001D1455" w:rsidRPr="007B2402" w:rsidRDefault="00CA49F9" w:rsidP="00DB1F30">
      <w:pPr>
        <w:numPr>
          <w:ilvl w:val="0"/>
          <w:numId w:val="6"/>
        </w:numPr>
        <w:autoSpaceDE w:val="0"/>
        <w:autoSpaceDN w:val="0"/>
        <w:adjustRightInd w:val="0"/>
        <w:spacing w:after="0" w:line="240" w:lineRule="auto"/>
        <w:ind w:right="6"/>
        <w:jc w:val="both"/>
        <w:rPr>
          <w:rFonts w:eastAsia="Batang" w:cs="Verdana"/>
          <w:i/>
          <w:noProof/>
          <w:szCs w:val="20"/>
          <w:lang w:val="en-US" w:eastAsia="es-ES"/>
        </w:rPr>
      </w:pPr>
      <w:r w:rsidRPr="007B2402">
        <w:rPr>
          <w:rFonts w:eastAsia="Batang" w:cs="Arial"/>
          <w:i/>
          <w:noProof/>
          <w:szCs w:val="20"/>
          <w:lang w:val="en-US" w:eastAsia="es-ES"/>
        </w:rPr>
        <w:t>Final written arguments and observations.</w:t>
      </w:r>
      <w:r w:rsidR="001D1455" w:rsidRPr="007B2402">
        <w:rPr>
          <w:rFonts w:eastAsia="Batang" w:cs="Verdana"/>
          <w:noProof/>
          <w:szCs w:val="20"/>
          <w:lang w:val="en-US" w:eastAsia="es-ES"/>
        </w:rPr>
        <w:t xml:space="preserve"> </w:t>
      </w:r>
      <w:bookmarkStart w:id="28" w:name="_Ref313990861"/>
      <w:r w:rsidRPr="007B2402">
        <w:rPr>
          <w:rFonts w:eastAsia="Batang" w:cs="Verdana"/>
          <w:noProof/>
          <w:szCs w:val="20"/>
          <w:lang w:val="en-US" w:eastAsia="es-ES"/>
        </w:rPr>
        <w:t>On June 26,</w:t>
      </w:r>
      <w:r w:rsidR="001D1455" w:rsidRPr="007B2402">
        <w:rPr>
          <w:rFonts w:eastAsia="Batang" w:cs="Verdana"/>
          <w:noProof/>
          <w:szCs w:val="20"/>
          <w:lang w:val="en-US" w:eastAsia="es-ES"/>
        </w:rPr>
        <w:t xml:space="preserve"> 2017</w:t>
      </w:r>
      <w:r w:rsidRPr="007B2402">
        <w:rPr>
          <w:rFonts w:eastAsia="Batang" w:cs="Verdana"/>
          <w:noProof/>
          <w:szCs w:val="20"/>
          <w:lang w:val="en-US" w:eastAsia="es-ES"/>
        </w:rPr>
        <w:t>,</w:t>
      </w:r>
      <w:r w:rsidR="001D1455" w:rsidRPr="007B2402">
        <w:rPr>
          <w:rFonts w:eastAsia="Batang" w:cs="Verdana"/>
          <w:noProof/>
          <w:szCs w:val="20"/>
          <w:lang w:val="en-US" w:eastAsia="es-ES"/>
        </w:rPr>
        <w:t xml:space="preserve"> </w:t>
      </w:r>
      <w:r w:rsidR="005B1590" w:rsidRPr="007B2402">
        <w:rPr>
          <w:rFonts w:eastAsia="Batang" w:cs="Verdana"/>
          <w:noProof/>
          <w:szCs w:val="20"/>
          <w:lang w:val="en-US" w:eastAsia="es-ES"/>
        </w:rPr>
        <w:t xml:space="preserve">the representatives and </w:t>
      </w:r>
      <w:r w:rsidR="00AF4344" w:rsidRPr="007B2402">
        <w:rPr>
          <w:rFonts w:eastAsia="Batang" w:cs="Verdana"/>
          <w:noProof/>
          <w:szCs w:val="20"/>
          <w:lang w:val="en-US" w:eastAsia="es-ES"/>
        </w:rPr>
        <w:t>the State</w:t>
      </w:r>
      <w:r w:rsidRPr="007B2402">
        <w:rPr>
          <w:rFonts w:eastAsia="Batang" w:cs="Verdana"/>
          <w:noProof/>
          <w:szCs w:val="20"/>
          <w:lang w:val="en-US" w:eastAsia="es-ES"/>
        </w:rPr>
        <w:t xml:space="preserve"> forwarded their respective final written arguments with annexes, </w:t>
      </w:r>
      <w:r w:rsidR="005B1590" w:rsidRPr="007B2402">
        <w:rPr>
          <w:rFonts w:eastAsia="Batang" w:cs="Verdana"/>
          <w:noProof/>
          <w:szCs w:val="20"/>
          <w:lang w:val="en-US" w:eastAsia="es-ES"/>
        </w:rPr>
        <w:t xml:space="preserve">and </w:t>
      </w:r>
      <w:r w:rsidR="00AF4344" w:rsidRPr="007B2402">
        <w:rPr>
          <w:rFonts w:eastAsia="Batang" w:cs="Verdana"/>
          <w:noProof/>
          <w:szCs w:val="20"/>
          <w:lang w:val="en-US" w:eastAsia="es-ES"/>
        </w:rPr>
        <w:t>the Commission</w:t>
      </w:r>
      <w:r w:rsidR="001D1455" w:rsidRPr="007B2402">
        <w:rPr>
          <w:rFonts w:eastAsia="Batang" w:cs="Verdana"/>
          <w:noProof/>
          <w:szCs w:val="20"/>
          <w:lang w:val="en-US" w:eastAsia="es-ES"/>
        </w:rPr>
        <w:t xml:space="preserve"> present</w:t>
      </w:r>
      <w:r w:rsidRPr="007B2402">
        <w:rPr>
          <w:rFonts w:eastAsia="Batang" w:cs="Verdana"/>
          <w:noProof/>
          <w:szCs w:val="20"/>
          <w:lang w:val="en-US" w:eastAsia="es-ES"/>
        </w:rPr>
        <w:t xml:space="preserve">ed its final written observations. </w:t>
      </w:r>
    </w:p>
    <w:p w14:paraId="6CC76F10" w14:textId="77777777" w:rsidR="001D1455" w:rsidRPr="007B2402" w:rsidRDefault="001D1455" w:rsidP="001D1455">
      <w:pPr>
        <w:spacing w:after="0" w:line="240" w:lineRule="auto"/>
        <w:ind w:left="720"/>
        <w:jc w:val="both"/>
        <w:rPr>
          <w:rFonts w:eastAsia="Batang" w:cs="Verdana"/>
          <w:i/>
          <w:noProof/>
          <w:szCs w:val="20"/>
          <w:lang w:val="en-US" w:eastAsia="es-ES"/>
        </w:rPr>
      </w:pPr>
    </w:p>
    <w:p w14:paraId="39FCBCC3" w14:textId="11BAB5E7" w:rsidR="001D1455" w:rsidRPr="007B2402" w:rsidRDefault="001D1455" w:rsidP="00DB1F30">
      <w:pPr>
        <w:numPr>
          <w:ilvl w:val="0"/>
          <w:numId w:val="6"/>
        </w:numPr>
        <w:autoSpaceDE w:val="0"/>
        <w:autoSpaceDN w:val="0"/>
        <w:adjustRightInd w:val="0"/>
        <w:spacing w:after="0" w:line="240" w:lineRule="auto"/>
        <w:ind w:right="6"/>
        <w:jc w:val="both"/>
        <w:rPr>
          <w:rFonts w:eastAsia="Calibri" w:cs="Verdana"/>
          <w:noProof/>
          <w:snapToGrid w:val="0"/>
          <w:szCs w:val="20"/>
          <w:lang w:val="en-US" w:eastAsia="es-ES"/>
        </w:rPr>
      </w:pPr>
      <w:r w:rsidRPr="007B2402">
        <w:rPr>
          <w:rFonts w:eastAsia="Batang" w:cs="Verdana"/>
          <w:i/>
          <w:noProof/>
          <w:snapToGrid w:val="0"/>
          <w:szCs w:val="20"/>
          <w:lang w:val="en-US" w:eastAsia="es-ES"/>
        </w:rPr>
        <w:t>Observa</w:t>
      </w:r>
      <w:r w:rsidR="00CA49F9" w:rsidRPr="007B2402">
        <w:rPr>
          <w:rFonts w:eastAsia="Batang" w:cs="Verdana"/>
          <w:i/>
          <w:noProof/>
          <w:snapToGrid w:val="0"/>
          <w:szCs w:val="20"/>
          <w:lang w:val="en-US" w:eastAsia="es-ES"/>
        </w:rPr>
        <w:t xml:space="preserve">tions of the parties </w:t>
      </w:r>
      <w:r w:rsidR="005B1590" w:rsidRPr="007B2402">
        <w:rPr>
          <w:rFonts w:eastAsia="Batang" w:cs="Verdana"/>
          <w:i/>
          <w:noProof/>
          <w:snapToGrid w:val="0"/>
          <w:szCs w:val="20"/>
          <w:lang w:val="en-US" w:eastAsia="es-ES"/>
        </w:rPr>
        <w:t xml:space="preserve">and </w:t>
      </w:r>
      <w:r w:rsidR="00AF4344" w:rsidRPr="007B2402">
        <w:rPr>
          <w:rFonts w:eastAsia="Batang" w:cs="Verdana"/>
          <w:i/>
          <w:noProof/>
          <w:snapToGrid w:val="0"/>
          <w:szCs w:val="20"/>
          <w:lang w:val="en-US" w:eastAsia="es-ES"/>
        </w:rPr>
        <w:t>the Commission</w:t>
      </w:r>
      <w:r w:rsidRPr="007B2402">
        <w:rPr>
          <w:rFonts w:eastAsia="Batang" w:cs="Verdana"/>
          <w:i/>
          <w:noProof/>
          <w:snapToGrid w:val="0"/>
          <w:szCs w:val="20"/>
          <w:lang w:val="en-US" w:eastAsia="es-ES"/>
        </w:rPr>
        <w:t xml:space="preserve">. </w:t>
      </w:r>
      <w:r w:rsidR="00CA49F9" w:rsidRPr="007B2402">
        <w:rPr>
          <w:rFonts w:eastAsia="Batang" w:cs="Verdana"/>
          <w:noProof/>
          <w:snapToGrid w:val="0"/>
          <w:szCs w:val="20"/>
          <w:lang w:val="en-US" w:eastAsia="es-ES"/>
        </w:rPr>
        <w:t>On June 27,</w:t>
      </w:r>
      <w:r w:rsidRPr="007B2402">
        <w:rPr>
          <w:rFonts w:eastAsia="Batang" w:cs="Verdana"/>
          <w:noProof/>
          <w:snapToGrid w:val="0"/>
          <w:szCs w:val="20"/>
          <w:lang w:val="en-US" w:eastAsia="es-ES"/>
        </w:rPr>
        <w:t xml:space="preserve"> 2017</w:t>
      </w:r>
      <w:r w:rsidR="00CA49F9" w:rsidRPr="007B2402">
        <w:rPr>
          <w:rFonts w:eastAsia="Batang" w:cs="Verdana"/>
          <w:noProof/>
          <w:snapToGrid w:val="0"/>
          <w:szCs w:val="20"/>
          <w:lang w:val="en-US" w:eastAsia="es-ES"/>
        </w:rPr>
        <w:t>, the Court’s Secretariat forward</w:t>
      </w:r>
      <w:r w:rsidR="00194A53" w:rsidRPr="007B2402">
        <w:rPr>
          <w:rFonts w:eastAsia="Batang" w:cs="Verdana"/>
          <w:noProof/>
          <w:snapToGrid w:val="0"/>
          <w:szCs w:val="20"/>
          <w:lang w:val="en-US" w:eastAsia="es-ES"/>
        </w:rPr>
        <w:t>ed</w:t>
      </w:r>
      <w:r w:rsidR="00CA49F9" w:rsidRPr="007B2402">
        <w:rPr>
          <w:rFonts w:eastAsia="Batang" w:cs="Verdana"/>
          <w:noProof/>
          <w:snapToGrid w:val="0"/>
          <w:szCs w:val="20"/>
          <w:lang w:val="en-US" w:eastAsia="es-ES"/>
        </w:rPr>
        <w:t xml:space="preserve"> the annexes to the</w:t>
      </w:r>
      <w:r w:rsidR="00194A53" w:rsidRPr="007B2402">
        <w:rPr>
          <w:rFonts w:eastAsia="Batang" w:cs="Verdana"/>
          <w:noProof/>
          <w:snapToGrid w:val="0"/>
          <w:szCs w:val="20"/>
          <w:lang w:val="en-US" w:eastAsia="es-ES"/>
        </w:rPr>
        <w:t xml:space="preserve"> representatives’</w:t>
      </w:r>
      <w:r w:rsidR="00CA49F9" w:rsidRPr="007B2402">
        <w:rPr>
          <w:rFonts w:eastAsia="Batang" w:cs="Verdana"/>
          <w:noProof/>
          <w:snapToGrid w:val="0"/>
          <w:szCs w:val="20"/>
          <w:lang w:val="en-US" w:eastAsia="es-ES"/>
        </w:rPr>
        <w:t xml:space="preserve"> final written arguments to the State</w:t>
      </w:r>
      <w:r w:rsidR="005B1590" w:rsidRPr="007B2402">
        <w:rPr>
          <w:rFonts w:eastAsia="Batang" w:cs="Verdana"/>
          <w:noProof/>
          <w:snapToGrid w:val="0"/>
          <w:szCs w:val="20"/>
          <w:lang w:val="en-US" w:eastAsia="es-ES"/>
        </w:rPr>
        <w:t xml:space="preserve"> and</w:t>
      </w:r>
      <w:r w:rsidRPr="007B2402">
        <w:rPr>
          <w:rFonts w:eastAsia="Batang" w:cs="Verdana"/>
          <w:noProof/>
          <w:snapToGrid w:val="0"/>
          <w:szCs w:val="20"/>
          <w:lang w:val="en-US" w:eastAsia="es-ES"/>
        </w:rPr>
        <w:t xml:space="preserve"> </w:t>
      </w:r>
      <w:r w:rsidR="00AF4344" w:rsidRPr="007B2402">
        <w:rPr>
          <w:rFonts w:eastAsia="Batang" w:cs="Verdana"/>
          <w:noProof/>
          <w:snapToGrid w:val="0"/>
          <w:szCs w:val="20"/>
          <w:lang w:val="en-US" w:eastAsia="es-ES"/>
        </w:rPr>
        <w:t>the Commission</w:t>
      </w:r>
      <w:r w:rsidR="00CA49F9" w:rsidRPr="007B2402">
        <w:rPr>
          <w:rFonts w:eastAsia="Batang" w:cs="Verdana"/>
          <w:noProof/>
          <w:snapToGrid w:val="0"/>
          <w:szCs w:val="20"/>
          <w:lang w:val="en-US" w:eastAsia="es-ES"/>
        </w:rPr>
        <w:t xml:space="preserve"> and asked them to </w:t>
      </w:r>
      <w:r w:rsidR="00980BBA" w:rsidRPr="007B2402">
        <w:rPr>
          <w:rFonts w:eastAsia="Batang" w:cs="Verdana"/>
          <w:noProof/>
          <w:snapToGrid w:val="0"/>
          <w:szCs w:val="20"/>
          <w:lang w:val="en-US" w:eastAsia="es-ES"/>
        </w:rPr>
        <w:t>remit</w:t>
      </w:r>
      <w:r w:rsidR="00CA49F9" w:rsidRPr="007B2402">
        <w:rPr>
          <w:rFonts w:eastAsia="Batang" w:cs="Verdana"/>
          <w:noProof/>
          <w:snapToGrid w:val="0"/>
          <w:szCs w:val="20"/>
          <w:lang w:val="en-US" w:eastAsia="es-ES"/>
        </w:rPr>
        <w:t xml:space="preserve"> any observations they deemed pertinent. In a communication of July 12,</w:t>
      </w:r>
      <w:r w:rsidRPr="007B2402">
        <w:rPr>
          <w:rFonts w:eastAsia="Batang" w:cs="Verdana"/>
          <w:noProof/>
          <w:snapToGrid w:val="0"/>
          <w:szCs w:val="20"/>
          <w:lang w:val="en-US" w:eastAsia="es-ES"/>
        </w:rPr>
        <w:t xml:space="preserve"> </w:t>
      </w:r>
      <w:r w:rsidR="00E2489E" w:rsidRPr="007B2402">
        <w:rPr>
          <w:rFonts w:eastAsia="Batang" w:cs="Verdana"/>
          <w:noProof/>
          <w:snapToGrid w:val="0"/>
          <w:szCs w:val="20"/>
          <w:lang w:val="en-US" w:eastAsia="es-ES"/>
        </w:rPr>
        <w:t>2017</w:t>
      </w:r>
      <w:r w:rsidR="00CA49F9" w:rsidRPr="007B2402">
        <w:rPr>
          <w:rFonts w:eastAsia="Batang" w:cs="Verdana"/>
          <w:noProof/>
          <w:snapToGrid w:val="0"/>
          <w:szCs w:val="20"/>
          <w:lang w:val="en-US" w:eastAsia="es-ES"/>
        </w:rPr>
        <w:t>,</w:t>
      </w:r>
      <w:r w:rsidR="00E2489E" w:rsidRPr="007B2402">
        <w:rPr>
          <w:rFonts w:eastAsia="Batang" w:cs="Verdana"/>
          <w:noProof/>
          <w:snapToGrid w:val="0"/>
          <w:szCs w:val="20"/>
          <w:lang w:val="en-US" w:eastAsia="es-ES"/>
        </w:rPr>
        <w:t xml:space="preserve"> </w:t>
      </w:r>
      <w:r w:rsidR="00AF4344" w:rsidRPr="007B2402">
        <w:rPr>
          <w:rFonts w:eastAsia="Batang" w:cs="Verdana"/>
          <w:noProof/>
          <w:snapToGrid w:val="0"/>
          <w:szCs w:val="20"/>
          <w:lang w:val="en-US" w:eastAsia="es-ES"/>
        </w:rPr>
        <w:t>the State</w:t>
      </w:r>
      <w:r w:rsidR="00E2489E" w:rsidRPr="007B2402">
        <w:rPr>
          <w:rFonts w:eastAsia="Batang" w:cs="Verdana"/>
          <w:noProof/>
          <w:snapToGrid w:val="0"/>
          <w:szCs w:val="20"/>
          <w:lang w:val="en-US" w:eastAsia="es-ES"/>
        </w:rPr>
        <w:t xml:space="preserve"> </w:t>
      </w:r>
      <w:r w:rsidR="00CA49F9" w:rsidRPr="007B2402">
        <w:rPr>
          <w:rFonts w:eastAsia="Batang" w:cs="Verdana"/>
          <w:noProof/>
          <w:snapToGrid w:val="0"/>
          <w:szCs w:val="20"/>
          <w:lang w:val="en-US" w:eastAsia="es-ES"/>
        </w:rPr>
        <w:t>sent the observations requested.</w:t>
      </w:r>
      <w:r w:rsidRPr="007B2402">
        <w:rPr>
          <w:rFonts w:eastAsia="Batang" w:cs="Verdana"/>
          <w:noProof/>
          <w:snapToGrid w:val="0"/>
          <w:szCs w:val="20"/>
          <w:lang w:val="en-US" w:eastAsia="es-ES"/>
        </w:rPr>
        <w:t xml:space="preserve"> </w:t>
      </w:r>
      <w:r w:rsidR="00AF4344" w:rsidRPr="007B2402">
        <w:rPr>
          <w:rFonts w:eastAsia="Batang" w:cs="Verdana"/>
          <w:noProof/>
          <w:snapToGrid w:val="0"/>
          <w:szCs w:val="20"/>
          <w:lang w:val="en-US" w:eastAsia="es-ES"/>
        </w:rPr>
        <w:t>The Commission</w:t>
      </w:r>
      <w:r w:rsidRPr="007B2402">
        <w:rPr>
          <w:rFonts w:eastAsia="Batang" w:cs="Verdana"/>
          <w:noProof/>
          <w:snapToGrid w:val="0"/>
          <w:szCs w:val="20"/>
          <w:lang w:val="en-US" w:eastAsia="es-ES"/>
        </w:rPr>
        <w:t xml:space="preserve"> </w:t>
      </w:r>
      <w:r w:rsidR="00CA49F9" w:rsidRPr="007B2402">
        <w:rPr>
          <w:rFonts w:eastAsia="Batang" w:cs="Verdana"/>
          <w:noProof/>
          <w:snapToGrid w:val="0"/>
          <w:szCs w:val="20"/>
          <w:lang w:val="en-US" w:eastAsia="es-ES"/>
        </w:rPr>
        <w:t>did not present observations.</w:t>
      </w:r>
      <w:r w:rsidRPr="007B2402">
        <w:rPr>
          <w:rFonts w:eastAsia="Batang" w:cs="Verdana"/>
          <w:noProof/>
          <w:snapToGrid w:val="0"/>
          <w:szCs w:val="20"/>
          <w:lang w:val="en-US" w:eastAsia="es-ES"/>
        </w:rPr>
        <w:t xml:space="preserve"> </w:t>
      </w:r>
    </w:p>
    <w:p w14:paraId="2FE259BC" w14:textId="77777777" w:rsidR="00396C2A" w:rsidRPr="007B2402" w:rsidRDefault="00396C2A" w:rsidP="00396C2A">
      <w:pPr>
        <w:pStyle w:val="Prrafodelista"/>
        <w:rPr>
          <w:rFonts w:eastAsia="Calibri" w:cs="Verdana"/>
          <w:snapToGrid w:val="0"/>
          <w:szCs w:val="20"/>
          <w:lang w:val="en-US" w:eastAsia="es-ES"/>
        </w:rPr>
      </w:pPr>
    </w:p>
    <w:p w14:paraId="6E29F85A" w14:textId="222550EC" w:rsidR="00CA49F9" w:rsidRPr="007B2402" w:rsidRDefault="006B1FFE" w:rsidP="00DB1F30">
      <w:pPr>
        <w:numPr>
          <w:ilvl w:val="0"/>
          <w:numId w:val="6"/>
        </w:numPr>
        <w:tabs>
          <w:tab w:val="left" w:pos="450"/>
        </w:tabs>
        <w:suppressAutoHyphens/>
        <w:spacing w:after="0" w:line="100" w:lineRule="atLeast"/>
        <w:jc w:val="both"/>
        <w:rPr>
          <w:rFonts w:eastAsia="Calibri" w:cs="Calibri"/>
          <w:szCs w:val="20"/>
          <w:lang w:val="en-US"/>
        </w:rPr>
      </w:pPr>
      <w:r w:rsidRPr="007B2402">
        <w:rPr>
          <w:rFonts w:eastAsia="Calibri" w:cs="Verdana"/>
          <w:i/>
          <w:snapToGrid w:val="0"/>
          <w:szCs w:val="20"/>
          <w:lang w:val="en-US" w:eastAsia="es-ES"/>
        </w:rPr>
        <w:tab/>
      </w:r>
      <w:r w:rsidR="00CA49F9" w:rsidRPr="007B2402">
        <w:rPr>
          <w:rFonts w:eastAsia="Calibri" w:cs="Verdana"/>
          <w:i/>
          <w:snapToGrid w:val="0"/>
          <w:szCs w:val="20"/>
          <w:lang w:val="en-US" w:eastAsia="es-ES"/>
        </w:rPr>
        <w:t xml:space="preserve">Disbursements from the Legal Assistance Fund. </w:t>
      </w:r>
      <w:r w:rsidR="00CA49F9" w:rsidRPr="007B2402">
        <w:rPr>
          <w:rFonts w:eastAsia="Calibri" w:cs="Verdana"/>
          <w:snapToGrid w:val="0"/>
          <w:szCs w:val="20"/>
          <w:lang w:val="en-US" w:eastAsia="es-ES"/>
        </w:rPr>
        <w:t>On November 6,</w:t>
      </w:r>
      <w:r w:rsidR="00396C2A" w:rsidRPr="007B2402">
        <w:rPr>
          <w:rFonts w:eastAsia="Calibri" w:cs="Verdana"/>
          <w:snapToGrid w:val="0"/>
          <w:szCs w:val="20"/>
          <w:lang w:val="en-US" w:eastAsia="es-ES"/>
        </w:rPr>
        <w:t xml:space="preserve"> </w:t>
      </w:r>
      <w:r w:rsidR="00194A53" w:rsidRPr="007B2402">
        <w:rPr>
          <w:rFonts w:eastAsia="Calibri" w:cs="Verdana"/>
          <w:snapToGrid w:val="0"/>
          <w:szCs w:val="20"/>
          <w:lang w:val="en-US" w:eastAsia="es-ES"/>
        </w:rPr>
        <w:t xml:space="preserve">2017, </w:t>
      </w:r>
      <w:r w:rsidR="00CA49F9" w:rsidRPr="007B2402">
        <w:rPr>
          <w:rFonts w:eastAsia="Calibri" w:cs="Verdana"/>
          <w:snapToGrid w:val="0"/>
          <w:szCs w:val="20"/>
          <w:lang w:val="en-US" w:eastAsia="es-ES"/>
        </w:rPr>
        <w:t xml:space="preserve">on the instructions </w:t>
      </w:r>
      <w:r w:rsidR="006E2CFF" w:rsidRPr="007B2402">
        <w:rPr>
          <w:rFonts w:eastAsia="Calibri" w:cs="Verdana"/>
          <w:snapToGrid w:val="0"/>
          <w:szCs w:val="20"/>
          <w:lang w:val="en-US" w:eastAsia="es-ES"/>
        </w:rPr>
        <w:t xml:space="preserve">of the </w:t>
      </w:r>
      <w:r w:rsidR="0029493C" w:rsidRPr="007B2402">
        <w:rPr>
          <w:rFonts w:eastAsia="Calibri" w:cs="Verdana"/>
          <w:snapToGrid w:val="0"/>
          <w:szCs w:val="20"/>
          <w:lang w:val="en-US" w:eastAsia="es-ES"/>
        </w:rPr>
        <w:t>acting President</w:t>
      </w:r>
      <w:r w:rsidR="00AF4344" w:rsidRPr="007B2402">
        <w:rPr>
          <w:rFonts w:eastAsia="Calibri" w:cs="Verdana"/>
          <w:snapToGrid w:val="0"/>
          <w:szCs w:val="20"/>
          <w:lang w:val="en-US" w:eastAsia="es-ES"/>
        </w:rPr>
        <w:t xml:space="preserve"> of the Court</w:t>
      </w:r>
      <w:r w:rsidR="00396C2A" w:rsidRPr="007B2402">
        <w:rPr>
          <w:rFonts w:eastAsia="Calibri" w:cs="Verdana"/>
          <w:snapToGrid w:val="0"/>
          <w:szCs w:val="20"/>
          <w:lang w:val="en-US" w:eastAsia="es-ES"/>
        </w:rPr>
        <w:t xml:space="preserve">, </w:t>
      </w:r>
      <w:r w:rsidR="00CA49F9" w:rsidRPr="007B2402">
        <w:rPr>
          <w:rFonts w:eastAsia="Calibri" w:cs="Verdana"/>
          <w:snapToGrid w:val="0"/>
          <w:szCs w:val="20"/>
          <w:lang w:val="en-US" w:eastAsia="es-ES"/>
        </w:rPr>
        <w:t>the Secretariat submitted</w:t>
      </w:r>
      <w:r w:rsidR="00980BBA" w:rsidRPr="007B2402">
        <w:rPr>
          <w:rFonts w:eastAsia="Calibri" w:cs="Verdana"/>
          <w:snapToGrid w:val="0"/>
          <w:szCs w:val="20"/>
          <w:lang w:val="en-US" w:eastAsia="es-ES"/>
        </w:rPr>
        <w:t xml:space="preserve"> to the State</w:t>
      </w:r>
      <w:r w:rsidR="00CA49F9" w:rsidRPr="007B2402">
        <w:rPr>
          <w:rFonts w:eastAsia="Calibri" w:cs="Verdana"/>
          <w:snapToGrid w:val="0"/>
          <w:szCs w:val="20"/>
          <w:lang w:val="en-US" w:eastAsia="es-ES"/>
        </w:rPr>
        <w:t xml:space="preserve"> information on the disbursements made in application of the </w:t>
      </w:r>
      <w:r w:rsidR="00554584" w:rsidRPr="007B2402">
        <w:rPr>
          <w:rFonts w:eastAsia="Calibri" w:cs="Verdana"/>
          <w:snapToGrid w:val="0"/>
          <w:szCs w:val="20"/>
          <w:lang w:val="en-US" w:eastAsia="es-ES"/>
        </w:rPr>
        <w:t>Victim’s Legal Assistance Fund</w:t>
      </w:r>
      <w:r w:rsidR="00396C2A" w:rsidRPr="007B2402">
        <w:rPr>
          <w:rFonts w:eastAsia="Calibri" w:cs="Verdana"/>
          <w:snapToGrid w:val="0"/>
          <w:szCs w:val="20"/>
          <w:lang w:val="en-US" w:eastAsia="es-ES"/>
        </w:rPr>
        <w:t xml:space="preserve"> </w:t>
      </w:r>
      <w:r w:rsidR="00CA49F9" w:rsidRPr="007B2402">
        <w:rPr>
          <w:rFonts w:eastAsia="Calibri" w:cs="Verdana"/>
          <w:snapToGrid w:val="0"/>
          <w:szCs w:val="20"/>
          <w:lang w:val="en-US" w:eastAsia="es-ES"/>
        </w:rPr>
        <w:t>in this case and, as established in</w:t>
      </w:r>
      <w:r w:rsidR="00396C2A" w:rsidRPr="007B2402">
        <w:rPr>
          <w:rFonts w:eastAsia="Calibri" w:cs="Verdana"/>
          <w:snapToGrid w:val="0"/>
          <w:szCs w:val="20"/>
          <w:lang w:val="en-US" w:eastAsia="es-ES"/>
        </w:rPr>
        <w:t xml:space="preserve"> </w:t>
      </w:r>
      <w:r w:rsidR="00AF4344" w:rsidRPr="007B2402">
        <w:rPr>
          <w:rFonts w:eastAsia="Calibri" w:cs="Verdana"/>
          <w:snapToGrid w:val="0"/>
          <w:szCs w:val="20"/>
          <w:lang w:val="en-US" w:eastAsia="es-ES"/>
        </w:rPr>
        <w:t>Article</w:t>
      </w:r>
      <w:r w:rsidR="00396C2A" w:rsidRPr="007B2402">
        <w:rPr>
          <w:rFonts w:eastAsia="Calibri" w:cs="Verdana"/>
          <w:snapToGrid w:val="0"/>
          <w:szCs w:val="20"/>
          <w:lang w:val="en-US" w:eastAsia="es-ES"/>
        </w:rPr>
        <w:t xml:space="preserve"> 5</w:t>
      </w:r>
      <w:r w:rsidR="006E2CFF" w:rsidRPr="007B2402">
        <w:rPr>
          <w:rFonts w:eastAsia="Calibri" w:cs="Verdana"/>
          <w:snapToGrid w:val="0"/>
          <w:szCs w:val="20"/>
          <w:lang w:val="en-US" w:eastAsia="es-ES"/>
        </w:rPr>
        <w:t xml:space="preserve"> of the </w:t>
      </w:r>
      <w:r w:rsidR="00CA49F9" w:rsidRPr="007B2402">
        <w:rPr>
          <w:rFonts w:eastAsia="Calibri" w:cs="Verdana"/>
          <w:snapToGrid w:val="0"/>
          <w:szCs w:val="20"/>
          <w:lang w:val="en-US" w:eastAsia="es-ES"/>
        </w:rPr>
        <w:t>Court’s Rules for the Operation of the Fund, granted it a</w:t>
      </w:r>
      <w:r w:rsidR="00980BBA" w:rsidRPr="007B2402">
        <w:rPr>
          <w:rFonts w:eastAsia="Calibri" w:cs="Verdana"/>
          <w:snapToGrid w:val="0"/>
          <w:szCs w:val="20"/>
          <w:lang w:val="en-US" w:eastAsia="es-ES"/>
        </w:rPr>
        <w:t xml:space="preserve"> specific</w:t>
      </w:r>
      <w:r w:rsidR="00CA49F9" w:rsidRPr="007B2402">
        <w:rPr>
          <w:rFonts w:eastAsia="Calibri" w:cs="Verdana"/>
          <w:snapToGrid w:val="0"/>
          <w:szCs w:val="20"/>
          <w:lang w:val="en-US" w:eastAsia="es-ES"/>
        </w:rPr>
        <w:t xml:space="preserve"> time for presenting any observations it deemed pertinent.</w:t>
      </w:r>
      <w:r w:rsidR="00CA49F9" w:rsidRPr="007B2402">
        <w:rPr>
          <w:rFonts w:eastAsia="Calibri" w:cs="Calibri"/>
          <w:szCs w:val="20"/>
          <w:lang w:val="en-US"/>
        </w:rPr>
        <w:t xml:space="preserve"> The State presented its observations in a brief of November 30, 2017, within the</w:t>
      </w:r>
      <w:r w:rsidR="007E42A8" w:rsidRPr="007B2402">
        <w:rPr>
          <w:rFonts w:eastAsia="Calibri" w:cs="Calibri"/>
          <w:szCs w:val="20"/>
          <w:lang w:val="en-US"/>
        </w:rPr>
        <w:t xml:space="preserve"> accorded</w:t>
      </w:r>
      <w:r w:rsidR="00CA49F9" w:rsidRPr="007B2402">
        <w:rPr>
          <w:rFonts w:eastAsia="Calibri" w:cs="Calibri"/>
          <w:szCs w:val="20"/>
          <w:lang w:val="en-US"/>
        </w:rPr>
        <w:t xml:space="preserve"> time</w:t>
      </w:r>
      <w:r w:rsidR="007E42A8" w:rsidRPr="007B2402">
        <w:rPr>
          <w:rFonts w:eastAsia="Calibri" w:cs="Calibri"/>
          <w:szCs w:val="20"/>
          <w:lang w:val="en-US"/>
        </w:rPr>
        <w:t>.</w:t>
      </w:r>
    </w:p>
    <w:p w14:paraId="2A220CB5" w14:textId="77777777" w:rsidR="001D1455" w:rsidRPr="007B2402" w:rsidRDefault="001D1455" w:rsidP="001D1455">
      <w:pPr>
        <w:spacing w:after="0" w:line="240" w:lineRule="auto"/>
        <w:jc w:val="both"/>
        <w:rPr>
          <w:rFonts w:eastAsia="Batang" w:cs="Verdana"/>
          <w:noProof/>
          <w:szCs w:val="20"/>
          <w:lang w:val="en-US" w:eastAsia="es-ES"/>
        </w:rPr>
      </w:pPr>
    </w:p>
    <w:bookmarkEnd w:id="28"/>
    <w:p w14:paraId="774E579D" w14:textId="2C866EE0" w:rsidR="001D1455" w:rsidRPr="007B2402" w:rsidRDefault="001D1455" w:rsidP="00DB1F30">
      <w:pPr>
        <w:numPr>
          <w:ilvl w:val="0"/>
          <w:numId w:val="6"/>
        </w:numPr>
        <w:autoSpaceDE w:val="0"/>
        <w:autoSpaceDN w:val="0"/>
        <w:adjustRightInd w:val="0"/>
        <w:spacing w:after="0" w:line="240" w:lineRule="auto"/>
        <w:ind w:right="6"/>
        <w:jc w:val="both"/>
        <w:rPr>
          <w:rFonts w:eastAsia="Batang" w:cs="Verdana"/>
          <w:i/>
          <w:szCs w:val="20"/>
          <w:lang w:val="en-US" w:eastAsia="es-ES"/>
        </w:rPr>
      </w:pPr>
      <w:r w:rsidRPr="007B2402">
        <w:rPr>
          <w:rFonts w:eastAsia="Batang" w:cs="Times New Roman"/>
          <w:i/>
          <w:noProof/>
          <w:szCs w:val="20"/>
          <w:lang w:val="en-US" w:eastAsia="es-CR"/>
        </w:rPr>
        <w:t>Delibera</w:t>
      </w:r>
      <w:r w:rsidR="007E42A8" w:rsidRPr="007B2402">
        <w:rPr>
          <w:rFonts w:eastAsia="Batang" w:cs="Times New Roman"/>
          <w:i/>
          <w:noProof/>
          <w:szCs w:val="20"/>
          <w:lang w:val="en-US" w:eastAsia="es-CR"/>
        </w:rPr>
        <w:t>tion of this case</w:t>
      </w:r>
      <w:r w:rsidRPr="007B2402">
        <w:rPr>
          <w:rFonts w:eastAsia="Batang" w:cs="Times New Roman"/>
          <w:noProof/>
          <w:szCs w:val="20"/>
          <w:lang w:val="en-US" w:eastAsia="es-CR"/>
        </w:rPr>
        <w:t xml:space="preserve">. </w:t>
      </w:r>
      <w:r w:rsidR="00AF4344" w:rsidRPr="007B2402">
        <w:rPr>
          <w:rFonts w:eastAsia="Batang" w:cs="Times New Roman"/>
          <w:noProof/>
          <w:szCs w:val="20"/>
          <w:lang w:val="en-US" w:eastAsia="es-CR"/>
        </w:rPr>
        <w:t>The Court</w:t>
      </w:r>
      <w:r w:rsidRPr="007B2402">
        <w:rPr>
          <w:rFonts w:eastAsia="Batang" w:cs="Times New Roman"/>
          <w:noProof/>
          <w:szCs w:val="20"/>
          <w:lang w:val="en-US" w:eastAsia="es-CR"/>
        </w:rPr>
        <w:t xml:space="preserve"> </w:t>
      </w:r>
      <w:r w:rsidR="007E42A8" w:rsidRPr="007B2402">
        <w:rPr>
          <w:rFonts w:eastAsia="Batang" w:cs="Times New Roman"/>
          <w:noProof/>
          <w:szCs w:val="20"/>
          <w:lang w:val="en-US" w:eastAsia="es-CR"/>
        </w:rPr>
        <w:t xml:space="preserve">began the deliberation of this judgment on </w:t>
      </w:r>
      <w:r w:rsidR="00AF4344" w:rsidRPr="007B2402">
        <w:rPr>
          <w:rFonts w:eastAsia="Batang" w:cs="Times New Roman"/>
          <w:noProof/>
          <w:szCs w:val="20"/>
          <w:lang w:val="en-US" w:eastAsia="es-CR"/>
        </w:rPr>
        <w:t>March 15,</w:t>
      </w:r>
      <w:r w:rsidR="00396C2A" w:rsidRPr="007B2402">
        <w:rPr>
          <w:rFonts w:eastAsia="Batang" w:cs="Times New Roman"/>
          <w:noProof/>
          <w:szCs w:val="20"/>
          <w:lang w:val="en-US" w:eastAsia="es-CR"/>
        </w:rPr>
        <w:t xml:space="preserve"> 2018</w:t>
      </w:r>
      <w:r w:rsidRPr="007B2402">
        <w:rPr>
          <w:rFonts w:eastAsia="Batang" w:cs="Times New Roman"/>
          <w:noProof/>
          <w:szCs w:val="20"/>
          <w:lang w:val="en-US" w:eastAsia="es-CR"/>
        </w:rPr>
        <w:t>.</w:t>
      </w:r>
    </w:p>
    <w:p w14:paraId="0CC69B01" w14:textId="77777777" w:rsidR="006B1FFE" w:rsidRPr="007B2402" w:rsidRDefault="006B1FFE" w:rsidP="006B1FFE">
      <w:pPr>
        <w:autoSpaceDE w:val="0"/>
        <w:autoSpaceDN w:val="0"/>
        <w:adjustRightInd w:val="0"/>
        <w:spacing w:after="0" w:line="240" w:lineRule="auto"/>
        <w:ind w:right="6"/>
        <w:jc w:val="both"/>
        <w:rPr>
          <w:rFonts w:eastAsia="Batang" w:cs="Verdana"/>
          <w:szCs w:val="20"/>
          <w:lang w:val="en-US" w:eastAsia="es-ES"/>
        </w:rPr>
      </w:pPr>
    </w:p>
    <w:p w14:paraId="13841667" w14:textId="26AB8084" w:rsidR="001D1455" w:rsidRPr="007B2402" w:rsidRDefault="001D1455" w:rsidP="000230DA">
      <w:pPr>
        <w:keepNext/>
        <w:keepLines/>
        <w:snapToGrid w:val="0"/>
        <w:spacing w:after="0" w:line="240" w:lineRule="auto"/>
        <w:jc w:val="center"/>
        <w:outlineLvl w:val="0"/>
        <w:rPr>
          <w:rFonts w:eastAsia="Times New Roman" w:cs="Verdana"/>
          <w:b/>
          <w:bCs/>
          <w:caps/>
          <w:szCs w:val="20"/>
          <w:lang w:val="en-US" w:eastAsia="es-ES"/>
        </w:rPr>
      </w:pPr>
      <w:bookmarkStart w:id="29" w:name="_Toc491935492"/>
      <w:bookmarkStart w:id="30" w:name="_Toc486842907"/>
      <w:bookmarkStart w:id="31" w:name="_Toc486842769"/>
      <w:bookmarkStart w:id="32" w:name="_Toc486693353"/>
      <w:bookmarkStart w:id="33" w:name="_Toc506984073"/>
      <w:r w:rsidRPr="007B2402">
        <w:rPr>
          <w:rFonts w:eastAsia="Times New Roman" w:cs="Verdana"/>
          <w:b/>
          <w:bCs/>
          <w:caps/>
          <w:szCs w:val="20"/>
          <w:lang w:val="en-US" w:eastAsia="es-ES"/>
        </w:rPr>
        <w:t>III</w:t>
      </w:r>
      <w:r w:rsidRPr="007B2402">
        <w:rPr>
          <w:rFonts w:eastAsia="Times New Roman" w:cs="Verdana"/>
          <w:b/>
          <w:bCs/>
          <w:caps/>
          <w:color w:val="FFFFFF" w:themeColor="background1"/>
          <w:szCs w:val="20"/>
          <w:lang w:val="en-US" w:eastAsia="es-ES"/>
        </w:rPr>
        <w:t>.</w:t>
      </w:r>
      <w:r w:rsidRPr="007B2402">
        <w:rPr>
          <w:rFonts w:eastAsia="Times New Roman" w:cs="Verdana"/>
          <w:b/>
          <w:bCs/>
          <w:caps/>
          <w:szCs w:val="20"/>
          <w:lang w:val="en-US" w:eastAsia="es-ES"/>
        </w:rPr>
        <w:br/>
      </w:r>
      <w:r w:rsidR="007E42A8" w:rsidRPr="007B2402">
        <w:rPr>
          <w:rFonts w:eastAsia="Times New Roman" w:cs="Verdana"/>
          <w:b/>
          <w:bCs/>
          <w:caps/>
          <w:szCs w:val="20"/>
          <w:lang w:val="en-US" w:eastAsia="es-ES"/>
        </w:rPr>
        <w:t>JURISDICTION</w:t>
      </w:r>
      <w:bookmarkEnd w:id="29"/>
      <w:bookmarkEnd w:id="30"/>
      <w:bookmarkEnd w:id="31"/>
      <w:bookmarkEnd w:id="32"/>
      <w:bookmarkEnd w:id="33"/>
    </w:p>
    <w:p w14:paraId="6E3AA2F9" w14:textId="77777777" w:rsidR="000230DA" w:rsidRPr="007B2402" w:rsidRDefault="000230DA" w:rsidP="000230DA">
      <w:pPr>
        <w:autoSpaceDE w:val="0"/>
        <w:autoSpaceDN w:val="0"/>
        <w:adjustRightInd w:val="0"/>
        <w:spacing w:after="0" w:line="240" w:lineRule="auto"/>
        <w:ind w:right="6"/>
        <w:jc w:val="both"/>
        <w:rPr>
          <w:rFonts w:eastAsia="Batang" w:cs="Times"/>
          <w:szCs w:val="20"/>
          <w:lang w:val="en-US"/>
        </w:rPr>
      </w:pPr>
    </w:p>
    <w:p w14:paraId="4D5C2457" w14:textId="426BF7FF" w:rsidR="001D1455" w:rsidRPr="007B2402" w:rsidRDefault="00AF4344" w:rsidP="00DB1F30">
      <w:pPr>
        <w:numPr>
          <w:ilvl w:val="0"/>
          <w:numId w:val="6"/>
        </w:numPr>
        <w:autoSpaceDE w:val="0"/>
        <w:autoSpaceDN w:val="0"/>
        <w:adjustRightInd w:val="0"/>
        <w:spacing w:after="0" w:line="240" w:lineRule="auto"/>
        <w:ind w:right="6"/>
        <w:jc w:val="both"/>
        <w:rPr>
          <w:rFonts w:eastAsia="Batang" w:cs="Times"/>
          <w:szCs w:val="20"/>
          <w:lang w:val="en-US"/>
        </w:rPr>
      </w:pPr>
      <w:r w:rsidRPr="007B2402">
        <w:rPr>
          <w:rFonts w:eastAsia="Batang" w:cs="Times"/>
          <w:noProof/>
          <w:szCs w:val="20"/>
          <w:lang w:val="en-US"/>
        </w:rPr>
        <w:t>The Inter-American Court</w:t>
      </w:r>
      <w:r w:rsidR="001D1455" w:rsidRPr="007B2402">
        <w:rPr>
          <w:rFonts w:eastAsia="Batang" w:cs="Times"/>
          <w:noProof/>
          <w:szCs w:val="20"/>
          <w:lang w:val="en-US"/>
        </w:rPr>
        <w:t xml:space="preserve"> </w:t>
      </w:r>
      <w:r w:rsidR="007E42A8" w:rsidRPr="007B2402">
        <w:rPr>
          <w:rFonts w:eastAsia="Batang" w:cs="Times"/>
          <w:noProof/>
          <w:szCs w:val="20"/>
          <w:lang w:val="en-US"/>
        </w:rPr>
        <w:t xml:space="preserve">has jurisdiction to hear this case, in the terms </w:t>
      </w:r>
      <w:r w:rsidR="006E2CFF" w:rsidRPr="007B2402">
        <w:rPr>
          <w:rFonts w:eastAsia="Batang" w:cs="Times"/>
          <w:noProof/>
          <w:szCs w:val="20"/>
          <w:lang w:val="en-US"/>
        </w:rPr>
        <w:t>of Article</w:t>
      </w:r>
      <w:r w:rsidR="001D1455" w:rsidRPr="007B2402">
        <w:rPr>
          <w:rFonts w:eastAsia="Batang" w:cs="Times"/>
          <w:noProof/>
          <w:szCs w:val="20"/>
          <w:lang w:val="en-US"/>
        </w:rPr>
        <w:t xml:space="preserve"> 62</w:t>
      </w:r>
      <w:r w:rsidR="007E42A8" w:rsidRPr="007B2402">
        <w:rPr>
          <w:rFonts w:eastAsia="Batang" w:cs="Times"/>
          <w:noProof/>
          <w:szCs w:val="20"/>
          <w:lang w:val="en-US"/>
        </w:rPr>
        <w:t>(3)</w:t>
      </w:r>
      <w:r w:rsidRPr="007B2402">
        <w:rPr>
          <w:rFonts w:eastAsia="Batang" w:cs="Times"/>
          <w:noProof/>
          <w:szCs w:val="20"/>
          <w:lang w:val="en-US"/>
        </w:rPr>
        <w:t xml:space="preserve"> of the Convention</w:t>
      </w:r>
      <w:r w:rsidR="001D1455" w:rsidRPr="007B2402">
        <w:rPr>
          <w:rFonts w:eastAsia="Batang" w:cs="Times"/>
          <w:noProof/>
          <w:szCs w:val="20"/>
          <w:lang w:val="en-US"/>
        </w:rPr>
        <w:t xml:space="preserve">, </w:t>
      </w:r>
      <w:r w:rsidR="007E42A8" w:rsidRPr="007B2402">
        <w:rPr>
          <w:rFonts w:eastAsia="Batang" w:cs="Times"/>
          <w:noProof/>
          <w:szCs w:val="20"/>
          <w:lang w:val="en-US"/>
        </w:rPr>
        <w:t>because</w:t>
      </w:r>
      <w:r w:rsidR="001D1455" w:rsidRPr="007B2402">
        <w:rPr>
          <w:rFonts w:eastAsia="Batang" w:cs="Times"/>
          <w:noProof/>
          <w:szCs w:val="20"/>
          <w:lang w:val="en-US"/>
        </w:rPr>
        <w:t xml:space="preserve"> </w:t>
      </w:r>
      <w:r w:rsidRPr="007B2402">
        <w:rPr>
          <w:rFonts w:eastAsia="Batang" w:cs="Times"/>
          <w:noProof/>
          <w:szCs w:val="20"/>
          <w:lang w:val="en-US"/>
        </w:rPr>
        <w:t>Brazil</w:t>
      </w:r>
      <w:r w:rsidR="001D1455" w:rsidRPr="007B2402">
        <w:rPr>
          <w:rFonts w:eastAsia="Batang" w:cs="Times"/>
          <w:noProof/>
          <w:szCs w:val="20"/>
          <w:lang w:val="en-US"/>
        </w:rPr>
        <w:t xml:space="preserve"> </w:t>
      </w:r>
      <w:r w:rsidR="007E42A8" w:rsidRPr="007B2402">
        <w:rPr>
          <w:rFonts w:eastAsia="Batang" w:cs="Times"/>
          <w:noProof/>
          <w:szCs w:val="20"/>
          <w:lang w:val="en-US"/>
        </w:rPr>
        <w:t xml:space="preserve">has been a State Party to </w:t>
      </w:r>
      <w:r w:rsidRPr="007B2402">
        <w:rPr>
          <w:rFonts w:eastAsia="Batang" w:cs="Times"/>
          <w:noProof/>
          <w:szCs w:val="20"/>
          <w:lang w:val="en-US"/>
        </w:rPr>
        <w:t>the American Convention</w:t>
      </w:r>
      <w:r w:rsidR="001D1455" w:rsidRPr="007B2402">
        <w:rPr>
          <w:rFonts w:eastAsia="Batang" w:cs="Times"/>
          <w:noProof/>
          <w:szCs w:val="20"/>
          <w:lang w:val="en-US"/>
        </w:rPr>
        <w:t xml:space="preserve"> </w:t>
      </w:r>
      <w:r w:rsidR="007E42A8" w:rsidRPr="007B2402">
        <w:rPr>
          <w:rFonts w:eastAsia="Batang" w:cs="Times"/>
          <w:noProof/>
          <w:szCs w:val="20"/>
          <w:lang w:val="en-US"/>
        </w:rPr>
        <w:t>since September 25,</w:t>
      </w:r>
      <w:r w:rsidR="001D1455" w:rsidRPr="007B2402">
        <w:rPr>
          <w:rFonts w:eastAsia="Batang" w:cs="Times"/>
          <w:noProof/>
          <w:szCs w:val="20"/>
          <w:lang w:val="en-US"/>
        </w:rPr>
        <w:t xml:space="preserve"> 1992</w:t>
      </w:r>
      <w:r w:rsidR="007E42A8" w:rsidRPr="007B2402">
        <w:rPr>
          <w:rFonts w:eastAsia="Batang" w:cs="Times"/>
          <w:noProof/>
          <w:szCs w:val="20"/>
          <w:lang w:val="en-US"/>
        </w:rPr>
        <w:t>,</w:t>
      </w:r>
      <w:r w:rsidR="005B1590" w:rsidRPr="007B2402">
        <w:rPr>
          <w:rFonts w:eastAsia="Batang" w:cs="Times"/>
          <w:noProof/>
          <w:szCs w:val="20"/>
          <w:lang w:val="en-US"/>
        </w:rPr>
        <w:t xml:space="preserve"> and </w:t>
      </w:r>
      <w:r w:rsidR="007E42A8" w:rsidRPr="007B2402">
        <w:rPr>
          <w:rFonts w:eastAsia="Batang" w:cs="Times"/>
          <w:noProof/>
          <w:szCs w:val="20"/>
          <w:lang w:val="en-US"/>
        </w:rPr>
        <w:t xml:space="preserve">accepted the contentious jurisdiction of the Court on December 10, </w:t>
      </w:r>
      <w:r w:rsidR="001D1455" w:rsidRPr="007B2402">
        <w:rPr>
          <w:rFonts w:eastAsia="Batang" w:cs="Times"/>
          <w:noProof/>
          <w:szCs w:val="20"/>
          <w:lang w:val="en-US"/>
        </w:rPr>
        <w:t>1998.</w:t>
      </w:r>
    </w:p>
    <w:p w14:paraId="62EAFCEA" w14:textId="77777777" w:rsidR="00F94669" w:rsidRPr="007B2402" w:rsidRDefault="00F94669" w:rsidP="00F94669">
      <w:pPr>
        <w:autoSpaceDE w:val="0"/>
        <w:autoSpaceDN w:val="0"/>
        <w:adjustRightInd w:val="0"/>
        <w:spacing w:after="0" w:line="240" w:lineRule="auto"/>
        <w:ind w:right="6"/>
        <w:jc w:val="both"/>
        <w:rPr>
          <w:rFonts w:eastAsia="Batang" w:cs="Times"/>
          <w:szCs w:val="20"/>
          <w:lang w:val="en-US"/>
        </w:rPr>
      </w:pPr>
    </w:p>
    <w:p w14:paraId="6BF578A5" w14:textId="2E8ED7B6" w:rsidR="001D1455" w:rsidRPr="007B2402" w:rsidRDefault="001D1455" w:rsidP="00F94669">
      <w:pPr>
        <w:keepNext/>
        <w:keepLines/>
        <w:snapToGrid w:val="0"/>
        <w:spacing w:after="0" w:line="240" w:lineRule="auto"/>
        <w:jc w:val="center"/>
        <w:outlineLvl w:val="0"/>
        <w:rPr>
          <w:rFonts w:eastAsia="Times New Roman" w:cs="Verdana"/>
          <w:b/>
          <w:bCs/>
          <w:caps/>
          <w:szCs w:val="20"/>
          <w:lang w:val="en-US" w:eastAsia="es-ES"/>
        </w:rPr>
      </w:pPr>
      <w:bookmarkStart w:id="34" w:name="_Toc491935496"/>
      <w:bookmarkStart w:id="35" w:name="_Toc486842908"/>
      <w:bookmarkStart w:id="36" w:name="_Toc486842770"/>
      <w:bookmarkStart w:id="37" w:name="_Toc486693354"/>
      <w:bookmarkStart w:id="38" w:name="_Toc506984074"/>
      <w:bookmarkStart w:id="39" w:name="_Toc438132275"/>
      <w:bookmarkStart w:id="40" w:name="_Toc315133577"/>
      <w:bookmarkStart w:id="41" w:name="_Toc316919762"/>
      <w:bookmarkStart w:id="42" w:name="_Toc329703867"/>
      <w:bookmarkStart w:id="43" w:name="_Toc336638904"/>
      <w:bookmarkStart w:id="44" w:name="_Toc359314424"/>
      <w:bookmarkStart w:id="45" w:name="_Toc361671574"/>
      <w:bookmarkStart w:id="46" w:name="_Toc361671994"/>
      <w:bookmarkStart w:id="47" w:name="_Toc361732791"/>
      <w:bookmarkStart w:id="48" w:name="_Toc361732834"/>
      <w:bookmarkStart w:id="49" w:name="_Toc362456865"/>
      <w:bookmarkStart w:id="50" w:name="_Toc365021394"/>
      <w:bookmarkStart w:id="51" w:name="_Toc369076780"/>
      <w:bookmarkStart w:id="52" w:name="_Toc369989372"/>
      <w:bookmarkStart w:id="53" w:name="_Toc369989459"/>
      <w:bookmarkStart w:id="54" w:name="_Toc369989740"/>
      <w:bookmarkStart w:id="55" w:name="_Toc311128165"/>
      <w:bookmarkStart w:id="56" w:name="_Toc311128362"/>
      <w:bookmarkStart w:id="57" w:name="_Toc442082545"/>
      <w:r w:rsidRPr="007B2402">
        <w:rPr>
          <w:rFonts w:eastAsia="Times New Roman" w:cs="Verdana"/>
          <w:b/>
          <w:bCs/>
          <w:caps/>
          <w:szCs w:val="20"/>
          <w:lang w:val="en-US" w:eastAsia="es-ES"/>
        </w:rPr>
        <w:lastRenderedPageBreak/>
        <w:t>IV</w:t>
      </w:r>
      <w:r w:rsidRPr="007B2402">
        <w:rPr>
          <w:rFonts w:eastAsia="Times New Roman" w:cs="Verdana"/>
          <w:b/>
          <w:bCs/>
          <w:caps/>
          <w:color w:val="FFFFFF" w:themeColor="background1"/>
          <w:szCs w:val="20"/>
          <w:lang w:val="en-US" w:eastAsia="es-ES"/>
        </w:rPr>
        <w:t>.</w:t>
      </w:r>
      <w:r w:rsidRPr="007B2402">
        <w:rPr>
          <w:rFonts w:eastAsia="Times New Roman" w:cs="Verdana"/>
          <w:b/>
          <w:bCs/>
          <w:caps/>
          <w:szCs w:val="20"/>
          <w:lang w:val="en-US" w:eastAsia="es-ES"/>
        </w:rPr>
        <w:br/>
      </w:r>
      <w:bookmarkEnd w:id="34"/>
      <w:bookmarkEnd w:id="35"/>
      <w:bookmarkEnd w:id="36"/>
      <w:bookmarkEnd w:id="37"/>
      <w:r w:rsidR="006E2CFF" w:rsidRPr="007B2402">
        <w:rPr>
          <w:rFonts w:eastAsia="Times New Roman" w:cs="Verdana"/>
          <w:b/>
          <w:bCs/>
          <w:szCs w:val="20"/>
          <w:lang w:val="en-US" w:eastAsia="es-ES"/>
        </w:rPr>
        <w:t>PRELIMINARY OBJECTIONS</w:t>
      </w:r>
      <w:bookmarkEnd w:id="38"/>
    </w:p>
    <w:p w14:paraId="43223166" w14:textId="77777777" w:rsidR="003B5FC8" w:rsidRPr="007B2402" w:rsidRDefault="003B5FC8" w:rsidP="003B5FC8">
      <w:pPr>
        <w:spacing w:after="0" w:line="240" w:lineRule="auto"/>
        <w:jc w:val="center"/>
        <w:rPr>
          <w:rFonts w:eastAsia="Calibri" w:cs="Times New Roman"/>
          <w:b/>
          <w:szCs w:val="20"/>
          <w:lang w:val="en-US"/>
        </w:rPr>
      </w:pPr>
      <w:bookmarkStart w:id="58" w:name="_Toc491935499"/>
      <w:bookmarkStart w:id="59" w:name="_Toc486842911"/>
      <w:bookmarkStart w:id="60" w:name="_Toc486842773"/>
      <w:bookmarkStart w:id="61" w:name="_Toc486693357"/>
    </w:p>
    <w:p w14:paraId="11CDFFC8" w14:textId="135A2DC9" w:rsidR="003B5FC8" w:rsidRPr="007B2402" w:rsidRDefault="007E42A8" w:rsidP="00DB1F30">
      <w:pPr>
        <w:numPr>
          <w:ilvl w:val="0"/>
          <w:numId w:val="5"/>
        </w:numPr>
        <w:spacing w:after="0" w:line="240" w:lineRule="auto"/>
        <w:contextualSpacing/>
        <w:jc w:val="both"/>
        <w:rPr>
          <w:rFonts w:eastAsia="Calibri" w:cs="Verdana Bold"/>
          <w:b/>
          <w:bCs/>
          <w:szCs w:val="20"/>
          <w:lang w:val="en-US"/>
        </w:rPr>
      </w:pPr>
      <w:r w:rsidRPr="007B2402">
        <w:rPr>
          <w:rFonts w:eastAsia="Calibri" w:cs="Times New Roman"/>
          <w:szCs w:val="20"/>
          <w:lang w:val="en-US"/>
        </w:rPr>
        <w:t>In its</w:t>
      </w:r>
      <w:r w:rsidR="003B5FC8" w:rsidRPr="007B2402">
        <w:rPr>
          <w:rFonts w:eastAsia="Calibri" w:cs="Times New Roman"/>
          <w:szCs w:val="20"/>
          <w:lang w:val="en-US"/>
        </w:rPr>
        <w:t xml:space="preserve"> </w:t>
      </w:r>
      <w:r w:rsidR="006E2CFF" w:rsidRPr="007B2402">
        <w:rPr>
          <w:rFonts w:eastAsia="Calibri" w:cs="Times New Roman"/>
          <w:szCs w:val="20"/>
          <w:lang w:val="en-US"/>
        </w:rPr>
        <w:t>answering brief</w:t>
      </w:r>
      <w:r w:rsidR="003B5FC8" w:rsidRPr="007B2402">
        <w:rPr>
          <w:rFonts w:eastAsia="Calibri" w:cs="Times New Roman"/>
          <w:szCs w:val="20"/>
          <w:lang w:val="en-US"/>
        </w:rPr>
        <w:t xml:space="preserve">, </w:t>
      </w:r>
      <w:r w:rsidR="00AF4344" w:rsidRPr="007B2402">
        <w:rPr>
          <w:rFonts w:eastAsia="Calibri" w:cs="Times New Roman"/>
          <w:szCs w:val="20"/>
          <w:lang w:val="en-US"/>
        </w:rPr>
        <w:t>the State</w:t>
      </w:r>
      <w:r w:rsidR="003B5FC8" w:rsidRPr="007B2402">
        <w:rPr>
          <w:rFonts w:eastAsia="Calibri" w:cs="Times New Roman"/>
          <w:szCs w:val="20"/>
          <w:lang w:val="en-US"/>
        </w:rPr>
        <w:t xml:space="preserve"> </w:t>
      </w:r>
      <w:r w:rsidRPr="007B2402">
        <w:rPr>
          <w:rFonts w:eastAsia="Calibri" w:cs="Times New Roman"/>
          <w:szCs w:val="20"/>
          <w:lang w:val="en-US"/>
        </w:rPr>
        <w:t>filed nine</w:t>
      </w:r>
      <w:r w:rsidR="003B5FC8" w:rsidRPr="007B2402">
        <w:rPr>
          <w:rFonts w:eastAsia="Calibri" w:cs="Times New Roman"/>
          <w:szCs w:val="20"/>
          <w:lang w:val="en-US"/>
        </w:rPr>
        <w:t xml:space="preserve"> </w:t>
      </w:r>
      <w:r w:rsidR="006E2CFF" w:rsidRPr="007B2402">
        <w:rPr>
          <w:rFonts w:eastAsia="Calibri" w:cs="Times New Roman"/>
          <w:szCs w:val="20"/>
          <w:lang w:val="en-US"/>
        </w:rPr>
        <w:t>preliminary objections</w:t>
      </w:r>
      <w:r w:rsidR="003B5FC8" w:rsidRPr="007B2402">
        <w:rPr>
          <w:rFonts w:eastAsia="Calibri" w:cs="Times New Roman"/>
          <w:szCs w:val="20"/>
          <w:lang w:val="en-US"/>
        </w:rPr>
        <w:t xml:space="preserve"> </w:t>
      </w:r>
      <w:r w:rsidRPr="007B2402">
        <w:rPr>
          <w:rFonts w:eastAsia="Calibri" w:cs="Times New Roman"/>
          <w:szCs w:val="20"/>
          <w:lang w:val="en-US"/>
        </w:rPr>
        <w:t>with regard to</w:t>
      </w:r>
      <w:r w:rsidR="003B5FC8" w:rsidRPr="007B2402">
        <w:rPr>
          <w:rFonts w:eastAsia="Calibri" w:cs="Times New Roman"/>
          <w:szCs w:val="20"/>
          <w:lang w:val="en-US"/>
        </w:rPr>
        <w:t xml:space="preserve">: </w:t>
      </w:r>
      <w:r w:rsidRPr="007B2402">
        <w:rPr>
          <w:rFonts w:eastAsia="Calibri" w:cs="Times New Roman"/>
          <w:b/>
          <w:szCs w:val="20"/>
          <w:lang w:val="en-US"/>
        </w:rPr>
        <w:t>(</w:t>
      </w:r>
      <w:r w:rsidR="003B5FC8" w:rsidRPr="007B2402">
        <w:rPr>
          <w:rFonts w:eastAsia="Calibri" w:cs="Times New Roman"/>
          <w:b/>
          <w:szCs w:val="20"/>
          <w:lang w:val="en-US"/>
        </w:rPr>
        <w:t>a)</w:t>
      </w:r>
      <w:r w:rsidR="003B5FC8" w:rsidRPr="007B2402">
        <w:rPr>
          <w:rFonts w:eastAsia="Calibri" w:cs="Times New Roman"/>
          <w:szCs w:val="20"/>
          <w:lang w:val="en-US"/>
        </w:rPr>
        <w:t xml:space="preserve"> </w:t>
      </w:r>
      <w:r w:rsidRPr="007B2402">
        <w:rPr>
          <w:rFonts w:eastAsia="Calibri" w:cs="Times New Roman"/>
          <w:szCs w:val="20"/>
          <w:lang w:val="en-US"/>
        </w:rPr>
        <w:t>Lack of jurisdiction</w:t>
      </w:r>
      <w:r w:rsidR="003B5FC8" w:rsidRPr="007B2402">
        <w:rPr>
          <w:rFonts w:eastAsia="Calibri" w:cs="Times New Roman"/>
          <w:szCs w:val="20"/>
          <w:lang w:val="en-US"/>
        </w:rPr>
        <w:t xml:space="preserve"> </w:t>
      </w:r>
      <w:r w:rsidR="003B5FC8" w:rsidRPr="007B2402">
        <w:rPr>
          <w:rFonts w:eastAsia="Calibri" w:cs="Times New Roman"/>
          <w:i/>
          <w:szCs w:val="20"/>
          <w:lang w:val="en-US"/>
        </w:rPr>
        <w:t>ratione temporis</w:t>
      </w:r>
      <w:r w:rsidR="003B5FC8" w:rsidRPr="007B2402">
        <w:rPr>
          <w:rFonts w:eastAsia="Calibri" w:cs="Times New Roman"/>
          <w:szCs w:val="20"/>
          <w:lang w:val="en-US"/>
        </w:rPr>
        <w:t xml:space="preserve"> </w:t>
      </w:r>
      <w:r w:rsidRPr="007B2402">
        <w:rPr>
          <w:rFonts w:eastAsia="Calibri" w:cs="Times New Roman"/>
          <w:szCs w:val="20"/>
          <w:lang w:val="en-US"/>
        </w:rPr>
        <w:t xml:space="preserve">over facts prior to the acceptances of the contentious jurisdiction of the Court; </w:t>
      </w:r>
      <w:r w:rsidRPr="007B2402">
        <w:rPr>
          <w:rFonts w:eastAsia="Calibri" w:cs="Times New Roman"/>
          <w:b/>
          <w:szCs w:val="20"/>
          <w:lang w:val="en-US"/>
        </w:rPr>
        <w:t>(</w:t>
      </w:r>
      <w:r w:rsidR="003B5FC8" w:rsidRPr="007B2402">
        <w:rPr>
          <w:rFonts w:eastAsia="Calibri" w:cs="Times New Roman"/>
          <w:b/>
          <w:szCs w:val="20"/>
          <w:lang w:val="en-US"/>
        </w:rPr>
        <w:t>b)</w:t>
      </w:r>
      <w:r w:rsidR="003B5FC8" w:rsidRPr="007B2402">
        <w:rPr>
          <w:rFonts w:eastAsia="Calibri" w:cs="Times New Roman"/>
          <w:szCs w:val="20"/>
          <w:lang w:val="en-US"/>
        </w:rPr>
        <w:t xml:space="preserve"> </w:t>
      </w:r>
      <w:r w:rsidRPr="007B2402">
        <w:rPr>
          <w:rFonts w:eastAsia="Calibri" w:cs="Times New Roman"/>
          <w:szCs w:val="20"/>
          <w:lang w:val="en-US"/>
        </w:rPr>
        <w:t>Lack of jurisdiction</w:t>
      </w:r>
      <w:r w:rsidR="003B5FC8" w:rsidRPr="007B2402">
        <w:rPr>
          <w:rFonts w:eastAsia="Calibri" w:cs="Times New Roman"/>
          <w:szCs w:val="20"/>
          <w:lang w:val="en-US"/>
        </w:rPr>
        <w:t xml:space="preserve"> </w:t>
      </w:r>
      <w:r w:rsidR="003B5FC8" w:rsidRPr="007B2402">
        <w:rPr>
          <w:rFonts w:eastAsia="Calibri" w:cs="Times New Roman"/>
          <w:i/>
          <w:szCs w:val="20"/>
          <w:lang w:val="en-US"/>
        </w:rPr>
        <w:t>ratione temporis</w:t>
      </w:r>
      <w:r w:rsidR="003B5FC8" w:rsidRPr="007B2402">
        <w:rPr>
          <w:rFonts w:eastAsia="Calibri" w:cs="Times New Roman"/>
          <w:szCs w:val="20"/>
          <w:lang w:val="en-US"/>
        </w:rPr>
        <w:t xml:space="preserve"> </w:t>
      </w:r>
      <w:r w:rsidRPr="007B2402">
        <w:rPr>
          <w:rFonts w:eastAsia="Calibri" w:cs="Times New Roman"/>
          <w:szCs w:val="20"/>
          <w:lang w:val="en-US"/>
        </w:rPr>
        <w:t xml:space="preserve">over facts prior to </w:t>
      </w:r>
      <w:r w:rsidR="00984D7E" w:rsidRPr="007B2402">
        <w:rPr>
          <w:rFonts w:eastAsia="Calibri" w:cs="Times New Roman"/>
          <w:szCs w:val="20"/>
          <w:lang w:val="en-US"/>
        </w:rPr>
        <w:t>its</w:t>
      </w:r>
      <w:r w:rsidRPr="007B2402">
        <w:rPr>
          <w:rFonts w:eastAsia="Calibri" w:cs="Times New Roman"/>
          <w:szCs w:val="20"/>
          <w:lang w:val="en-US"/>
        </w:rPr>
        <w:t xml:space="preserve"> adhesion to </w:t>
      </w:r>
      <w:r w:rsidR="00AF4344" w:rsidRPr="007B2402">
        <w:rPr>
          <w:rFonts w:eastAsia="Calibri" w:cs="Times New Roman"/>
          <w:szCs w:val="20"/>
          <w:lang w:val="en-US"/>
        </w:rPr>
        <w:t>the American Convention</w:t>
      </w:r>
      <w:r w:rsidR="003B5FC8" w:rsidRPr="007B2402">
        <w:rPr>
          <w:rFonts w:eastAsia="Calibri" w:cs="Times New Roman"/>
          <w:szCs w:val="20"/>
          <w:lang w:val="en-US"/>
        </w:rPr>
        <w:t xml:space="preserve">; </w:t>
      </w:r>
      <w:r w:rsidRPr="007B2402">
        <w:rPr>
          <w:rFonts w:eastAsia="Calibri" w:cs="Times New Roman"/>
          <w:b/>
          <w:szCs w:val="20"/>
          <w:lang w:val="en-US"/>
        </w:rPr>
        <w:t>(</w:t>
      </w:r>
      <w:r w:rsidR="003B5FC8" w:rsidRPr="007B2402">
        <w:rPr>
          <w:rFonts w:eastAsia="Calibri" w:cs="Times New Roman"/>
          <w:b/>
          <w:szCs w:val="20"/>
          <w:lang w:val="en-US"/>
        </w:rPr>
        <w:t>c)</w:t>
      </w:r>
      <w:r w:rsidR="003B5FC8" w:rsidRPr="007B2402">
        <w:rPr>
          <w:rFonts w:eastAsia="Calibri" w:cs="Times New Roman"/>
          <w:szCs w:val="20"/>
          <w:lang w:val="en-US"/>
        </w:rPr>
        <w:t xml:space="preserve"> </w:t>
      </w:r>
      <w:r w:rsidRPr="007B2402">
        <w:rPr>
          <w:rFonts w:eastAsia="Calibri" w:cs="Times New Roman"/>
          <w:szCs w:val="20"/>
          <w:lang w:val="en-US"/>
        </w:rPr>
        <w:t>Lack of jurisdiction</w:t>
      </w:r>
      <w:r w:rsidR="003B5FC8" w:rsidRPr="007B2402">
        <w:rPr>
          <w:rFonts w:eastAsia="Calibri" w:cs="Times New Roman"/>
          <w:szCs w:val="20"/>
          <w:lang w:val="en-US"/>
        </w:rPr>
        <w:t xml:space="preserve"> </w:t>
      </w:r>
      <w:r w:rsidR="003B5FC8" w:rsidRPr="007B2402">
        <w:rPr>
          <w:rFonts w:eastAsia="Calibri" w:cs="Times New Roman"/>
          <w:i/>
          <w:szCs w:val="20"/>
          <w:lang w:val="en-US"/>
        </w:rPr>
        <w:t>ratione materiae</w:t>
      </w:r>
      <w:r w:rsidR="003B5FC8" w:rsidRPr="007B2402">
        <w:rPr>
          <w:rFonts w:eastAsia="Calibri" w:cs="Times New Roman"/>
          <w:szCs w:val="20"/>
          <w:lang w:val="en-US"/>
        </w:rPr>
        <w:t xml:space="preserve"> </w:t>
      </w:r>
      <w:r w:rsidRPr="007B2402">
        <w:rPr>
          <w:rFonts w:eastAsia="Calibri" w:cs="Times New Roman"/>
          <w:szCs w:val="20"/>
          <w:lang w:val="en-US"/>
        </w:rPr>
        <w:t xml:space="preserve">in relation to supposed violations of </w:t>
      </w:r>
      <w:r w:rsidR="00AF4344" w:rsidRPr="007B2402">
        <w:rPr>
          <w:rFonts w:eastAsia="Calibri" w:cs="Times New Roman"/>
          <w:szCs w:val="20"/>
          <w:lang w:val="en-US"/>
        </w:rPr>
        <w:t>Articles</w:t>
      </w:r>
      <w:r w:rsidR="003B5FC8" w:rsidRPr="007B2402">
        <w:rPr>
          <w:rFonts w:eastAsia="Calibri" w:cs="Times New Roman"/>
          <w:szCs w:val="20"/>
          <w:lang w:val="en-US"/>
        </w:rPr>
        <w:t xml:space="preserve"> 1, 6</w:t>
      </w:r>
      <w:r w:rsidR="005B1590" w:rsidRPr="007B2402">
        <w:rPr>
          <w:rFonts w:eastAsia="Calibri" w:cs="Times New Roman"/>
          <w:szCs w:val="20"/>
          <w:lang w:val="en-US"/>
        </w:rPr>
        <w:t xml:space="preserve"> and </w:t>
      </w:r>
      <w:r w:rsidR="003B5FC8" w:rsidRPr="007B2402">
        <w:rPr>
          <w:rFonts w:eastAsia="Calibri" w:cs="Times New Roman"/>
          <w:szCs w:val="20"/>
          <w:lang w:val="en-US"/>
        </w:rPr>
        <w:t>8</w:t>
      </w:r>
      <w:r w:rsidR="00AF4344" w:rsidRPr="007B2402">
        <w:rPr>
          <w:rFonts w:eastAsia="Calibri" w:cs="Times New Roman"/>
          <w:szCs w:val="20"/>
          <w:lang w:val="en-US"/>
        </w:rPr>
        <w:t xml:space="preserve"> of the </w:t>
      </w:r>
      <w:r w:rsidR="00375567" w:rsidRPr="007B2402">
        <w:rPr>
          <w:rFonts w:eastAsia="Calibri" w:cs="Times New Roman"/>
          <w:szCs w:val="20"/>
          <w:lang w:val="en-US"/>
        </w:rPr>
        <w:t>Inter-American Convention to Prevent and Punish Torture</w:t>
      </w:r>
      <w:r w:rsidR="003B5FC8" w:rsidRPr="007B2402">
        <w:rPr>
          <w:rFonts w:eastAsia="Calibri" w:cs="Times New Roman"/>
          <w:szCs w:val="20"/>
          <w:lang w:val="en-US"/>
        </w:rPr>
        <w:t xml:space="preserve"> (</w:t>
      </w:r>
      <w:r w:rsidR="00375567" w:rsidRPr="007B2402">
        <w:rPr>
          <w:rFonts w:eastAsia="Calibri" w:cs="Times New Roman"/>
          <w:szCs w:val="20"/>
          <w:lang w:val="en-US"/>
        </w:rPr>
        <w:t>ICPPT</w:t>
      </w:r>
      <w:r w:rsidR="003B5FC8" w:rsidRPr="007B2402">
        <w:rPr>
          <w:rFonts w:eastAsia="Calibri" w:cs="Times New Roman"/>
          <w:szCs w:val="20"/>
          <w:lang w:val="en-US"/>
        </w:rPr>
        <w:t xml:space="preserve">); </w:t>
      </w:r>
      <w:r w:rsidRPr="007B2402">
        <w:rPr>
          <w:rFonts w:eastAsia="Calibri" w:cs="Times New Roman"/>
          <w:b/>
          <w:szCs w:val="20"/>
          <w:lang w:val="en-US"/>
        </w:rPr>
        <w:t>(</w:t>
      </w:r>
      <w:r w:rsidR="003B5FC8" w:rsidRPr="007B2402">
        <w:rPr>
          <w:rFonts w:eastAsia="Calibri" w:cs="Times New Roman"/>
          <w:b/>
          <w:szCs w:val="20"/>
          <w:lang w:val="en-US"/>
        </w:rPr>
        <w:t>d)</w:t>
      </w:r>
      <w:r w:rsidR="003B5FC8" w:rsidRPr="007B2402">
        <w:rPr>
          <w:rFonts w:eastAsia="Calibri" w:cs="Times New Roman"/>
          <w:szCs w:val="20"/>
          <w:lang w:val="en-US"/>
        </w:rPr>
        <w:t xml:space="preserve"> </w:t>
      </w:r>
      <w:r w:rsidRPr="007B2402">
        <w:rPr>
          <w:rFonts w:eastAsia="Calibri" w:cs="Times New Roman"/>
          <w:szCs w:val="20"/>
          <w:lang w:val="en-US"/>
        </w:rPr>
        <w:t>Lack of jurisdiction</w:t>
      </w:r>
      <w:r w:rsidR="003B5FC8" w:rsidRPr="007B2402">
        <w:rPr>
          <w:rFonts w:eastAsia="Calibri" w:cs="Times New Roman"/>
          <w:szCs w:val="20"/>
          <w:lang w:val="en-US"/>
        </w:rPr>
        <w:t xml:space="preserve"> </w:t>
      </w:r>
      <w:r w:rsidR="003B5FC8" w:rsidRPr="007B2402">
        <w:rPr>
          <w:rFonts w:eastAsia="Calibri" w:cs="Times New Roman"/>
          <w:i/>
          <w:szCs w:val="20"/>
          <w:lang w:val="en-US"/>
        </w:rPr>
        <w:t>ratione temporis</w:t>
      </w:r>
      <w:r w:rsidR="003B5FC8" w:rsidRPr="007B2402">
        <w:rPr>
          <w:rFonts w:eastAsia="Calibri" w:cs="Times New Roman"/>
          <w:szCs w:val="20"/>
          <w:lang w:val="en-US"/>
        </w:rPr>
        <w:t xml:space="preserve"> </w:t>
      </w:r>
      <w:r w:rsidRPr="007B2402">
        <w:rPr>
          <w:rFonts w:eastAsia="Calibri" w:cs="Times New Roman"/>
          <w:szCs w:val="20"/>
          <w:lang w:val="en-US"/>
        </w:rPr>
        <w:t xml:space="preserve">over facts prior to the entry into force of the </w:t>
      </w:r>
      <w:r w:rsidR="00375567" w:rsidRPr="007B2402">
        <w:rPr>
          <w:rFonts w:eastAsia="Calibri" w:cs="Times New Roman"/>
          <w:szCs w:val="20"/>
          <w:lang w:val="en-US"/>
        </w:rPr>
        <w:t>ICPPT</w:t>
      </w:r>
      <w:r w:rsidR="003B5FC8" w:rsidRPr="007B2402">
        <w:rPr>
          <w:rFonts w:eastAsia="Calibri" w:cs="Times New Roman"/>
          <w:szCs w:val="20"/>
          <w:lang w:val="en-US"/>
        </w:rPr>
        <w:t xml:space="preserve"> </w:t>
      </w:r>
      <w:r w:rsidRPr="007B2402">
        <w:rPr>
          <w:rFonts w:eastAsia="Calibri" w:cs="Times New Roman"/>
          <w:szCs w:val="20"/>
          <w:lang w:val="en-US"/>
        </w:rPr>
        <w:t>for the Brazilian</w:t>
      </w:r>
      <w:r w:rsidR="00AF4344" w:rsidRPr="007B2402">
        <w:rPr>
          <w:rFonts w:eastAsia="Calibri" w:cs="Times New Roman"/>
          <w:szCs w:val="20"/>
          <w:lang w:val="en-US"/>
        </w:rPr>
        <w:t xml:space="preserve"> State</w:t>
      </w:r>
      <w:r w:rsidR="003B5FC8" w:rsidRPr="007B2402">
        <w:rPr>
          <w:rFonts w:eastAsia="Calibri" w:cs="Times New Roman"/>
          <w:szCs w:val="20"/>
          <w:lang w:val="en-US"/>
        </w:rPr>
        <w:t xml:space="preserve">; </w:t>
      </w:r>
      <w:r w:rsidRPr="007B2402">
        <w:rPr>
          <w:rFonts w:eastAsia="Calibri" w:cs="Times New Roman"/>
          <w:b/>
          <w:szCs w:val="20"/>
          <w:lang w:val="en-US"/>
        </w:rPr>
        <w:t>(</w:t>
      </w:r>
      <w:r w:rsidR="003B5FC8" w:rsidRPr="007B2402">
        <w:rPr>
          <w:rFonts w:eastAsia="Calibri" w:cs="Times New Roman"/>
          <w:b/>
          <w:szCs w:val="20"/>
          <w:lang w:val="en-US"/>
        </w:rPr>
        <w:t>e)</w:t>
      </w:r>
      <w:r w:rsidR="003B5FC8" w:rsidRPr="007B2402">
        <w:rPr>
          <w:rFonts w:eastAsia="Calibri" w:cs="Times New Roman"/>
          <w:szCs w:val="20"/>
          <w:lang w:val="en-US"/>
        </w:rPr>
        <w:t xml:space="preserve"> </w:t>
      </w:r>
      <w:r w:rsidRPr="007B2402">
        <w:rPr>
          <w:rFonts w:eastAsia="Calibri" w:cs="Times New Roman"/>
          <w:szCs w:val="20"/>
          <w:lang w:val="en-US"/>
        </w:rPr>
        <w:t xml:space="preserve">Non-compliance with the time </w:t>
      </w:r>
      <w:r w:rsidR="00190831" w:rsidRPr="007B2402">
        <w:rPr>
          <w:rFonts w:eastAsia="Calibri" w:cs="Times New Roman"/>
          <w:szCs w:val="20"/>
          <w:lang w:val="en-US"/>
        </w:rPr>
        <w:t>limit</w:t>
      </w:r>
      <w:r w:rsidRPr="007B2402">
        <w:rPr>
          <w:rFonts w:eastAsia="Calibri" w:cs="Times New Roman"/>
          <w:szCs w:val="20"/>
          <w:lang w:val="en-US"/>
        </w:rPr>
        <w:t xml:space="preserve"> for lodging the petition before </w:t>
      </w:r>
      <w:r w:rsidR="00AF4344" w:rsidRPr="007B2402">
        <w:rPr>
          <w:rFonts w:eastAsia="Calibri" w:cs="Times New Roman"/>
          <w:szCs w:val="20"/>
          <w:lang w:val="en-US"/>
        </w:rPr>
        <w:t>the Commission</w:t>
      </w:r>
      <w:r w:rsidR="003B5FC8" w:rsidRPr="007B2402">
        <w:rPr>
          <w:rFonts w:eastAsia="Calibri" w:cs="Times New Roman"/>
          <w:szCs w:val="20"/>
          <w:lang w:val="en-US"/>
        </w:rPr>
        <w:t xml:space="preserve"> </w:t>
      </w:r>
      <w:r w:rsidRPr="007B2402">
        <w:rPr>
          <w:rFonts w:eastAsia="Calibri" w:cs="Times New Roman"/>
          <w:szCs w:val="20"/>
          <w:lang w:val="en-US"/>
        </w:rPr>
        <w:t xml:space="preserve">with regard to alleged violations </w:t>
      </w:r>
      <w:r w:rsidR="00190831" w:rsidRPr="007B2402">
        <w:rPr>
          <w:rFonts w:eastAsia="Calibri" w:cs="Times New Roman"/>
          <w:szCs w:val="20"/>
          <w:lang w:val="en-US"/>
        </w:rPr>
        <w:t xml:space="preserve">of </w:t>
      </w:r>
      <w:r w:rsidR="00AF4344" w:rsidRPr="007B2402">
        <w:rPr>
          <w:rFonts w:eastAsia="Calibri" w:cs="Times New Roman"/>
          <w:szCs w:val="20"/>
          <w:lang w:val="en-US"/>
        </w:rPr>
        <w:t>Articles</w:t>
      </w:r>
      <w:r w:rsidR="003B5FC8" w:rsidRPr="007B2402">
        <w:rPr>
          <w:rFonts w:eastAsia="Calibri" w:cs="Times New Roman"/>
          <w:szCs w:val="20"/>
          <w:lang w:val="en-US"/>
        </w:rPr>
        <w:t xml:space="preserve"> </w:t>
      </w:r>
      <w:r w:rsidR="00375567" w:rsidRPr="007B2402">
        <w:rPr>
          <w:rFonts w:eastAsia="Calibri" w:cs="Times New Roman"/>
          <w:szCs w:val="20"/>
          <w:lang w:val="en-US"/>
        </w:rPr>
        <w:t>8(1)</w:t>
      </w:r>
      <w:r w:rsidR="005B1590" w:rsidRPr="007B2402">
        <w:rPr>
          <w:rFonts w:eastAsia="Calibri" w:cs="Times New Roman"/>
          <w:szCs w:val="20"/>
          <w:lang w:val="en-US"/>
        </w:rPr>
        <w:t xml:space="preserve"> and </w:t>
      </w:r>
      <w:r w:rsidR="003B5FC8" w:rsidRPr="007B2402">
        <w:rPr>
          <w:rFonts w:eastAsia="Calibri" w:cs="Times New Roman"/>
          <w:szCs w:val="20"/>
          <w:lang w:val="en-US"/>
        </w:rPr>
        <w:t>25</w:t>
      </w:r>
      <w:r w:rsidR="00AF4344" w:rsidRPr="007B2402">
        <w:rPr>
          <w:rFonts w:eastAsia="Calibri" w:cs="Times New Roman"/>
          <w:szCs w:val="20"/>
          <w:lang w:val="en-US"/>
        </w:rPr>
        <w:t xml:space="preserve"> of the American Convention</w:t>
      </w:r>
      <w:r w:rsidR="005B1590" w:rsidRPr="007B2402">
        <w:rPr>
          <w:rFonts w:eastAsia="Calibri" w:cs="Times New Roman"/>
          <w:szCs w:val="20"/>
          <w:lang w:val="en-US"/>
        </w:rPr>
        <w:t xml:space="preserve"> and </w:t>
      </w:r>
      <w:r w:rsidR="006E2CFF" w:rsidRPr="007B2402">
        <w:rPr>
          <w:rFonts w:eastAsia="Calibri" w:cs="Times New Roman"/>
          <w:szCs w:val="20"/>
          <w:lang w:val="en-US"/>
        </w:rPr>
        <w:t>Article</w:t>
      </w:r>
      <w:r w:rsidR="00CA1F12" w:rsidRPr="007B2402">
        <w:rPr>
          <w:rFonts w:eastAsia="Calibri" w:cs="Times New Roman"/>
          <w:szCs w:val="20"/>
          <w:lang w:val="en-US"/>
        </w:rPr>
        <w:t xml:space="preserve"> 8 </w:t>
      </w:r>
      <w:r w:rsidR="00984D7E" w:rsidRPr="007B2402">
        <w:rPr>
          <w:rFonts w:eastAsia="Calibri" w:cs="Times New Roman"/>
          <w:szCs w:val="20"/>
          <w:lang w:val="en-US"/>
        </w:rPr>
        <w:t>of the</w:t>
      </w:r>
      <w:r w:rsidR="00CA1F12" w:rsidRPr="007B2402">
        <w:rPr>
          <w:rFonts w:eastAsia="Calibri" w:cs="Times New Roman"/>
          <w:szCs w:val="20"/>
          <w:lang w:val="en-US"/>
        </w:rPr>
        <w:t xml:space="preserve"> </w:t>
      </w:r>
      <w:r w:rsidR="00375567" w:rsidRPr="007B2402">
        <w:rPr>
          <w:rFonts w:eastAsia="Calibri" w:cs="Times New Roman"/>
          <w:szCs w:val="20"/>
          <w:lang w:val="en-US"/>
        </w:rPr>
        <w:t>ICPPT</w:t>
      </w:r>
      <w:r w:rsidR="003B5FC8" w:rsidRPr="007B2402">
        <w:rPr>
          <w:rFonts w:eastAsia="Calibri" w:cs="Times New Roman"/>
          <w:szCs w:val="20"/>
          <w:lang w:val="en-US"/>
        </w:rPr>
        <w:t xml:space="preserve">; </w:t>
      </w:r>
      <w:r w:rsidRPr="007B2402">
        <w:rPr>
          <w:rFonts w:eastAsia="Calibri" w:cs="Times New Roman"/>
          <w:b/>
          <w:szCs w:val="20"/>
          <w:lang w:val="en-US"/>
        </w:rPr>
        <w:t>(</w:t>
      </w:r>
      <w:r w:rsidR="003B5FC8" w:rsidRPr="007B2402">
        <w:rPr>
          <w:rFonts w:eastAsia="Calibri" w:cs="Times New Roman"/>
          <w:b/>
          <w:szCs w:val="20"/>
          <w:lang w:val="en-US"/>
        </w:rPr>
        <w:t>f)</w:t>
      </w:r>
      <w:r w:rsidR="003B5FC8" w:rsidRPr="007B2402">
        <w:rPr>
          <w:rFonts w:eastAsia="Calibri" w:cs="Times New Roman"/>
          <w:szCs w:val="20"/>
          <w:lang w:val="en-US"/>
        </w:rPr>
        <w:t xml:space="preserve"> Fa</w:t>
      </w:r>
      <w:r w:rsidRPr="007B2402">
        <w:rPr>
          <w:rFonts w:eastAsia="Calibri" w:cs="Times New Roman"/>
          <w:szCs w:val="20"/>
          <w:lang w:val="en-US"/>
        </w:rPr>
        <w:t>ilure to exhaust domestic remedies to obtain pecuniary reparation for the alleged violations of</w:t>
      </w:r>
      <w:r w:rsidR="003B5FC8" w:rsidRPr="007B2402">
        <w:rPr>
          <w:rFonts w:eastAsia="Calibri" w:cs="Times New Roman"/>
          <w:szCs w:val="20"/>
          <w:lang w:val="en-US"/>
        </w:rPr>
        <w:t xml:space="preserve"> </w:t>
      </w:r>
      <w:r w:rsidR="00AF4344" w:rsidRPr="007B2402">
        <w:rPr>
          <w:rFonts w:eastAsia="Calibri" w:cs="Times New Roman"/>
          <w:szCs w:val="20"/>
          <w:lang w:val="en-US"/>
        </w:rPr>
        <w:t>Articles</w:t>
      </w:r>
      <w:r w:rsidR="003B5FC8" w:rsidRPr="007B2402">
        <w:rPr>
          <w:rFonts w:eastAsia="Calibri" w:cs="Times New Roman"/>
          <w:szCs w:val="20"/>
          <w:lang w:val="en-US"/>
        </w:rPr>
        <w:t xml:space="preserve"> 8</w:t>
      </w:r>
      <w:r w:rsidR="005B1590" w:rsidRPr="007B2402">
        <w:rPr>
          <w:rFonts w:eastAsia="Calibri" w:cs="Times New Roman"/>
          <w:szCs w:val="20"/>
          <w:lang w:val="en-US"/>
        </w:rPr>
        <w:t xml:space="preserve"> and </w:t>
      </w:r>
      <w:r w:rsidR="003B5FC8" w:rsidRPr="007B2402">
        <w:rPr>
          <w:rFonts w:eastAsia="Calibri" w:cs="Times New Roman"/>
          <w:szCs w:val="20"/>
          <w:lang w:val="en-US"/>
        </w:rPr>
        <w:t>25</w:t>
      </w:r>
      <w:r w:rsidR="00AF4344" w:rsidRPr="007B2402">
        <w:rPr>
          <w:rFonts w:eastAsia="Calibri" w:cs="Times New Roman"/>
          <w:szCs w:val="20"/>
          <w:lang w:val="en-US"/>
        </w:rPr>
        <w:t xml:space="preserve"> of the American Convention</w:t>
      </w:r>
      <w:r w:rsidR="005B1590" w:rsidRPr="007B2402">
        <w:rPr>
          <w:rFonts w:eastAsia="Calibri" w:cs="Times New Roman"/>
          <w:szCs w:val="20"/>
          <w:lang w:val="en-US"/>
        </w:rPr>
        <w:t xml:space="preserve"> and </w:t>
      </w:r>
      <w:r w:rsidR="003B5FC8" w:rsidRPr="007B2402">
        <w:rPr>
          <w:rFonts w:eastAsia="Calibri" w:cs="Times New Roman"/>
          <w:szCs w:val="20"/>
          <w:lang w:val="en-US"/>
        </w:rPr>
        <w:t>repara</w:t>
      </w:r>
      <w:r w:rsidRPr="007B2402">
        <w:rPr>
          <w:rFonts w:eastAsia="Calibri" w:cs="Times New Roman"/>
          <w:szCs w:val="20"/>
          <w:lang w:val="en-US"/>
        </w:rPr>
        <w:t xml:space="preserve">tions of any nature for the alleged violation </w:t>
      </w:r>
      <w:r w:rsidR="006E2CFF" w:rsidRPr="007B2402">
        <w:rPr>
          <w:rFonts w:eastAsia="Calibri" w:cs="Times New Roman"/>
          <w:szCs w:val="20"/>
          <w:lang w:val="en-US"/>
        </w:rPr>
        <w:t>of Article</w:t>
      </w:r>
      <w:r w:rsidR="003B5FC8" w:rsidRPr="007B2402">
        <w:rPr>
          <w:rFonts w:eastAsia="Calibri" w:cs="Times New Roman"/>
          <w:szCs w:val="20"/>
          <w:lang w:val="en-US"/>
        </w:rPr>
        <w:t xml:space="preserve"> </w:t>
      </w:r>
      <w:r w:rsidR="00375567" w:rsidRPr="007B2402">
        <w:rPr>
          <w:rFonts w:eastAsia="Calibri" w:cs="Times New Roman"/>
          <w:szCs w:val="20"/>
          <w:lang w:val="en-US"/>
        </w:rPr>
        <w:t>5(1)</w:t>
      </w:r>
      <w:r w:rsidR="003B5FC8" w:rsidRPr="007B2402">
        <w:rPr>
          <w:rFonts w:eastAsia="Calibri" w:cs="Times New Roman"/>
          <w:szCs w:val="20"/>
          <w:lang w:val="en-US"/>
        </w:rPr>
        <w:t xml:space="preserve"> </w:t>
      </w:r>
      <w:r w:rsidRPr="007B2402">
        <w:rPr>
          <w:rFonts w:eastAsia="Calibri" w:cs="Times New Roman"/>
          <w:szCs w:val="20"/>
          <w:lang w:val="en-US"/>
        </w:rPr>
        <w:t>of this instrument</w:t>
      </w:r>
      <w:r w:rsidR="003B5FC8" w:rsidRPr="007B2402">
        <w:rPr>
          <w:rFonts w:eastAsia="Calibri" w:cs="Times New Roman"/>
          <w:szCs w:val="20"/>
          <w:lang w:val="en-US"/>
        </w:rPr>
        <w:t xml:space="preserve">; </w:t>
      </w:r>
      <w:r w:rsidRPr="007B2402">
        <w:rPr>
          <w:rFonts w:eastAsia="Calibri" w:cs="Times New Roman"/>
          <w:b/>
          <w:szCs w:val="20"/>
          <w:lang w:val="en-US"/>
        </w:rPr>
        <w:t>(</w:t>
      </w:r>
      <w:r w:rsidR="003B5FC8" w:rsidRPr="007B2402">
        <w:rPr>
          <w:rFonts w:eastAsia="Calibri" w:cs="Times New Roman"/>
          <w:b/>
          <w:szCs w:val="20"/>
          <w:lang w:val="en-US"/>
        </w:rPr>
        <w:t>g)</w:t>
      </w:r>
      <w:r w:rsidR="003B5FC8" w:rsidRPr="007B2402">
        <w:rPr>
          <w:rFonts w:eastAsia="Calibri" w:cs="Times New Roman"/>
          <w:szCs w:val="20"/>
          <w:lang w:val="en-US"/>
        </w:rPr>
        <w:t xml:space="preserve"> </w:t>
      </w:r>
      <w:r w:rsidRPr="007B2402">
        <w:rPr>
          <w:rFonts w:eastAsia="Calibri" w:cs="Times New Roman"/>
          <w:szCs w:val="20"/>
          <w:lang w:val="en-US"/>
        </w:rPr>
        <w:t>Lack of jurisdiction</w:t>
      </w:r>
      <w:r w:rsidR="003B5FC8" w:rsidRPr="007B2402">
        <w:rPr>
          <w:rFonts w:eastAsia="Calibri" w:cs="Times New Roman"/>
          <w:szCs w:val="20"/>
          <w:lang w:val="en-US"/>
        </w:rPr>
        <w:t xml:space="preserve"> </w:t>
      </w:r>
      <w:r w:rsidR="003B5FC8" w:rsidRPr="007B2402">
        <w:rPr>
          <w:rFonts w:eastAsia="Calibri" w:cs="Times New Roman"/>
          <w:i/>
          <w:szCs w:val="20"/>
          <w:lang w:val="en-US"/>
        </w:rPr>
        <w:t>ratione materiae</w:t>
      </w:r>
      <w:r w:rsidR="003B5FC8" w:rsidRPr="007B2402">
        <w:rPr>
          <w:rFonts w:eastAsia="Calibri" w:cs="Times New Roman"/>
          <w:szCs w:val="20"/>
          <w:lang w:val="en-US"/>
        </w:rPr>
        <w:t xml:space="preserve"> </w:t>
      </w:r>
      <w:r w:rsidRPr="007B2402">
        <w:rPr>
          <w:rFonts w:eastAsia="Calibri" w:cs="Times New Roman"/>
          <w:szCs w:val="20"/>
          <w:lang w:val="en-US"/>
        </w:rPr>
        <w:t>to review domestic decisions on possible violations of</w:t>
      </w:r>
      <w:r w:rsidR="003B5FC8" w:rsidRPr="007B2402">
        <w:rPr>
          <w:rFonts w:eastAsia="Calibri" w:cs="Times New Roman"/>
          <w:szCs w:val="20"/>
          <w:lang w:val="en-US"/>
        </w:rPr>
        <w:t xml:space="preserve"> </w:t>
      </w:r>
      <w:r w:rsidR="00AF4344" w:rsidRPr="007B2402">
        <w:rPr>
          <w:rFonts w:eastAsia="Calibri" w:cs="Times New Roman"/>
          <w:szCs w:val="20"/>
          <w:lang w:val="en-US"/>
        </w:rPr>
        <w:t>Articles</w:t>
      </w:r>
      <w:r w:rsidR="003B5FC8" w:rsidRPr="007B2402">
        <w:rPr>
          <w:rFonts w:eastAsia="Calibri" w:cs="Times New Roman"/>
          <w:szCs w:val="20"/>
          <w:lang w:val="en-US"/>
        </w:rPr>
        <w:t xml:space="preserve"> 8</w:t>
      </w:r>
      <w:r w:rsidR="005B1590" w:rsidRPr="007B2402">
        <w:rPr>
          <w:rFonts w:eastAsia="Calibri" w:cs="Times New Roman"/>
          <w:szCs w:val="20"/>
          <w:lang w:val="en-US"/>
        </w:rPr>
        <w:t xml:space="preserve"> and </w:t>
      </w:r>
      <w:r w:rsidR="003B5FC8" w:rsidRPr="007B2402">
        <w:rPr>
          <w:rFonts w:eastAsia="Calibri" w:cs="Times New Roman"/>
          <w:szCs w:val="20"/>
          <w:lang w:val="en-US"/>
        </w:rPr>
        <w:t>25</w:t>
      </w:r>
      <w:r w:rsidR="00AF4344" w:rsidRPr="007B2402">
        <w:rPr>
          <w:rFonts w:eastAsia="Calibri" w:cs="Times New Roman"/>
          <w:szCs w:val="20"/>
          <w:lang w:val="en-US"/>
        </w:rPr>
        <w:t xml:space="preserve"> of the Convention</w:t>
      </w:r>
      <w:r w:rsidR="003B5FC8" w:rsidRPr="007B2402">
        <w:rPr>
          <w:rFonts w:eastAsia="Calibri" w:cs="Times New Roman"/>
          <w:szCs w:val="20"/>
          <w:lang w:val="en-US"/>
        </w:rPr>
        <w:t xml:space="preserve"> (</w:t>
      </w:r>
      <w:r w:rsidR="002761AC" w:rsidRPr="007B2402">
        <w:rPr>
          <w:rFonts w:eastAsia="Calibri" w:cs="Times New Roman"/>
          <w:szCs w:val="20"/>
          <w:lang w:val="en-US"/>
        </w:rPr>
        <w:t>“fourth instance” objection</w:t>
      </w:r>
      <w:r w:rsidR="003B5FC8" w:rsidRPr="007B2402">
        <w:rPr>
          <w:rFonts w:eastAsia="Calibri" w:cs="Times New Roman"/>
          <w:szCs w:val="20"/>
          <w:lang w:val="en-US"/>
        </w:rPr>
        <w:t xml:space="preserve">); </w:t>
      </w:r>
      <w:r w:rsidRPr="007B2402">
        <w:rPr>
          <w:rFonts w:eastAsia="Calibri" w:cs="Times New Roman"/>
          <w:b/>
          <w:szCs w:val="20"/>
          <w:lang w:val="en-US"/>
        </w:rPr>
        <w:t>(</w:t>
      </w:r>
      <w:r w:rsidR="003B5FC8" w:rsidRPr="007B2402">
        <w:rPr>
          <w:rFonts w:eastAsia="Calibri" w:cs="Times New Roman"/>
          <w:b/>
          <w:szCs w:val="20"/>
          <w:lang w:val="en-US"/>
        </w:rPr>
        <w:t>h)</w:t>
      </w:r>
      <w:r w:rsidR="003B5FC8" w:rsidRPr="007B2402">
        <w:rPr>
          <w:rFonts w:eastAsia="Calibri" w:cs="Times New Roman"/>
          <w:szCs w:val="20"/>
          <w:lang w:val="en-US"/>
        </w:rPr>
        <w:t xml:space="preserve"> </w:t>
      </w:r>
      <w:r w:rsidRPr="007B2402">
        <w:rPr>
          <w:rFonts w:eastAsia="Calibri" w:cs="Times New Roman"/>
          <w:szCs w:val="20"/>
          <w:lang w:val="en-US"/>
        </w:rPr>
        <w:t>Lack of jurisdiction</w:t>
      </w:r>
      <w:r w:rsidR="003B5FC8" w:rsidRPr="007B2402">
        <w:rPr>
          <w:rFonts w:eastAsia="Calibri" w:cs="Times New Roman"/>
          <w:szCs w:val="20"/>
          <w:lang w:val="en-US"/>
        </w:rPr>
        <w:t xml:space="preserve"> </w:t>
      </w:r>
      <w:r w:rsidR="003B5FC8" w:rsidRPr="007B2402">
        <w:rPr>
          <w:rFonts w:eastAsia="Calibri" w:cs="Times New Roman"/>
          <w:i/>
          <w:szCs w:val="20"/>
          <w:lang w:val="en-US"/>
        </w:rPr>
        <w:t>ratione materiae</w:t>
      </w:r>
      <w:r w:rsidR="003B5FC8" w:rsidRPr="007B2402">
        <w:rPr>
          <w:rFonts w:eastAsia="Calibri" w:cs="Times New Roman"/>
          <w:szCs w:val="20"/>
          <w:lang w:val="en-US"/>
        </w:rPr>
        <w:t xml:space="preserve"> </w:t>
      </w:r>
      <w:r w:rsidRPr="007B2402">
        <w:rPr>
          <w:rFonts w:eastAsia="Calibri" w:cs="Times New Roman"/>
          <w:szCs w:val="20"/>
          <w:lang w:val="en-US"/>
        </w:rPr>
        <w:t xml:space="preserve">to examine facts other than those submitted by </w:t>
      </w:r>
      <w:r w:rsidR="00AF4344" w:rsidRPr="007B2402">
        <w:rPr>
          <w:rFonts w:eastAsia="Calibri" w:cs="Times New Roman"/>
          <w:szCs w:val="20"/>
          <w:lang w:val="en-US"/>
        </w:rPr>
        <w:t>the Commission</w:t>
      </w:r>
      <w:r w:rsidR="003B5FC8" w:rsidRPr="007B2402">
        <w:rPr>
          <w:rFonts w:eastAsia="Calibri" w:cs="Times New Roman"/>
          <w:szCs w:val="20"/>
          <w:lang w:val="en-US"/>
        </w:rPr>
        <w:t xml:space="preserve">, </w:t>
      </w:r>
      <w:r w:rsidRPr="007B2402">
        <w:rPr>
          <w:rFonts w:eastAsia="Calibri" w:cs="Times New Roman"/>
          <w:szCs w:val="20"/>
          <w:lang w:val="en-US"/>
        </w:rPr>
        <w:t>and</w:t>
      </w:r>
      <w:r w:rsidR="003B5FC8" w:rsidRPr="007B2402">
        <w:rPr>
          <w:rFonts w:eastAsia="Calibri" w:cs="Times New Roman"/>
          <w:szCs w:val="20"/>
          <w:lang w:val="en-US"/>
        </w:rPr>
        <w:t xml:space="preserve"> </w:t>
      </w:r>
      <w:r w:rsidRPr="007B2402">
        <w:rPr>
          <w:rFonts w:eastAsia="Calibri" w:cs="Times New Roman"/>
          <w:b/>
          <w:szCs w:val="20"/>
          <w:lang w:val="en-US"/>
        </w:rPr>
        <w:t>(</w:t>
      </w:r>
      <w:r w:rsidR="003B5FC8" w:rsidRPr="007B2402">
        <w:rPr>
          <w:rFonts w:eastAsia="Calibri" w:cs="Times New Roman"/>
          <w:b/>
          <w:szCs w:val="20"/>
          <w:lang w:val="en-US"/>
        </w:rPr>
        <w:t>i)</w:t>
      </w:r>
      <w:r w:rsidR="003B5FC8" w:rsidRPr="007B2402">
        <w:rPr>
          <w:rFonts w:eastAsia="Calibri" w:cs="Times New Roman"/>
          <w:szCs w:val="20"/>
          <w:lang w:val="en-US"/>
        </w:rPr>
        <w:t xml:space="preserve"> </w:t>
      </w:r>
      <w:r w:rsidR="002761AC" w:rsidRPr="007B2402">
        <w:rPr>
          <w:rFonts w:eastAsia="Calibri" w:cs="Times New Roman"/>
          <w:szCs w:val="20"/>
          <w:lang w:val="en-US"/>
        </w:rPr>
        <w:t>Failure to ab</w:t>
      </w:r>
      <w:r w:rsidR="00984D7E" w:rsidRPr="007B2402">
        <w:rPr>
          <w:rFonts w:eastAsia="Calibri" w:cs="Times New Roman"/>
          <w:szCs w:val="20"/>
          <w:lang w:val="en-US"/>
        </w:rPr>
        <w:t>id</w:t>
      </w:r>
      <w:r w:rsidR="002761AC" w:rsidRPr="007B2402">
        <w:rPr>
          <w:rFonts w:eastAsia="Calibri" w:cs="Times New Roman"/>
          <w:szCs w:val="20"/>
          <w:lang w:val="en-US"/>
        </w:rPr>
        <w:t xml:space="preserve">e by the Convention </w:t>
      </w:r>
      <w:r w:rsidR="00984D7E" w:rsidRPr="007B2402">
        <w:rPr>
          <w:rFonts w:eastAsia="Calibri" w:cs="Times New Roman"/>
          <w:szCs w:val="20"/>
          <w:lang w:val="en-US"/>
        </w:rPr>
        <w:t>due to the</w:t>
      </w:r>
      <w:r w:rsidR="002C1D89" w:rsidRPr="007B2402">
        <w:rPr>
          <w:rFonts w:eastAsia="Calibri" w:cs="Times New Roman"/>
          <w:szCs w:val="20"/>
          <w:lang w:val="en-US"/>
        </w:rPr>
        <w:t xml:space="preserve"> Commission’s</w:t>
      </w:r>
      <w:r w:rsidR="002761AC" w:rsidRPr="007B2402">
        <w:rPr>
          <w:rFonts w:eastAsia="Calibri" w:cs="Times New Roman"/>
          <w:szCs w:val="20"/>
          <w:lang w:val="en-US"/>
        </w:rPr>
        <w:t xml:space="preserve"> publication of the </w:t>
      </w:r>
      <w:r w:rsidR="00375567" w:rsidRPr="007B2402">
        <w:rPr>
          <w:rFonts w:eastAsia="Calibri" w:cs="Times New Roman"/>
          <w:szCs w:val="20"/>
          <w:lang w:val="en-US"/>
        </w:rPr>
        <w:t>Merits Report</w:t>
      </w:r>
      <w:r w:rsidR="003F5FCD" w:rsidRPr="007B2402">
        <w:rPr>
          <w:rFonts w:eastAsia="Calibri" w:cs="Times New Roman"/>
          <w:szCs w:val="20"/>
          <w:lang w:val="en-US"/>
        </w:rPr>
        <w:t>.</w:t>
      </w:r>
    </w:p>
    <w:p w14:paraId="26DA5A73" w14:textId="77777777" w:rsidR="003B5FC8" w:rsidRPr="007B2402" w:rsidRDefault="003B5FC8" w:rsidP="003B5FC8">
      <w:pPr>
        <w:spacing w:after="0" w:line="240" w:lineRule="auto"/>
        <w:contextualSpacing/>
        <w:jc w:val="both"/>
        <w:rPr>
          <w:rFonts w:eastAsia="Calibri" w:cs="Verdana Bold"/>
          <w:bCs/>
          <w:szCs w:val="20"/>
          <w:lang w:val="en-US"/>
        </w:rPr>
      </w:pPr>
    </w:p>
    <w:p w14:paraId="21CCA97F" w14:textId="1F9E4B65" w:rsidR="00A66030" w:rsidRPr="007B2402" w:rsidRDefault="002761AC" w:rsidP="00DB1F30">
      <w:pPr>
        <w:numPr>
          <w:ilvl w:val="0"/>
          <w:numId w:val="5"/>
        </w:numPr>
        <w:spacing w:after="0" w:line="240" w:lineRule="auto"/>
        <w:contextualSpacing/>
        <w:jc w:val="both"/>
        <w:rPr>
          <w:rFonts w:eastAsia="Calibri" w:cs="Verdana Bold"/>
          <w:bCs/>
          <w:szCs w:val="20"/>
          <w:lang w:val="en-US"/>
        </w:rPr>
      </w:pPr>
      <w:r w:rsidRPr="007B2402">
        <w:rPr>
          <w:rFonts w:eastAsia="Calibri" w:cs="Verdana Bold"/>
          <w:bCs/>
          <w:szCs w:val="20"/>
          <w:lang w:val="en-US"/>
        </w:rPr>
        <w:t>For the sake of procedural economy, the Court will examine the</w:t>
      </w:r>
      <w:r w:rsidR="003B5FC8" w:rsidRPr="007B2402">
        <w:rPr>
          <w:rFonts w:eastAsia="Calibri" w:cs="Verdana Bold"/>
          <w:bCs/>
          <w:szCs w:val="20"/>
          <w:lang w:val="en-US"/>
        </w:rPr>
        <w:t xml:space="preserve"> </w:t>
      </w:r>
      <w:r w:rsidRPr="007B2402">
        <w:rPr>
          <w:rFonts w:eastAsia="Calibri" w:cs="Verdana Bold"/>
          <w:bCs/>
          <w:szCs w:val="20"/>
          <w:lang w:val="en-US"/>
        </w:rPr>
        <w:t xml:space="preserve">three </w:t>
      </w:r>
      <w:r w:rsidR="006E2CFF" w:rsidRPr="007B2402">
        <w:rPr>
          <w:rFonts w:eastAsia="Calibri" w:cs="Verdana Bold"/>
          <w:bCs/>
          <w:szCs w:val="20"/>
          <w:lang w:val="en-US"/>
        </w:rPr>
        <w:t>preliminary objections</w:t>
      </w:r>
      <w:r w:rsidR="003B5FC8" w:rsidRPr="007B2402">
        <w:rPr>
          <w:rFonts w:eastAsia="Calibri" w:cs="Verdana Bold"/>
          <w:bCs/>
          <w:szCs w:val="20"/>
          <w:lang w:val="en-US"/>
        </w:rPr>
        <w:t xml:space="preserve"> </w:t>
      </w:r>
      <w:r w:rsidRPr="007B2402">
        <w:rPr>
          <w:rFonts w:eastAsia="Calibri" w:cs="Verdana Bold"/>
          <w:bCs/>
          <w:szCs w:val="20"/>
          <w:lang w:val="en-US"/>
        </w:rPr>
        <w:t xml:space="preserve">filed by the State that refer to the Court’s lack of jurisdiction </w:t>
      </w:r>
      <w:r w:rsidR="003B5FC8" w:rsidRPr="007B2402">
        <w:rPr>
          <w:rFonts w:eastAsia="Calibri" w:cs="Verdana Bold"/>
          <w:bCs/>
          <w:i/>
          <w:szCs w:val="20"/>
          <w:lang w:val="en-US"/>
        </w:rPr>
        <w:t>ratione temporis</w:t>
      </w:r>
      <w:r w:rsidRPr="007B2402">
        <w:rPr>
          <w:rFonts w:eastAsia="Calibri" w:cs="Verdana Bold"/>
          <w:bCs/>
          <w:szCs w:val="20"/>
          <w:lang w:val="en-US"/>
        </w:rPr>
        <w:t xml:space="preserve"> together, because they </w:t>
      </w:r>
      <w:r w:rsidR="00190831" w:rsidRPr="007B2402">
        <w:rPr>
          <w:rFonts w:eastAsia="Calibri" w:cs="Verdana Bold"/>
          <w:bCs/>
          <w:szCs w:val="20"/>
          <w:lang w:val="en-US"/>
        </w:rPr>
        <w:t>refer</w:t>
      </w:r>
      <w:r w:rsidRPr="007B2402">
        <w:rPr>
          <w:rFonts w:eastAsia="Calibri" w:cs="Verdana Bold"/>
          <w:bCs/>
          <w:szCs w:val="20"/>
          <w:lang w:val="en-US"/>
        </w:rPr>
        <w:t xml:space="preserve"> to circumstances that are interrelated and require the examination of similar arguments. </w:t>
      </w:r>
    </w:p>
    <w:p w14:paraId="438F3E0F" w14:textId="77777777" w:rsidR="003B5FC8" w:rsidRPr="007B2402" w:rsidRDefault="003B5FC8" w:rsidP="003B5FC8">
      <w:pPr>
        <w:spacing w:after="0" w:line="240" w:lineRule="auto"/>
        <w:contextualSpacing/>
        <w:rPr>
          <w:rFonts w:eastAsia="Calibri" w:cs="Times New Roman"/>
          <w:b/>
          <w:szCs w:val="20"/>
          <w:lang w:val="en-US"/>
        </w:rPr>
      </w:pPr>
    </w:p>
    <w:p w14:paraId="694CA5E1" w14:textId="4505E368" w:rsidR="003B5FC8" w:rsidRPr="007B2402" w:rsidRDefault="006E2CFF" w:rsidP="00E668B8">
      <w:pPr>
        <w:pStyle w:val="Ttulo2"/>
        <w:rPr>
          <w:b/>
          <w:lang w:val="en-US"/>
        </w:rPr>
      </w:pPr>
      <w:bookmarkStart w:id="62" w:name="_Toc506984075"/>
      <w:r w:rsidRPr="007B2402">
        <w:rPr>
          <w:b/>
          <w:lang w:val="en-US"/>
        </w:rPr>
        <w:t>Preliminary objections</w:t>
      </w:r>
      <w:r w:rsidR="003B5FC8" w:rsidRPr="007B2402">
        <w:rPr>
          <w:b/>
          <w:lang w:val="en-US"/>
        </w:rPr>
        <w:t xml:space="preserve"> </w:t>
      </w:r>
      <w:r w:rsidR="002761AC" w:rsidRPr="007B2402">
        <w:rPr>
          <w:b/>
          <w:lang w:val="en-US"/>
        </w:rPr>
        <w:t xml:space="preserve">regarding the Court’s alleged lack of jurisdiction </w:t>
      </w:r>
      <w:r w:rsidR="002761AC" w:rsidRPr="007B2402">
        <w:rPr>
          <w:rFonts w:cs="Verdana Bold"/>
          <w:b/>
          <w:bCs/>
          <w:i w:val="0"/>
          <w:lang w:val="en-US"/>
        </w:rPr>
        <w:t>ratione temporis</w:t>
      </w:r>
      <w:bookmarkEnd w:id="62"/>
    </w:p>
    <w:p w14:paraId="3C84A02D" w14:textId="77777777" w:rsidR="003B5FC8" w:rsidRPr="007B2402" w:rsidRDefault="003B5FC8" w:rsidP="003B5FC8">
      <w:pPr>
        <w:spacing w:after="0" w:line="240" w:lineRule="auto"/>
        <w:jc w:val="both"/>
        <w:rPr>
          <w:rFonts w:eastAsia="Calibri" w:cs="Verdana Bold"/>
          <w:bCs/>
          <w:szCs w:val="20"/>
          <w:lang w:val="en-US"/>
        </w:rPr>
      </w:pPr>
    </w:p>
    <w:p w14:paraId="4701A65B" w14:textId="02B1FD9C" w:rsidR="003B5FC8" w:rsidRPr="007B2402" w:rsidRDefault="003B5FC8" w:rsidP="00CE1EA7">
      <w:pPr>
        <w:pStyle w:val="Ttulo3"/>
        <w:rPr>
          <w:lang w:val="en-US"/>
        </w:rPr>
      </w:pPr>
      <w:bookmarkStart w:id="63" w:name="_Toc505939116"/>
      <w:bookmarkStart w:id="64" w:name="_Toc506496097"/>
      <w:bookmarkStart w:id="65" w:name="_Toc506984076"/>
      <w:r w:rsidRPr="007B2402">
        <w:rPr>
          <w:lang w:val="en-US"/>
        </w:rPr>
        <w:t xml:space="preserve">A.1. </w:t>
      </w:r>
      <w:r w:rsidR="002761AC" w:rsidRPr="007B2402">
        <w:rPr>
          <w:lang w:val="en-US"/>
        </w:rPr>
        <w:t>Arguments</w:t>
      </w:r>
      <w:r w:rsidR="006E2CFF" w:rsidRPr="007B2402">
        <w:rPr>
          <w:lang w:val="en-US"/>
        </w:rPr>
        <w:t xml:space="preserve"> of the </w:t>
      </w:r>
      <w:r w:rsidR="00AF4344" w:rsidRPr="007B2402">
        <w:rPr>
          <w:lang w:val="en-US"/>
        </w:rPr>
        <w:t>State</w:t>
      </w:r>
      <w:r w:rsidRPr="007B2402">
        <w:rPr>
          <w:lang w:val="en-US"/>
        </w:rPr>
        <w:t xml:space="preserve">, </w:t>
      </w:r>
      <w:r w:rsidR="002761AC" w:rsidRPr="007B2402">
        <w:rPr>
          <w:lang w:val="en-US"/>
        </w:rPr>
        <w:t>observations</w:t>
      </w:r>
      <w:r w:rsidR="005B1590" w:rsidRPr="007B2402">
        <w:rPr>
          <w:lang w:val="en-US"/>
        </w:rPr>
        <w:t xml:space="preserve"> of the </w:t>
      </w:r>
      <w:r w:rsidR="00AF4344" w:rsidRPr="007B2402">
        <w:rPr>
          <w:lang w:val="en-US"/>
        </w:rPr>
        <w:t>Commission</w:t>
      </w:r>
      <w:r w:rsidR="005B1590" w:rsidRPr="007B2402">
        <w:rPr>
          <w:lang w:val="en-US"/>
        </w:rPr>
        <w:t xml:space="preserve"> and of the representatives</w:t>
      </w:r>
      <w:bookmarkEnd w:id="63"/>
      <w:bookmarkEnd w:id="64"/>
      <w:bookmarkEnd w:id="65"/>
    </w:p>
    <w:p w14:paraId="2557B9E4" w14:textId="77777777" w:rsidR="003B5FC8" w:rsidRPr="007B2402" w:rsidRDefault="003B5FC8" w:rsidP="003B5FC8">
      <w:pPr>
        <w:spacing w:after="0" w:line="240" w:lineRule="auto"/>
        <w:contextualSpacing/>
        <w:jc w:val="both"/>
        <w:rPr>
          <w:rFonts w:eastAsia="Calibri" w:cs="Times New Roman"/>
          <w:b/>
          <w:i/>
          <w:szCs w:val="20"/>
          <w:lang w:val="en-US"/>
        </w:rPr>
      </w:pPr>
    </w:p>
    <w:p w14:paraId="76FF6C68" w14:textId="3D468CD6" w:rsidR="00CD1CD4" w:rsidRPr="007B2402" w:rsidRDefault="00AF4344" w:rsidP="00DB1F30">
      <w:pPr>
        <w:numPr>
          <w:ilvl w:val="0"/>
          <w:numId w:val="5"/>
        </w:numPr>
        <w:spacing w:after="0" w:line="240" w:lineRule="auto"/>
        <w:contextualSpacing/>
        <w:jc w:val="both"/>
        <w:rPr>
          <w:rFonts w:eastAsia="Batang" w:cs="Times"/>
          <w:b/>
          <w:szCs w:val="20"/>
          <w:lang w:val="en-US" w:eastAsia="es-ES"/>
        </w:rPr>
      </w:pPr>
      <w:r w:rsidRPr="007B2402">
        <w:rPr>
          <w:rFonts w:eastAsia="Calibri" w:cs="Times New Roman"/>
          <w:szCs w:val="20"/>
          <w:lang w:val="en-US"/>
        </w:rPr>
        <w:t xml:space="preserve">The </w:t>
      </w:r>
      <w:r w:rsidRPr="007B2402">
        <w:rPr>
          <w:rFonts w:eastAsia="Calibri" w:cs="Times New Roman"/>
          <w:b/>
          <w:i/>
          <w:szCs w:val="20"/>
          <w:lang w:val="en-US"/>
        </w:rPr>
        <w:t>State</w:t>
      </w:r>
      <w:r w:rsidR="003B5FC8" w:rsidRPr="007B2402">
        <w:rPr>
          <w:rFonts w:eastAsia="Calibri" w:cs="Times New Roman"/>
          <w:szCs w:val="20"/>
          <w:lang w:val="en-US"/>
        </w:rPr>
        <w:t xml:space="preserve"> </w:t>
      </w:r>
      <w:r w:rsidR="00CD1CD4" w:rsidRPr="007B2402">
        <w:rPr>
          <w:rFonts w:eastAsia="Calibri" w:cs="Verdana Bold"/>
          <w:bCs/>
          <w:szCs w:val="20"/>
          <w:lang w:val="en-US"/>
        </w:rPr>
        <w:t>indicated that it had formalized its adhesion to</w:t>
      </w:r>
      <w:r w:rsidR="003B5FC8" w:rsidRPr="007B2402">
        <w:rPr>
          <w:rFonts w:eastAsia="Calibri" w:cs="Verdana Bold"/>
          <w:bCs/>
          <w:szCs w:val="20"/>
          <w:lang w:val="en-US"/>
        </w:rPr>
        <w:t xml:space="preserve"> </w:t>
      </w:r>
      <w:r w:rsidRPr="007B2402">
        <w:rPr>
          <w:rFonts w:eastAsia="Calibri" w:cs="Verdana Bold"/>
          <w:bCs/>
          <w:szCs w:val="20"/>
          <w:lang w:val="en-US"/>
        </w:rPr>
        <w:t>the American Convention</w:t>
      </w:r>
      <w:r w:rsidR="003B5FC8" w:rsidRPr="007B2402">
        <w:rPr>
          <w:rFonts w:eastAsia="Calibri" w:cs="Verdana Bold"/>
          <w:bCs/>
          <w:szCs w:val="20"/>
          <w:lang w:val="en-US"/>
        </w:rPr>
        <w:t xml:space="preserve"> </w:t>
      </w:r>
      <w:r w:rsidR="00CD1CD4" w:rsidRPr="007B2402">
        <w:rPr>
          <w:rFonts w:eastAsia="Calibri" w:cs="Verdana Bold"/>
          <w:bCs/>
          <w:szCs w:val="20"/>
          <w:lang w:val="en-US"/>
        </w:rPr>
        <w:t xml:space="preserve">by the issue of a decree on November 6, 1992, and that it had accepted the contentious jurisdiction of the Court on December 10, 1998. It also indicated that there were two types of acceptance of the Court’s jurisdiction and each </w:t>
      </w:r>
      <w:r w:rsidR="00984D7E" w:rsidRPr="007B2402">
        <w:rPr>
          <w:rFonts w:eastAsia="Calibri" w:cs="Verdana Bold"/>
          <w:bCs/>
          <w:szCs w:val="20"/>
          <w:lang w:val="en-US"/>
        </w:rPr>
        <w:t>one</w:t>
      </w:r>
      <w:r w:rsidR="00CD1CD4" w:rsidRPr="007B2402">
        <w:rPr>
          <w:rFonts w:eastAsia="Calibri" w:cs="Verdana Bold"/>
          <w:bCs/>
          <w:szCs w:val="20"/>
          <w:lang w:val="en-US"/>
        </w:rPr>
        <w:t xml:space="preserve"> </w:t>
      </w:r>
      <w:r w:rsidR="00190831" w:rsidRPr="007B2402">
        <w:rPr>
          <w:rFonts w:eastAsia="Calibri" w:cs="Verdana Bold"/>
          <w:bCs/>
          <w:szCs w:val="20"/>
          <w:lang w:val="en-US"/>
        </w:rPr>
        <w:t>had</w:t>
      </w:r>
      <w:r w:rsidR="00CD1CD4" w:rsidRPr="007B2402">
        <w:rPr>
          <w:rFonts w:eastAsia="Calibri" w:cs="Verdana Bold"/>
          <w:bCs/>
          <w:szCs w:val="20"/>
          <w:lang w:val="en-US"/>
        </w:rPr>
        <w:t xml:space="preserve"> different temporal effects. The first prevent</w:t>
      </w:r>
      <w:r w:rsidR="00190831" w:rsidRPr="007B2402">
        <w:rPr>
          <w:rFonts w:eastAsia="Calibri" w:cs="Verdana Bold"/>
          <w:bCs/>
          <w:szCs w:val="20"/>
          <w:lang w:val="en-US"/>
        </w:rPr>
        <w:t>ed</w:t>
      </w:r>
      <w:r w:rsidR="00CD1CD4" w:rsidRPr="007B2402">
        <w:rPr>
          <w:rFonts w:eastAsia="Calibri" w:cs="Verdana Bold"/>
          <w:bCs/>
          <w:szCs w:val="20"/>
          <w:lang w:val="en-US"/>
        </w:rPr>
        <w:t xml:space="preserve"> the Court from examining instantaneous acts that occurred prior to its jurisdiction, but allow</w:t>
      </w:r>
      <w:r w:rsidR="00190831" w:rsidRPr="007B2402">
        <w:rPr>
          <w:rFonts w:eastAsia="Calibri" w:cs="Verdana Bold"/>
          <w:bCs/>
          <w:szCs w:val="20"/>
          <w:lang w:val="en-US"/>
        </w:rPr>
        <w:t>ed</w:t>
      </w:r>
      <w:r w:rsidR="00CD1CD4" w:rsidRPr="007B2402">
        <w:rPr>
          <w:rFonts w:eastAsia="Calibri" w:cs="Verdana Bold"/>
          <w:bCs/>
          <w:szCs w:val="20"/>
          <w:lang w:val="en-US"/>
        </w:rPr>
        <w:t xml:space="preserve"> it to examine continuing violations. Meanwhile, the second refer</w:t>
      </w:r>
      <w:r w:rsidR="00190831" w:rsidRPr="007B2402">
        <w:rPr>
          <w:rFonts w:eastAsia="Calibri" w:cs="Verdana Bold"/>
          <w:bCs/>
          <w:szCs w:val="20"/>
          <w:lang w:val="en-US"/>
        </w:rPr>
        <w:t>red</w:t>
      </w:r>
      <w:r w:rsidR="00CD1CD4" w:rsidRPr="007B2402">
        <w:rPr>
          <w:rFonts w:eastAsia="Calibri" w:cs="Verdana Bold"/>
          <w:bCs/>
          <w:szCs w:val="20"/>
          <w:lang w:val="en-US"/>
        </w:rPr>
        <w:t xml:space="preserve"> to acceptance with temporal limitations, </w:t>
      </w:r>
      <w:r w:rsidR="00984D7E" w:rsidRPr="007B2402">
        <w:rPr>
          <w:rFonts w:eastAsia="Calibri" w:cs="Verdana Bold"/>
          <w:bCs/>
          <w:szCs w:val="20"/>
          <w:lang w:val="en-US"/>
        </w:rPr>
        <w:t xml:space="preserve">and </w:t>
      </w:r>
      <w:r w:rsidR="00190831" w:rsidRPr="007B2402">
        <w:rPr>
          <w:rFonts w:eastAsia="Calibri" w:cs="Verdana Bold"/>
          <w:bCs/>
          <w:szCs w:val="20"/>
          <w:lang w:val="en-US"/>
        </w:rPr>
        <w:t>did</w:t>
      </w:r>
      <w:r w:rsidR="00CD1CD4" w:rsidRPr="007B2402">
        <w:rPr>
          <w:rFonts w:eastAsia="Calibri" w:cs="Verdana Bold"/>
          <w:bCs/>
          <w:szCs w:val="20"/>
          <w:lang w:val="en-US"/>
        </w:rPr>
        <w:t xml:space="preserve"> not allow the Court to declare responsibility for continuing acts, but only for subsequent and independent violations.</w:t>
      </w:r>
    </w:p>
    <w:p w14:paraId="0FB8C448" w14:textId="77777777" w:rsidR="003B5FC8" w:rsidRPr="007B2402" w:rsidRDefault="003B5FC8" w:rsidP="003B5FC8">
      <w:pPr>
        <w:spacing w:after="0" w:line="240" w:lineRule="auto"/>
        <w:contextualSpacing/>
        <w:jc w:val="both"/>
        <w:rPr>
          <w:rFonts w:eastAsia="Batang" w:cs="Times"/>
          <w:b/>
          <w:szCs w:val="20"/>
          <w:lang w:val="en-US" w:eastAsia="es-ES"/>
        </w:rPr>
      </w:pPr>
    </w:p>
    <w:p w14:paraId="6EC485B5" w14:textId="1C7C4291" w:rsidR="003B5FC8" w:rsidRPr="007B2402" w:rsidRDefault="00AF4344" w:rsidP="003B5FC8">
      <w:pPr>
        <w:numPr>
          <w:ilvl w:val="0"/>
          <w:numId w:val="5"/>
        </w:numPr>
        <w:spacing w:after="0" w:line="240" w:lineRule="auto"/>
        <w:contextualSpacing/>
        <w:jc w:val="both"/>
        <w:rPr>
          <w:rFonts w:eastAsia="Batang" w:cs="Times"/>
          <w:b/>
          <w:szCs w:val="20"/>
          <w:lang w:val="en-US" w:eastAsia="es-ES"/>
        </w:rPr>
      </w:pPr>
      <w:r w:rsidRPr="007B2402">
        <w:rPr>
          <w:rFonts w:eastAsia="Batang" w:cs="Times"/>
          <w:szCs w:val="20"/>
          <w:lang w:val="en-US" w:eastAsia="es-ES"/>
        </w:rPr>
        <w:t>The State</w:t>
      </w:r>
      <w:r w:rsidR="003B5FC8" w:rsidRPr="007B2402">
        <w:rPr>
          <w:rFonts w:eastAsia="Batang" w:cs="Times"/>
          <w:szCs w:val="20"/>
          <w:lang w:val="en-US" w:eastAsia="es-ES"/>
        </w:rPr>
        <w:t xml:space="preserve"> </w:t>
      </w:r>
      <w:r w:rsidR="00CD1CD4" w:rsidRPr="007B2402">
        <w:rPr>
          <w:rFonts w:eastAsia="Batang" w:cs="Times"/>
          <w:szCs w:val="20"/>
          <w:lang w:val="en-US" w:eastAsia="es-ES"/>
        </w:rPr>
        <w:t>a</w:t>
      </w:r>
      <w:r w:rsidR="00121371" w:rsidRPr="007B2402">
        <w:rPr>
          <w:rFonts w:eastAsia="Batang" w:cs="Times"/>
          <w:szCs w:val="20"/>
          <w:lang w:val="en-US" w:eastAsia="es-ES"/>
        </w:rPr>
        <w:t>rgued</w:t>
      </w:r>
      <w:r w:rsidR="00CD1CD4" w:rsidRPr="007B2402">
        <w:rPr>
          <w:rFonts w:eastAsia="Batang" w:cs="Times"/>
          <w:szCs w:val="20"/>
          <w:lang w:val="en-US" w:eastAsia="es-ES"/>
        </w:rPr>
        <w:t xml:space="preserve"> that, by virtue of the principle of non-retroactivity that governs</w:t>
      </w:r>
      <w:r w:rsidR="00190831" w:rsidRPr="007B2402">
        <w:rPr>
          <w:rFonts w:eastAsia="Batang" w:cs="Times"/>
          <w:szCs w:val="20"/>
          <w:lang w:val="en-US" w:eastAsia="es-ES"/>
        </w:rPr>
        <w:t xml:space="preserve"> treaty law</w:t>
      </w:r>
      <w:r w:rsidR="00CD1CD4" w:rsidRPr="007B2402">
        <w:rPr>
          <w:rFonts w:eastAsia="Batang" w:cs="Times"/>
          <w:szCs w:val="20"/>
          <w:lang w:val="en-US" w:eastAsia="es-ES"/>
        </w:rPr>
        <w:t>, violations of a continuing nature</w:t>
      </w:r>
      <w:r w:rsidR="00190831" w:rsidRPr="007B2402">
        <w:rPr>
          <w:rFonts w:eastAsia="Batang" w:cs="Times"/>
          <w:szCs w:val="20"/>
          <w:lang w:val="en-US" w:eastAsia="es-ES"/>
        </w:rPr>
        <w:t>,</w:t>
      </w:r>
      <w:r w:rsidR="00CD1CD4" w:rsidRPr="007B2402">
        <w:rPr>
          <w:rFonts w:eastAsia="Batang" w:cs="Times"/>
          <w:szCs w:val="20"/>
          <w:lang w:val="en-US" w:eastAsia="es-ES"/>
        </w:rPr>
        <w:t xml:space="preserve"> initiated before the acceptance of the Court’s jurisdiction</w:t>
      </w:r>
      <w:r w:rsidR="00190831" w:rsidRPr="007B2402">
        <w:rPr>
          <w:rFonts w:eastAsia="Batang" w:cs="Times"/>
          <w:szCs w:val="20"/>
          <w:lang w:val="en-US" w:eastAsia="es-ES"/>
        </w:rPr>
        <w:t>,</w:t>
      </w:r>
      <w:r w:rsidR="00CD1CD4" w:rsidRPr="007B2402">
        <w:rPr>
          <w:rFonts w:eastAsia="Batang" w:cs="Times"/>
          <w:szCs w:val="20"/>
          <w:lang w:val="en-US" w:eastAsia="es-ES"/>
        </w:rPr>
        <w:t xml:space="preserve"> </w:t>
      </w:r>
      <w:r w:rsidR="00984D7E" w:rsidRPr="007B2402">
        <w:rPr>
          <w:rFonts w:eastAsia="Batang" w:cs="Times"/>
          <w:szCs w:val="20"/>
          <w:lang w:val="en-US" w:eastAsia="es-ES"/>
        </w:rPr>
        <w:t>differ</w:t>
      </w:r>
      <w:r w:rsidR="00190831" w:rsidRPr="007B2402">
        <w:rPr>
          <w:rFonts w:eastAsia="Batang" w:cs="Times"/>
          <w:szCs w:val="20"/>
          <w:lang w:val="en-US" w:eastAsia="es-ES"/>
        </w:rPr>
        <w:t>ed</w:t>
      </w:r>
      <w:r w:rsidR="00984D7E" w:rsidRPr="007B2402">
        <w:rPr>
          <w:rFonts w:eastAsia="Batang" w:cs="Times"/>
          <w:szCs w:val="20"/>
          <w:lang w:val="en-US" w:eastAsia="es-ES"/>
        </w:rPr>
        <w:t xml:space="preserve"> from</w:t>
      </w:r>
      <w:r w:rsidR="0014228E" w:rsidRPr="007B2402">
        <w:rPr>
          <w:rFonts w:eastAsia="Batang" w:cs="Times"/>
          <w:szCs w:val="20"/>
          <w:lang w:val="en-US" w:eastAsia="es-ES"/>
        </w:rPr>
        <w:t xml:space="preserve"> </w:t>
      </w:r>
      <w:r w:rsidR="00CD1CD4" w:rsidRPr="007B2402">
        <w:rPr>
          <w:rFonts w:eastAsia="Batang" w:cs="Times"/>
          <w:szCs w:val="20"/>
          <w:lang w:val="en-US" w:eastAsia="es-ES"/>
        </w:rPr>
        <w:t>instantaneous violations that d</w:t>
      </w:r>
      <w:r w:rsidR="00190831" w:rsidRPr="007B2402">
        <w:rPr>
          <w:rFonts w:eastAsia="Batang" w:cs="Times"/>
          <w:szCs w:val="20"/>
          <w:lang w:val="en-US" w:eastAsia="es-ES"/>
        </w:rPr>
        <w:t>id</w:t>
      </w:r>
      <w:r w:rsidR="00CD1CD4" w:rsidRPr="007B2402">
        <w:rPr>
          <w:rFonts w:eastAsia="Batang" w:cs="Times"/>
          <w:szCs w:val="20"/>
          <w:lang w:val="en-US" w:eastAsia="es-ES"/>
        </w:rPr>
        <w:t xml:space="preserve"> not continue over time. According to </w:t>
      </w:r>
      <w:r w:rsidR="00984D7E" w:rsidRPr="007B2402">
        <w:rPr>
          <w:rFonts w:eastAsia="Batang" w:cs="Times"/>
          <w:szCs w:val="20"/>
          <w:lang w:val="en-US" w:eastAsia="es-ES"/>
        </w:rPr>
        <w:t xml:space="preserve">Brazil’s </w:t>
      </w:r>
      <w:r w:rsidR="00CD1CD4" w:rsidRPr="007B2402">
        <w:rPr>
          <w:rFonts w:eastAsia="Batang" w:cs="Times"/>
          <w:szCs w:val="20"/>
          <w:lang w:val="en-US" w:eastAsia="es-ES"/>
        </w:rPr>
        <w:t>representatives</w:t>
      </w:r>
      <w:r w:rsidR="00984D7E" w:rsidRPr="007B2402">
        <w:rPr>
          <w:rFonts w:eastAsia="Batang" w:cs="Times"/>
          <w:szCs w:val="20"/>
          <w:lang w:val="en-US" w:eastAsia="es-ES"/>
        </w:rPr>
        <w:t xml:space="preserve">, </w:t>
      </w:r>
      <w:r w:rsidR="00CD1CD4" w:rsidRPr="007B2402">
        <w:rPr>
          <w:rFonts w:eastAsia="Batang" w:cs="Times"/>
          <w:szCs w:val="20"/>
          <w:lang w:val="en-US" w:eastAsia="es-ES"/>
        </w:rPr>
        <w:t>the criminal proceedings instituted before December 10, 1998,</w:t>
      </w:r>
      <w:r w:rsidR="00D86EEA" w:rsidRPr="007B2402">
        <w:rPr>
          <w:rFonts w:eastAsia="Batang" w:cs="Times"/>
          <w:szCs w:val="20"/>
          <w:lang w:val="en-US" w:eastAsia="es-ES"/>
        </w:rPr>
        <w:t xml:space="preserve"> even if they </w:t>
      </w:r>
      <w:r w:rsidR="00190831" w:rsidRPr="007B2402">
        <w:rPr>
          <w:rFonts w:eastAsia="Batang" w:cs="Times"/>
          <w:szCs w:val="20"/>
          <w:lang w:val="en-US" w:eastAsia="es-ES"/>
        </w:rPr>
        <w:t>we</w:t>
      </w:r>
      <w:r w:rsidR="00D86EEA" w:rsidRPr="007B2402">
        <w:rPr>
          <w:rFonts w:eastAsia="Batang" w:cs="Times"/>
          <w:szCs w:val="20"/>
          <w:lang w:val="en-US" w:eastAsia="es-ES"/>
        </w:rPr>
        <w:t>re still underway, c</w:t>
      </w:r>
      <w:r w:rsidR="00CA3B3D" w:rsidRPr="007B2402">
        <w:rPr>
          <w:rFonts w:eastAsia="Batang" w:cs="Times"/>
          <w:szCs w:val="20"/>
          <w:lang w:val="en-US" w:eastAsia="es-ES"/>
        </w:rPr>
        <w:t xml:space="preserve">ould </w:t>
      </w:r>
      <w:r w:rsidR="00D86EEA" w:rsidRPr="007B2402">
        <w:rPr>
          <w:rFonts w:eastAsia="Batang" w:cs="Times"/>
          <w:szCs w:val="20"/>
          <w:lang w:val="en-US" w:eastAsia="es-ES"/>
        </w:rPr>
        <w:t>not generate international responsibility because</w:t>
      </w:r>
      <w:r w:rsidR="00984D7E" w:rsidRPr="007B2402">
        <w:rPr>
          <w:rFonts w:eastAsia="Batang" w:cs="Times"/>
          <w:szCs w:val="20"/>
          <w:lang w:val="en-US" w:eastAsia="es-ES"/>
        </w:rPr>
        <w:t xml:space="preserve"> </w:t>
      </w:r>
      <w:r w:rsidR="00D86EEA" w:rsidRPr="007B2402">
        <w:rPr>
          <w:rFonts w:eastAsia="Batang" w:cs="Times"/>
          <w:szCs w:val="20"/>
          <w:lang w:val="en-US" w:eastAsia="es-ES"/>
        </w:rPr>
        <w:t>the facts that would result in the State’s responsibility occurred prior to its acceptance of</w:t>
      </w:r>
      <w:r w:rsidR="001E00EC" w:rsidRPr="007B2402">
        <w:rPr>
          <w:rFonts w:eastAsia="Batang" w:cs="Times"/>
          <w:szCs w:val="20"/>
          <w:lang w:val="en-US" w:eastAsia="es-ES"/>
        </w:rPr>
        <w:t xml:space="preserve"> the Court’s</w:t>
      </w:r>
      <w:r w:rsidR="00D86EEA" w:rsidRPr="007B2402">
        <w:rPr>
          <w:rFonts w:eastAsia="Batang" w:cs="Times"/>
          <w:szCs w:val="20"/>
          <w:lang w:val="en-US" w:eastAsia="es-ES"/>
        </w:rPr>
        <w:t xml:space="preserve"> jurisdiction. According to the State, if the Court accepted the case, it would be considering that it had jurisdiction to examine any act based on </w:t>
      </w:r>
      <w:r w:rsidR="001E00EC" w:rsidRPr="007B2402">
        <w:rPr>
          <w:rFonts w:eastAsia="Batang" w:cs="Times"/>
          <w:szCs w:val="20"/>
          <w:lang w:val="en-US" w:eastAsia="es-ES"/>
        </w:rPr>
        <w:t xml:space="preserve">a </w:t>
      </w:r>
      <w:r w:rsidR="00D86EEA" w:rsidRPr="007B2402">
        <w:rPr>
          <w:rFonts w:eastAsia="Batang" w:cs="Times"/>
          <w:szCs w:val="20"/>
          <w:lang w:val="en-US" w:eastAsia="es-ES"/>
        </w:rPr>
        <w:t>supposed denial of justice.</w:t>
      </w:r>
    </w:p>
    <w:p w14:paraId="0599FBB7" w14:textId="77777777" w:rsidR="00190831" w:rsidRPr="007B2402" w:rsidRDefault="00190831" w:rsidP="00190831">
      <w:pPr>
        <w:spacing w:after="0" w:line="240" w:lineRule="auto"/>
        <w:contextualSpacing/>
        <w:jc w:val="both"/>
        <w:rPr>
          <w:rFonts w:eastAsia="Batang" w:cs="Times"/>
          <w:b/>
          <w:szCs w:val="20"/>
          <w:lang w:val="en-US" w:eastAsia="es-ES"/>
        </w:rPr>
      </w:pPr>
    </w:p>
    <w:p w14:paraId="044A602D" w14:textId="1DF96A8D" w:rsidR="003B5FC8" w:rsidRPr="007B2402" w:rsidRDefault="00D86EEA" w:rsidP="00CA3B3D">
      <w:pPr>
        <w:numPr>
          <w:ilvl w:val="0"/>
          <w:numId w:val="5"/>
        </w:numPr>
        <w:spacing w:after="0" w:line="240" w:lineRule="auto"/>
        <w:contextualSpacing/>
        <w:jc w:val="both"/>
        <w:rPr>
          <w:rFonts w:eastAsia="Batang" w:cs="Times"/>
          <w:szCs w:val="20"/>
          <w:lang w:val="en-US" w:eastAsia="es-ES"/>
        </w:rPr>
      </w:pPr>
      <w:r w:rsidRPr="007B2402">
        <w:rPr>
          <w:rFonts w:eastAsia="Calibri" w:cs="Times New Roman"/>
          <w:szCs w:val="20"/>
          <w:lang w:val="en-US"/>
        </w:rPr>
        <w:t xml:space="preserve">Furthermore, </w:t>
      </w:r>
      <w:r w:rsidR="001E00EC" w:rsidRPr="007B2402">
        <w:rPr>
          <w:rFonts w:eastAsia="Calibri" w:cs="Times New Roman"/>
          <w:szCs w:val="20"/>
          <w:lang w:val="en-US"/>
        </w:rPr>
        <w:t>regarding its</w:t>
      </w:r>
      <w:r w:rsidRPr="007B2402">
        <w:rPr>
          <w:rFonts w:eastAsia="Calibri" w:cs="Times New Roman"/>
          <w:szCs w:val="20"/>
          <w:lang w:val="en-US"/>
        </w:rPr>
        <w:t xml:space="preserve"> adhesion to </w:t>
      </w:r>
      <w:r w:rsidR="00AF4344" w:rsidRPr="007B2402">
        <w:rPr>
          <w:rFonts w:eastAsia="Calibri" w:cs="Times New Roman"/>
          <w:szCs w:val="20"/>
          <w:lang w:val="en-US"/>
        </w:rPr>
        <w:t>the American Convention</w:t>
      </w:r>
      <w:r w:rsidR="003B5FC8" w:rsidRPr="007B2402">
        <w:rPr>
          <w:rFonts w:eastAsia="Calibri" w:cs="Times New Roman"/>
          <w:szCs w:val="20"/>
          <w:lang w:val="en-US"/>
        </w:rPr>
        <w:t xml:space="preserve">, </w:t>
      </w:r>
      <w:r w:rsidR="00AF4344" w:rsidRPr="007B2402">
        <w:rPr>
          <w:rFonts w:eastAsia="Calibri" w:cs="Times New Roman"/>
          <w:szCs w:val="20"/>
          <w:lang w:val="en-US"/>
        </w:rPr>
        <w:t>the State</w:t>
      </w:r>
      <w:r w:rsidR="003B5FC8" w:rsidRPr="007B2402">
        <w:rPr>
          <w:rFonts w:eastAsia="Calibri" w:cs="Times New Roman"/>
          <w:szCs w:val="20"/>
          <w:lang w:val="en-US"/>
        </w:rPr>
        <w:t xml:space="preserve"> </w:t>
      </w:r>
      <w:r w:rsidR="003B5FC8" w:rsidRPr="007B2402">
        <w:rPr>
          <w:rFonts w:eastAsia="Batang" w:cs="Times"/>
          <w:szCs w:val="20"/>
          <w:lang w:val="en-US" w:eastAsia="es-ES"/>
        </w:rPr>
        <w:t>indic</w:t>
      </w:r>
      <w:r w:rsidRPr="007B2402">
        <w:rPr>
          <w:rFonts w:eastAsia="Batang" w:cs="Times"/>
          <w:szCs w:val="20"/>
          <w:lang w:val="en-US" w:eastAsia="es-ES"/>
        </w:rPr>
        <w:t xml:space="preserve">ated that </w:t>
      </w:r>
      <w:r w:rsidR="001E00EC" w:rsidRPr="007B2402">
        <w:rPr>
          <w:rFonts w:eastAsia="Batang" w:cs="Times"/>
          <w:szCs w:val="20"/>
          <w:lang w:val="en-US" w:eastAsia="es-ES"/>
        </w:rPr>
        <w:t>this had occurred</w:t>
      </w:r>
      <w:r w:rsidRPr="007B2402">
        <w:rPr>
          <w:rFonts w:eastAsia="Batang" w:cs="Times"/>
          <w:szCs w:val="20"/>
          <w:lang w:val="en-US" w:eastAsia="es-ES"/>
        </w:rPr>
        <w:t xml:space="preserve"> on September 25, 1992</w:t>
      </w:r>
      <w:r w:rsidR="00CA3B3D" w:rsidRPr="007B2402">
        <w:rPr>
          <w:rFonts w:eastAsia="Batang" w:cs="Times"/>
          <w:szCs w:val="20"/>
          <w:lang w:val="en-US" w:eastAsia="es-ES"/>
        </w:rPr>
        <w:t>. Accordingly,</w:t>
      </w:r>
      <w:r w:rsidRPr="007B2402">
        <w:rPr>
          <w:rFonts w:eastAsia="Batang" w:cs="Times"/>
          <w:szCs w:val="20"/>
          <w:lang w:val="en-US" w:eastAsia="es-ES"/>
        </w:rPr>
        <w:t xml:space="preserve"> the Court should acknowledge its lack</w:t>
      </w:r>
      <w:r w:rsidR="00CA3B3D" w:rsidRPr="007B2402">
        <w:rPr>
          <w:rFonts w:eastAsia="Batang" w:cs="Times"/>
          <w:szCs w:val="20"/>
          <w:lang w:val="en-US" w:eastAsia="es-ES"/>
        </w:rPr>
        <w:t xml:space="preserve"> of temporal</w:t>
      </w:r>
      <w:r w:rsidRPr="007B2402">
        <w:rPr>
          <w:rFonts w:eastAsia="Batang" w:cs="Times"/>
          <w:szCs w:val="20"/>
          <w:lang w:val="en-US" w:eastAsia="es-ES"/>
        </w:rPr>
        <w:t xml:space="preserve"> jurisdiction to examine facts that occurred before that date. </w:t>
      </w:r>
      <w:r w:rsidR="001E00EC" w:rsidRPr="007B2402">
        <w:rPr>
          <w:rFonts w:eastAsia="Batang" w:cs="Times"/>
          <w:szCs w:val="20"/>
          <w:lang w:val="en-US" w:eastAsia="es-ES"/>
        </w:rPr>
        <w:t>The State</w:t>
      </w:r>
      <w:r w:rsidRPr="007B2402">
        <w:rPr>
          <w:rFonts w:eastAsia="Batang" w:cs="Times"/>
          <w:szCs w:val="20"/>
          <w:lang w:val="en-US" w:eastAsia="es-ES"/>
        </w:rPr>
        <w:t xml:space="preserve"> also indicated that it had ratified </w:t>
      </w:r>
      <w:r w:rsidR="00AF4344" w:rsidRPr="007B2402">
        <w:rPr>
          <w:rFonts w:eastAsia="Batang" w:cs="Times"/>
          <w:szCs w:val="20"/>
          <w:lang w:val="en-US" w:eastAsia="es-ES"/>
        </w:rPr>
        <w:t xml:space="preserve">the </w:t>
      </w:r>
      <w:r w:rsidR="00375567" w:rsidRPr="007B2402">
        <w:rPr>
          <w:rFonts w:eastAsia="Batang" w:cs="Times"/>
          <w:szCs w:val="20"/>
          <w:lang w:val="en-US" w:eastAsia="es-ES"/>
        </w:rPr>
        <w:t>Inter-American Convention to Prevent and Punish Torture</w:t>
      </w:r>
      <w:r w:rsidR="003B5FC8" w:rsidRPr="007B2402">
        <w:rPr>
          <w:rFonts w:eastAsia="Batang" w:cs="Times"/>
          <w:szCs w:val="20"/>
          <w:lang w:val="en-US" w:eastAsia="es-ES"/>
        </w:rPr>
        <w:t xml:space="preserve"> (</w:t>
      </w:r>
      <w:r w:rsidR="00375567" w:rsidRPr="007B2402">
        <w:rPr>
          <w:rFonts w:eastAsia="Batang" w:cs="Times"/>
          <w:szCs w:val="20"/>
          <w:lang w:val="en-US" w:eastAsia="es-ES"/>
        </w:rPr>
        <w:t>ICPPT</w:t>
      </w:r>
      <w:r w:rsidR="003B5FC8" w:rsidRPr="007B2402">
        <w:rPr>
          <w:rFonts w:eastAsia="Batang" w:cs="Times"/>
          <w:szCs w:val="20"/>
          <w:lang w:val="en-US" w:eastAsia="es-ES"/>
        </w:rPr>
        <w:t xml:space="preserve">) </w:t>
      </w:r>
      <w:r w:rsidRPr="007B2402">
        <w:rPr>
          <w:rFonts w:eastAsia="Batang" w:cs="Times"/>
          <w:szCs w:val="20"/>
          <w:lang w:val="en-US" w:eastAsia="es-ES"/>
        </w:rPr>
        <w:t>on</w:t>
      </w:r>
      <w:r w:rsidR="003B5FC8" w:rsidRPr="007B2402">
        <w:rPr>
          <w:rFonts w:eastAsia="Batang" w:cs="Times"/>
          <w:szCs w:val="20"/>
          <w:lang w:val="en-US" w:eastAsia="es-ES"/>
        </w:rPr>
        <w:t xml:space="preserve"> </w:t>
      </w:r>
      <w:r w:rsidRPr="007B2402">
        <w:rPr>
          <w:rFonts w:eastAsia="Batang" w:cs="Times"/>
          <w:szCs w:val="20"/>
          <w:lang w:val="en-US" w:eastAsia="es-ES"/>
        </w:rPr>
        <w:t>July 20,</w:t>
      </w:r>
      <w:r w:rsidR="003B5FC8" w:rsidRPr="007B2402">
        <w:rPr>
          <w:rFonts w:eastAsia="Batang" w:cs="Times"/>
          <w:szCs w:val="20"/>
          <w:lang w:val="en-US" w:eastAsia="es-ES"/>
        </w:rPr>
        <w:t xml:space="preserve"> 1989</w:t>
      </w:r>
      <w:r w:rsidRPr="007B2402">
        <w:rPr>
          <w:rFonts w:eastAsia="Batang" w:cs="Times"/>
          <w:szCs w:val="20"/>
          <w:lang w:val="en-US" w:eastAsia="es-ES"/>
        </w:rPr>
        <w:t>,</w:t>
      </w:r>
      <w:r w:rsidR="005B1590" w:rsidRPr="007B2402">
        <w:rPr>
          <w:rFonts w:eastAsia="Batang" w:cs="Times"/>
          <w:i/>
          <w:szCs w:val="20"/>
          <w:lang w:val="en-US" w:eastAsia="es-ES"/>
        </w:rPr>
        <w:t xml:space="preserve"> </w:t>
      </w:r>
      <w:r w:rsidR="005B1590" w:rsidRPr="007B2402">
        <w:rPr>
          <w:rFonts w:eastAsia="Batang" w:cs="Times"/>
          <w:szCs w:val="20"/>
          <w:lang w:val="en-US" w:eastAsia="es-ES"/>
        </w:rPr>
        <w:t>and</w:t>
      </w:r>
      <w:r w:rsidRPr="007B2402">
        <w:rPr>
          <w:rFonts w:eastAsia="Batang" w:cs="Times"/>
          <w:szCs w:val="20"/>
          <w:lang w:val="en-US" w:eastAsia="es-ES"/>
        </w:rPr>
        <w:t xml:space="preserve"> that the facts </w:t>
      </w:r>
      <w:r w:rsidR="001E00EC" w:rsidRPr="007B2402">
        <w:rPr>
          <w:rFonts w:eastAsia="Batang" w:cs="Times"/>
          <w:szCs w:val="20"/>
          <w:lang w:val="en-US" w:eastAsia="es-ES"/>
        </w:rPr>
        <w:t>relating</w:t>
      </w:r>
      <w:r w:rsidRPr="007B2402">
        <w:rPr>
          <w:rFonts w:eastAsia="Batang" w:cs="Times"/>
          <w:szCs w:val="20"/>
          <w:lang w:val="en-US" w:eastAsia="es-ES"/>
        </w:rPr>
        <w:t xml:space="preserve"> to</w:t>
      </w:r>
      <w:r w:rsidR="003B5FC8" w:rsidRPr="007B2402">
        <w:rPr>
          <w:rFonts w:eastAsia="Batang" w:cs="Times"/>
          <w:szCs w:val="20"/>
          <w:lang w:val="en-US" w:eastAsia="es-ES"/>
        </w:rPr>
        <w:t xml:space="preserve"> Vladimir Herzog </w:t>
      </w:r>
      <w:r w:rsidRPr="007B2402">
        <w:rPr>
          <w:rFonts w:eastAsia="Batang" w:cs="Times"/>
          <w:szCs w:val="20"/>
          <w:lang w:val="en-US" w:eastAsia="es-ES"/>
        </w:rPr>
        <w:t>occurred in</w:t>
      </w:r>
      <w:r w:rsidR="003B5FC8" w:rsidRPr="007B2402">
        <w:rPr>
          <w:rFonts w:eastAsia="Batang" w:cs="Times"/>
          <w:szCs w:val="20"/>
          <w:lang w:val="en-US" w:eastAsia="es-ES"/>
        </w:rPr>
        <w:t xml:space="preserve"> 1975, </w:t>
      </w:r>
      <w:r w:rsidRPr="007B2402">
        <w:rPr>
          <w:rFonts w:eastAsia="Batang" w:cs="Times"/>
          <w:szCs w:val="20"/>
          <w:lang w:val="en-US" w:eastAsia="es-ES"/>
        </w:rPr>
        <w:lastRenderedPageBreak/>
        <w:t xml:space="preserve">before Brazil’s adhesion to the </w:t>
      </w:r>
      <w:r w:rsidR="00375567" w:rsidRPr="007B2402">
        <w:rPr>
          <w:rFonts w:eastAsia="Batang" w:cs="Times"/>
          <w:szCs w:val="20"/>
          <w:lang w:val="en-US" w:eastAsia="es-ES"/>
        </w:rPr>
        <w:t>ICPPT</w:t>
      </w:r>
      <w:r w:rsidR="003B5FC8" w:rsidRPr="007B2402">
        <w:rPr>
          <w:rFonts w:eastAsia="Batang" w:cs="Times"/>
          <w:szCs w:val="20"/>
          <w:lang w:val="en-US" w:eastAsia="es-ES"/>
        </w:rPr>
        <w:t xml:space="preserve">. </w:t>
      </w:r>
      <w:r w:rsidRPr="007B2402">
        <w:rPr>
          <w:rFonts w:eastAsia="Calibri" w:cs="Times New Roman"/>
          <w:szCs w:val="20"/>
          <w:lang w:val="en-US"/>
        </w:rPr>
        <w:t>Consequently</w:t>
      </w:r>
      <w:r w:rsidR="003B5FC8" w:rsidRPr="007B2402">
        <w:rPr>
          <w:rFonts w:eastAsia="Calibri" w:cs="Times New Roman"/>
          <w:szCs w:val="20"/>
          <w:lang w:val="en-US"/>
        </w:rPr>
        <w:t xml:space="preserve">, </w:t>
      </w:r>
      <w:r w:rsidR="00AF4344" w:rsidRPr="007B2402">
        <w:rPr>
          <w:rFonts w:eastAsia="Calibri" w:cs="Times New Roman"/>
          <w:szCs w:val="20"/>
          <w:lang w:val="en-US"/>
        </w:rPr>
        <w:t>the State</w:t>
      </w:r>
      <w:r w:rsidR="003B5FC8" w:rsidRPr="007B2402">
        <w:rPr>
          <w:rFonts w:eastAsia="Calibri" w:cs="Times New Roman"/>
          <w:szCs w:val="20"/>
          <w:lang w:val="en-US"/>
        </w:rPr>
        <w:t xml:space="preserve"> a</w:t>
      </w:r>
      <w:r w:rsidRPr="007B2402">
        <w:rPr>
          <w:rFonts w:eastAsia="Calibri" w:cs="Times New Roman"/>
          <w:szCs w:val="20"/>
          <w:lang w:val="en-US"/>
        </w:rPr>
        <w:t xml:space="preserve">rgued that </w:t>
      </w:r>
      <w:r w:rsidR="001E00EC" w:rsidRPr="007B2402">
        <w:rPr>
          <w:rFonts w:eastAsia="Calibri" w:cs="Times New Roman"/>
          <w:szCs w:val="20"/>
          <w:lang w:val="en-US"/>
        </w:rPr>
        <w:t>the two</w:t>
      </w:r>
      <w:r w:rsidRPr="007B2402">
        <w:rPr>
          <w:rFonts w:eastAsia="Calibri" w:cs="Times New Roman"/>
          <w:szCs w:val="20"/>
          <w:lang w:val="en-US"/>
        </w:rPr>
        <w:t xml:space="preserve"> conventions can only be applied with regard to acts or omissions subsequent to their respective ratification.</w:t>
      </w:r>
    </w:p>
    <w:p w14:paraId="345855B9" w14:textId="77777777" w:rsidR="003B5FC8" w:rsidRPr="007B2402" w:rsidRDefault="003B5FC8" w:rsidP="00CA3B3D">
      <w:pPr>
        <w:spacing w:after="0"/>
        <w:contextualSpacing/>
        <w:rPr>
          <w:rFonts w:eastAsia="Batang" w:cs="Times"/>
          <w:szCs w:val="20"/>
          <w:lang w:val="en-US" w:eastAsia="es-ES"/>
        </w:rPr>
      </w:pPr>
    </w:p>
    <w:p w14:paraId="3BDD569A" w14:textId="27C2C0B0" w:rsidR="003B5FC8" w:rsidRPr="007B2402" w:rsidRDefault="00AF4344" w:rsidP="00CA3B3D">
      <w:pPr>
        <w:numPr>
          <w:ilvl w:val="0"/>
          <w:numId w:val="5"/>
        </w:numPr>
        <w:spacing w:after="0" w:line="240" w:lineRule="auto"/>
        <w:contextualSpacing/>
        <w:jc w:val="both"/>
        <w:rPr>
          <w:rFonts w:eastAsia="Calibri" w:cs="Times New Roman"/>
          <w:szCs w:val="20"/>
          <w:lang w:val="en-US"/>
        </w:rPr>
      </w:pPr>
      <w:r w:rsidRPr="007B2402">
        <w:rPr>
          <w:rFonts w:eastAsia="Calibri" w:cs="Times New Roman"/>
          <w:szCs w:val="20"/>
          <w:lang w:val="en-US"/>
        </w:rPr>
        <w:t xml:space="preserve">The </w:t>
      </w:r>
      <w:r w:rsidRPr="007B2402">
        <w:rPr>
          <w:rFonts w:eastAsia="Calibri" w:cs="Times New Roman"/>
          <w:b/>
          <w:i/>
          <w:szCs w:val="20"/>
          <w:lang w:val="en-US"/>
        </w:rPr>
        <w:t>Commission</w:t>
      </w:r>
      <w:r w:rsidR="003B5FC8" w:rsidRPr="007B2402">
        <w:rPr>
          <w:rFonts w:eastAsia="Calibri" w:cs="Times New Roman"/>
          <w:szCs w:val="20"/>
          <w:lang w:val="en-US"/>
        </w:rPr>
        <w:t xml:space="preserve"> indic</w:t>
      </w:r>
      <w:r w:rsidR="00E74576" w:rsidRPr="007B2402">
        <w:rPr>
          <w:rFonts w:eastAsia="Calibri" w:cs="Times New Roman"/>
          <w:szCs w:val="20"/>
          <w:lang w:val="en-US"/>
        </w:rPr>
        <w:t xml:space="preserve">ated that, in the letter submitting the case, it had noted that the facts submitted to the Court’s consideration were only those that had </w:t>
      </w:r>
      <w:r w:rsidR="001E00EC" w:rsidRPr="007B2402">
        <w:rPr>
          <w:rFonts w:eastAsia="Calibri" w:cs="Times New Roman"/>
          <w:szCs w:val="20"/>
          <w:lang w:val="en-US"/>
        </w:rPr>
        <w:t>occurred</w:t>
      </w:r>
      <w:r w:rsidR="00E74576" w:rsidRPr="007B2402">
        <w:rPr>
          <w:rFonts w:eastAsia="Calibri" w:cs="Times New Roman"/>
          <w:szCs w:val="20"/>
          <w:lang w:val="en-US"/>
        </w:rPr>
        <w:t xml:space="preserve"> after </w:t>
      </w:r>
      <w:r w:rsidR="003B5FC8" w:rsidRPr="007B2402">
        <w:rPr>
          <w:rFonts w:eastAsia="Calibri" w:cs="Times New Roman"/>
          <w:szCs w:val="20"/>
          <w:lang w:val="en-US"/>
        </w:rPr>
        <w:t xml:space="preserve"> </w:t>
      </w:r>
      <w:r w:rsidR="00D86EEA" w:rsidRPr="007B2402">
        <w:rPr>
          <w:rFonts w:eastAsia="Calibri" w:cs="Times New Roman"/>
          <w:szCs w:val="20"/>
          <w:lang w:val="en-US"/>
        </w:rPr>
        <w:t>December 10,</w:t>
      </w:r>
      <w:r w:rsidR="003B5FC8" w:rsidRPr="007B2402">
        <w:rPr>
          <w:rFonts w:eastAsia="Calibri" w:cs="Times New Roman"/>
          <w:szCs w:val="20"/>
          <w:lang w:val="en-US"/>
        </w:rPr>
        <w:t xml:space="preserve"> 1998. </w:t>
      </w:r>
      <w:r w:rsidR="00E74576" w:rsidRPr="007B2402">
        <w:rPr>
          <w:rFonts w:eastAsia="Calibri" w:cs="Times New Roman"/>
          <w:szCs w:val="20"/>
          <w:lang w:val="en-US"/>
        </w:rPr>
        <w:t xml:space="preserve">In this regard, </w:t>
      </w:r>
      <w:r w:rsidRPr="007B2402">
        <w:rPr>
          <w:rFonts w:eastAsia="Calibri" w:cs="Times New Roman"/>
          <w:szCs w:val="20"/>
          <w:lang w:val="en-US"/>
        </w:rPr>
        <w:t>the Commission</w:t>
      </w:r>
      <w:r w:rsidR="003B5FC8" w:rsidRPr="007B2402">
        <w:rPr>
          <w:rFonts w:eastAsia="Calibri" w:cs="Times New Roman"/>
          <w:szCs w:val="20"/>
          <w:lang w:val="en-US"/>
        </w:rPr>
        <w:t xml:space="preserve"> consider</w:t>
      </w:r>
      <w:r w:rsidR="00E74576" w:rsidRPr="007B2402">
        <w:rPr>
          <w:rFonts w:eastAsia="Calibri" w:cs="Times New Roman"/>
          <w:szCs w:val="20"/>
          <w:lang w:val="en-US"/>
        </w:rPr>
        <w:t>ed that the</w:t>
      </w:r>
      <w:r w:rsidR="003B5FC8" w:rsidRPr="007B2402">
        <w:rPr>
          <w:rFonts w:eastAsia="Calibri" w:cs="Times New Roman"/>
          <w:szCs w:val="20"/>
          <w:lang w:val="en-US"/>
        </w:rPr>
        <w:t xml:space="preserve"> </w:t>
      </w:r>
      <w:r w:rsidR="006E2CFF" w:rsidRPr="007B2402">
        <w:rPr>
          <w:rFonts w:eastAsia="Calibri" w:cs="Times New Roman"/>
          <w:szCs w:val="20"/>
          <w:lang w:val="en-US"/>
        </w:rPr>
        <w:t>preliminary objections</w:t>
      </w:r>
      <w:r w:rsidR="003B5FC8" w:rsidRPr="007B2402">
        <w:rPr>
          <w:rFonts w:eastAsia="Calibri" w:cs="Times New Roman"/>
          <w:szCs w:val="20"/>
          <w:lang w:val="en-US"/>
        </w:rPr>
        <w:t xml:space="preserve"> </w:t>
      </w:r>
      <w:r w:rsidR="00E74576" w:rsidRPr="007B2402">
        <w:rPr>
          <w:rFonts w:eastAsia="Calibri" w:cs="Times New Roman"/>
          <w:szCs w:val="20"/>
          <w:lang w:val="en-US"/>
        </w:rPr>
        <w:t xml:space="preserve">were inadmissible because the </w:t>
      </w:r>
      <w:r w:rsidR="001E00EC" w:rsidRPr="007B2402">
        <w:rPr>
          <w:rFonts w:eastAsia="Calibri" w:cs="Times New Roman"/>
          <w:szCs w:val="20"/>
          <w:lang w:val="en-US"/>
        </w:rPr>
        <w:t>time frame</w:t>
      </w:r>
      <w:r w:rsidR="00E74576" w:rsidRPr="007B2402">
        <w:rPr>
          <w:rFonts w:eastAsia="Calibri" w:cs="Times New Roman"/>
          <w:szCs w:val="20"/>
          <w:lang w:val="en-US"/>
        </w:rPr>
        <w:t xml:space="preserve"> o</w:t>
      </w:r>
      <w:r w:rsidR="001E00EC" w:rsidRPr="007B2402">
        <w:rPr>
          <w:rFonts w:eastAsia="Calibri" w:cs="Times New Roman"/>
          <w:szCs w:val="20"/>
          <w:lang w:val="en-US"/>
        </w:rPr>
        <w:t>ver</w:t>
      </w:r>
      <w:r w:rsidR="00E74576" w:rsidRPr="007B2402">
        <w:rPr>
          <w:rFonts w:eastAsia="Calibri" w:cs="Times New Roman"/>
          <w:szCs w:val="20"/>
          <w:lang w:val="en-US"/>
        </w:rPr>
        <w:t xml:space="preserve"> which the Court </w:t>
      </w:r>
      <w:r w:rsidR="00CA3B3D" w:rsidRPr="007B2402">
        <w:rPr>
          <w:rFonts w:eastAsia="Calibri" w:cs="Times New Roman"/>
          <w:szCs w:val="20"/>
          <w:lang w:val="en-US"/>
        </w:rPr>
        <w:t xml:space="preserve">was </w:t>
      </w:r>
      <w:r w:rsidR="00E74576" w:rsidRPr="007B2402">
        <w:rPr>
          <w:rFonts w:eastAsia="Calibri" w:cs="Times New Roman"/>
          <w:szCs w:val="20"/>
          <w:lang w:val="en-US"/>
        </w:rPr>
        <w:t xml:space="preserve">able to rule had already been fully delimited pursuant to the principle of non-retroactivity and the Court’s case law on this matter. </w:t>
      </w:r>
    </w:p>
    <w:p w14:paraId="355014DB" w14:textId="77777777" w:rsidR="003B5FC8" w:rsidRPr="007B2402" w:rsidRDefault="003B5FC8" w:rsidP="00CA3B3D">
      <w:pPr>
        <w:spacing w:after="0"/>
        <w:contextualSpacing/>
        <w:rPr>
          <w:rFonts w:eastAsia="Calibri" w:cs="Times New Roman"/>
          <w:szCs w:val="20"/>
          <w:lang w:val="en-US"/>
        </w:rPr>
      </w:pPr>
    </w:p>
    <w:p w14:paraId="5C3CF744" w14:textId="3F4F61B8" w:rsidR="003B5FC8" w:rsidRPr="007B2402" w:rsidRDefault="00E74576" w:rsidP="00CA3B3D">
      <w:pPr>
        <w:numPr>
          <w:ilvl w:val="0"/>
          <w:numId w:val="5"/>
        </w:numPr>
        <w:spacing w:after="0" w:line="240" w:lineRule="auto"/>
        <w:contextualSpacing/>
        <w:jc w:val="both"/>
        <w:rPr>
          <w:rFonts w:eastAsia="Calibri" w:cs="Times New Roman"/>
          <w:szCs w:val="20"/>
          <w:lang w:val="en-US"/>
        </w:rPr>
      </w:pPr>
      <w:r w:rsidRPr="007B2402">
        <w:rPr>
          <w:rFonts w:eastAsia="Calibri" w:cs="Times New Roman"/>
          <w:szCs w:val="20"/>
          <w:lang w:val="en-US"/>
        </w:rPr>
        <w:t xml:space="preserve">In addition, it underlined that the violations of </w:t>
      </w:r>
      <w:r w:rsidR="00AF4344" w:rsidRPr="007B2402">
        <w:rPr>
          <w:rFonts w:eastAsia="Calibri" w:cs="Times New Roman"/>
          <w:szCs w:val="20"/>
          <w:lang w:val="en-US"/>
        </w:rPr>
        <w:t xml:space="preserve">the </w:t>
      </w:r>
      <w:r w:rsidR="00375567" w:rsidRPr="007B2402">
        <w:rPr>
          <w:rFonts w:eastAsia="Calibri" w:cs="Times New Roman"/>
          <w:szCs w:val="20"/>
          <w:lang w:val="en-US"/>
        </w:rPr>
        <w:t>Inter-American Convention to Prevent and Punish Torture</w:t>
      </w:r>
      <w:r w:rsidR="003B5FC8" w:rsidRPr="007B2402">
        <w:rPr>
          <w:rFonts w:eastAsia="Calibri" w:cs="Times New Roman"/>
          <w:szCs w:val="20"/>
          <w:lang w:val="en-US"/>
        </w:rPr>
        <w:t xml:space="preserve"> </w:t>
      </w:r>
      <w:r w:rsidRPr="007B2402">
        <w:rPr>
          <w:rFonts w:eastAsia="Calibri" w:cs="Times New Roman"/>
          <w:szCs w:val="20"/>
          <w:lang w:val="en-US"/>
        </w:rPr>
        <w:t xml:space="preserve">fell within the temporal jurisdiction </w:t>
      </w:r>
      <w:r w:rsidR="00AF4344" w:rsidRPr="007B2402">
        <w:rPr>
          <w:rFonts w:eastAsia="Calibri" w:cs="Times New Roman"/>
          <w:szCs w:val="20"/>
          <w:lang w:val="en-US"/>
        </w:rPr>
        <w:t>of the Inter-American Court</w:t>
      </w:r>
      <w:r w:rsidR="003B5FC8" w:rsidRPr="007B2402">
        <w:rPr>
          <w:rFonts w:eastAsia="Calibri" w:cs="Times New Roman"/>
          <w:szCs w:val="20"/>
          <w:lang w:val="en-US"/>
        </w:rPr>
        <w:t xml:space="preserve">, </w:t>
      </w:r>
      <w:r w:rsidRPr="007B2402">
        <w:rPr>
          <w:rFonts w:eastAsia="Calibri" w:cs="Times New Roman"/>
          <w:szCs w:val="20"/>
          <w:lang w:val="en-US"/>
        </w:rPr>
        <w:t xml:space="preserve">because they related to </w:t>
      </w:r>
      <w:r w:rsidR="007A07B8" w:rsidRPr="007B2402">
        <w:rPr>
          <w:rFonts w:eastAsia="Calibri" w:cs="Times New Roman"/>
          <w:szCs w:val="20"/>
          <w:lang w:val="en-US"/>
        </w:rPr>
        <w:t xml:space="preserve">the obligation to investigate and </w:t>
      </w:r>
      <w:r w:rsidR="001E00EC" w:rsidRPr="007B2402">
        <w:rPr>
          <w:rFonts w:eastAsia="Calibri" w:cs="Times New Roman"/>
          <w:szCs w:val="20"/>
          <w:lang w:val="en-US"/>
        </w:rPr>
        <w:t xml:space="preserve">to </w:t>
      </w:r>
      <w:r w:rsidR="007A07B8" w:rsidRPr="007B2402">
        <w:rPr>
          <w:rFonts w:eastAsia="Calibri" w:cs="Times New Roman"/>
          <w:szCs w:val="20"/>
          <w:lang w:val="en-US"/>
        </w:rPr>
        <w:t xml:space="preserve">punish acts of torture derived, precisely, from the autonomous violations of </w:t>
      </w:r>
      <w:r w:rsidR="00AF4344" w:rsidRPr="007B2402">
        <w:rPr>
          <w:rFonts w:eastAsia="Calibri" w:cs="Times New Roman"/>
          <w:szCs w:val="20"/>
          <w:lang w:val="en-US"/>
        </w:rPr>
        <w:t>Articles</w:t>
      </w:r>
      <w:r w:rsidR="003B5FC8" w:rsidRPr="007B2402">
        <w:rPr>
          <w:rFonts w:eastAsia="Calibri" w:cs="Times New Roman"/>
          <w:szCs w:val="20"/>
          <w:lang w:val="en-US"/>
        </w:rPr>
        <w:t xml:space="preserve"> 8</w:t>
      </w:r>
      <w:r w:rsidR="005B1590" w:rsidRPr="007B2402">
        <w:rPr>
          <w:rFonts w:eastAsia="Calibri" w:cs="Times New Roman"/>
          <w:szCs w:val="20"/>
          <w:lang w:val="en-US"/>
        </w:rPr>
        <w:t xml:space="preserve"> and </w:t>
      </w:r>
      <w:r w:rsidR="003B5FC8" w:rsidRPr="007B2402">
        <w:rPr>
          <w:rFonts w:eastAsia="Calibri" w:cs="Times New Roman"/>
          <w:szCs w:val="20"/>
          <w:lang w:val="en-US"/>
        </w:rPr>
        <w:t>25</w:t>
      </w:r>
      <w:r w:rsidR="00AF4344" w:rsidRPr="007B2402">
        <w:rPr>
          <w:rFonts w:eastAsia="Calibri" w:cs="Times New Roman"/>
          <w:szCs w:val="20"/>
          <w:lang w:val="en-US"/>
        </w:rPr>
        <w:t xml:space="preserve"> of the American Convention</w:t>
      </w:r>
      <w:r w:rsidR="003B5FC8" w:rsidRPr="007B2402">
        <w:rPr>
          <w:rFonts w:eastAsia="Calibri" w:cs="Times New Roman"/>
          <w:szCs w:val="20"/>
          <w:lang w:val="en-US"/>
        </w:rPr>
        <w:t>.</w:t>
      </w:r>
    </w:p>
    <w:p w14:paraId="29E6C026" w14:textId="77777777" w:rsidR="003B5FC8" w:rsidRPr="007B2402" w:rsidRDefault="003B5FC8" w:rsidP="00CA3B3D">
      <w:pPr>
        <w:spacing w:after="0" w:line="240" w:lineRule="auto"/>
        <w:jc w:val="both"/>
        <w:rPr>
          <w:rFonts w:eastAsia="Calibri" w:cs="Times New Roman"/>
          <w:szCs w:val="20"/>
          <w:lang w:val="en-US"/>
        </w:rPr>
      </w:pPr>
    </w:p>
    <w:p w14:paraId="1466407B" w14:textId="77761230" w:rsidR="003B5FC8" w:rsidRPr="007B2402" w:rsidRDefault="005B1590" w:rsidP="00CA3B3D">
      <w:pPr>
        <w:numPr>
          <w:ilvl w:val="0"/>
          <w:numId w:val="5"/>
        </w:numPr>
        <w:spacing w:after="0" w:line="240" w:lineRule="auto"/>
        <w:contextualSpacing/>
        <w:jc w:val="both"/>
        <w:rPr>
          <w:rFonts w:eastAsia="Calibri" w:cs="Times New Roman"/>
          <w:szCs w:val="20"/>
          <w:lang w:val="en-US"/>
        </w:rPr>
      </w:pPr>
      <w:r w:rsidRPr="007B2402">
        <w:rPr>
          <w:rFonts w:eastAsia="Calibri" w:cs="Times New Roman"/>
          <w:szCs w:val="20"/>
          <w:lang w:val="en-US"/>
        </w:rPr>
        <w:t xml:space="preserve">The </w:t>
      </w:r>
      <w:r w:rsidRPr="007B2402">
        <w:rPr>
          <w:rFonts w:eastAsia="Calibri" w:cs="Times New Roman"/>
          <w:b/>
          <w:i/>
          <w:szCs w:val="20"/>
          <w:lang w:val="en-US"/>
        </w:rPr>
        <w:t>representatives</w:t>
      </w:r>
      <w:r w:rsidR="003B5FC8" w:rsidRPr="007B2402">
        <w:rPr>
          <w:rFonts w:eastAsia="Calibri" w:cs="Times New Roman"/>
          <w:szCs w:val="20"/>
          <w:lang w:val="en-US"/>
        </w:rPr>
        <w:t xml:space="preserve"> </w:t>
      </w:r>
      <w:r w:rsidR="007A07B8" w:rsidRPr="007B2402">
        <w:rPr>
          <w:rFonts w:eastAsia="Calibri" w:cs="Times New Roman"/>
          <w:szCs w:val="20"/>
          <w:lang w:val="en-US"/>
        </w:rPr>
        <w:t xml:space="preserve">indicated that they had not alleged violations based on facts prior to </w:t>
      </w:r>
      <w:r w:rsidR="00D86EEA" w:rsidRPr="007B2402">
        <w:rPr>
          <w:rFonts w:eastAsia="Calibri" w:cs="Times New Roman"/>
          <w:szCs w:val="20"/>
          <w:lang w:val="en-US"/>
        </w:rPr>
        <w:t>December 10,</w:t>
      </w:r>
      <w:r w:rsidR="003B5FC8" w:rsidRPr="007B2402">
        <w:rPr>
          <w:rFonts w:eastAsia="Calibri" w:cs="Times New Roman"/>
          <w:szCs w:val="20"/>
          <w:lang w:val="en-US"/>
        </w:rPr>
        <w:t xml:space="preserve"> 1998. </w:t>
      </w:r>
      <w:r w:rsidR="007A07B8" w:rsidRPr="007B2402">
        <w:rPr>
          <w:rFonts w:eastAsia="Calibri" w:cs="Times New Roman"/>
          <w:szCs w:val="20"/>
          <w:lang w:val="en-US"/>
        </w:rPr>
        <w:t xml:space="preserve">They also stressed that the Court had </w:t>
      </w:r>
      <w:r w:rsidR="00CA3B3D" w:rsidRPr="007B2402">
        <w:rPr>
          <w:rFonts w:eastAsia="Calibri" w:cs="Times New Roman"/>
          <w:szCs w:val="20"/>
          <w:lang w:val="en-US"/>
        </w:rPr>
        <w:t>often indicate</w:t>
      </w:r>
      <w:r w:rsidR="007A07B8" w:rsidRPr="007B2402">
        <w:rPr>
          <w:rFonts w:eastAsia="Calibri" w:cs="Times New Roman"/>
          <w:szCs w:val="20"/>
          <w:lang w:val="en-US"/>
        </w:rPr>
        <w:t xml:space="preserve"> that it had jurisdiction to examine facts that had </w:t>
      </w:r>
      <w:r w:rsidR="001E00EC" w:rsidRPr="007B2402">
        <w:rPr>
          <w:rFonts w:eastAsia="Calibri" w:cs="Times New Roman"/>
          <w:szCs w:val="20"/>
          <w:lang w:val="en-US"/>
        </w:rPr>
        <w:t>initiated</w:t>
      </w:r>
      <w:r w:rsidR="007A07B8" w:rsidRPr="007B2402">
        <w:rPr>
          <w:rFonts w:eastAsia="Calibri" w:cs="Times New Roman"/>
          <w:szCs w:val="20"/>
          <w:lang w:val="en-US"/>
        </w:rPr>
        <w:t xml:space="preserve"> </w:t>
      </w:r>
      <w:r w:rsidR="001E00EC" w:rsidRPr="007B2402">
        <w:rPr>
          <w:rFonts w:eastAsia="Calibri" w:cs="Times New Roman"/>
          <w:szCs w:val="20"/>
          <w:lang w:val="en-US"/>
        </w:rPr>
        <w:t>prior to</w:t>
      </w:r>
      <w:r w:rsidR="007A07B8" w:rsidRPr="007B2402">
        <w:rPr>
          <w:rFonts w:eastAsia="Calibri" w:cs="Times New Roman"/>
          <w:szCs w:val="20"/>
          <w:lang w:val="en-US"/>
        </w:rPr>
        <w:t xml:space="preserve"> the date of acceptance of its jurisdiction if they continued or subsisted after that date</w:t>
      </w:r>
      <w:r w:rsidR="00CA1F12" w:rsidRPr="007B2402">
        <w:rPr>
          <w:rFonts w:eastAsia="Calibri" w:cs="Times New Roman"/>
          <w:szCs w:val="20"/>
          <w:lang w:val="en-US"/>
        </w:rPr>
        <w:t>.</w:t>
      </w:r>
    </w:p>
    <w:p w14:paraId="31C47DE2" w14:textId="77777777" w:rsidR="003B5FC8" w:rsidRPr="007B2402" w:rsidRDefault="003B5FC8" w:rsidP="00CA3B3D">
      <w:pPr>
        <w:spacing w:after="0"/>
        <w:contextualSpacing/>
        <w:rPr>
          <w:rFonts w:eastAsia="Calibri" w:cs="Times New Roman"/>
          <w:szCs w:val="20"/>
          <w:lang w:val="en-US"/>
        </w:rPr>
      </w:pPr>
    </w:p>
    <w:p w14:paraId="5A1E20B7" w14:textId="25AAA7F7" w:rsidR="003B5FC8" w:rsidRPr="007B2402" w:rsidRDefault="007A07B8" w:rsidP="00CA3B3D">
      <w:pPr>
        <w:numPr>
          <w:ilvl w:val="0"/>
          <w:numId w:val="5"/>
        </w:numPr>
        <w:spacing w:after="0" w:line="240" w:lineRule="auto"/>
        <w:contextualSpacing/>
        <w:jc w:val="both"/>
        <w:rPr>
          <w:rFonts w:eastAsia="Calibri" w:cs="Times New Roman"/>
          <w:szCs w:val="20"/>
          <w:lang w:val="en-US"/>
        </w:rPr>
      </w:pPr>
      <w:r w:rsidRPr="007B2402">
        <w:rPr>
          <w:rFonts w:eastAsia="Calibri" w:cs="Times New Roman"/>
          <w:szCs w:val="20"/>
          <w:lang w:val="en-US"/>
        </w:rPr>
        <w:t xml:space="preserve">In addition, they argued that the violations based on the failure to investigate and punish the crimes against humanity and </w:t>
      </w:r>
      <w:r w:rsidR="001E00EC" w:rsidRPr="007B2402">
        <w:rPr>
          <w:rFonts w:eastAsia="Calibri" w:cs="Times New Roman"/>
          <w:szCs w:val="20"/>
          <w:lang w:val="en-US"/>
        </w:rPr>
        <w:t xml:space="preserve">the </w:t>
      </w:r>
      <w:r w:rsidRPr="007B2402">
        <w:rPr>
          <w:rFonts w:eastAsia="Calibri" w:cs="Times New Roman"/>
          <w:szCs w:val="20"/>
          <w:lang w:val="en-US"/>
        </w:rPr>
        <w:t>gross human rights violations committed in this case subsisted before and after 1998, and extend</w:t>
      </w:r>
      <w:r w:rsidR="00CA3B3D" w:rsidRPr="007B2402">
        <w:rPr>
          <w:rFonts w:eastAsia="Calibri" w:cs="Times New Roman"/>
          <w:szCs w:val="20"/>
          <w:lang w:val="en-US"/>
        </w:rPr>
        <w:t>ed</w:t>
      </w:r>
      <w:r w:rsidRPr="007B2402">
        <w:rPr>
          <w:rFonts w:eastAsia="Calibri" w:cs="Times New Roman"/>
          <w:szCs w:val="20"/>
          <w:lang w:val="en-US"/>
        </w:rPr>
        <w:t xml:space="preserve"> up until the present time. Accordingly, they indicated that the facts </w:t>
      </w:r>
      <w:r w:rsidR="00CA3B3D" w:rsidRPr="007B2402">
        <w:rPr>
          <w:rFonts w:eastAsia="Calibri" w:cs="Times New Roman"/>
          <w:szCs w:val="20"/>
          <w:lang w:val="en-US"/>
        </w:rPr>
        <w:t>we</w:t>
      </w:r>
      <w:r w:rsidRPr="007B2402">
        <w:rPr>
          <w:rFonts w:eastAsia="Calibri" w:cs="Times New Roman"/>
          <w:szCs w:val="20"/>
          <w:lang w:val="en-US"/>
        </w:rPr>
        <w:t>re characterized as a situation of permanent violation of the obligation to investigate and punish torture.</w:t>
      </w:r>
    </w:p>
    <w:p w14:paraId="50D9EF9C" w14:textId="77777777" w:rsidR="003B5FC8" w:rsidRPr="007B2402" w:rsidRDefault="003B5FC8" w:rsidP="003B5FC8">
      <w:pPr>
        <w:spacing w:after="0" w:line="240" w:lineRule="auto"/>
        <w:contextualSpacing/>
        <w:jc w:val="both"/>
        <w:rPr>
          <w:rFonts w:eastAsia="Calibri" w:cs="Times New Roman"/>
          <w:szCs w:val="20"/>
          <w:lang w:val="en-US"/>
        </w:rPr>
      </w:pPr>
    </w:p>
    <w:p w14:paraId="53CA196C" w14:textId="760999B1" w:rsidR="003B5FC8" w:rsidRPr="007B2402" w:rsidRDefault="003B5FC8" w:rsidP="003B5FC8">
      <w:pPr>
        <w:keepNext/>
        <w:keepLines/>
        <w:spacing w:after="0" w:line="240" w:lineRule="auto"/>
        <w:ind w:left="426"/>
        <w:contextualSpacing/>
        <w:jc w:val="both"/>
        <w:outlineLvl w:val="2"/>
        <w:rPr>
          <w:rFonts w:eastAsia="Calibri" w:cs="Times New Roman"/>
          <w:szCs w:val="20"/>
          <w:lang w:val="en-US"/>
        </w:rPr>
      </w:pPr>
      <w:bookmarkStart w:id="66" w:name="_Toc505939117"/>
      <w:bookmarkStart w:id="67" w:name="_Toc506496098"/>
      <w:bookmarkStart w:id="68" w:name="_Toc506984077"/>
      <w:r w:rsidRPr="007B2402">
        <w:rPr>
          <w:rFonts w:eastAsia="Calibri" w:cs="Times New Roman"/>
          <w:i/>
          <w:szCs w:val="20"/>
          <w:lang w:val="en-US"/>
        </w:rPr>
        <w:t xml:space="preserve">A.2. </w:t>
      </w:r>
      <w:r w:rsidR="007A07B8" w:rsidRPr="007B2402">
        <w:rPr>
          <w:rFonts w:eastAsia="Calibri" w:cs="Times New Roman"/>
          <w:i/>
          <w:szCs w:val="20"/>
          <w:lang w:val="en-US"/>
        </w:rPr>
        <w:t>Considerations</w:t>
      </w:r>
      <w:r w:rsidR="00AF4344" w:rsidRPr="007B2402">
        <w:rPr>
          <w:rFonts w:eastAsia="Calibri" w:cs="Times New Roman"/>
          <w:i/>
          <w:szCs w:val="20"/>
          <w:lang w:val="en-US"/>
        </w:rPr>
        <w:t xml:space="preserve"> of the Court</w:t>
      </w:r>
      <w:bookmarkEnd w:id="66"/>
      <w:bookmarkEnd w:id="67"/>
      <w:bookmarkEnd w:id="68"/>
    </w:p>
    <w:p w14:paraId="0B3E37B4" w14:textId="77777777" w:rsidR="003B5FC8" w:rsidRPr="007B2402" w:rsidRDefault="003B5FC8" w:rsidP="003B5FC8">
      <w:pPr>
        <w:spacing w:after="0" w:line="240" w:lineRule="auto"/>
        <w:contextualSpacing/>
        <w:jc w:val="both"/>
        <w:rPr>
          <w:rFonts w:eastAsia="Calibri" w:cs="Times New Roman"/>
          <w:b/>
          <w:szCs w:val="20"/>
          <w:lang w:val="en-US"/>
        </w:rPr>
      </w:pPr>
    </w:p>
    <w:p w14:paraId="6CEBA458" w14:textId="1F9796F1" w:rsidR="003B5FC8" w:rsidRPr="007B2402" w:rsidRDefault="00AF4344" w:rsidP="00DB1F30">
      <w:pPr>
        <w:numPr>
          <w:ilvl w:val="0"/>
          <w:numId w:val="5"/>
        </w:numPr>
        <w:spacing w:after="0" w:line="240" w:lineRule="auto"/>
        <w:contextualSpacing/>
        <w:jc w:val="both"/>
        <w:rPr>
          <w:rFonts w:eastAsia="Calibri" w:cs="Times New Roman"/>
          <w:szCs w:val="20"/>
          <w:lang w:val="en-US"/>
        </w:rPr>
      </w:pPr>
      <w:r w:rsidRPr="007B2402">
        <w:rPr>
          <w:rFonts w:eastAsia="Calibri" w:cs="Times New Roman"/>
          <w:szCs w:val="20"/>
          <w:lang w:val="en-US"/>
        </w:rPr>
        <w:t>Brazil</w:t>
      </w:r>
      <w:r w:rsidR="003B5FC8" w:rsidRPr="007B2402">
        <w:rPr>
          <w:rFonts w:eastAsia="Calibri" w:cs="Times New Roman"/>
          <w:szCs w:val="20"/>
          <w:lang w:val="en-US"/>
        </w:rPr>
        <w:t xml:space="preserve"> ratif</w:t>
      </w:r>
      <w:r w:rsidR="007A07B8" w:rsidRPr="007B2402">
        <w:rPr>
          <w:rFonts w:eastAsia="Calibri" w:cs="Times New Roman"/>
          <w:szCs w:val="20"/>
          <w:lang w:val="en-US"/>
        </w:rPr>
        <w:t>ied the</w:t>
      </w:r>
      <w:r w:rsidR="003B5FC8" w:rsidRPr="007B2402">
        <w:rPr>
          <w:rFonts w:eastAsia="Calibri" w:cs="Times New Roman"/>
          <w:szCs w:val="20"/>
          <w:lang w:val="en-US"/>
        </w:rPr>
        <w:t xml:space="preserve"> </w:t>
      </w:r>
      <w:r w:rsidR="00375567" w:rsidRPr="007B2402">
        <w:rPr>
          <w:rFonts w:eastAsia="Calibri" w:cs="Times New Roman"/>
          <w:szCs w:val="20"/>
          <w:lang w:val="en-US"/>
        </w:rPr>
        <w:t>ICPPT</w:t>
      </w:r>
      <w:r w:rsidR="005B1590" w:rsidRPr="007B2402">
        <w:rPr>
          <w:rFonts w:eastAsia="Calibri" w:cs="Times New Roman"/>
          <w:szCs w:val="20"/>
          <w:lang w:val="en-US"/>
        </w:rPr>
        <w:t xml:space="preserve"> </w:t>
      </w:r>
      <w:r w:rsidR="007A07B8" w:rsidRPr="007B2402">
        <w:rPr>
          <w:rFonts w:eastAsia="Calibri" w:cs="Times New Roman"/>
          <w:szCs w:val="20"/>
          <w:lang w:val="en-US"/>
        </w:rPr>
        <w:t xml:space="preserve">on </w:t>
      </w:r>
      <w:r w:rsidR="00D86EEA" w:rsidRPr="007B2402">
        <w:rPr>
          <w:rFonts w:eastAsia="Calibri" w:cs="Times New Roman"/>
          <w:szCs w:val="20"/>
          <w:lang w:val="en-US"/>
        </w:rPr>
        <w:t>July 20,</w:t>
      </w:r>
      <w:r w:rsidR="003B5FC8" w:rsidRPr="007B2402">
        <w:rPr>
          <w:rFonts w:eastAsia="Calibri" w:cs="Times New Roman"/>
          <w:szCs w:val="20"/>
          <w:lang w:val="en-US"/>
        </w:rPr>
        <w:t xml:space="preserve"> 1989</w:t>
      </w:r>
      <w:r w:rsidR="007A07B8" w:rsidRPr="007B2402">
        <w:rPr>
          <w:rFonts w:eastAsia="Calibri" w:cs="Times New Roman"/>
          <w:szCs w:val="20"/>
          <w:lang w:val="en-US"/>
        </w:rPr>
        <w:t>,</w:t>
      </w:r>
      <w:r w:rsidR="005B1590" w:rsidRPr="007B2402">
        <w:rPr>
          <w:rFonts w:eastAsia="Calibri" w:cs="Times New Roman"/>
          <w:szCs w:val="20"/>
          <w:lang w:val="en-US"/>
        </w:rPr>
        <w:t xml:space="preserve"> and</w:t>
      </w:r>
      <w:r w:rsidR="00CA3B3D" w:rsidRPr="007B2402">
        <w:rPr>
          <w:rFonts w:eastAsia="Calibri" w:cs="Times New Roman"/>
          <w:szCs w:val="20"/>
          <w:lang w:val="en-US"/>
        </w:rPr>
        <w:t xml:space="preserve"> the American Convention</w:t>
      </w:r>
      <w:r w:rsidR="003B5FC8" w:rsidRPr="007B2402">
        <w:rPr>
          <w:rFonts w:eastAsia="Calibri" w:cs="Times New Roman"/>
          <w:szCs w:val="20"/>
          <w:lang w:val="en-US"/>
        </w:rPr>
        <w:t xml:space="preserve"> </w:t>
      </w:r>
      <w:r w:rsidR="00D86EEA" w:rsidRPr="007B2402">
        <w:rPr>
          <w:rFonts w:eastAsia="Calibri" w:cs="Times New Roman"/>
          <w:szCs w:val="20"/>
          <w:lang w:val="en-US"/>
        </w:rPr>
        <w:t>September 25,</w:t>
      </w:r>
      <w:r w:rsidR="003B5FC8" w:rsidRPr="007B2402">
        <w:rPr>
          <w:rFonts w:eastAsia="Calibri" w:cs="Times New Roman"/>
          <w:szCs w:val="20"/>
          <w:lang w:val="en-US"/>
        </w:rPr>
        <w:t xml:space="preserve"> 1992</w:t>
      </w:r>
      <w:r w:rsidR="007A07B8" w:rsidRPr="007B2402">
        <w:rPr>
          <w:rFonts w:eastAsia="Calibri" w:cs="Times New Roman"/>
          <w:szCs w:val="20"/>
          <w:lang w:val="en-US"/>
        </w:rPr>
        <w:t xml:space="preserve">. </w:t>
      </w:r>
      <w:r w:rsidRPr="007B2402">
        <w:rPr>
          <w:rFonts w:eastAsia="Calibri" w:cs="Times New Roman"/>
          <w:szCs w:val="20"/>
          <w:lang w:val="en-US"/>
        </w:rPr>
        <w:t>The Court</w:t>
      </w:r>
      <w:r w:rsidR="003B5FC8" w:rsidRPr="007B2402">
        <w:rPr>
          <w:rFonts w:eastAsia="Calibri" w:cs="Times New Roman"/>
          <w:szCs w:val="20"/>
          <w:lang w:val="en-US"/>
        </w:rPr>
        <w:t xml:space="preserve"> </w:t>
      </w:r>
      <w:r w:rsidR="007A07B8" w:rsidRPr="007B2402">
        <w:rPr>
          <w:rFonts w:eastAsia="Calibri" w:cs="Times New Roman"/>
          <w:szCs w:val="20"/>
          <w:lang w:val="en-US"/>
        </w:rPr>
        <w:t>notes that the international obligations resulting from these instruments acquire</w:t>
      </w:r>
      <w:r w:rsidR="001E00EC" w:rsidRPr="007B2402">
        <w:rPr>
          <w:rFonts w:eastAsia="Calibri" w:cs="Times New Roman"/>
          <w:szCs w:val="20"/>
          <w:lang w:val="en-US"/>
        </w:rPr>
        <w:t>d</w:t>
      </w:r>
      <w:r w:rsidR="007A07B8" w:rsidRPr="007B2402">
        <w:rPr>
          <w:rFonts w:eastAsia="Calibri" w:cs="Times New Roman"/>
          <w:szCs w:val="20"/>
          <w:lang w:val="en-US"/>
        </w:rPr>
        <w:t xml:space="preserve"> full legal force as of those dates. However, the Court points out that it was not until </w:t>
      </w:r>
      <w:r w:rsidR="00D86EEA" w:rsidRPr="007B2402">
        <w:rPr>
          <w:rFonts w:eastAsia="Calibri" w:cs="Times New Roman"/>
          <w:szCs w:val="20"/>
          <w:lang w:val="en-US"/>
        </w:rPr>
        <w:t>December 10,</w:t>
      </w:r>
      <w:r w:rsidR="003B5FC8" w:rsidRPr="007B2402">
        <w:rPr>
          <w:rFonts w:eastAsia="Calibri" w:cs="Times New Roman"/>
          <w:szCs w:val="20"/>
          <w:lang w:val="en-US"/>
        </w:rPr>
        <w:t xml:space="preserve"> 1998</w:t>
      </w:r>
      <w:r w:rsidR="007A07B8" w:rsidRPr="007B2402">
        <w:rPr>
          <w:rFonts w:eastAsia="Calibri" w:cs="Times New Roman"/>
          <w:szCs w:val="20"/>
          <w:lang w:val="en-US"/>
        </w:rPr>
        <w:t>,</w:t>
      </w:r>
      <w:r w:rsidR="003B5FC8" w:rsidRPr="007B2402">
        <w:rPr>
          <w:rFonts w:eastAsia="Calibri" w:cs="Times New Roman"/>
          <w:szCs w:val="20"/>
          <w:lang w:val="en-US"/>
        </w:rPr>
        <w:t xml:space="preserve"> </w:t>
      </w:r>
      <w:r w:rsidR="007A07B8" w:rsidRPr="007B2402">
        <w:rPr>
          <w:rFonts w:eastAsia="Calibri" w:cs="Times New Roman"/>
          <w:szCs w:val="20"/>
          <w:lang w:val="en-US"/>
        </w:rPr>
        <w:t>that</w:t>
      </w:r>
      <w:r w:rsidR="003B5FC8" w:rsidRPr="007B2402">
        <w:rPr>
          <w:rFonts w:eastAsia="Calibri" w:cs="Times New Roman"/>
          <w:szCs w:val="20"/>
          <w:lang w:val="en-US"/>
        </w:rPr>
        <w:t xml:space="preserve"> </w:t>
      </w:r>
      <w:r w:rsidRPr="007B2402">
        <w:rPr>
          <w:rFonts w:eastAsia="Calibri" w:cs="Times New Roman"/>
          <w:szCs w:val="20"/>
          <w:lang w:val="en-US"/>
        </w:rPr>
        <w:t>Brazil</w:t>
      </w:r>
      <w:r w:rsidR="003B5FC8" w:rsidRPr="007B2402">
        <w:rPr>
          <w:rFonts w:eastAsia="Calibri" w:cs="Times New Roman"/>
          <w:szCs w:val="20"/>
          <w:lang w:val="en-US"/>
        </w:rPr>
        <w:t xml:space="preserve"> </w:t>
      </w:r>
      <w:r w:rsidR="007A07B8" w:rsidRPr="007B2402">
        <w:rPr>
          <w:rFonts w:eastAsia="Calibri" w:cs="Times New Roman"/>
          <w:szCs w:val="20"/>
          <w:lang w:val="en-US"/>
        </w:rPr>
        <w:t xml:space="preserve">accepted and declared itself subject to the contentious jurisdiction </w:t>
      </w:r>
      <w:r w:rsidRPr="007B2402">
        <w:rPr>
          <w:rFonts w:eastAsia="Calibri" w:cs="Times New Roman"/>
          <w:szCs w:val="20"/>
          <w:lang w:val="en-US"/>
        </w:rPr>
        <w:t>of the Inter-American Court</w:t>
      </w:r>
      <w:r w:rsidR="003B5FC8" w:rsidRPr="007B2402">
        <w:rPr>
          <w:rFonts w:eastAsia="Calibri" w:cs="Times New Roman"/>
          <w:szCs w:val="20"/>
          <w:lang w:val="en-US"/>
        </w:rPr>
        <w:t xml:space="preserve">. </w:t>
      </w:r>
      <w:r w:rsidR="007A07B8" w:rsidRPr="007B2402">
        <w:rPr>
          <w:rFonts w:eastAsia="Calibri" w:cs="Times New Roman"/>
          <w:szCs w:val="20"/>
          <w:lang w:val="en-US"/>
        </w:rPr>
        <w:t>In its declaration, it indicated that the Court would have jurisdiction with regard to “</w:t>
      </w:r>
      <w:r w:rsidR="00AF3399" w:rsidRPr="007B2402">
        <w:rPr>
          <w:rFonts w:eastAsia="Calibri" w:cs="Times New Roman"/>
          <w:szCs w:val="20"/>
          <w:lang w:val="en-US"/>
        </w:rPr>
        <w:t xml:space="preserve">facts that were </w:t>
      </w:r>
      <w:r w:rsidR="007A07B8" w:rsidRPr="007B2402">
        <w:rPr>
          <w:rFonts w:eastAsia="Calibri" w:cs="Times New Roman"/>
          <w:szCs w:val="20"/>
          <w:lang w:val="en-US"/>
        </w:rPr>
        <w:t>subsequent” to this acceptance.</w:t>
      </w:r>
      <w:r w:rsidR="003B5FC8" w:rsidRPr="007B2402">
        <w:rPr>
          <w:rFonts w:eastAsia="Calibri" w:cs="Times New Roman"/>
          <w:szCs w:val="20"/>
          <w:vertAlign w:val="superscript"/>
          <w:lang w:val="en-US"/>
        </w:rPr>
        <w:footnoteReference w:id="14"/>
      </w:r>
      <w:r w:rsidR="003B5FC8" w:rsidRPr="007B2402">
        <w:rPr>
          <w:rFonts w:eastAsia="Calibri" w:cs="Times New Roman"/>
          <w:szCs w:val="20"/>
          <w:lang w:val="en-US"/>
        </w:rPr>
        <w:t xml:space="preserve"> </w:t>
      </w:r>
      <w:r w:rsidR="00AF3399" w:rsidRPr="007B2402">
        <w:rPr>
          <w:rFonts w:eastAsia="Calibri" w:cs="Times New Roman"/>
          <w:szCs w:val="20"/>
          <w:lang w:val="en-US"/>
        </w:rPr>
        <w:t xml:space="preserve">Based on this, and on the principle of non-retroactivity, the Court is unable to exercise its contentious jurisdiction to apply </w:t>
      </w:r>
      <w:r w:rsidRPr="007B2402">
        <w:rPr>
          <w:rFonts w:eastAsia="Calibri" w:cs="Times New Roman"/>
          <w:szCs w:val="20"/>
          <w:lang w:val="en-US"/>
        </w:rPr>
        <w:t>the Convention</w:t>
      </w:r>
      <w:r w:rsidR="005B1590" w:rsidRPr="007B2402">
        <w:rPr>
          <w:rFonts w:eastAsia="Calibri" w:cs="Times New Roman"/>
          <w:szCs w:val="20"/>
          <w:lang w:val="en-US"/>
        </w:rPr>
        <w:t xml:space="preserve"> and </w:t>
      </w:r>
      <w:r w:rsidR="00AF3399" w:rsidRPr="007B2402">
        <w:rPr>
          <w:rFonts w:eastAsia="Calibri" w:cs="Times New Roman"/>
          <w:szCs w:val="20"/>
          <w:lang w:val="en-US"/>
        </w:rPr>
        <w:t>to declare a violation of its provisions in relation to alleged facts or conducts of the State that occurred prior to this acceptance of jurisdiction.</w:t>
      </w:r>
      <w:r w:rsidR="003B5FC8" w:rsidRPr="007B2402">
        <w:rPr>
          <w:rFonts w:eastAsia="Calibri" w:cs="Times New Roman"/>
          <w:szCs w:val="20"/>
          <w:vertAlign w:val="superscript"/>
          <w:lang w:val="en-US"/>
        </w:rPr>
        <w:footnoteReference w:id="15"/>
      </w:r>
    </w:p>
    <w:p w14:paraId="270CA767" w14:textId="77777777" w:rsidR="003B5FC8" w:rsidRPr="007B2402" w:rsidRDefault="003B5FC8" w:rsidP="003B5FC8">
      <w:pPr>
        <w:spacing w:after="0" w:line="240" w:lineRule="auto"/>
        <w:contextualSpacing/>
        <w:jc w:val="both"/>
        <w:rPr>
          <w:rFonts w:eastAsia="Calibri" w:cs="Times New Roman"/>
          <w:szCs w:val="20"/>
          <w:lang w:val="en-US"/>
        </w:rPr>
      </w:pPr>
    </w:p>
    <w:p w14:paraId="2B7ECF65" w14:textId="7DE726E4" w:rsidR="003B5FC8" w:rsidRPr="007B2402" w:rsidRDefault="0047328A" w:rsidP="00DB1F30">
      <w:pPr>
        <w:numPr>
          <w:ilvl w:val="0"/>
          <w:numId w:val="5"/>
        </w:numPr>
        <w:spacing w:after="0" w:line="240" w:lineRule="auto"/>
        <w:contextualSpacing/>
        <w:jc w:val="both"/>
        <w:rPr>
          <w:rFonts w:eastAsia="Calibri" w:cs="Times New Roman"/>
          <w:szCs w:val="20"/>
          <w:lang w:val="en-US"/>
        </w:rPr>
      </w:pPr>
      <w:r w:rsidRPr="007B2402">
        <w:rPr>
          <w:rFonts w:eastAsia="Calibri" w:cs="Times New Roman"/>
          <w:szCs w:val="20"/>
          <w:lang w:val="en-US"/>
        </w:rPr>
        <w:t>Despite the above, the Court has also found that, during an investigation or</w:t>
      </w:r>
      <w:r w:rsidR="00114D93" w:rsidRPr="007B2402">
        <w:rPr>
          <w:rFonts w:eastAsia="Calibri" w:cs="Times New Roman"/>
          <w:szCs w:val="20"/>
          <w:lang w:val="en-US"/>
        </w:rPr>
        <w:t xml:space="preserve"> a</w:t>
      </w:r>
      <w:r w:rsidRPr="007B2402">
        <w:rPr>
          <w:rFonts w:eastAsia="Calibri" w:cs="Times New Roman"/>
          <w:szCs w:val="20"/>
          <w:lang w:val="en-US"/>
        </w:rPr>
        <w:t xml:space="preserve"> judicial proce</w:t>
      </w:r>
      <w:r w:rsidR="00114D93" w:rsidRPr="007B2402">
        <w:rPr>
          <w:rFonts w:eastAsia="Calibri" w:cs="Times New Roman"/>
          <w:szCs w:val="20"/>
          <w:lang w:val="en-US"/>
        </w:rPr>
        <w:t>eding</w:t>
      </w:r>
      <w:r w:rsidRPr="007B2402">
        <w:rPr>
          <w:rFonts w:eastAsia="Calibri" w:cs="Times New Roman"/>
          <w:szCs w:val="20"/>
          <w:lang w:val="en-US"/>
        </w:rPr>
        <w:t xml:space="preserve">, independent facts may </w:t>
      </w:r>
      <w:r w:rsidR="00114D93" w:rsidRPr="007B2402">
        <w:rPr>
          <w:rFonts w:eastAsia="Calibri" w:cs="Times New Roman"/>
          <w:szCs w:val="20"/>
          <w:lang w:val="en-US"/>
        </w:rPr>
        <w:t>be brought to light</w:t>
      </w:r>
      <w:r w:rsidRPr="007B2402">
        <w:rPr>
          <w:rFonts w:eastAsia="Calibri" w:cs="Times New Roman"/>
          <w:szCs w:val="20"/>
          <w:lang w:val="en-US"/>
        </w:rPr>
        <w:t xml:space="preserve"> that could constitute specific, </w:t>
      </w:r>
      <w:r w:rsidRPr="007B2402">
        <w:rPr>
          <w:rFonts w:eastAsia="Calibri" w:cs="Times New Roman"/>
          <w:szCs w:val="20"/>
          <w:lang w:val="en-US"/>
        </w:rPr>
        <w:lastRenderedPageBreak/>
        <w:t>autonomous violations.</w:t>
      </w:r>
      <w:r w:rsidR="003B5FC8" w:rsidRPr="007B2402">
        <w:rPr>
          <w:rFonts w:eastAsia="Calibri" w:cs="Times New Roman"/>
          <w:szCs w:val="20"/>
          <w:vertAlign w:val="superscript"/>
          <w:lang w:val="en-US"/>
        </w:rPr>
        <w:footnoteReference w:id="16"/>
      </w:r>
      <w:r w:rsidR="003B5FC8" w:rsidRPr="007B2402">
        <w:rPr>
          <w:rFonts w:eastAsia="Calibri" w:cs="Times New Roman"/>
          <w:szCs w:val="20"/>
          <w:lang w:val="en-US"/>
        </w:rPr>
        <w:t xml:space="preserve"> </w:t>
      </w:r>
      <w:r w:rsidRPr="007B2402">
        <w:rPr>
          <w:rFonts w:eastAsia="Calibri" w:cs="Times New Roman"/>
          <w:szCs w:val="20"/>
          <w:lang w:val="en-US"/>
        </w:rPr>
        <w:t>In that case</w:t>
      </w:r>
      <w:r w:rsidR="003B5FC8" w:rsidRPr="007B2402">
        <w:rPr>
          <w:rFonts w:eastAsia="Calibri" w:cs="Times New Roman"/>
          <w:szCs w:val="20"/>
          <w:lang w:val="en-US"/>
        </w:rPr>
        <w:t xml:space="preserve">, </w:t>
      </w:r>
      <w:r w:rsidR="00AF4344" w:rsidRPr="007B2402">
        <w:rPr>
          <w:rFonts w:eastAsia="Calibri" w:cs="Times New Roman"/>
          <w:szCs w:val="20"/>
          <w:lang w:val="en-US"/>
        </w:rPr>
        <w:t>the Court</w:t>
      </w:r>
      <w:r w:rsidR="003B5FC8" w:rsidRPr="007B2402">
        <w:rPr>
          <w:rFonts w:eastAsia="Calibri" w:cs="Times New Roman"/>
          <w:szCs w:val="20"/>
          <w:lang w:val="en-US"/>
        </w:rPr>
        <w:t xml:space="preserve"> </w:t>
      </w:r>
      <w:r w:rsidRPr="007B2402">
        <w:rPr>
          <w:rFonts w:eastAsia="Calibri" w:cs="Times New Roman"/>
          <w:szCs w:val="20"/>
          <w:lang w:val="en-US"/>
        </w:rPr>
        <w:t>has jurisdiction to examine and rule on possible human rights violations relating to an investigation proce</w:t>
      </w:r>
      <w:r w:rsidR="00CA3B3D" w:rsidRPr="007B2402">
        <w:rPr>
          <w:rFonts w:eastAsia="Calibri" w:cs="Times New Roman"/>
          <w:szCs w:val="20"/>
          <w:lang w:val="en-US"/>
        </w:rPr>
        <w:t>dure</w:t>
      </w:r>
      <w:r w:rsidR="00114D93" w:rsidRPr="007B2402">
        <w:rPr>
          <w:rFonts w:eastAsia="Calibri" w:cs="Times New Roman"/>
          <w:szCs w:val="20"/>
          <w:lang w:val="en-US"/>
        </w:rPr>
        <w:t xml:space="preserve"> that</w:t>
      </w:r>
      <w:r w:rsidRPr="007B2402">
        <w:rPr>
          <w:rFonts w:eastAsia="Calibri" w:cs="Times New Roman"/>
          <w:szCs w:val="20"/>
          <w:lang w:val="en-US"/>
        </w:rPr>
        <w:t xml:space="preserve"> occurred following the date of acceptance of the Court’s jurisdiction, even when the proce</w:t>
      </w:r>
      <w:r w:rsidR="00CA3B3D" w:rsidRPr="007B2402">
        <w:rPr>
          <w:rFonts w:eastAsia="Calibri" w:cs="Times New Roman"/>
          <w:szCs w:val="20"/>
          <w:lang w:val="en-US"/>
        </w:rPr>
        <w:t>dure</w:t>
      </w:r>
      <w:r w:rsidRPr="007B2402">
        <w:rPr>
          <w:rFonts w:eastAsia="Calibri" w:cs="Times New Roman"/>
          <w:szCs w:val="20"/>
          <w:lang w:val="en-US"/>
        </w:rPr>
        <w:t xml:space="preserve"> may have started before </w:t>
      </w:r>
      <w:r w:rsidR="00114D93" w:rsidRPr="007B2402">
        <w:rPr>
          <w:rFonts w:eastAsia="Calibri" w:cs="Times New Roman"/>
          <w:szCs w:val="20"/>
          <w:lang w:val="en-US"/>
        </w:rPr>
        <w:t xml:space="preserve">the </w:t>
      </w:r>
      <w:r w:rsidRPr="007B2402">
        <w:rPr>
          <w:rFonts w:eastAsia="Calibri" w:cs="Times New Roman"/>
          <w:szCs w:val="20"/>
          <w:lang w:val="en-US"/>
        </w:rPr>
        <w:t>acceptance of its contentious jurisdiction.</w:t>
      </w:r>
      <w:r w:rsidR="003B5FC8" w:rsidRPr="007B2402">
        <w:rPr>
          <w:rFonts w:eastAsia="Calibri" w:cs="Times New Roman"/>
          <w:szCs w:val="20"/>
          <w:vertAlign w:val="superscript"/>
          <w:lang w:val="en-US"/>
        </w:rPr>
        <w:footnoteReference w:id="17"/>
      </w:r>
    </w:p>
    <w:p w14:paraId="3AE71947" w14:textId="77777777" w:rsidR="003B5FC8" w:rsidRPr="007B2402" w:rsidRDefault="003B5FC8" w:rsidP="003B5FC8">
      <w:pPr>
        <w:spacing w:after="0" w:line="240" w:lineRule="auto"/>
        <w:contextualSpacing/>
        <w:jc w:val="both"/>
        <w:rPr>
          <w:rFonts w:eastAsia="Calibri" w:cs="Times New Roman"/>
          <w:szCs w:val="20"/>
          <w:lang w:val="en-US"/>
        </w:rPr>
      </w:pPr>
    </w:p>
    <w:p w14:paraId="4EC18C7D" w14:textId="112DD117" w:rsidR="003B5FC8" w:rsidRPr="007B2402" w:rsidRDefault="00AF4344" w:rsidP="00DB1F30">
      <w:pPr>
        <w:numPr>
          <w:ilvl w:val="0"/>
          <w:numId w:val="5"/>
        </w:numPr>
        <w:spacing w:after="0" w:line="240" w:lineRule="auto"/>
        <w:contextualSpacing/>
        <w:jc w:val="both"/>
        <w:rPr>
          <w:rFonts w:eastAsia="Calibri" w:cs="Times New Roman"/>
          <w:szCs w:val="20"/>
          <w:lang w:val="en-US"/>
        </w:rPr>
      </w:pPr>
      <w:r w:rsidRPr="007B2402">
        <w:rPr>
          <w:rFonts w:eastAsia="Calibri" w:cs="Times New Roman"/>
          <w:szCs w:val="20"/>
          <w:lang w:val="en-US"/>
        </w:rPr>
        <w:t>The Court</w:t>
      </w:r>
      <w:r w:rsidR="003B5FC8" w:rsidRPr="007B2402">
        <w:rPr>
          <w:rFonts w:eastAsia="Calibri" w:cs="Times New Roman"/>
          <w:szCs w:val="20"/>
          <w:lang w:val="en-US"/>
        </w:rPr>
        <w:t xml:space="preserve"> observ</w:t>
      </w:r>
      <w:r w:rsidR="0047328A" w:rsidRPr="007B2402">
        <w:rPr>
          <w:rFonts w:eastAsia="Calibri" w:cs="Times New Roman"/>
          <w:szCs w:val="20"/>
          <w:lang w:val="en-US"/>
        </w:rPr>
        <w:t>es that both</w:t>
      </w:r>
      <w:r w:rsidR="003B5FC8" w:rsidRPr="007B2402">
        <w:rPr>
          <w:rFonts w:eastAsia="Calibri" w:cs="Times New Roman"/>
          <w:szCs w:val="20"/>
          <w:lang w:val="en-US"/>
        </w:rPr>
        <w:t xml:space="preserve"> </w:t>
      </w:r>
      <w:r w:rsidRPr="007B2402">
        <w:rPr>
          <w:rFonts w:eastAsia="Calibri" w:cs="Times New Roman"/>
          <w:szCs w:val="20"/>
          <w:lang w:val="en-US"/>
        </w:rPr>
        <w:t>the Commission</w:t>
      </w:r>
      <w:r w:rsidR="003B5FC8" w:rsidRPr="007B2402">
        <w:rPr>
          <w:rFonts w:eastAsia="Calibri" w:cs="Times New Roman"/>
          <w:szCs w:val="20"/>
          <w:lang w:val="en-US"/>
        </w:rPr>
        <w:t xml:space="preserve"> </w:t>
      </w:r>
      <w:r w:rsidR="0047328A" w:rsidRPr="007B2402">
        <w:rPr>
          <w:rFonts w:eastAsia="Calibri" w:cs="Times New Roman"/>
          <w:szCs w:val="20"/>
          <w:lang w:val="en-US"/>
        </w:rPr>
        <w:t>and</w:t>
      </w:r>
      <w:r w:rsidR="003B5FC8" w:rsidRPr="007B2402">
        <w:rPr>
          <w:rFonts w:eastAsia="Calibri" w:cs="Times New Roman"/>
          <w:szCs w:val="20"/>
          <w:lang w:val="en-US"/>
        </w:rPr>
        <w:t xml:space="preserve"> </w:t>
      </w:r>
      <w:r w:rsidR="005B1590" w:rsidRPr="007B2402">
        <w:rPr>
          <w:rFonts w:eastAsia="Calibri" w:cs="Times New Roman"/>
          <w:szCs w:val="20"/>
          <w:lang w:val="en-US"/>
        </w:rPr>
        <w:t>the representatives</w:t>
      </w:r>
      <w:r w:rsidR="003B5FC8" w:rsidRPr="007B2402">
        <w:rPr>
          <w:rFonts w:eastAsia="Calibri" w:cs="Times New Roman"/>
          <w:szCs w:val="20"/>
          <w:lang w:val="en-US"/>
        </w:rPr>
        <w:t xml:space="preserve"> </w:t>
      </w:r>
      <w:r w:rsidR="0047328A" w:rsidRPr="007B2402">
        <w:rPr>
          <w:rFonts w:eastAsia="Calibri" w:cs="Times New Roman"/>
          <w:szCs w:val="20"/>
          <w:lang w:val="en-US"/>
        </w:rPr>
        <w:t xml:space="preserve">indicated that they are not asking the Court to declare the international responsibility </w:t>
      </w:r>
      <w:r w:rsidR="006E2CFF" w:rsidRPr="007B2402">
        <w:rPr>
          <w:rFonts w:eastAsia="Calibri" w:cs="Times New Roman"/>
          <w:szCs w:val="20"/>
          <w:lang w:val="en-US"/>
        </w:rPr>
        <w:t xml:space="preserve">of the </w:t>
      </w:r>
      <w:r w:rsidRPr="007B2402">
        <w:rPr>
          <w:rFonts w:eastAsia="Calibri" w:cs="Times New Roman"/>
          <w:szCs w:val="20"/>
          <w:lang w:val="en-US"/>
        </w:rPr>
        <w:t>State</w:t>
      </w:r>
      <w:r w:rsidR="003B5FC8" w:rsidRPr="007B2402">
        <w:rPr>
          <w:rFonts w:eastAsia="Calibri" w:cs="Times New Roman"/>
          <w:szCs w:val="20"/>
          <w:lang w:val="en-US"/>
        </w:rPr>
        <w:t xml:space="preserve"> </w:t>
      </w:r>
      <w:r w:rsidR="0047328A" w:rsidRPr="007B2402">
        <w:rPr>
          <w:rFonts w:eastAsia="Calibri" w:cs="Times New Roman"/>
          <w:szCs w:val="20"/>
          <w:lang w:val="en-US"/>
        </w:rPr>
        <w:t xml:space="preserve">for facts prior to </w:t>
      </w:r>
      <w:r w:rsidR="00D86EEA" w:rsidRPr="007B2402">
        <w:rPr>
          <w:rFonts w:eastAsia="Calibri" w:cs="Times New Roman"/>
          <w:szCs w:val="20"/>
          <w:lang w:val="en-US"/>
        </w:rPr>
        <w:t>December 10,</w:t>
      </w:r>
      <w:r w:rsidR="003B5FC8" w:rsidRPr="007B2402">
        <w:rPr>
          <w:rFonts w:eastAsia="Calibri" w:cs="Times New Roman"/>
          <w:szCs w:val="20"/>
          <w:lang w:val="en-US"/>
        </w:rPr>
        <w:t xml:space="preserve"> 1998. </w:t>
      </w:r>
      <w:r w:rsidR="00A81296" w:rsidRPr="007B2402">
        <w:rPr>
          <w:rFonts w:eastAsia="Calibri" w:cs="Times New Roman"/>
          <w:szCs w:val="20"/>
          <w:lang w:val="en-US"/>
        </w:rPr>
        <w:t xml:space="preserve">Based on </w:t>
      </w:r>
      <w:r w:rsidR="0047328A" w:rsidRPr="007B2402">
        <w:rPr>
          <w:rFonts w:eastAsia="Calibri" w:cs="Times New Roman"/>
          <w:szCs w:val="20"/>
          <w:lang w:val="en-US"/>
        </w:rPr>
        <w:t xml:space="preserve">the foregoing, the Court has jurisdiction to examine the supposed acts and omissions of the State that occurred after </w:t>
      </w:r>
      <w:r w:rsidR="00D86EEA" w:rsidRPr="007B2402">
        <w:rPr>
          <w:rFonts w:eastAsia="Calibri" w:cs="Times New Roman"/>
          <w:szCs w:val="20"/>
          <w:lang w:val="en-US"/>
        </w:rPr>
        <w:t>December 10,</w:t>
      </w:r>
      <w:r w:rsidR="003B5FC8" w:rsidRPr="007B2402">
        <w:rPr>
          <w:rFonts w:eastAsia="Calibri" w:cs="Times New Roman"/>
          <w:szCs w:val="20"/>
          <w:lang w:val="en-US"/>
        </w:rPr>
        <w:t xml:space="preserve"> 1998</w:t>
      </w:r>
      <w:r w:rsidR="009D0B28" w:rsidRPr="007B2402">
        <w:rPr>
          <w:rFonts w:eastAsia="Calibri" w:cs="Times New Roman"/>
          <w:szCs w:val="20"/>
          <w:lang w:val="en-US"/>
        </w:rPr>
        <w:t xml:space="preserve">, </w:t>
      </w:r>
      <w:r w:rsidR="0047328A" w:rsidRPr="007B2402">
        <w:rPr>
          <w:rFonts w:eastAsia="Calibri" w:cs="Times New Roman"/>
          <w:szCs w:val="20"/>
          <w:lang w:val="en-US"/>
        </w:rPr>
        <w:t xml:space="preserve">both in relation to </w:t>
      </w:r>
      <w:r w:rsidRPr="007B2402">
        <w:rPr>
          <w:rFonts w:eastAsia="Calibri" w:cs="Times New Roman"/>
          <w:szCs w:val="20"/>
          <w:lang w:val="en-US"/>
        </w:rPr>
        <w:t>the American Convention</w:t>
      </w:r>
      <w:r w:rsidR="009D0B28" w:rsidRPr="007B2402">
        <w:rPr>
          <w:rFonts w:eastAsia="Calibri" w:cs="Times New Roman"/>
          <w:szCs w:val="20"/>
          <w:lang w:val="en-US"/>
        </w:rPr>
        <w:t xml:space="preserve"> </w:t>
      </w:r>
      <w:r w:rsidR="0047328A" w:rsidRPr="007B2402">
        <w:rPr>
          <w:rFonts w:eastAsia="Calibri" w:cs="Times New Roman"/>
          <w:szCs w:val="20"/>
          <w:lang w:val="en-US"/>
        </w:rPr>
        <w:t>and to</w:t>
      </w:r>
      <w:r w:rsidR="009D0B28" w:rsidRPr="007B2402">
        <w:rPr>
          <w:rFonts w:eastAsia="Calibri" w:cs="Times New Roman"/>
          <w:szCs w:val="20"/>
          <w:lang w:val="en-US"/>
        </w:rPr>
        <w:t xml:space="preserve"> </w:t>
      </w:r>
      <w:r w:rsidRPr="007B2402">
        <w:rPr>
          <w:rFonts w:eastAsia="Calibri" w:cs="Times New Roman"/>
          <w:szCs w:val="20"/>
          <w:lang w:val="en-US"/>
        </w:rPr>
        <w:t>Articles</w:t>
      </w:r>
      <w:r w:rsidR="001A69CC" w:rsidRPr="007B2402">
        <w:rPr>
          <w:rFonts w:eastAsia="Calibri" w:cs="Times New Roman"/>
          <w:szCs w:val="20"/>
          <w:lang w:val="en-US"/>
        </w:rPr>
        <w:t xml:space="preserve"> 1, 6</w:t>
      </w:r>
      <w:r w:rsidR="005B1590" w:rsidRPr="007B2402">
        <w:rPr>
          <w:rFonts w:eastAsia="Calibri" w:cs="Times New Roman"/>
          <w:szCs w:val="20"/>
          <w:lang w:val="en-US"/>
        </w:rPr>
        <w:t xml:space="preserve"> and </w:t>
      </w:r>
      <w:r w:rsidR="001A69CC" w:rsidRPr="007B2402">
        <w:rPr>
          <w:rFonts w:eastAsia="Calibri" w:cs="Times New Roman"/>
          <w:szCs w:val="20"/>
          <w:lang w:val="en-US"/>
        </w:rPr>
        <w:t>8</w:t>
      </w:r>
      <w:r w:rsidRPr="007B2402">
        <w:rPr>
          <w:rFonts w:eastAsia="Calibri" w:cs="Times New Roman"/>
          <w:szCs w:val="20"/>
          <w:lang w:val="en-US"/>
        </w:rPr>
        <w:t xml:space="preserve"> of the </w:t>
      </w:r>
      <w:r w:rsidR="00375567" w:rsidRPr="007B2402">
        <w:rPr>
          <w:rFonts w:eastAsia="Calibri" w:cs="Times New Roman"/>
          <w:szCs w:val="20"/>
          <w:lang w:val="en-US"/>
        </w:rPr>
        <w:t>Inter-American Convention to Prevent and Punish Torture</w:t>
      </w:r>
      <w:r w:rsidR="0047328A" w:rsidRPr="007B2402">
        <w:rPr>
          <w:rFonts w:eastAsia="Calibri" w:cs="Times New Roman"/>
          <w:szCs w:val="20"/>
          <w:lang w:val="en-US"/>
        </w:rPr>
        <w:t xml:space="preserve">, because they refer to the obligation </w:t>
      </w:r>
      <w:r w:rsidR="00CA3B3D" w:rsidRPr="007B2402">
        <w:rPr>
          <w:rFonts w:eastAsia="Calibri" w:cs="Times New Roman"/>
          <w:szCs w:val="20"/>
          <w:lang w:val="en-US"/>
        </w:rPr>
        <w:t xml:space="preserve">of the State </w:t>
      </w:r>
      <w:r w:rsidR="0047328A" w:rsidRPr="007B2402">
        <w:rPr>
          <w:rFonts w:eastAsia="Calibri" w:cs="Times New Roman"/>
          <w:szCs w:val="20"/>
          <w:lang w:val="en-US"/>
        </w:rPr>
        <w:t>to investigate, prosecute and punish.</w:t>
      </w:r>
    </w:p>
    <w:p w14:paraId="72376D20" w14:textId="77777777" w:rsidR="003B5FC8" w:rsidRPr="007B2402" w:rsidRDefault="003B5FC8" w:rsidP="003B5FC8">
      <w:pPr>
        <w:spacing w:after="0" w:line="240" w:lineRule="auto"/>
        <w:contextualSpacing/>
        <w:jc w:val="both"/>
        <w:rPr>
          <w:rFonts w:eastAsia="Calibri" w:cs="Times New Roman"/>
          <w:szCs w:val="20"/>
          <w:lang w:val="en-US"/>
        </w:rPr>
      </w:pPr>
    </w:p>
    <w:p w14:paraId="53625D09" w14:textId="4F7975D4" w:rsidR="003B5FC8" w:rsidRPr="007B2402" w:rsidRDefault="00114D93" w:rsidP="00DB1F30">
      <w:pPr>
        <w:numPr>
          <w:ilvl w:val="0"/>
          <w:numId w:val="5"/>
        </w:numPr>
        <w:spacing w:after="0" w:line="240" w:lineRule="auto"/>
        <w:contextualSpacing/>
        <w:jc w:val="both"/>
        <w:rPr>
          <w:rFonts w:eastAsia="Calibri" w:cs="Times New Roman"/>
          <w:szCs w:val="20"/>
          <w:lang w:val="en-US"/>
        </w:rPr>
      </w:pPr>
      <w:r w:rsidRPr="007B2402">
        <w:rPr>
          <w:rFonts w:eastAsia="Calibri" w:cs="Times New Roman"/>
          <w:szCs w:val="20"/>
          <w:lang w:val="en-US"/>
        </w:rPr>
        <w:t>Based on</w:t>
      </w:r>
      <w:r w:rsidR="00A81296" w:rsidRPr="007B2402">
        <w:rPr>
          <w:rFonts w:eastAsia="Calibri" w:cs="Times New Roman"/>
          <w:szCs w:val="20"/>
          <w:lang w:val="en-US"/>
        </w:rPr>
        <w:t xml:space="preserve"> the above, the Court reaffirms its consistent case law in this regard and finds that the </w:t>
      </w:r>
      <w:r w:rsidR="006E2CFF" w:rsidRPr="007B2402">
        <w:rPr>
          <w:rFonts w:eastAsia="Calibri" w:cs="Times New Roman"/>
          <w:szCs w:val="20"/>
          <w:lang w:val="en-US"/>
        </w:rPr>
        <w:t>preliminary objections</w:t>
      </w:r>
      <w:r w:rsidR="00A81296" w:rsidRPr="007B2402">
        <w:rPr>
          <w:rFonts w:eastAsia="Calibri" w:cs="Times New Roman"/>
          <w:szCs w:val="20"/>
          <w:lang w:val="en-US"/>
        </w:rPr>
        <w:t xml:space="preserve"> are partially substantiated.</w:t>
      </w:r>
      <w:r w:rsidR="003B5FC8" w:rsidRPr="007B2402">
        <w:rPr>
          <w:rFonts w:eastAsia="Calibri" w:cs="Times New Roman"/>
          <w:szCs w:val="20"/>
          <w:lang w:val="en-US"/>
        </w:rPr>
        <w:t xml:space="preserve"> </w:t>
      </w:r>
    </w:p>
    <w:p w14:paraId="7F97F835" w14:textId="77777777" w:rsidR="003B5FC8" w:rsidRPr="007B2402" w:rsidRDefault="003B5FC8" w:rsidP="003B5FC8">
      <w:pPr>
        <w:spacing w:after="0" w:line="240" w:lineRule="auto"/>
        <w:jc w:val="both"/>
        <w:rPr>
          <w:rFonts w:eastAsia="Calibri" w:cs="Times New Roman"/>
          <w:szCs w:val="20"/>
          <w:lang w:val="en-US"/>
        </w:rPr>
      </w:pPr>
    </w:p>
    <w:p w14:paraId="041A1693" w14:textId="6AF738E2" w:rsidR="003B5FC8" w:rsidRPr="007B2402" w:rsidRDefault="007E42A8" w:rsidP="003F5FCD">
      <w:pPr>
        <w:pStyle w:val="Asuntodelcomentario"/>
        <w:keepNext/>
        <w:keepLines/>
        <w:numPr>
          <w:ilvl w:val="0"/>
          <w:numId w:val="9"/>
        </w:numPr>
        <w:ind w:left="0" w:firstLine="0"/>
        <w:contextualSpacing/>
        <w:outlineLvl w:val="1"/>
        <w:rPr>
          <w:rFonts w:eastAsia="Calibri" w:cs="Times New Roman"/>
          <w:bCs w:val="0"/>
          <w:i/>
          <w:noProof w:val="0"/>
          <w:lang w:val="en-US"/>
        </w:rPr>
      </w:pPr>
      <w:bookmarkStart w:id="69" w:name="_Toc506984078"/>
      <w:r w:rsidRPr="007B2402">
        <w:rPr>
          <w:rFonts w:eastAsia="Calibri" w:cs="Times New Roman"/>
          <w:bCs w:val="0"/>
          <w:i/>
          <w:noProof w:val="0"/>
          <w:lang w:val="en-US"/>
        </w:rPr>
        <w:t>Lack of jurisdiction</w:t>
      </w:r>
      <w:r w:rsidR="003B5FC8" w:rsidRPr="007B2402">
        <w:rPr>
          <w:rFonts w:eastAsia="Calibri" w:cs="Times New Roman"/>
          <w:bCs w:val="0"/>
          <w:i/>
          <w:noProof w:val="0"/>
          <w:lang w:val="en-US"/>
        </w:rPr>
        <w:t xml:space="preserve"> </w:t>
      </w:r>
      <w:r w:rsidR="0041210A" w:rsidRPr="007B2402">
        <w:rPr>
          <w:rFonts w:eastAsia="Calibri" w:cs="Times New Roman"/>
          <w:lang w:val="en-US"/>
        </w:rPr>
        <w:t xml:space="preserve">ratione materiae </w:t>
      </w:r>
      <w:r w:rsidR="0041210A" w:rsidRPr="007B2402">
        <w:rPr>
          <w:rFonts w:eastAsia="Calibri" w:cs="Times New Roman"/>
          <w:bCs w:val="0"/>
          <w:i/>
          <w:noProof w:val="0"/>
          <w:lang w:val="en-US"/>
        </w:rPr>
        <w:t xml:space="preserve">in relation to supposed violations of </w:t>
      </w:r>
      <w:r w:rsidR="00AF4344" w:rsidRPr="007B2402">
        <w:rPr>
          <w:rFonts w:eastAsia="Calibri" w:cs="Times New Roman"/>
          <w:bCs w:val="0"/>
          <w:i/>
          <w:noProof w:val="0"/>
          <w:lang w:val="en-US"/>
        </w:rPr>
        <w:t>Articles</w:t>
      </w:r>
      <w:r w:rsidR="003B5FC8" w:rsidRPr="007B2402">
        <w:rPr>
          <w:rFonts w:eastAsia="Calibri" w:cs="Times New Roman"/>
          <w:bCs w:val="0"/>
          <w:i/>
          <w:noProof w:val="0"/>
          <w:lang w:val="en-US"/>
        </w:rPr>
        <w:t xml:space="preserve"> 1, 6</w:t>
      </w:r>
      <w:r w:rsidR="005B1590" w:rsidRPr="007B2402">
        <w:rPr>
          <w:rFonts w:eastAsia="Calibri" w:cs="Times New Roman"/>
          <w:bCs w:val="0"/>
          <w:i/>
          <w:noProof w:val="0"/>
          <w:lang w:val="en-US"/>
        </w:rPr>
        <w:t xml:space="preserve"> and </w:t>
      </w:r>
      <w:r w:rsidR="003B5FC8" w:rsidRPr="007B2402">
        <w:rPr>
          <w:rFonts w:eastAsia="Calibri" w:cs="Times New Roman"/>
          <w:bCs w:val="0"/>
          <w:i/>
          <w:noProof w:val="0"/>
          <w:lang w:val="en-US"/>
        </w:rPr>
        <w:t>8</w:t>
      </w:r>
      <w:r w:rsidR="00AF4344" w:rsidRPr="007B2402">
        <w:rPr>
          <w:rFonts w:eastAsia="Calibri" w:cs="Times New Roman"/>
          <w:bCs w:val="0"/>
          <w:i/>
          <w:noProof w:val="0"/>
          <w:lang w:val="en-US"/>
        </w:rPr>
        <w:t xml:space="preserve"> of the </w:t>
      </w:r>
      <w:r w:rsidR="00375567" w:rsidRPr="007B2402">
        <w:rPr>
          <w:rFonts w:eastAsia="Calibri" w:cs="Times New Roman"/>
          <w:bCs w:val="0"/>
          <w:i/>
          <w:noProof w:val="0"/>
          <w:lang w:val="en-US"/>
        </w:rPr>
        <w:t>Inter-American Convention to Prevent and Punish Torture</w:t>
      </w:r>
      <w:bookmarkEnd w:id="69"/>
    </w:p>
    <w:p w14:paraId="77E0A8B1" w14:textId="77777777" w:rsidR="003B5FC8" w:rsidRPr="007B2402" w:rsidRDefault="003B5FC8" w:rsidP="003F5FCD">
      <w:pPr>
        <w:pStyle w:val="Textocomentario"/>
        <w:autoSpaceDE w:val="0"/>
        <w:autoSpaceDN w:val="0"/>
        <w:adjustRightInd w:val="0"/>
        <w:contextualSpacing/>
        <w:rPr>
          <w:rFonts w:eastAsia="Calibri" w:cs="Times New Roman"/>
          <w:noProof w:val="0"/>
          <w:lang w:val="en-US"/>
        </w:rPr>
      </w:pPr>
    </w:p>
    <w:p w14:paraId="00B47D59" w14:textId="63578A30" w:rsidR="003B5FC8" w:rsidRPr="007B2402" w:rsidRDefault="003B5FC8" w:rsidP="003B5FC8">
      <w:pPr>
        <w:keepNext/>
        <w:keepLines/>
        <w:spacing w:after="0" w:line="240" w:lineRule="auto"/>
        <w:ind w:left="426"/>
        <w:contextualSpacing/>
        <w:jc w:val="both"/>
        <w:outlineLvl w:val="2"/>
        <w:rPr>
          <w:rFonts w:eastAsia="Calibri" w:cs="Times New Roman"/>
          <w:szCs w:val="20"/>
          <w:lang w:val="en-US"/>
        </w:rPr>
      </w:pPr>
      <w:bookmarkStart w:id="70" w:name="_Toc505939119"/>
      <w:bookmarkStart w:id="71" w:name="_Toc506496100"/>
      <w:bookmarkStart w:id="72" w:name="_Toc506984079"/>
      <w:r w:rsidRPr="007B2402">
        <w:rPr>
          <w:rFonts w:eastAsia="Calibri" w:cs="Times New Roman"/>
          <w:i/>
          <w:szCs w:val="20"/>
          <w:lang w:val="en-US"/>
        </w:rPr>
        <w:t xml:space="preserve">B.1. </w:t>
      </w:r>
      <w:r w:rsidR="002761AC" w:rsidRPr="007B2402">
        <w:rPr>
          <w:rFonts w:eastAsia="Calibri" w:cs="Times New Roman"/>
          <w:i/>
          <w:szCs w:val="20"/>
          <w:lang w:val="en-US"/>
        </w:rPr>
        <w:t>Arguments</w:t>
      </w:r>
      <w:r w:rsidR="006E2CFF" w:rsidRPr="007B2402">
        <w:rPr>
          <w:rFonts w:eastAsia="Calibri" w:cs="Times New Roman"/>
          <w:i/>
          <w:szCs w:val="20"/>
          <w:lang w:val="en-US"/>
        </w:rPr>
        <w:t xml:space="preserve"> of the </w:t>
      </w:r>
      <w:r w:rsidR="00AF4344" w:rsidRPr="007B2402">
        <w:rPr>
          <w:rFonts w:eastAsia="Calibri" w:cs="Times New Roman"/>
          <w:i/>
          <w:szCs w:val="20"/>
          <w:lang w:val="en-US"/>
        </w:rPr>
        <w:t>State</w:t>
      </w:r>
      <w:r w:rsidRPr="007B2402">
        <w:rPr>
          <w:rFonts w:eastAsia="Calibri" w:cs="Times New Roman"/>
          <w:i/>
          <w:szCs w:val="20"/>
          <w:lang w:val="en-US"/>
        </w:rPr>
        <w:t xml:space="preserve">, </w:t>
      </w:r>
      <w:r w:rsidR="002761AC" w:rsidRPr="007B2402">
        <w:rPr>
          <w:rFonts w:eastAsia="Calibri" w:cs="Times New Roman"/>
          <w:i/>
          <w:szCs w:val="20"/>
          <w:lang w:val="en-US"/>
        </w:rPr>
        <w:t>observations</w:t>
      </w:r>
      <w:r w:rsidR="005B1590" w:rsidRPr="007B2402">
        <w:rPr>
          <w:rFonts w:eastAsia="Calibri" w:cs="Times New Roman"/>
          <w:i/>
          <w:szCs w:val="20"/>
          <w:lang w:val="en-US"/>
        </w:rPr>
        <w:t xml:space="preserve"> of the </w:t>
      </w:r>
      <w:r w:rsidR="00AF4344" w:rsidRPr="007B2402">
        <w:rPr>
          <w:rFonts w:eastAsia="Calibri" w:cs="Times New Roman"/>
          <w:i/>
          <w:szCs w:val="20"/>
          <w:lang w:val="en-US"/>
        </w:rPr>
        <w:t>Commission</w:t>
      </w:r>
      <w:r w:rsidR="005B1590" w:rsidRPr="007B2402">
        <w:rPr>
          <w:rFonts w:eastAsia="Calibri" w:cs="Times New Roman"/>
          <w:i/>
          <w:szCs w:val="20"/>
          <w:lang w:val="en-US"/>
        </w:rPr>
        <w:t xml:space="preserve"> and of the representatives</w:t>
      </w:r>
      <w:bookmarkEnd w:id="70"/>
      <w:bookmarkEnd w:id="71"/>
      <w:bookmarkEnd w:id="72"/>
      <w:r w:rsidRPr="007B2402">
        <w:rPr>
          <w:rFonts w:eastAsia="Calibri" w:cs="Times New Roman"/>
          <w:i/>
          <w:szCs w:val="20"/>
          <w:lang w:val="en-US"/>
        </w:rPr>
        <w:t xml:space="preserve"> </w:t>
      </w:r>
    </w:p>
    <w:p w14:paraId="27397A4D" w14:textId="77777777" w:rsidR="003B5FC8" w:rsidRPr="007B2402" w:rsidRDefault="003B5FC8" w:rsidP="003B5FC8">
      <w:pPr>
        <w:spacing w:after="0" w:line="240" w:lineRule="auto"/>
        <w:jc w:val="both"/>
        <w:rPr>
          <w:rFonts w:eastAsia="Calibri" w:cs="Times New Roman"/>
          <w:szCs w:val="20"/>
          <w:lang w:val="en-US"/>
        </w:rPr>
      </w:pPr>
    </w:p>
    <w:p w14:paraId="6315B3F0" w14:textId="463F622F" w:rsidR="003B5FC8" w:rsidRPr="007B2402" w:rsidRDefault="00AF4344" w:rsidP="00DB1F30">
      <w:pPr>
        <w:numPr>
          <w:ilvl w:val="0"/>
          <w:numId w:val="5"/>
        </w:numPr>
        <w:spacing w:after="0" w:line="240" w:lineRule="auto"/>
        <w:contextualSpacing/>
        <w:jc w:val="both"/>
        <w:rPr>
          <w:rFonts w:eastAsia="Batang" w:cs="Times"/>
          <w:b/>
          <w:szCs w:val="20"/>
          <w:lang w:val="en-US" w:eastAsia="es-ES"/>
        </w:rPr>
      </w:pPr>
      <w:r w:rsidRPr="007B2402">
        <w:rPr>
          <w:rFonts w:eastAsia="Calibri" w:cs="Times New Roman"/>
          <w:szCs w:val="20"/>
          <w:lang w:val="en-US"/>
        </w:rPr>
        <w:t xml:space="preserve">The </w:t>
      </w:r>
      <w:r w:rsidRPr="007B2402">
        <w:rPr>
          <w:rFonts w:eastAsia="Calibri" w:cs="Times New Roman"/>
          <w:b/>
          <w:i/>
          <w:szCs w:val="20"/>
          <w:lang w:val="en-US"/>
        </w:rPr>
        <w:t>State</w:t>
      </w:r>
      <w:r w:rsidR="003B5FC8" w:rsidRPr="007B2402">
        <w:rPr>
          <w:rFonts w:eastAsia="Calibri" w:cs="Times New Roman"/>
          <w:szCs w:val="20"/>
          <w:lang w:val="en-US"/>
        </w:rPr>
        <w:t xml:space="preserve"> </w:t>
      </w:r>
      <w:r w:rsidR="003B5FC8" w:rsidRPr="007B2402">
        <w:rPr>
          <w:rFonts w:eastAsia="Batang" w:cs="Times"/>
          <w:szCs w:val="20"/>
          <w:lang w:val="en-US" w:eastAsia="es-ES"/>
        </w:rPr>
        <w:t>indic</w:t>
      </w:r>
      <w:r w:rsidR="00F762C6" w:rsidRPr="007B2402">
        <w:rPr>
          <w:rFonts w:eastAsia="Batang" w:cs="Times"/>
          <w:szCs w:val="20"/>
          <w:lang w:val="en-US" w:eastAsia="es-ES"/>
        </w:rPr>
        <w:t xml:space="preserve">ated that acceptance of jurisdiction should be based on the State’s willingness to submit to the international contentious jurisdiction. Thus, it asserted that it had not accepted the Court’s jurisdiction to examine supposed violations of the </w:t>
      </w:r>
      <w:r w:rsidR="00375567" w:rsidRPr="007B2402">
        <w:rPr>
          <w:rFonts w:eastAsia="Batang" w:cs="Times"/>
          <w:szCs w:val="20"/>
          <w:lang w:val="en-US" w:eastAsia="es-ES"/>
        </w:rPr>
        <w:t>ICPPT</w:t>
      </w:r>
      <w:r w:rsidR="003B5FC8" w:rsidRPr="007B2402">
        <w:rPr>
          <w:rFonts w:eastAsia="Batang" w:cs="Times"/>
          <w:szCs w:val="20"/>
          <w:lang w:val="en-US" w:eastAsia="es-ES"/>
        </w:rPr>
        <w:t xml:space="preserve">. </w:t>
      </w:r>
      <w:r w:rsidR="00F762C6" w:rsidRPr="007B2402">
        <w:rPr>
          <w:rFonts w:eastAsia="Batang" w:cs="Times"/>
          <w:szCs w:val="20"/>
          <w:lang w:val="en-US" w:eastAsia="es-ES"/>
        </w:rPr>
        <w:t xml:space="preserve">In the State’s opinion, the application of this Convention would violate the </w:t>
      </w:r>
      <w:r w:rsidR="003B5FC8" w:rsidRPr="007B2402">
        <w:rPr>
          <w:rFonts w:eastAsia="Batang" w:cs="Times"/>
          <w:i/>
          <w:szCs w:val="20"/>
          <w:lang w:val="en-US" w:eastAsia="es-ES"/>
        </w:rPr>
        <w:t>pacta sunt servanda</w:t>
      </w:r>
      <w:r w:rsidR="00F762C6" w:rsidRPr="007B2402">
        <w:rPr>
          <w:rFonts w:eastAsia="Batang" w:cs="Times"/>
          <w:szCs w:val="20"/>
          <w:lang w:val="en-US" w:eastAsia="es-ES"/>
        </w:rPr>
        <w:t xml:space="preserve"> principle.</w:t>
      </w:r>
    </w:p>
    <w:p w14:paraId="52A4ECF8" w14:textId="77777777" w:rsidR="003B5FC8" w:rsidRPr="007B2402" w:rsidRDefault="003B5FC8" w:rsidP="003B5FC8">
      <w:pPr>
        <w:spacing w:after="0" w:line="240" w:lineRule="auto"/>
        <w:contextualSpacing/>
        <w:jc w:val="both"/>
        <w:rPr>
          <w:rFonts w:eastAsia="Batang" w:cs="Times"/>
          <w:b/>
          <w:szCs w:val="20"/>
          <w:lang w:val="en-US" w:eastAsia="es-ES"/>
        </w:rPr>
      </w:pPr>
    </w:p>
    <w:p w14:paraId="1C23C21C" w14:textId="7741CF09" w:rsidR="003B5FC8" w:rsidRPr="007B2402" w:rsidRDefault="00AF4344" w:rsidP="00DB1F30">
      <w:pPr>
        <w:numPr>
          <w:ilvl w:val="0"/>
          <w:numId w:val="5"/>
        </w:numPr>
        <w:spacing w:after="0" w:line="240" w:lineRule="auto"/>
        <w:contextualSpacing/>
        <w:jc w:val="both"/>
        <w:rPr>
          <w:rFonts w:eastAsia="Batang" w:cs="Times"/>
          <w:b/>
          <w:szCs w:val="20"/>
          <w:lang w:val="en-US" w:eastAsia="es-ES"/>
        </w:rPr>
      </w:pPr>
      <w:r w:rsidRPr="007B2402">
        <w:rPr>
          <w:rFonts w:eastAsia="Calibri" w:cs="Times New Roman"/>
          <w:szCs w:val="20"/>
          <w:lang w:val="en-US"/>
        </w:rPr>
        <w:t>The State</w:t>
      </w:r>
      <w:r w:rsidR="003B5FC8" w:rsidRPr="007B2402">
        <w:rPr>
          <w:rFonts w:eastAsia="Calibri" w:cs="Times New Roman"/>
          <w:szCs w:val="20"/>
          <w:lang w:val="en-US"/>
        </w:rPr>
        <w:t xml:space="preserve"> argu</w:t>
      </w:r>
      <w:r w:rsidR="00F762C6" w:rsidRPr="007B2402">
        <w:rPr>
          <w:rFonts w:eastAsia="Calibri" w:cs="Times New Roman"/>
          <w:szCs w:val="20"/>
          <w:lang w:val="en-US"/>
        </w:rPr>
        <w:t xml:space="preserve">ed that the only </w:t>
      </w:r>
      <w:r w:rsidR="00E411F8" w:rsidRPr="007B2402">
        <w:rPr>
          <w:rFonts w:eastAsia="Calibri" w:cs="Times New Roman"/>
          <w:szCs w:val="20"/>
          <w:lang w:val="en-US"/>
        </w:rPr>
        <w:t>indication</w:t>
      </w:r>
      <w:r w:rsidR="00F762C6" w:rsidRPr="007B2402">
        <w:rPr>
          <w:rFonts w:eastAsia="Calibri" w:cs="Times New Roman"/>
          <w:szCs w:val="20"/>
          <w:lang w:val="en-US"/>
        </w:rPr>
        <w:t xml:space="preserve"> of the Brazilian State’s intention</w:t>
      </w:r>
      <w:r w:rsidR="00114D93" w:rsidRPr="007B2402">
        <w:rPr>
          <w:rFonts w:eastAsia="Calibri" w:cs="Times New Roman"/>
          <w:szCs w:val="20"/>
          <w:lang w:val="en-US"/>
        </w:rPr>
        <w:t>s</w:t>
      </w:r>
      <w:r w:rsidR="00F762C6" w:rsidRPr="007B2402">
        <w:rPr>
          <w:rFonts w:eastAsia="Calibri" w:cs="Times New Roman"/>
          <w:szCs w:val="20"/>
          <w:lang w:val="en-US"/>
        </w:rPr>
        <w:t xml:space="preserve"> when accepting the Court’s jurisdiction restricted </w:t>
      </w:r>
      <w:r w:rsidR="00E411F8" w:rsidRPr="007B2402">
        <w:rPr>
          <w:rFonts w:eastAsia="Calibri" w:cs="Times New Roman"/>
          <w:szCs w:val="20"/>
          <w:lang w:val="en-US"/>
        </w:rPr>
        <w:t>it</w:t>
      </w:r>
      <w:r w:rsidR="00F762C6" w:rsidRPr="007B2402">
        <w:rPr>
          <w:rFonts w:eastAsia="Calibri" w:cs="Times New Roman"/>
          <w:szCs w:val="20"/>
          <w:lang w:val="en-US"/>
        </w:rPr>
        <w:t xml:space="preserve"> to cases relating to the interpretation and application </w:t>
      </w:r>
      <w:r w:rsidRPr="007B2402">
        <w:rPr>
          <w:rFonts w:eastAsia="Calibri" w:cs="Times New Roman"/>
          <w:szCs w:val="20"/>
          <w:lang w:val="en-US"/>
        </w:rPr>
        <w:t>of the American Convention</w:t>
      </w:r>
      <w:r w:rsidR="003B5FC8" w:rsidRPr="007B2402">
        <w:rPr>
          <w:rFonts w:eastAsia="Calibri" w:cs="Times New Roman"/>
          <w:szCs w:val="20"/>
          <w:lang w:val="en-US"/>
        </w:rPr>
        <w:t xml:space="preserve">. </w:t>
      </w:r>
      <w:r w:rsidR="00F762C6" w:rsidRPr="007B2402">
        <w:rPr>
          <w:rFonts w:eastAsia="Batang" w:cs="Times"/>
          <w:szCs w:val="20"/>
          <w:lang w:val="en-US" w:eastAsia="es-ES"/>
        </w:rPr>
        <w:t xml:space="preserve">Consequently, it asked the Court to declare that it did not have jurisdiction </w:t>
      </w:r>
      <w:r w:rsidR="003B5FC8" w:rsidRPr="007B2402">
        <w:rPr>
          <w:rFonts w:eastAsia="Calibri" w:cs="Times New Roman"/>
          <w:i/>
          <w:szCs w:val="20"/>
          <w:lang w:val="en-US"/>
        </w:rPr>
        <w:t>ratione materiae</w:t>
      </w:r>
      <w:r w:rsidR="003B5FC8" w:rsidRPr="007B2402">
        <w:rPr>
          <w:rFonts w:eastAsia="Calibri" w:cs="Times New Roman"/>
          <w:szCs w:val="20"/>
          <w:lang w:val="en-US"/>
        </w:rPr>
        <w:t xml:space="preserve"> </w:t>
      </w:r>
      <w:r w:rsidR="00F762C6" w:rsidRPr="007B2402">
        <w:rPr>
          <w:rFonts w:eastAsia="Batang" w:cs="Times"/>
          <w:szCs w:val="20"/>
          <w:lang w:val="en-US" w:eastAsia="es-ES"/>
        </w:rPr>
        <w:t xml:space="preserve">to process and prosecute possible violations of the </w:t>
      </w:r>
      <w:r w:rsidR="00375567" w:rsidRPr="007B2402">
        <w:rPr>
          <w:rFonts w:eastAsia="Batang" w:cs="Times"/>
          <w:szCs w:val="20"/>
          <w:lang w:val="en-US" w:eastAsia="es-ES"/>
        </w:rPr>
        <w:t>ICPPT</w:t>
      </w:r>
      <w:r w:rsidR="00FB3932" w:rsidRPr="007B2402">
        <w:rPr>
          <w:rFonts w:eastAsia="Batang" w:cs="Times"/>
          <w:szCs w:val="20"/>
          <w:lang w:val="en-US" w:eastAsia="es-ES"/>
        </w:rPr>
        <w:t>.</w:t>
      </w:r>
    </w:p>
    <w:p w14:paraId="22DA61BF" w14:textId="77777777" w:rsidR="003B5FC8" w:rsidRPr="007B2402" w:rsidRDefault="003B5FC8" w:rsidP="003B5FC8">
      <w:pPr>
        <w:spacing w:after="0" w:line="240" w:lineRule="auto"/>
        <w:jc w:val="both"/>
        <w:rPr>
          <w:rFonts w:eastAsia="Batang" w:cs="Times"/>
          <w:szCs w:val="20"/>
          <w:lang w:val="en-US" w:eastAsia="es-ES"/>
        </w:rPr>
      </w:pPr>
    </w:p>
    <w:p w14:paraId="2EE4B15B" w14:textId="1C5CF056" w:rsidR="003B5FC8" w:rsidRPr="007B2402" w:rsidRDefault="00AF4344" w:rsidP="00DB1F30">
      <w:pPr>
        <w:numPr>
          <w:ilvl w:val="0"/>
          <w:numId w:val="5"/>
        </w:numPr>
        <w:spacing w:after="0" w:line="240" w:lineRule="auto"/>
        <w:contextualSpacing/>
        <w:jc w:val="both"/>
        <w:rPr>
          <w:rFonts w:eastAsia="Calibri" w:cs="Times New Roman"/>
          <w:szCs w:val="20"/>
          <w:lang w:val="en-US"/>
        </w:rPr>
      </w:pPr>
      <w:r w:rsidRPr="007B2402">
        <w:rPr>
          <w:rFonts w:eastAsia="Calibri" w:cs="Times New Roman"/>
          <w:szCs w:val="20"/>
          <w:lang w:val="en-US"/>
        </w:rPr>
        <w:t xml:space="preserve">The </w:t>
      </w:r>
      <w:r w:rsidRPr="007B2402">
        <w:rPr>
          <w:rFonts w:eastAsia="Calibri" w:cs="Times New Roman"/>
          <w:b/>
          <w:i/>
          <w:szCs w:val="20"/>
          <w:lang w:val="en-US"/>
        </w:rPr>
        <w:t>Commission</w:t>
      </w:r>
      <w:r w:rsidR="003B5FC8" w:rsidRPr="007B2402">
        <w:rPr>
          <w:rFonts w:eastAsia="Calibri" w:cs="Times New Roman"/>
          <w:szCs w:val="20"/>
          <w:lang w:val="en-US"/>
        </w:rPr>
        <w:t xml:space="preserve"> </w:t>
      </w:r>
      <w:r w:rsidR="00F762C6" w:rsidRPr="007B2402">
        <w:rPr>
          <w:rFonts w:eastAsia="Calibri" w:cs="Times New Roman"/>
          <w:szCs w:val="20"/>
          <w:lang w:val="en-US"/>
        </w:rPr>
        <w:t xml:space="preserve">underscored that </w:t>
      </w:r>
      <w:r w:rsidR="00E411F8" w:rsidRPr="007B2402">
        <w:rPr>
          <w:rFonts w:eastAsia="Calibri" w:cs="Times New Roman"/>
          <w:szCs w:val="20"/>
          <w:lang w:val="en-US"/>
        </w:rPr>
        <w:t>the Court’s</w:t>
      </w:r>
      <w:r w:rsidR="00F762C6" w:rsidRPr="007B2402">
        <w:rPr>
          <w:rFonts w:eastAsia="Calibri" w:cs="Times New Roman"/>
          <w:szCs w:val="20"/>
          <w:lang w:val="en-US"/>
        </w:rPr>
        <w:t xml:space="preserve"> reiterated practice has been to apply the ICPPT in order to establish the scope of State responsibility in cases relating to </w:t>
      </w:r>
      <w:r w:rsidR="0034383F" w:rsidRPr="007B2402">
        <w:rPr>
          <w:rFonts w:eastAsia="Calibri" w:cs="Times New Roman"/>
          <w:szCs w:val="20"/>
          <w:lang w:val="en-US"/>
        </w:rPr>
        <w:t xml:space="preserve">failure to investigate acts of torture. It indicated that both </w:t>
      </w:r>
      <w:r w:rsidRPr="007B2402">
        <w:rPr>
          <w:rFonts w:eastAsia="Calibri" w:cs="Times New Roman"/>
          <w:szCs w:val="20"/>
          <w:lang w:val="en-US"/>
        </w:rPr>
        <w:t>the Commission</w:t>
      </w:r>
      <w:r w:rsidR="003B5FC8" w:rsidRPr="007B2402">
        <w:rPr>
          <w:rFonts w:eastAsia="Calibri" w:cs="Times New Roman"/>
          <w:szCs w:val="20"/>
          <w:lang w:val="en-US"/>
        </w:rPr>
        <w:t xml:space="preserve"> </w:t>
      </w:r>
      <w:r w:rsidR="0034383F" w:rsidRPr="007B2402">
        <w:rPr>
          <w:rFonts w:eastAsia="Calibri" w:cs="Times New Roman"/>
          <w:szCs w:val="20"/>
          <w:lang w:val="en-US"/>
        </w:rPr>
        <w:t>and</w:t>
      </w:r>
      <w:r w:rsidR="003B5FC8" w:rsidRPr="007B2402">
        <w:rPr>
          <w:rFonts w:eastAsia="Calibri" w:cs="Times New Roman"/>
          <w:szCs w:val="20"/>
          <w:lang w:val="en-US"/>
        </w:rPr>
        <w:t xml:space="preserve"> </w:t>
      </w:r>
      <w:r w:rsidRPr="007B2402">
        <w:rPr>
          <w:rFonts w:eastAsia="Calibri" w:cs="Times New Roman"/>
          <w:szCs w:val="20"/>
          <w:lang w:val="en-US"/>
        </w:rPr>
        <w:t>the Court</w:t>
      </w:r>
      <w:r w:rsidR="003B5FC8" w:rsidRPr="007B2402">
        <w:rPr>
          <w:rFonts w:eastAsia="Calibri" w:cs="Times New Roman"/>
          <w:szCs w:val="20"/>
          <w:lang w:val="en-US"/>
        </w:rPr>
        <w:t xml:space="preserve"> ha</w:t>
      </w:r>
      <w:r w:rsidR="00114D93" w:rsidRPr="007B2402">
        <w:rPr>
          <w:rFonts w:eastAsia="Calibri" w:cs="Times New Roman"/>
          <w:szCs w:val="20"/>
          <w:lang w:val="en-US"/>
        </w:rPr>
        <w:t>d</w:t>
      </w:r>
      <w:r w:rsidR="0034383F" w:rsidRPr="007B2402">
        <w:rPr>
          <w:rFonts w:eastAsia="Calibri" w:cs="Times New Roman"/>
          <w:szCs w:val="20"/>
          <w:lang w:val="en-US"/>
        </w:rPr>
        <w:t xml:space="preserve"> declared violations of these provisions in similar cases, in the understanding that the third paragraph of Article 8 of the </w:t>
      </w:r>
      <w:r w:rsidR="00375567" w:rsidRPr="007B2402">
        <w:rPr>
          <w:rFonts w:eastAsia="Calibri" w:cs="Times New Roman"/>
          <w:szCs w:val="20"/>
          <w:lang w:val="en-US"/>
        </w:rPr>
        <w:t>ICPPT</w:t>
      </w:r>
      <w:r w:rsidR="003B5FC8" w:rsidRPr="007B2402">
        <w:rPr>
          <w:rFonts w:eastAsia="Calibri" w:cs="Times New Roman"/>
          <w:szCs w:val="20"/>
          <w:lang w:val="en-US"/>
        </w:rPr>
        <w:t xml:space="preserve"> </w:t>
      </w:r>
      <w:r w:rsidR="0034383F" w:rsidRPr="007B2402">
        <w:rPr>
          <w:rFonts w:eastAsia="Calibri" w:cs="Times New Roman"/>
          <w:szCs w:val="20"/>
          <w:lang w:val="en-US"/>
        </w:rPr>
        <w:t>contain</w:t>
      </w:r>
      <w:r w:rsidR="00114D93" w:rsidRPr="007B2402">
        <w:rPr>
          <w:rFonts w:eastAsia="Calibri" w:cs="Times New Roman"/>
          <w:szCs w:val="20"/>
          <w:lang w:val="en-US"/>
        </w:rPr>
        <w:t>ed</w:t>
      </w:r>
      <w:r w:rsidR="0034383F" w:rsidRPr="007B2402">
        <w:rPr>
          <w:rFonts w:eastAsia="Calibri" w:cs="Times New Roman"/>
          <w:szCs w:val="20"/>
          <w:lang w:val="en-US"/>
        </w:rPr>
        <w:t xml:space="preserve"> a general clause </w:t>
      </w:r>
      <w:r w:rsidR="00E411F8" w:rsidRPr="007B2402">
        <w:rPr>
          <w:rFonts w:eastAsia="Calibri" w:cs="Times New Roman"/>
          <w:szCs w:val="20"/>
          <w:lang w:val="en-US"/>
        </w:rPr>
        <w:t>on</w:t>
      </w:r>
      <w:r w:rsidR="0034383F" w:rsidRPr="007B2402">
        <w:rPr>
          <w:rFonts w:eastAsia="Calibri" w:cs="Times New Roman"/>
          <w:szCs w:val="20"/>
          <w:lang w:val="en-US"/>
        </w:rPr>
        <w:t xml:space="preserve"> jurisdiction </w:t>
      </w:r>
      <w:r w:rsidR="00E411F8" w:rsidRPr="007B2402">
        <w:rPr>
          <w:rFonts w:eastAsia="Calibri" w:cs="Times New Roman"/>
          <w:szCs w:val="20"/>
          <w:lang w:val="en-US"/>
        </w:rPr>
        <w:t>which</w:t>
      </w:r>
      <w:r w:rsidR="0034383F" w:rsidRPr="007B2402">
        <w:rPr>
          <w:rFonts w:eastAsia="Calibri" w:cs="Times New Roman"/>
          <w:szCs w:val="20"/>
          <w:lang w:val="en-US"/>
        </w:rPr>
        <w:t xml:space="preserve"> ha</w:t>
      </w:r>
      <w:r w:rsidR="00114D93" w:rsidRPr="007B2402">
        <w:rPr>
          <w:rFonts w:eastAsia="Calibri" w:cs="Times New Roman"/>
          <w:szCs w:val="20"/>
          <w:lang w:val="en-US"/>
        </w:rPr>
        <w:t>d</w:t>
      </w:r>
      <w:r w:rsidR="0034383F" w:rsidRPr="007B2402">
        <w:rPr>
          <w:rFonts w:eastAsia="Calibri" w:cs="Times New Roman"/>
          <w:szCs w:val="20"/>
          <w:lang w:val="en-US"/>
        </w:rPr>
        <w:t xml:space="preserve"> been accepted by the States when ratifying or adhering to that instrument. Accordingly, it considered that there was no reason for the Court to deviate from its reiterated </w:t>
      </w:r>
      <w:r w:rsidR="00E411F8" w:rsidRPr="007B2402">
        <w:rPr>
          <w:rFonts w:eastAsia="Calibri" w:cs="Times New Roman"/>
          <w:szCs w:val="20"/>
          <w:lang w:val="en-US"/>
        </w:rPr>
        <w:t>practice</w:t>
      </w:r>
      <w:r w:rsidR="0034383F" w:rsidRPr="007B2402">
        <w:rPr>
          <w:rFonts w:eastAsia="Calibri" w:cs="Times New Roman"/>
          <w:szCs w:val="20"/>
          <w:lang w:val="en-US"/>
        </w:rPr>
        <w:t xml:space="preserve"> and asked the Court to declare that this </w:t>
      </w:r>
      <w:r w:rsidR="006E2CFF" w:rsidRPr="007B2402">
        <w:rPr>
          <w:rFonts w:eastAsia="Calibri" w:cs="Times New Roman"/>
          <w:szCs w:val="20"/>
          <w:lang w:val="en-US"/>
        </w:rPr>
        <w:t>preliminary objection</w:t>
      </w:r>
      <w:r w:rsidR="0034383F" w:rsidRPr="007B2402">
        <w:rPr>
          <w:rFonts w:eastAsia="Calibri" w:cs="Times New Roman"/>
          <w:szCs w:val="20"/>
          <w:lang w:val="en-US"/>
        </w:rPr>
        <w:t xml:space="preserve"> was inadmissible</w:t>
      </w:r>
      <w:r w:rsidR="003B5FC8" w:rsidRPr="007B2402">
        <w:rPr>
          <w:rFonts w:eastAsia="Calibri" w:cs="Times New Roman"/>
          <w:szCs w:val="20"/>
          <w:lang w:val="en-US"/>
        </w:rPr>
        <w:t>.</w:t>
      </w:r>
    </w:p>
    <w:p w14:paraId="1674C927" w14:textId="77777777" w:rsidR="003B5FC8" w:rsidRPr="007B2402" w:rsidRDefault="003B5FC8" w:rsidP="003B5FC8">
      <w:pPr>
        <w:spacing w:after="0" w:line="240" w:lineRule="auto"/>
        <w:jc w:val="both"/>
        <w:rPr>
          <w:rFonts w:eastAsia="Calibri" w:cs="Times New Roman"/>
          <w:szCs w:val="20"/>
          <w:lang w:val="en-US"/>
        </w:rPr>
      </w:pPr>
    </w:p>
    <w:p w14:paraId="19558F86" w14:textId="06710021" w:rsidR="003B5FC8" w:rsidRPr="007B2402" w:rsidRDefault="005B1590" w:rsidP="00DB1F30">
      <w:pPr>
        <w:numPr>
          <w:ilvl w:val="0"/>
          <w:numId w:val="5"/>
        </w:numPr>
        <w:spacing w:after="0" w:line="240" w:lineRule="auto"/>
        <w:contextualSpacing/>
        <w:jc w:val="both"/>
        <w:rPr>
          <w:rFonts w:eastAsia="Calibri" w:cs="Times New Roman"/>
          <w:szCs w:val="20"/>
          <w:lang w:val="en-US"/>
        </w:rPr>
      </w:pPr>
      <w:r w:rsidRPr="007B2402">
        <w:rPr>
          <w:rFonts w:eastAsia="Calibri" w:cs="Times New Roman"/>
          <w:szCs w:val="20"/>
          <w:lang w:val="en-US"/>
        </w:rPr>
        <w:t xml:space="preserve">The </w:t>
      </w:r>
      <w:r w:rsidRPr="007B2402">
        <w:rPr>
          <w:rFonts w:eastAsia="Calibri" w:cs="Times New Roman"/>
          <w:b/>
          <w:i/>
          <w:szCs w:val="20"/>
          <w:lang w:val="en-US"/>
        </w:rPr>
        <w:t>representatives</w:t>
      </w:r>
      <w:r w:rsidR="003B5FC8" w:rsidRPr="007B2402">
        <w:rPr>
          <w:rFonts w:eastAsia="Calibri" w:cs="Times New Roman"/>
          <w:szCs w:val="20"/>
          <w:lang w:val="en-US"/>
        </w:rPr>
        <w:t xml:space="preserve"> </w:t>
      </w:r>
      <w:r w:rsidR="0034383F" w:rsidRPr="007B2402">
        <w:rPr>
          <w:rFonts w:eastAsia="Calibri" w:cs="Times New Roman"/>
          <w:szCs w:val="20"/>
          <w:lang w:val="en-US"/>
        </w:rPr>
        <w:t xml:space="preserve">indicated that, according to the principle of </w:t>
      </w:r>
      <w:r w:rsidR="0034383F" w:rsidRPr="007B2402">
        <w:rPr>
          <w:rFonts w:eastAsia="Calibri" w:cs="Times New Roman"/>
          <w:i/>
          <w:szCs w:val="20"/>
          <w:lang w:val="en-US"/>
        </w:rPr>
        <w:t>la c</w:t>
      </w:r>
      <w:r w:rsidR="003B5FC8" w:rsidRPr="007B2402">
        <w:rPr>
          <w:rFonts w:eastAsia="Calibri" w:cs="Times New Roman"/>
          <w:i/>
          <w:szCs w:val="20"/>
          <w:lang w:val="en-US"/>
        </w:rPr>
        <w:t>ompétence de la compétence</w:t>
      </w:r>
      <w:r w:rsidR="003B5FC8" w:rsidRPr="007B2402">
        <w:rPr>
          <w:rFonts w:eastAsia="Calibri" w:cs="Times New Roman"/>
          <w:szCs w:val="20"/>
          <w:lang w:val="en-US"/>
        </w:rPr>
        <w:t xml:space="preserve">, </w:t>
      </w:r>
      <w:r w:rsidR="00AF4344" w:rsidRPr="007B2402">
        <w:rPr>
          <w:rFonts w:eastAsia="Calibri" w:cs="Times New Roman"/>
          <w:szCs w:val="20"/>
          <w:lang w:val="en-US"/>
        </w:rPr>
        <w:t>the Court</w:t>
      </w:r>
      <w:r w:rsidR="003B5FC8" w:rsidRPr="007B2402">
        <w:rPr>
          <w:rFonts w:eastAsia="Calibri" w:cs="Times New Roman"/>
          <w:szCs w:val="20"/>
          <w:lang w:val="en-US"/>
        </w:rPr>
        <w:t xml:space="preserve"> </w:t>
      </w:r>
      <w:r w:rsidR="0034383F" w:rsidRPr="007B2402">
        <w:rPr>
          <w:rFonts w:eastAsia="Calibri" w:cs="Times New Roman"/>
          <w:szCs w:val="20"/>
          <w:lang w:val="en-US"/>
        </w:rPr>
        <w:t>ha</w:t>
      </w:r>
      <w:r w:rsidR="00114D93" w:rsidRPr="007B2402">
        <w:rPr>
          <w:rFonts w:eastAsia="Calibri" w:cs="Times New Roman"/>
          <w:szCs w:val="20"/>
          <w:lang w:val="en-US"/>
        </w:rPr>
        <w:t>d</w:t>
      </w:r>
      <w:r w:rsidR="0034383F" w:rsidRPr="007B2402">
        <w:rPr>
          <w:rFonts w:eastAsia="Calibri" w:cs="Times New Roman"/>
          <w:szCs w:val="20"/>
          <w:lang w:val="en-US"/>
        </w:rPr>
        <w:t xml:space="preserve"> the authority to determine the scope of its own jurisdiction or competence. They also indicated that, according to inter-American jurisprudence, inter-American human rights treaties do not need to contain specific clauses granting jurisdiction to the Court. </w:t>
      </w:r>
    </w:p>
    <w:p w14:paraId="026FBD8F" w14:textId="77777777" w:rsidR="003B5FC8" w:rsidRPr="007B2402" w:rsidRDefault="003B5FC8" w:rsidP="003B5FC8">
      <w:pPr>
        <w:spacing w:after="0" w:line="240" w:lineRule="auto"/>
        <w:contextualSpacing/>
        <w:jc w:val="both"/>
        <w:rPr>
          <w:rFonts w:eastAsia="Calibri" w:cs="Times New Roman"/>
          <w:szCs w:val="20"/>
          <w:lang w:val="en-US"/>
        </w:rPr>
      </w:pPr>
    </w:p>
    <w:p w14:paraId="13C7BB11" w14:textId="7ABAA7D1" w:rsidR="003B5FC8" w:rsidRPr="007B2402" w:rsidRDefault="0034383F" w:rsidP="00DB1F30">
      <w:pPr>
        <w:numPr>
          <w:ilvl w:val="0"/>
          <w:numId w:val="5"/>
        </w:numPr>
        <w:spacing w:after="0" w:line="240" w:lineRule="auto"/>
        <w:contextualSpacing/>
        <w:jc w:val="both"/>
        <w:rPr>
          <w:rFonts w:eastAsia="Calibri" w:cs="Times New Roman"/>
          <w:b/>
          <w:szCs w:val="20"/>
          <w:lang w:val="en-US"/>
        </w:rPr>
      </w:pPr>
      <w:r w:rsidRPr="007B2402">
        <w:rPr>
          <w:rFonts w:eastAsia="Calibri" w:cs="Times New Roman"/>
          <w:szCs w:val="20"/>
          <w:lang w:val="en-US"/>
        </w:rPr>
        <w:t xml:space="preserve">They argued that the adoption of a restrictive interpretation of the scope of the Court’s jurisdiction would not only run counter to the object and purpose of the </w:t>
      </w:r>
      <w:r w:rsidR="00AF4344" w:rsidRPr="007B2402">
        <w:rPr>
          <w:rFonts w:eastAsia="Calibri" w:cs="Times New Roman"/>
          <w:szCs w:val="20"/>
          <w:lang w:val="en-US"/>
        </w:rPr>
        <w:t>Convention</w:t>
      </w:r>
      <w:r w:rsidR="003B5FC8" w:rsidRPr="007B2402">
        <w:rPr>
          <w:rFonts w:eastAsia="Calibri" w:cs="Times New Roman"/>
          <w:szCs w:val="20"/>
          <w:lang w:val="en-US"/>
        </w:rPr>
        <w:t xml:space="preserve">, </w:t>
      </w:r>
      <w:r w:rsidRPr="007B2402">
        <w:rPr>
          <w:rFonts w:eastAsia="Calibri" w:cs="Times New Roman"/>
          <w:szCs w:val="20"/>
          <w:lang w:val="en-US"/>
        </w:rPr>
        <w:t xml:space="preserve">but </w:t>
      </w:r>
      <w:r w:rsidR="00114D93" w:rsidRPr="007B2402">
        <w:rPr>
          <w:rFonts w:eastAsia="Calibri" w:cs="Times New Roman"/>
          <w:szCs w:val="20"/>
          <w:lang w:val="en-US"/>
        </w:rPr>
        <w:t>also</w:t>
      </w:r>
      <w:r w:rsidRPr="007B2402">
        <w:rPr>
          <w:rFonts w:eastAsia="Calibri" w:cs="Times New Roman"/>
          <w:szCs w:val="20"/>
          <w:lang w:val="en-US"/>
        </w:rPr>
        <w:t xml:space="preserve"> </w:t>
      </w:r>
      <w:r w:rsidR="00114D93" w:rsidRPr="007B2402">
        <w:rPr>
          <w:rFonts w:eastAsia="Calibri" w:cs="Times New Roman"/>
          <w:szCs w:val="20"/>
          <w:lang w:val="en-US"/>
        </w:rPr>
        <w:t>impair</w:t>
      </w:r>
      <w:r w:rsidRPr="007B2402">
        <w:rPr>
          <w:rFonts w:eastAsia="Calibri" w:cs="Times New Roman"/>
          <w:szCs w:val="20"/>
          <w:lang w:val="en-US"/>
        </w:rPr>
        <w:t xml:space="preserve"> the practical effects of the treaty and the guarantee of protection that it establishes.</w:t>
      </w:r>
    </w:p>
    <w:p w14:paraId="706043C8" w14:textId="77777777" w:rsidR="003B5FC8" w:rsidRPr="007B2402" w:rsidRDefault="003B5FC8" w:rsidP="003B5FC8">
      <w:pPr>
        <w:spacing w:after="0" w:line="240" w:lineRule="auto"/>
        <w:contextualSpacing/>
        <w:jc w:val="both"/>
        <w:rPr>
          <w:rFonts w:eastAsia="Calibri" w:cs="Times New Roman"/>
          <w:szCs w:val="20"/>
          <w:lang w:val="en-US"/>
        </w:rPr>
      </w:pPr>
    </w:p>
    <w:p w14:paraId="381540E0" w14:textId="6233DA5B" w:rsidR="003B5FC8" w:rsidRPr="007B2402" w:rsidRDefault="003B5FC8" w:rsidP="003B5FC8">
      <w:pPr>
        <w:keepNext/>
        <w:keepLines/>
        <w:spacing w:after="0" w:line="240" w:lineRule="auto"/>
        <w:ind w:left="426"/>
        <w:contextualSpacing/>
        <w:jc w:val="both"/>
        <w:outlineLvl w:val="2"/>
        <w:rPr>
          <w:rFonts w:eastAsia="Calibri" w:cs="Times New Roman"/>
          <w:szCs w:val="20"/>
          <w:lang w:val="en-US"/>
        </w:rPr>
      </w:pPr>
      <w:bookmarkStart w:id="73" w:name="_Toc505939120"/>
      <w:bookmarkStart w:id="74" w:name="_Toc506496101"/>
      <w:bookmarkStart w:id="75" w:name="_Toc506984080"/>
      <w:r w:rsidRPr="007B2402">
        <w:rPr>
          <w:rFonts w:eastAsia="Calibri" w:cs="Times New Roman"/>
          <w:i/>
          <w:szCs w:val="20"/>
          <w:lang w:val="en-US"/>
        </w:rPr>
        <w:t xml:space="preserve">B.2. </w:t>
      </w:r>
      <w:r w:rsidR="007A07B8" w:rsidRPr="007B2402">
        <w:rPr>
          <w:rFonts w:eastAsia="Calibri" w:cs="Times New Roman"/>
          <w:i/>
          <w:szCs w:val="20"/>
          <w:lang w:val="en-US"/>
        </w:rPr>
        <w:t>Considerations</w:t>
      </w:r>
      <w:r w:rsidR="00AF4344" w:rsidRPr="007B2402">
        <w:rPr>
          <w:rFonts w:eastAsia="Calibri" w:cs="Times New Roman"/>
          <w:i/>
          <w:szCs w:val="20"/>
          <w:lang w:val="en-US"/>
        </w:rPr>
        <w:t xml:space="preserve"> of the Court</w:t>
      </w:r>
      <w:bookmarkEnd w:id="73"/>
      <w:bookmarkEnd w:id="74"/>
      <w:bookmarkEnd w:id="75"/>
    </w:p>
    <w:p w14:paraId="22669689" w14:textId="77777777" w:rsidR="003B5FC8" w:rsidRPr="007B2402" w:rsidRDefault="003B5FC8" w:rsidP="003B5FC8">
      <w:pPr>
        <w:autoSpaceDE w:val="0"/>
        <w:autoSpaceDN w:val="0"/>
        <w:adjustRightInd w:val="0"/>
        <w:spacing w:after="0" w:line="240" w:lineRule="auto"/>
        <w:jc w:val="both"/>
        <w:rPr>
          <w:rFonts w:eastAsia="Calibri" w:cs="Times New Roman"/>
          <w:szCs w:val="20"/>
          <w:lang w:val="en-US"/>
        </w:rPr>
      </w:pPr>
    </w:p>
    <w:p w14:paraId="54A9D258" w14:textId="752097E1" w:rsidR="003B5FC8" w:rsidRPr="007B2402" w:rsidRDefault="0088594D" w:rsidP="00DB1F30">
      <w:pPr>
        <w:numPr>
          <w:ilvl w:val="0"/>
          <w:numId w:val="5"/>
        </w:numPr>
        <w:autoSpaceDE w:val="0"/>
        <w:autoSpaceDN w:val="0"/>
        <w:adjustRightInd w:val="0"/>
        <w:spacing w:after="0" w:line="240" w:lineRule="auto"/>
        <w:contextualSpacing/>
        <w:jc w:val="both"/>
        <w:rPr>
          <w:rFonts w:eastAsia="Calibri" w:cs="Times New Roman"/>
          <w:szCs w:val="20"/>
          <w:lang w:val="en-US"/>
        </w:rPr>
      </w:pPr>
      <w:r w:rsidRPr="007B2402">
        <w:rPr>
          <w:rFonts w:eastAsia="Calibri" w:cs="Times New Roman"/>
          <w:szCs w:val="20"/>
          <w:lang w:val="en-US"/>
        </w:rPr>
        <w:t xml:space="preserve">This Court </w:t>
      </w:r>
      <w:r w:rsidR="003B5FC8" w:rsidRPr="007B2402">
        <w:rPr>
          <w:rFonts w:eastAsia="Calibri" w:cs="Times New Roman"/>
          <w:szCs w:val="20"/>
          <w:lang w:val="en-US"/>
        </w:rPr>
        <w:t>ha</w:t>
      </w:r>
      <w:r w:rsidRPr="007B2402">
        <w:rPr>
          <w:rFonts w:eastAsia="Calibri" w:cs="Times New Roman"/>
          <w:szCs w:val="20"/>
          <w:lang w:val="en-US"/>
        </w:rPr>
        <w:t>s</w:t>
      </w:r>
      <w:r w:rsidR="003B5FC8" w:rsidRPr="007B2402">
        <w:rPr>
          <w:rFonts w:eastAsia="Calibri" w:cs="Times New Roman"/>
          <w:szCs w:val="20"/>
          <w:lang w:val="en-US"/>
        </w:rPr>
        <w:t xml:space="preserve"> determin</w:t>
      </w:r>
      <w:r w:rsidRPr="007B2402">
        <w:rPr>
          <w:rFonts w:eastAsia="Calibri" w:cs="Times New Roman"/>
          <w:szCs w:val="20"/>
          <w:lang w:val="en-US"/>
        </w:rPr>
        <w:t xml:space="preserve">ed that it is able to exercise its contentious jurisdiction </w:t>
      </w:r>
      <w:r w:rsidR="00B0525F" w:rsidRPr="007B2402">
        <w:rPr>
          <w:rFonts w:eastAsia="Calibri" w:cs="Times New Roman"/>
          <w:szCs w:val="20"/>
          <w:lang w:val="en-US"/>
        </w:rPr>
        <w:t>with</w:t>
      </w:r>
      <w:r w:rsidRPr="007B2402">
        <w:rPr>
          <w:rFonts w:eastAsia="Calibri" w:cs="Times New Roman"/>
          <w:szCs w:val="20"/>
          <w:lang w:val="en-US"/>
        </w:rPr>
        <w:t xml:space="preserve"> regard to inter-American instruments other than </w:t>
      </w:r>
      <w:r w:rsidR="00AF4344" w:rsidRPr="007B2402">
        <w:rPr>
          <w:rFonts w:eastAsia="Calibri" w:cs="Times New Roman"/>
          <w:szCs w:val="20"/>
          <w:lang w:val="en-US"/>
        </w:rPr>
        <w:t>the American Convention</w:t>
      </w:r>
      <w:r w:rsidR="003B5FC8" w:rsidRPr="007B2402">
        <w:rPr>
          <w:rFonts w:eastAsia="Calibri" w:cs="Times New Roman"/>
          <w:szCs w:val="20"/>
          <w:lang w:val="en-US"/>
        </w:rPr>
        <w:t xml:space="preserve">, </w:t>
      </w:r>
      <w:r w:rsidRPr="007B2402">
        <w:rPr>
          <w:rFonts w:eastAsia="Calibri" w:cs="Times New Roman"/>
          <w:szCs w:val="20"/>
          <w:lang w:val="en-US"/>
        </w:rPr>
        <w:t>when they establish a system of petitions that are subject to international supervision in the regional sphere.</w:t>
      </w:r>
      <w:r w:rsidR="003B5FC8" w:rsidRPr="007B2402">
        <w:rPr>
          <w:rFonts w:eastAsia="Calibri" w:cs="Times New Roman"/>
          <w:szCs w:val="20"/>
          <w:vertAlign w:val="superscript"/>
          <w:lang w:val="en-US"/>
        </w:rPr>
        <w:footnoteReference w:id="18"/>
      </w:r>
      <w:r w:rsidR="003B5FC8" w:rsidRPr="007B2402">
        <w:rPr>
          <w:rFonts w:eastAsia="Calibri" w:cs="Times New Roman"/>
          <w:szCs w:val="20"/>
          <w:lang w:val="en-US"/>
        </w:rPr>
        <w:t xml:space="preserve"> </w:t>
      </w:r>
      <w:r w:rsidRPr="007B2402">
        <w:rPr>
          <w:rFonts w:eastAsia="Calibri" w:cs="Times New Roman"/>
          <w:szCs w:val="20"/>
          <w:lang w:val="en-US"/>
        </w:rPr>
        <w:t xml:space="preserve">Thus, the special declaration of acceptance of the Court’s contentious jurisdiction pursuant to </w:t>
      </w:r>
      <w:r w:rsidR="00AF4344" w:rsidRPr="007B2402">
        <w:rPr>
          <w:rFonts w:eastAsia="Calibri" w:cs="Times New Roman"/>
          <w:szCs w:val="20"/>
          <w:lang w:val="en-US"/>
        </w:rPr>
        <w:t>the American Convention</w:t>
      </w:r>
      <w:r w:rsidR="005B1590" w:rsidRPr="007B2402">
        <w:rPr>
          <w:rFonts w:eastAsia="Calibri" w:cs="Times New Roman"/>
          <w:szCs w:val="20"/>
          <w:lang w:val="en-US"/>
        </w:rPr>
        <w:t xml:space="preserve"> and </w:t>
      </w:r>
      <w:r w:rsidRPr="007B2402">
        <w:rPr>
          <w:rFonts w:eastAsia="Calibri" w:cs="Times New Roman"/>
          <w:szCs w:val="20"/>
          <w:lang w:val="en-US"/>
        </w:rPr>
        <w:t>in accordance with</w:t>
      </w:r>
      <w:r w:rsidR="003B5FC8" w:rsidRPr="007B2402">
        <w:rPr>
          <w:rFonts w:eastAsia="Calibri" w:cs="Times New Roman"/>
          <w:szCs w:val="20"/>
          <w:lang w:val="en-US"/>
        </w:rPr>
        <w:t xml:space="preserve"> </w:t>
      </w:r>
      <w:r w:rsidR="00AF4344" w:rsidRPr="007B2402">
        <w:rPr>
          <w:rFonts w:eastAsia="Calibri" w:cs="Times New Roman"/>
          <w:szCs w:val="20"/>
          <w:lang w:val="en-US"/>
        </w:rPr>
        <w:t>Article</w:t>
      </w:r>
      <w:r w:rsidR="003B5FC8" w:rsidRPr="007B2402">
        <w:rPr>
          <w:rFonts w:eastAsia="Calibri" w:cs="Times New Roman"/>
          <w:szCs w:val="20"/>
          <w:lang w:val="en-US"/>
        </w:rPr>
        <w:t xml:space="preserve"> 62 </w:t>
      </w:r>
      <w:r w:rsidRPr="007B2402">
        <w:rPr>
          <w:rFonts w:eastAsia="Calibri" w:cs="Times New Roman"/>
          <w:szCs w:val="20"/>
          <w:lang w:val="en-US"/>
        </w:rPr>
        <w:t>of th</w:t>
      </w:r>
      <w:r w:rsidR="00AF781E" w:rsidRPr="007B2402">
        <w:rPr>
          <w:rFonts w:eastAsia="Calibri" w:cs="Times New Roman"/>
          <w:szCs w:val="20"/>
          <w:lang w:val="en-US"/>
        </w:rPr>
        <w:t>at</w:t>
      </w:r>
      <w:r w:rsidRPr="007B2402">
        <w:rPr>
          <w:rFonts w:eastAsia="Calibri" w:cs="Times New Roman"/>
          <w:szCs w:val="20"/>
          <w:lang w:val="en-US"/>
        </w:rPr>
        <w:t xml:space="preserve"> instrument allows the Court to examine both the violations of the Convention and those of other inter-American instruments that grant it </w:t>
      </w:r>
      <w:r w:rsidR="000873A7" w:rsidRPr="007B2402">
        <w:rPr>
          <w:rFonts w:eastAsia="Calibri" w:cs="Times New Roman"/>
          <w:szCs w:val="20"/>
          <w:lang w:val="en-US"/>
        </w:rPr>
        <w:t>competence</w:t>
      </w:r>
      <w:r w:rsidRPr="007B2402">
        <w:rPr>
          <w:rFonts w:eastAsia="Calibri" w:cs="Times New Roman"/>
          <w:szCs w:val="20"/>
          <w:lang w:val="en-US"/>
        </w:rPr>
        <w:t>.</w:t>
      </w:r>
      <w:r w:rsidR="003B5FC8" w:rsidRPr="007B2402">
        <w:rPr>
          <w:rFonts w:eastAsia="Calibri" w:cs="Times New Roman"/>
          <w:szCs w:val="20"/>
          <w:vertAlign w:val="superscript"/>
          <w:lang w:val="en-US"/>
        </w:rPr>
        <w:footnoteReference w:id="19"/>
      </w:r>
    </w:p>
    <w:p w14:paraId="11F76C3D" w14:textId="77777777" w:rsidR="003B5FC8" w:rsidRPr="007B2402" w:rsidRDefault="003B5FC8" w:rsidP="003B5FC8">
      <w:pPr>
        <w:autoSpaceDE w:val="0"/>
        <w:autoSpaceDN w:val="0"/>
        <w:adjustRightInd w:val="0"/>
        <w:spacing w:after="0" w:line="240" w:lineRule="auto"/>
        <w:jc w:val="both"/>
        <w:rPr>
          <w:rFonts w:eastAsia="Calibri" w:cs="Times New Roman"/>
          <w:szCs w:val="20"/>
          <w:lang w:val="en-US"/>
        </w:rPr>
      </w:pPr>
    </w:p>
    <w:p w14:paraId="5C0013B6" w14:textId="36E96C43" w:rsidR="003B5FC8" w:rsidRPr="007B2402" w:rsidRDefault="0088594D" w:rsidP="0088594D">
      <w:pPr>
        <w:numPr>
          <w:ilvl w:val="0"/>
          <w:numId w:val="5"/>
        </w:numPr>
        <w:autoSpaceDE w:val="0"/>
        <w:autoSpaceDN w:val="0"/>
        <w:adjustRightInd w:val="0"/>
        <w:spacing w:after="0" w:line="240" w:lineRule="auto"/>
        <w:contextualSpacing/>
        <w:jc w:val="both"/>
        <w:rPr>
          <w:rFonts w:eastAsia="Calibri" w:cs="Times New Roman"/>
          <w:szCs w:val="20"/>
          <w:lang w:val="en-US"/>
        </w:rPr>
      </w:pPr>
      <w:r w:rsidRPr="007B2402">
        <w:rPr>
          <w:rFonts w:eastAsia="Calibri" w:cs="Times New Roman"/>
          <w:szCs w:val="20"/>
          <w:lang w:val="en-US"/>
        </w:rPr>
        <w:t>Even though</w:t>
      </w:r>
      <w:r w:rsidR="003B5FC8" w:rsidRPr="007B2402">
        <w:rPr>
          <w:rFonts w:eastAsia="Calibri" w:cs="Times New Roman"/>
          <w:szCs w:val="20"/>
          <w:lang w:val="en-US"/>
        </w:rPr>
        <w:t xml:space="preserve"> </w:t>
      </w:r>
      <w:r w:rsidR="00AF4344" w:rsidRPr="007B2402">
        <w:rPr>
          <w:rFonts w:eastAsia="Calibri" w:cs="Times New Roman"/>
          <w:szCs w:val="20"/>
          <w:lang w:val="en-US"/>
        </w:rPr>
        <w:t>Article</w:t>
      </w:r>
      <w:r w:rsidR="003B5FC8" w:rsidRPr="007B2402">
        <w:rPr>
          <w:rFonts w:eastAsia="Calibri" w:cs="Times New Roman"/>
          <w:szCs w:val="20"/>
          <w:lang w:val="en-US"/>
        </w:rPr>
        <w:t xml:space="preserve"> 8</w:t>
      </w:r>
      <w:r w:rsidR="00AF4344" w:rsidRPr="007B2402">
        <w:rPr>
          <w:rFonts w:eastAsia="Calibri" w:cs="Times New Roman"/>
          <w:szCs w:val="20"/>
          <w:lang w:val="en-US"/>
        </w:rPr>
        <w:t xml:space="preserve"> of the Convention</w:t>
      </w:r>
      <w:r w:rsidR="003B5FC8" w:rsidRPr="007B2402">
        <w:rPr>
          <w:rFonts w:eastAsia="Calibri" w:cs="Times New Roman"/>
          <w:szCs w:val="20"/>
          <w:lang w:val="en-US"/>
        </w:rPr>
        <w:t xml:space="preserve"> </w:t>
      </w:r>
      <w:r w:rsidRPr="007B2402">
        <w:rPr>
          <w:rFonts w:eastAsia="Calibri" w:cs="Times New Roman"/>
          <w:szCs w:val="20"/>
          <w:lang w:val="en-US"/>
        </w:rPr>
        <w:t>against Torture</w:t>
      </w:r>
      <w:r w:rsidR="003B5FC8" w:rsidRPr="007B2402">
        <w:rPr>
          <w:rFonts w:eastAsia="Calibri" w:cs="Times New Roman"/>
          <w:szCs w:val="20"/>
          <w:vertAlign w:val="superscript"/>
          <w:lang w:val="en-US"/>
        </w:rPr>
        <w:footnoteReference w:id="20"/>
      </w:r>
      <w:r w:rsidR="003B5FC8" w:rsidRPr="007B2402">
        <w:rPr>
          <w:rFonts w:eastAsia="Calibri" w:cs="Times New Roman"/>
          <w:szCs w:val="20"/>
          <w:lang w:val="en-US"/>
        </w:rPr>
        <w:t xml:space="preserve"> </w:t>
      </w:r>
      <w:r w:rsidRPr="007B2402">
        <w:rPr>
          <w:rFonts w:eastAsia="Calibri" w:cs="Times New Roman"/>
          <w:szCs w:val="20"/>
          <w:lang w:val="en-US"/>
        </w:rPr>
        <w:t xml:space="preserve">does not explicitly mention </w:t>
      </w:r>
      <w:r w:rsidR="00AF4344" w:rsidRPr="007B2402">
        <w:rPr>
          <w:rFonts w:eastAsia="Calibri" w:cs="Times New Roman"/>
          <w:szCs w:val="20"/>
          <w:lang w:val="en-US"/>
        </w:rPr>
        <w:t>the Inter-American Court</w:t>
      </w:r>
      <w:r w:rsidR="003B5FC8" w:rsidRPr="007B2402">
        <w:rPr>
          <w:rFonts w:eastAsia="Calibri" w:cs="Times New Roman"/>
          <w:szCs w:val="20"/>
          <w:lang w:val="en-US"/>
        </w:rPr>
        <w:t xml:space="preserve">, </w:t>
      </w:r>
      <w:r w:rsidRPr="007B2402">
        <w:rPr>
          <w:rFonts w:eastAsia="Calibri" w:cs="Times New Roman"/>
          <w:szCs w:val="20"/>
          <w:lang w:val="en-US"/>
        </w:rPr>
        <w:t xml:space="preserve">this Court has referred to its </w:t>
      </w:r>
      <w:r w:rsidR="000873A7" w:rsidRPr="007B2402">
        <w:rPr>
          <w:rFonts w:eastAsia="Calibri" w:cs="Times New Roman"/>
          <w:szCs w:val="20"/>
          <w:lang w:val="en-US"/>
        </w:rPr>
        <w:t xml:space="preserve">inherent </w:t>
      </w:r>
      <w:r w:rsidRPr="007B2402">
        <w:rPr>
          <w:rFonts w:eastAsia="Calibri" w:cs="Times New Roman"/>
          <w:szCs w:val="20"/>
          <w:lang w:val="en-US"/>
        </w:rPr>
        <w:t>competence to interpret and apply that Convention.</w:t>
      </w:r>
      <w:r w:rsidR="003B5FC8" w:rsidRPr="007B2402">
        <w:rPr>
          <w:rFonts w:eastAsia="Calibri" w:cs="Times New Roman"/>
          <w:szCs w:val="20"/>
          <w:vertAlign w:val="superscript"/>
          <w:lang w:val="en-US"/>
        </w:rPr>
        <w:footnoteReference w:id="21"/>
      </w:r>
      <w:r w:rsidRPr="007B2402">
        <w:rPr>
          <w:rFonts w:eastAsia="Calibri" w:cs="Times New Roman"/>
          <w:szCs w:val="20"/>
          <w:lang w:val="en-US"/>
        </w:rPr>
        <w:t xml:space="preserve"> Th</w:t>
      </w:r>
      <w:r w:rsidR="000873A7" w:rsidRPr="007B2402">
        <w:rPr>
          <w:rFonts w:eastAsia="Calibri" w:cs="Times New Roman"/>
          <w:szCs w:val="20"/>
          <w:lang w:val="en-US"/>
        </w:rPr>
        <w:t>e said</w:t>
      </w:r>
      <w:r w:rsidRPr="007B2402">
        <w:rPr>
          <w:rFonts w:eastAsia="Calibri" w:cs="Times New Roman"/>
          <w:szCs w:val="20"/>
          <w:lang w:val="en-US"/>
        </w:rPr>
        <w:t xml:space="preserve"> article authorizes </w:t>
      </w:r>
      <w:r w:rsidR="000873A7" w:rsidRPr="007B2402">
        <w:rPr>
          <w:szCs w:val="20"/>
          <w:lang w:val="en-US"/>
        </w:rPr>
        <w:t xml:space="preserve">submission of a case </w:t>
      </w:r>
      <w:r w:rsidR="000873A7" w:rsidRPr="007B2402">
        <w:rPr>
          <w:rFonts w:eastAsia="Calibri" w:cs="Times New Roman"/>
          <w:szCs w:val="20"/>
          <w:lang w:val="en-US"/>
        </w:rPr>
        <w:t>“</w:t>
      </w:r>
      <w:r w:rsidR="000873A7" w:rsidRPr="007B2402">
        <w:rPr>
          <w:rFonts w:cs="Tahoma"/>
          <w:bCs/>
          <w:szCs w:val="20"/>
          <w:lang w:val="en-US"/>
        </w:rPr>
        <w:t xml:space="preserve">to the international fora whose competence has been recognized by th[e] State” attributed with the violation of the said treaty. However, the Court has declared the violation of </w:t>
      </w:r>
      <w:r w:rsidR="001000C3" w:rsidRPr="007B2402">
        <w:rPr>
          <w:rFonts w:cs="Tahoma"/>
          <w:bCs/>
          <w:szCs w:val="20"/>
          <w:lang w:val="en-US"/>
        </w:rPr>
        <w:t>the above-mentioned</w:t>
      </w:r>
      <w:r w:rsidR="000873A7" w:rsidRPr="007B2402">
        <w:rPr>
          <w:rFonts w:cs="Tahoma"/>
          <w:bCs/>
          <w:szCs w:val="20"/>
          <w:lang w:val="en-US"/>
        </w:rPr>
        <w:t xml:space="preserve"> treaties in different cases, using a supplementary means of interpretation (the preparatory wo</w:t>
      </w:r>
      <w:r w:rsidR="001000C3" w:rsidRPr="007B2402">
        <w:rPr>
          <w:rFonts w:cs="Tahoma"/>
          <w:bCs/>
          <w:szCs w:val="20"/>
          <w:lang w:val="en-US"/>
        </w:rPr>
        <w:t>r</w:t>
      </w:r>
      <w:r w:rsidR="000873A7" w:rsidRPr="007B2402">
        <w:rPr>
          <w:rFonts w:cs="Tahoma"/>
          <w:bCs/>
          <w:szCs w:val="20"/>
          <w:lang w:val="en-US"/>
        </w:rPr>
        <w:t>k) i</w:t>
      </w:r>
      <w:r w:rsidR="001000C3" w:rsidRPr="007B2402">
        <w:rPr>
          <w:rFonts w:cs="Tahoma"/>
          <w:bCs/>
          <w:szCs w:val="20"/>
          <w:lang w:val="en-US"/>
        </w:rPr>
        <w:t>f there could be any</w:t>
      </w:r>
      <w:r w:rsidR="000873A7" w:rsidRPr="007B2402">
        <w:rPr>
          <w:rFonts w:cs="Tahoma"/>
          <w:bCs/>
          <w:szCs w:val="20"/>
          <w:lang w:val="en-US"/>
        </w:rPr>
        <w:t xml:space="preserve"> ambiguity </w:t>
      </w:r>
      <w:r w:rsidR="001000C3" w:rsidRPr="007B2402">
        <w:rPr>
          <w:rFonts w:cs="Tahoma"/>
          <w:bCs/>
          <w:szCs w:val="20"/>
          <w:lang w:val="en-US"/>
        </w:rPr>
        <w:t>in</w:t>
      </w:r>
      <w:r w:rsidR="000873A7" w:rsidRPr="007B2402">
        <w:rPr>
          <w:rFonts w:cs="Tahoma"/>
          <w:bCs/>
          <w:szCs w:val="20"/>
          <w:lang w:val="en-US"/>
        </w:rPr>
        <w:t xml:space="preserve"> the provision.</w:t>
      </w:r>
      <w:r w:rsidR="00874ECF" w:rsidRPr="007B2402">
        <w:rPr>
          <w:rStyle w:val="Refdenotaalpie"/>
          <w:rFonts w:ascii="Verdana" w:hAnsi="Verdana"/>
          <w:lang w:val="en-US"/>
        </w:rPr>
        <w:footnoteReference w:id="22"/>
      </w:r>
      <w:r w:rsidR="000873A7" w:rsidRPr="007B2402">
        <w:rPr>
          <w:rFonts w:cs="Verdana"/>
          <w:szCs w:val="20"/>
          <w:lang w:val="en-US"/>
        </w:rPr>
        <w:t xml:space="preserve"> Accordingly, in the</w:t>
      </w:r>
      <w:r w:rsidR="00874ECF" w:rsidRPr="007B2402">
        <w:rPr>
          <w:rFonts w:cs="Verdana"/>
          <w:szCs w:val="20"/>
          <w:lang w:val="en-US"/>
        </w:rPr>
        <w:t xml:space="preserve"> </w:t>
      </w:r>
      <w:r w:rsidR="001000C3" w:rsidRPr="007B2402">
        <w:rPr>
          <w:rFonts w:eastAsia="Calibri" w:cs="Times New Roman"/>
          <w:i/>
          <w:szCs w:val="20"/>
          <w:lang w:val="en-US"/>
        </w:rPr>
        <w:t>c</w:t>
      </w:r>
      <w:r w:rsidR="003B5FC8" w:rsidRPr="007B2402">
        <w:rPr>
          <w:rFonts w:eastAsia="Calibri" w:cs="Times New Roman"/>
          <w:i/>
          <w:szCs w:val="20"/>
          <w:lang w:val="en-US"/>
        </w:rPr>
        <w:t>as</w:t>
      </w:r>
      <w:r w:rsidR="000873A7" w:rsidRPr="007B2402">
        <w:rPr>
          <w:rFonts w:eastAsia="Calibri" w:cs="Times New Roman"/>
          <w:i/>
          <w:szCs w:val="20"/>
          <w:lang w:val="en-US"/>
        </w:rPr>
        <w:t>e of the “Street Children”</w:t>
      </w:r>
      <w:r w:rsidR="003B5FC8" w:rsidRPr="007B2402">
        <w:rPr>
          <w:rFonts w:eastAsia="Calibri" w:cs="Times New Roman"/>
          <w:i/>
          <w:szCs w:val="20"/>
          <w:lang w:val="en-US"/>
        </w:rPr>
        <w:t xml:space="preserve"> </w:t>
      </w:r>
      <w:r w:rsidR="000873A7" w:rsidRPr="007B2402">
        <w:rPr>
          <w:rFonts w:eastAsia="Calibri" w:cs="Times New Roman"/>
          <w:i/>
          <w:szCs w:val="20"/>
          <w:lang w:val="en-US"/>
        </w:rPr>
        <w:t>(</w:t>
      </w:r>
      <w:r w:rsidR="003B5FC8" w:rsidRPr="007B2402">
        <w:rPr>
          <w:rFonts w:eastAsia="Calibri" w:cs="Times New Roman"/>
          <w:i/>
          <w:szCs w:val="20"/>
          <w:lang w:val="en-US"/>
        </w:rPr>
        <w:t>Villagrán Morales</w:t>
      </w:r>
      <w:r w:rsidR="005B1590" w:rsidRPr="007B2402">
        <w:rPr>
          <w:rFonts w:eastAsia="Calibri" w:cs="Times New Roman"/>
          <w:i/>
          <w:szCs w:val="20"/>
          <w:lang w:val="en-US"/>
        </w:rPr>
        <w:t xml:space="preserve"> </w:t>
      </w:r>
      <w:r w:rsidR="00892CA3" w:rsidRPr="007B2402">
        <w:rPr>
          <w:rFonts w:eastAsia="Calibri" w:cs="Times New Roman"/>
          <w:i/>
          <w:szCs w:val="20"/>
          <w:lang w:val="en-US"/>
        </w:rPr>
        <w:t>et al.</w:t>
      </w:r>
      <w:r w:rsidR="000873A7" w:rsidRPr="007B2402">
        <w:rPr>
          <w:rFonts w:eastAsia="Calibri" w:cs="Times New Roman"/>
          <w:i/>
          <w:szCs w:val="20"/>
          <w:lang w:val="en-US"/>
        </w:rPr>
        <w:t>)</w:t>
      </w:r>
      <w:r w:rsidR="003B5FC8" w:rsidRPr="007B2402">
        <w:rPr>
          <w:rFonts w:eastAsia="Calibri" w:cs="Times New Roman"/>
          <w:szCs w:val="20"/>
          <w:lang w:val="en-US"/>
        </w:rPr>
        <w:t xml:space="preserve"> </w:t>
      </w:r>
      <w:r w:rsidR="000873A7" w:rsidRPr="007B2402">
        <w:rPr>
          <w:rFonts w:eastAsia="Calibri" w:cs="Times New Roman"/>
          <w:i/>
          <w:iCs/>
          <w:szCs w:val="20"/>
          <w:lang w:val="en-US"/>
        </w:rPr>
        <w:t>v</w:t>
      </w:r>
      <w:r w:rsidR="003B5FC8" w:rsidRPr="007B2402">
        <w:rPr>
          <w:rFonts w:eastAsia="Calibri" w:cs="Times New Roman"/>
          <w:i/>
          <w:iCs/>
          <w:szCs w:val="20"/>
          <w:lang w:val="en-US"/>
        </w:rPr>
        <w:t>. Guatemala</w:t>
      </w:r>
      <w:r w:rsidR="003B5FC8" w:rsidRPr="007B2402">
        <w:rPr>
          <w:rFonts w:eastAsia="Calibri" w:cs="Times New Roman"/>
          <w:szCs w:val="20"/>
          <w:lang w:val="en-US"/>
        </w:rPr>
        <w:t xml:space="preserve">, </w:t>
      </w:r>
      <w:r w:rsidR="000873A7" w:rsidRPr="007B2402">
        <w:rPr>
          <w:rFonts w:eastAsia="Calibri" w:cs="Times New Roman"/>
          <w:szCs w:val="20"/>
          <w:lang w:val="en-US"/>
        </w:rPr>
        <w:t xml:space="preserve">the Court referred </w:t>
      </w:r>
      <w:r w:rsidR="008A0C44" w:rsidRPr="007B2402">
        <w:rPr>
          <w:rFonts w:eastAsia="Calibri" w:cs="Times New Roman"/>
          <w:szCs w:val="20"/>
          <w:lang w:val="en-US"/>
        </w:rPr>
        <w:t xml:space="preserve"> to the historical reason for that article</w:t>
      </w:r>
      <w:r w:rsidR="001000C3" w:rsidRPr="007B2402">
        <w:rPr>
          <w:rFonts w:eastAsia="Calibri" w:cs="Times New Roman"/>
          <w:szCs w:val="20"/>
          <w:lang w:val="en-US"/>
        </w:rPr>
        <w:t xml:space="preserve">, which was that, </w:t>
      </w:r>
      <w:r w:rsidR="008A0C44" w:rsidRPr="007B2402">
        <w:rPr>
          <w:rFonts w:eastAsia="Calibri" w:cs="Times New Roman"/>
          <w:szCs w:val="20"/>
          <w:lang w:val="en-US"/>
        </w:rPr>
        <w:t xml:space="preserve">when </w:t>
      </w:r>
      <w:r w:rsidR="00AF4344" w:rsidRPr="007B2402">
        <w:rPr>
          <w:rFonts w:eastAsia="Calibri" w:cs="Times New Roman"/>
          <w:szCs w:val="20"/>
          <w:lang w:val="en-US"/>
        </w:rPr>
        <w:t xml:space="preserve">the </w:t>
      </w:r>
      <w:r w:rsidR="000873A7" w:rsidRPr="007B2402">
        <w:rPr>
          <w:rFonts w:eastAsia="Calibri" w:cs="Times New Roman"/>
          <w:szCs w:val="20"/>
          <w:lang w:val="en-US"/>
        </w:rPr>
        <w:t>Convention against Torture</w:t>
      </w:r>
      <w:r w:rsidR="001000C3" w:rsidRPr="007B2402">
        <w:rPr>
          <w:rFonts w:eastAsia="Calibri" w:cs="Times New Roman"/>
          <w:szCs w:val="20"/>
          <w:lang w:val="en-US"/>
        </w:rPr>
        <w:t xml:space="preserve"> was drafted,</w:t>
      </w:r>
      <w:r w:rsidR="003B5FC8" w:rsidRPr="007B2402">
        <w:rPr>
          <w:rFonts w:eastAsia="Calibri" w:cs="Times New Roman"/>
          <w:szCs w:val="20"/>
          <w:lang w:val="en-US"/>
        </w:rPr>
        <w:t xml:space="preserve"> </w:t>
      </w:r>
      <w:r w:rsidR="008A0C44" w:rsidRPr="007B2402">
        <w:rPr>
          <w:rFonts w:eastAsia="Calibri" w:cs="Times New Roman"/>
          <w:szCs w:val="20"/>
          <w:lang w:val="en-US"/>
        </w:rPr>
        <w:t xml:space="preserve">there were still some Member States of the Organization of American States who were not parties to </w:t>
      </w:r>
      <w:r w:rsidR="00AF4344" w:rsidRPr="007B2402">
        <w:rPr>
          <w:rFonts w:eastAsia="Calibri" w:cs="Times New Roman"/>
          <w:szCs w:val="20"/>
          <w:lang w:val="en-US"/>
        </w:rPr>
        <w:t>the American Convention</w:t>
      </w:r>
      <w:r w:rsidR="001000C3" w:rsidRPr="007B2402">
        <w:rPr>
          <w:rFonts w:eastAsia="Calibri" w:cs="Times New Roman"/>
          <w:szCs w:val="20"/>
          <w:lang w:val="en-US"/>
        </w:rPr>
        <w:t>; thus</w:t>
      </w:r>
      <w:r w:rsidR="008A0C44" w:rsidRPr="007B2402">
        <w:rPr>
          <w:rFonts w:eastAsia="Calibri" w:cs="Times New Roman"/>
          <w:szCs w:val="20"/>
          <w:lang w:val="en-US"/>
        </w:rPr>
        <w:t xml:space="preserve">, </w:t>
      </w:r>
      <w:r w:rsidR="001000C3" w:rsidRPr="007B2402">
        <w:rPr>
          <w:rFonts w:eastAsia="Calibri" w:cs="Times New Roman"/>
          <w:szCs w:val="20"/>
          <w:lang w:val="en-US"/>
        </w:rPr>
        <w:t xml:space="preserve">by including </w:t>
      </w:r>
      <w:r w:rsidR="008A0C44" w:rsidRPr="007B2402">
        <w:rPr>
          <w:rFonts w:eastAsia="Calibri" w:cs="Times New Roman"/>
          <w:szCs w:val="20"/>
          <w:lang w:val="en-US"/>
        </w:rPr>
        <w:t xml:space="preserve">a general clause on </w:t>
      </w:r>
      <w:r w:rsidR="001000C3" w:rsidRPr="007B2402">
        <w:rPr>
          <w:rFonts w:eastAsia="Calibri" w:cs="Times New Roman"/>
          <w:szCs w:val="20"/>
          <w:lang w:val="en-US"/>
        </w:rPr>
        <w:t>jurisdiction</w:t>
      </w:r>
      <w:r w:rsidR="008A0C44" w:rsidRPr="007B2402">
        <w:rPr>
          <w:rFonts w:eastAsia="Calibri" w:cs="Times New Roman"/>
          <w:szCs w:val="20"/>
          <w:lang w:val="en-US"/>
        </w:rPr>
        <w:t xml:space="preserve"> that did not </w:t>
      </w:r>
      <w:r w:rsidR="001000C3" w:rsidRPr="007B2402">
        <w:rPr>
          <w:rFonts w:eastAsia="Calibri" w:cs="Times New Roman"/>
          <w:szCs w:val="20"/>
          <w:lang w:val="en-US"/>
        </w:rPr>
        <w:t>refer</w:t>
      </w:r>
      <w:r w:rsidR="008A0C44" w:rsidRPr="007B2402">
        <w:rPr>
          <w:rFonts w:eastAsia="Calibri" w:cs="Times New Roman"/>
          <w:szCs w:val="20"/>
          <w:lang w:val="en-US"/>
        </w:rPr>
        <w:t xml:space="preserve"> express</w:t>
      </w:r>
      <w:r w:rsidR="001000C3" w:rsidRPr="007B2402">
        <w:rPr>
          <w:rFonts w:eastAsia="Calibri" w:cs="Times New Roman"/>
          <w:szCs w:val="20"/>
          <w:lang w:val="en-US"/>
        </w:rPr>
        <w:t>ly</w:t>
      </w:r>
      <w:r w:rsidR="008A0C44" w:rsidRPr="007B2402">
        <w:rPr>
          <w:rFonts w:eastAsia="Calibri" w:cs="Times New Roman"/>
          <w:szCs w:val="20"/>
          <w:lang w:val="en-US"/>
        </w:rPr>
        <w:t xml:space="preserve"> and exclusive</w:t>
      </w:r>
      <w:r w:rsidR="001000C3" w:rsidRPr="007B2402">
        <w:rPr>
          <w:rFonts w:eastAsia="Calibri" w:cs="Times New Roman"/>
          <w:szCs w:val="20"/>
          <w:lang w:val="en-US"/>
        </w:rPr>
        <w:t>ly</w:t>
      </w:r>
      <w:r w:rsidR="008A0C44" w:rsidRPr="007B2402">
        <w:rPr>
          <w:rFonts w:eastAsia="Calibri" w:cs="Times New Roman"/>
          <w:szCs w:val="20"/>
          <w:lang w:val="en-US"/>
        </w:rPr>
        <w:t xml:space="preserve"> to</w:t>
      </w:r>
      <w:r w:rsidR="003B5FC8" w:rsidRPr="007B2402">
        <w:rPr>
          <w:rFonts w:eastAsia="Calibri" w:cs="Times New Roman"/>
          <w:szCs w:val="20"/>
          <w:lang w:val="en-US"/>
        </w:rPr>
        <w:t xml:space="preserve"> </w:t>
      </w:r>
      <w:r w:rsidR="00AF4344" w:rsidRPr="007B2402">
        <w:rPr>
          <w:rFonts w:eastAsia="Calibri" w:cs="Times New Roman"/>
          <w:szCs w:val="20"/>
          <w:lang w:val="en-US"/>
        </w:rPr>
        <w:t>the Inter-American Court</w:t>
      </w:r>
      <w:r w:rsidR="003B5FC8" w:rsidRPr="007B2402">
        <w:rPr>
          <w:rFonts w:eastAsia="Calibri" w:cs="Times New Roman"/>
          <w:szCs w:val="20"/>
          <w:lang w:val="en-US"/>
        </w:rPr>
        <w:t xml:space="preserve">, </w:t>
      </w:r>
      <w:r w:rsidR="008A0C44" w:rsidRPr="007B2402">
        <w:rPr>
          <w:rFonts w:eastAsia="Calibri" w:cs="Times New Roman"/>
          <w:szCs w:val="20"/>
          <w:lang w:val="en-US"/>
        </w:rPr>
        <w:t>it opened</w:t>
      </w:r>
      <w:r w:rsidR="001000C3" w:rsidRPr="007B2402">
        <w:rPr>
          <w:rFonts w:eastAsia="Calibri" w:cs="Times New Roman"/>
          <w:szCs w:val="20"/>
          <w:lang w:val="en-US"/>
        </w:rPr>
        <w:t xml:space="preserve"> up</w:t>
      </w:r>
      <w:r w:rsidR="008A0C44" w:rsidRPr="007B2402">
        <w:rPr>
          <w:rFonts w:eastAsia="Calibri" w:cs="Times New Roman"/>
          <w:szCs w:val="20"/>
          <w:lang w:val="en-US"/>
        </w:rPr>
        <w:t xml:space="preserve"> the possibility that a greater number of States would ratify or adhere to </w:t>
      </w:r>
      <w:r w:rsidR="00AF4344" w:rsidRPr="007B2402">
        <w:rPr>
          <w:rFonts w:eastAsia="Calibri" w:cs="Times New Roman"/>
          <w:szCs w:val="20"/>
          <w:lang w:val="en-US"/>
        </w:rPr>
        <w:t xml:space="preserve">the </w:t>
      </w:r>
      <w:r w:rsidR="000873A7" w:rsidRPr="007B2402">
        <w:rPr>
          <w:rFonts w:eastAsia="Calibri" w:cs="Times New Roman"/>
          <w:szCs w:val="20"/>
          <w:lang w:val="en-US"/>
        </w:rPr>
        <w:t>Convention against Torture</w:t>
      </w:r>
      <w:r w:rsidR="003B5FC8" w:rsidRPr="007B2402">
        <w:rPr>
          <w:rFonts w:eastAsia="Calibri" w:cs="Times New Roman"/>
          <w:szCs w:val="20"/>
          <w:lang w:val="en-US"/>
        </w:rPr>
        <w:t>.</w:t>
      </w:r>
      <w:r w:rsidR="008A0C44" w:rsidRPr="007B2402">
        <w:rPr>
          <w:rFonts w:eastAsia="Calibri" w:cs="Times New Roman"/>
          <w:szCs w:val="20"/>
          <w:lang w:val="en-US"/>
        </w:rPr>
        <w:t xml:space="preserve"> When adopting that Convention, it was considered important to attribute competence to apply </w:t>
      </w:r>
      <w:r w:rsidR="00AF4344" w:rsidRPr="007B2402">
        <w:rPr>
          <w:rFonts w:eastAsia="Calibri" w:cs="Times New Roman"/>
          <w:szCs w:val="20"/>
          <w:lang w:val="en-US"/>
        </w:rPr>
        <w:t xml:space="preserve">the </w:t>
      </w:r>
      <w:r w:rsidR="000873A7" w:rsidRPr="007B2402">
        <w:rPr>
          <w:rFonts w:eastAsia="Calibri" w:cs="Times New Roman"/>
          <w:szCs w:val="20"/>
          <w:lang w:val="en-US"/>
        </w:rPr>
        <w:t>Convention against Torture</w:t>
      </w:r>
      <w:r w:rsidR="003B5FC8" w:rsidRPr="007B2402">
        <w:rPr>
          <w:rFonts w:eastAsia="Calibri" w:cs="Times New Roman"/>
          <w:szCs w:val="20"/>
          <w:lang w:val="en-US"/>
        </w:rPr>
        <w:t xml:space="preserve"> </w:t>
      </w:r>
      <w:r w:rsidR="008A0C44" w:rsidRPr="007B2402">
        <w:rPr>
          <w:rFonts w:eastAsia="Calibri" w:cs="Times New Roman"/>
          <w:szCs w:val="20"/>
          <w:lang w:val="en-US"/>
        </w:rPr>
        <w:t>to an international organ, whether this was an existing commission, committee, or court or one created in the future.</w:t>
      </w:r>
      <w:r w:rsidR="003B5FC8" w:rsidRPr="007B2402">
        <w:rPr>
          <w:rFonts w:eastAsia="Calibri" w:cs="Times New Roman"/>
          <w:szCs w:val="20"/>
          <w:vertAlign w:val="superscript"/>
          <w:lang w:val="en-US"/>
        </w:rPr>
        <w:footnoteReference w:id="23"/>
      </w:r>
      <w:r w:rsidR="008A0C44" w:rsidRPr="007B2402">
        <w:rPr>
          <w:rFonts w:eastAsia="Calibri" w:cs="Times New Roman"/>
          <w:szCs w:val="20"/>
          <w:lang w:val="en-US"/>
        </w:rPr>
        <w:t xml:space="preserve"> Accordingly, </w:t>
      </w:r>
      <w:r w:rsidR="00AF4344" w:rsidRPr="007B2402">
        <w:rPr>
          <w:rFonts w:eastAsia="Calibri" w:cs="Times New Roman"/>
          <w:szCs w:val="20"/>
          <w:lang w:val="en-US"/>
        </w:rPr>
        <w:t>the Commission</w:t>
      </w:r>
      <w:r w:rsidR="005B1590" w:rsidRPr="007B2402">
        <w:rPr>
          <w:rFonts w:eastAsia="Calibri" w:cs="Times New Roman"/>
          <w:szCs w:val="20"/>
          <w:lang w:val="en-US"/>
        </w:rPr>
        <w:t xml:space="preserve"> and</w:t>
      </w:r>
      <w:r w:rsidR="008A0C44" w:rsidRPr="007B2402">
        <w:rPr>
          <w:rFonts w:eastAsia="Calibri" w:cs="Times New Roman"/>
          <w:szCs w:val="20"/>
          <w:lang w:val="en-US"/>
        </w:rPr>
        <w:t>,</w:t>
      </w:r>
      <w:r w:rsidR="005B1590" w:rsidRPr="007B2402">
        <w:rPr>
          <w:rFonts w:eastAsia="Calibri" w:cs="Times New Roman"/>
          <w:szCs w:val="20"/>
          <w:lang w:val="en-US"/>
        </w:rPr>
        <w:t xml:space="preserve"> </w:t>
      </w:r>
      <w:r w:rsidR="003B5FC8" w:rsidRPr="007B2402">
        <w:rPr>
          <w:rFonts w:eastAsia="Calibri" w:cs="Times New Roman"/>
          <w:szCs w:val="20"/>
          <w:lang w:val="en-US"/>
        </w:rPr>
        <w:t>conse</w:t>
      </w:r>
      <w:r w:rsidR="008A0C44" w:rsidRPr="007B2402">
        <w:rPr>
          <w:rFonts w:eastAsia="Calibri" w:cs="Times New Roman"/>
          <w:szCs w:val="20"/>
          <w:lang w:val="en-US"/>
        </w:rPr>
        <w:t>quently,</w:t>
      </w:r>
      <w:r w:rsidR="003B5FC8" w:rsidRPr="007B2402">
        <w:rPr>
          <w:rFonts w:eastAsia="Calibri" w:cs="Times New Roman"/>
          <w:szCs w:val="20"/>
          <w:lang w:val="en-US"/>
        </w:rPr>
        <w:t xml:space="preserve"> </w:t>
      </w:r>
      <w:r w:rsidR="00AF4344" w:rsidRPr="007B2402">
        <w:rPr>
          <w:rFonts w:eastAsia="Calibri" w:cs="Times New Roman"/>
          <w:szCs w:val="20"/>
          <w:lang w:val="en-US"/>
        </w:rPr>
        <w:t>the Court</w:t>
      </w:r>
      <w:r w:rsidR="008A0C44" w:rsidRPr="007B2402">
        <w:rPr>
          <w:rFonts w:eastAsia="Calibri" w:cs="Times New Roman"/>
          <w:szCs w:val="20"/>
          <w:lang w:val="en-US"/>
        </w:rPr>
        <w:t xml:space="preserve"> have competence to examine and declare violations of that Convention.</w:t>
      </w:r>
    </w:p>
    <w:p w14:paraId="0A0105C3" w14:textId="77777777" w:rsidR="003B5FC8" w:rsidRPr="007B2402" w:rsidRDefault="003B5FC8" w:rsidP="003B5FC8">
      <w:pPr>
        <w:autoSpaceDE w:val="0"/>
        <w:autoSpaceDN w:val="0"/>
        <w:adjustRightInd w:val="0"/>
        <w:spacing w:after="0" w:line="240" w:lineRule="auto"/>
        <w:contextualSpacing/>
        <w:jc w:val="both"/>
        <w:rPr>
          <w:rFonts w:eastAsia="Calibri" w:cs="Times New Roman"/>
          <w:szCs w:val="20"/>
          <w:lang w:val="en-US"/>
        </w:rPr>
      </w:pPr>
    </w:p>
    <w:p w14:paraId="6446B8BE" w14:textId="370761D9" w:rsidR="003B5FC8" w:rsidRPr="007B2402" w:rsidRDefault="008A0C44" w:rsidP="00DB1F30">
      <w:pPr>
        <w:numPr>
          <w:ilvl w:val="0"/>
          <w:numId w:val="5"/>
        </w:numPr>
        <w:spacing w:after="0" w:line="240" w:lineRule="auto"/>
        <w:contextualSpacing/>
        <w:jc w:val="both"/>
        <w:rPr>
          <w:rFonts w:eastAsia="Calibri" w:cs="Times New Roman"/>
          <w:szCs w:val="20"/>
          <w:lang w:val="en-US"/>
        </w:rPr>
      </w:pPr>
      <w:r w:rsidRPr="007B2402">
        <w:rPr>
          <w:rFonts w:eastAsia="Calibri" w:cs="Times New Roman"/>
          <w:szCs w:val="20"/>
          <w:lang w:val="en-US"/>
        </w:rPr>
        <w:t>Based on the</w:t>
      </w:r>
      <w:r w:rsidR="001000C3" w:rsidRPr="007B2402">
        <w:rPr>
          <w:rFonts w:eastAsia="Calibri" w:cs="Times New Roman"/>
          <w:szCs w:val="20"/>
          <w:lang w:val="en-US"/>
        </w:rPr>
        <w:t>se</w:t>
      </w:r>
      <w:r w:rsidRPr="007B2402">
        <w:rPr>
          <w:rFonts w:eastAsia="Calibri" w:cs="Times New Roman"/>
          <w:szCs w:val="20"/>
          <w:lang w:val="en-US"/>
        </w:rPr>
        <w:t xml:space="preserve"> </w:t>
      </w:r>
      <w:r w:rsidR="007A07B8" w:rsidRPr="007B2402">
        <w:rPr>
          <w:rFonts w:eastAsia="Calibri" w:cs="Times New Roman"/>
          <w:szCs w:val="20"/>
          <w:lang w:val="en-US"/>
        </w:rPr>
        <w:t>considerations</w:t>
      </w:r>
      <w:r w:rsidR="003B5FC8" w:rsidRPr="007B2402">
        <w:rPr>
          <w:rFonts w:eastAsia="Calibri" w:cs="Times New Roman"/>
          <w:szCs w:val="20"/>
          <w:lang w:val="en-US"/>
        </w:rPr>
        <w:t xml:space="preserve">, </w:t>
      </w:r>
      <w:r w:rsidR="00AF4344" w:rsidRPr="007B2402">
        <w:rPr>
          <w:rFonts w:eastAsia="Calibri" w:cs="Times New Roman"/>
          <w:szCs w:val="20"/>
          <w:lang w:val="en-US"/>
        </w:rPr>
        <w:t>the Court</w:t>
      </w:r>
      <w:r w:rsidR="003B5FC8" w:rsidRPr="007B2402">
        <w:rPr>
          <w:rFonts w:eastAsia="Calibri" w:cs="Times New Roman"/>
          <w:szCs w:val="20"/>
          <w:lang w:val="en-US"/>
        </w:rPr>
        <w:t xml:space="preserve"> reitera</w:t>
      </w:r>
      <w:r w:rsidRPr="007B2402">
        <w:rPr>
          <w:rFonts w:eastAsia="Calibri" w:cs="Times New Roman"/>
          <w:szCs w:val="20"/>
          <w:lang w:val="en-US"/>
        </w:rPr>
        <w:t xml:space="preserve">tes its consistent </w:t>
      </w:r>
      <w:r w:rsidR="001000C3" w:rsidRPr="007B2402">
        <w:rPr>
          <w:rFonts w:eastAsia="Calibri" w:cs="Times New Roman"/>
          <w:szCs w:val="20"/>
          <w:lang w:val="en-US"/>
        </w:rPr>
        <w:t>case law</w:t>
      </w:r>
      <w:r w:rsidR="003B5FC8" w:rsidRPr="007B2402">
        <w:rPr>
          <w:rFonts w:eastAsia="Calibri" w:cs="Times New Roman"/>
          <w:szCs w:val="20"/>
          <w:vertAlign w:val="superscript"/>
          <w:lang w:val="en-US"/>
        </w:rPr>
        <w:footnoteReference w:id="24"/>
      </w:r>
      <w:r w:rsidR="003B5FC8" w:rsidRPr="007B2402">
        <w:rPr>
          <w:rFonts w:eastAsia="Calibri" w:cs="Times New Roman"/>
          <w:szCs w:val="20"/>
          <w:lang w:val="en-US"/>
        </w:rPr>
        <w:t xml:space="preserve"> </w:t>
      </w:r>
      <w:r w:rsidRPr="007B2402">
        <w:rPr>
          <w:rFonts w:eastAsia="Calibri" w:cs="Times New Roman"/>
          <w:szCs w:val="20"/>
          <w:lang w:val="en-US"/>
        </w:rPr>
        <w:t xml:space="preserve">that it is competent to interpret and apply </w:t>
      </w:r>
      <w:r w:rsidR="00AF4344" w:rsidRPr="007B2402">
        <w:rPr>
          <w:rFonts w:eastAsia="Calibri" w:cs="Times New Roman"/>
          <w:szCs w:val="20"/>
          <w:lang w:val="en-US"/>
        </w:rPr>
        <w:t xml:space="preserve">the </w:t>
      </w:r>
      <w:r w:rsidR="000873A7" w:rsidRPr="007B2402">
        <w:rPr>
          <w:rFonts w:eastAsia="Calibri" w:cs="Times New Roman"/>
          <w:szCs w:val="20"/>
          <w:lang w:val="en-US"/>
        </w:rPr>
        <w:t>Convention against Torture</w:t>
      </w:r>
      <w:r w:rsidR="005B1590" w:rsidRPr="007B2402">
        <w:rPr>
          <w:rFonts w:eastAsia="Calibri" w:cs="Times New Roman"/>
          <w:szCs w:val="20"/>
          <w:lang w:val="en-US"/>
        </w:rPr>
        <w:t xml:space="preserve"> and </w:t>
      </w:r>
      <w:r w:rsidRPr="007B2402">
        <w:rPr>
          <w:rFonts w:eastAsia="Calibri" w:cs="Times New Roman"/>
          <w:szCs w:val="20"/>
          <w:lang w:val="en-US"/>
        </w:rPr>
        <w:t xml:space="preserve">to declare the </w:t>
      </w:r>
      <w:r w:rsidRPr="007B2402">
        <w:rPr>
          <w:rFonts w:eastAsia="Calibri" w:cs="Times New Roman"/>
          <w:szCs w:val="20"/>
          <w:lang w:val="en-US"/>
        </w:rPr>
        <w:lastRenderedPageBreak/>
        <w:t xml:space="preserve">responsibility of a State that has agreed to be bound by that Convention and has also accepted the jurisdiction </w:t>
      </w:r>
      <w:r w:rsidR="00AF4344" w:rsidRPr="007B2402">
        <w:rPr>
          <w:rFonts w:eastAsia="Calibri" w:cs="Times New Roman"/>
          <w:szCs w:val="20"/>
          <w:lang w:val="en-US"/>
        </w:rPr>
        <w:t>of the Inter-American Court of Human Rights</w:t>
      </w:r>
      <w:r w:rsidR="003B5FC8" w:rsidRPr="007B2402">
        <w:rPr>
          <w:rFonts w:eastAsia="Calibri" w:cs="Times New Roman"/>
          <w:szCs w:val="20"/>
          <w:lang w:val="en-US"/>
        </w:rPr>
        <w:t xml:space="preserve">. </w:t>
      </w:r>
      <w:r w:rsidRPr="007B2402">
        <w:rPr>
          <w:rFonts w:eastAsia="Calibri" w:cs="Times New Roman"/>
          <w:szCs w:val="20"/>
          <w:lang w:val="en-US"/>
        </w:rPr>
        <w:t xml:space="preserve">In this understanding, the Court has already had occasion to apply </w:t>
      </w:r>
      <w:r w:rsidR="00AF4344" w:rsidRPr="007B2402">
        <w:rPr>
          <w:rFonts w:eastAsia="Calibri" w:cs="Times New Roman"/>
          <w:szCs w:val="20"/>
          <w:lang w:val="en-US"/>
        </w:rPr>
        <w:t xml:space="preserve">the </w:t>
      </w:r>
      <w:r w:rsidR="000873A7" w:rsidRPr="007B2402">
        <w:rPr>
          <w:rFonts w:eastAsia="Calibri" w:cs="Times New Roman"/>
          <w:szCs w:val="20"/>
          <w:lang w:val="en-US"/>
        </w:rPr>
        <w:t>Convention against Torture</w:t>
      </w:r>
      <w:r w:rsidR="005B1590" w:rsidRPr="007B2402">
        <w:rPr>
          <w:rFonts w:eastAsia="Calibri" w:cs="Times New Roman"/>
          <w:szCs w:val="20"/>
          <w:lang w:val="en-US"/>
        </w:rPr>
        <w:t xml:space="preserve"> and </w:t>
      </w:r>
      <w:r w:rsidRPr="007B2402">
        <w:rPr>
          <w:rFonts w:eastAsia="Calibri" w:cs="Times New Roman"/>
          <w:szCs w:val="20"/>
          <w:lang w:val="en-US"/>
        </w:rPr>
        <w:t xml:space="preserve">to assess the responsibility of </w:t>
      </w:r>
      <w:r w:rsidR="001000C3" w:rsidRPr="007B2402">
        <w:rPr>
          <w:rFonts w:eastAsia="Calibri" w:cs="Times New Roman"/>
          <w:szCs w:val="20"/>
          <w:lang w:val="en-US"/>
        </w:rPr>
        <w:t>various</w:t>
      </w:r>
      <w:r w:rsidRPr="007B2402">
        <w:rPr>
          <w:rFonts w:eastAsia="Calibri" w:cs="Times New Roman"/>
          <w:szCs w:val="20"/>
          <w:lang w:val="en-US"/>
        </w:rPr>
        <w:t xml:space="preserve"> States</w:t>
      </w:r>
      <w:r w:rsidR="00EF3E90" w:rsidRPr="007B2402">
        <w:rPr>
          <w:rFonts w:eastAsia="Calibri" w:cs="Times New Roman"/>
          <w:szCs w:val="20"/>
          <w:lang w:val="en-US"/>
        </w:rPr>
        <w:t xml:space="preserve"> in more than 40 contentious cases in which it was alleged that the Convention had been violated.</w:t>
      </w:r>
      <w:r w:rsidR="003B5FC8" w:rsidRPr="007B2402">
        <w:rPr>
          <w:rFonts w:eastAsia="Calibri" w:cs="Times New Roman"/>
          <w:szCs w:val="20"/>
          <w:vertAlign w:val="superscript"/>
          <w:lang w:val="en-US"/>
        </w:rPr>
        <w:footnoteReference w:id="25"/>
      </w:r>
      <w:r w:rsidR="00EF3E90" w:rsidRPr="007B2402">
        <w:rPr>
          <w:rFonts w:eastAsia="Calibri" w:cs="Times New Roman"/>
          <w:szCs w:val="20"/>
          <w:lang w:val="en-US"/>
        </w:rPr>
        <w:t xml:space="preserve"> Given that </w:t>
      </w:r>
      <w:r w:rsidR="00AF4344" w:rsidRPr="007B2402">
        <w:rPr>
          <w:rFonts w:eastAsia="Calibri" w:cs="Times New Roman"/>
          <w:szCs w:val="20"/>
          <w:lang w:val="en-US"/>
        </w:rPr>
        <w:t>Brazil</w:t>
      </w:r>
      <w:r w:rsidR="003B5FC8" w:rsidRPr="007B2402">
        <w:rPr>
          <w:rFonts w:eastAsia="Calibri" w:cs="Times New Roman"/>
          <w:szCs w:val="20"/>
          <w:lang w:val="en-US"/>
        </w:rPr>
        <w:t xml:space="preserve"> </w:t>
      </w:r>
      <w:r w:rsidR="00EF3E90" w:rsidRPr="007B2402">
        <w:rPr>
          <w:rFonts w:eastAsia="Calibri" w:cs="Times New Roman"/>
          <w:szCs w:val="20"/>
          <w:lang w:val="en-US"/>
        </w:rPr>
        <w:t>is a party to</w:t>
      </w:r>
      <w:r w:rsidR="003B5FC8" w:rsidRPr="007B2402">
        <w:rPr>
          <w:rFonts w:eastAsia="Calibri" w:cs="Times New Roman"/>
          <w:szCs w:val="20"/>
          <w:lang w:val="en-US"/>
        </w:rPr>
        <w:t xml:space="preserve"> </w:t>
      </w:r>
      <w:r w:rsidR="00AF4344" w:rsidRPr="007B2402">
        <w:rPr>
          <w:rFonts w:eastAsia="Calibri" w:cs="Times New Roman"/>
          <w:szCs w:val="20"/>
          <w:lang w:val="en-US"/>
        </w:rPr>
        <w:t xml:space="preserve">the </w:t>
      </w:r>
      <w:r w:rsidR="000873A7" w:rsidRPr="007B2402">
        <w:rPr>
          <w:rFonts w:eastAsia="Calibri" w:cs="Times New Roman"/>
          <w:szCs w:val="20"/>
          <w:lang w:val="en-US"/>
        </w:rPr>
        <w:t>Convention against Torture</w:t>
      </w:r>
      <w:r w:rsidR="005B1590" w:rsidRPr="007B2402">
        <w:rPr>
          <w:rFonts w:eastAsia="Calibri" w:cs="Times New Roman"/>
          <w:szCs w:val="20"/>
          <w:lang w:val="en-US"/>
        </w:rPr>
        <w:t xml:space="preserve"> and </w:t>
      </w:r>
      <w:r w:rsidR="003B5FC8" w:rsidRPr="007B2402">
        <w:rPr>
          <w:rFonts w:eastAsia="Calibri" w:cs="Times New Roman"/>
          <w:szCs w:val="20"/>
          <w:lang w:val="en-US"/>
        </w:rPr>
        <w:t>ha</w:t>
      </w:r>
      <w:r w:rsidR="00EF3E90" w:rsidRPr="007B2402">
        <w:rPr>
          <w:rFonts w:eastAsia="Calibri" w:cs="Times New Roman"/>
          <w:szCs w:val="20"/>
          <w:lang w:val="en-US"/>
        </w:rPr>
        <w:t xml:space="preserve">s accepted this Court’s contentious jurisdiction, the Court has competence </w:t>
      </w:r>
      <w:r w:rsidR="003B5FC8" w:rsidRPr="007B2402">
        <w:rPr>
          <w:rFonts w:eastAsia="Calibri" w:cs="Times New Roman"/>
          <w:i/>
          <w:szCs w:val="20"/>
          <w:lang w:val="en-US"/>
        </w:rPr>
        <w:t>ratione materiae</w:t>
      </w:r>
      <w:r w:rsidR="003B5FC8" w:rsidRPr="007B2402">
        <w:rPr>
          <w:rFonts w:eastAsia="Calibri" w:cs="Times New Roman"/>
          <w:szCs w:val="20"/>
          <w:lang w:val="en-US"/>
        </w:rPr>
        <w:t xml:space="preserve"> </w:t>
      </w:r>
      <w:r w:rsidR="00EF3E90" w:rsidRPr="007B2402">
        <w:rPr>
          <w:rFonts w:eastAsia="Calibri" w:cs="Times New Roman"/>
          <w:szCs w:val="20"/>
          <w:lang w:val="en-US"/>
        </w:rPr>
        <w:t xml:space="preserve">to rule on the alleged responsibility </w:t>
      </w:r>
      <w:r w:rsidR="006E2CFF" w:rsidRPr="007B2402">
        <w:rPr>
          <w:rFonts w:eastAsia="Calibri" w:cs="Times New Roman"/>
          <w:szCs w:val="20"/>
          <w:lang w:val="en-US"/>
        </w:rPr>
        <w:t xml:space="preserve">of the </w:t>
      </w:r>
      <w:r w:rsidR="00AF4344" w:rsidRPr="007B2402">
        <w:rPr>
          <w:rFonts w:eastAsia="Calibri" w:cs="Times New Roman"/>
          <w:szCs w:val="20"/>
          <w:lang w:val="en-US"/>
        </w:rPr>
        <w:t>State</w:t>
      </w:r>
      <w:r w:rsidR="003B5FC8" w:rsidRPr="007B2402">
        <w:rPr>
          <w:rFonts w:eastAsia="Calibri" w:cs="Times New Roman"/>
          <w:szCs w:val="20"/>
          <w:lang w:val="en-US"/>
        </w:rPr>
        <w:t xml:space="preserve"> </w:t>
      </w:r>
      <w:r w:rsidR="00EF3E90" w:rsidRPr="007B2402">
        <w:rPr>
          <w:rFonts w:eastAsia="Calibri" w:cs="Times New Roman"/>
          <w:szCs w:val="20"/>
          <w:lang w:val="en-US"/>
        </w:rPr>
        <w:t>for violating that instrument</w:t>
      </w:r>
      <w:r w:rsidR="00741964" w:rsidRPr="007B2402">
        <w:rPr>
          <w:rFonts w:eastAsia="Calibri" w:cs="Times New Roman"/>
          <w:szCs w:val="20"/>
          <w:lang w:val="en-US"/>
        </w:rPr>
        <w:t xml:space="preserve"> in this case</w:t>
      </w:r>
      <w:r w:rsidR="00EF3E90" w:rsidRPr="007B2402">
        <w:rPr>
          <w:rFonts w:eastAsia="Calibri" w:cs="Times New Roman"/>
          <w:szCs w:val="20"/>
          <w:lang w:val="en-US"/>
        </w:rPr>
        <w:t xml:space="preserve">. Therefore, the Court rejects the </w:t>
      </w:r>
      <w:r w:rsidR="006E2CFF" w:rsidRPr="007B2402">
        <w:rPr>
          <w:rFonts w:eastAsia="Calibri" w:cs="Times New Roman"/>
          <w:szCs w:val="20"/>
          <w:lang w:val="en-US"/>
        </w:rPr>
        <w:t>preliminary objection</w:t>
      </w:r>
      <w:r w:rsidR="003B5FC8" w:rsidRPr="007B2402">
        <w:rPr>
          <w:rFonts w:eastAsia="Calibri" w:cs="Times New Roman"/>
          <w:szCs w:val="20"/>
          <w:lang w:val="en-US"/>
        </w:rPr>
        <w:t xml:space="preserve"> </w:t>
      </w:r>
      <w:r w:rsidR="00741964" w:rsidRPr="007B2402">
        <w:rPr>
          <w:rFonts w:eastAsia="Calibri" w:cs="Times New Roman"/>
          <w:szCs w:val="20"/>
          <w:lang w:val="en-US"/>
        </w:rPr>
        <w:t>o</w:t>
      </w:r>
      <w:r w:rsidR="00EF3E90" w:rsidRPr="007B2402">
        <w:rPr>
          <w:rFonts w:eastAsia="Calibri" w:cs="Times New Roman"/>
          <w:szCs w:val="20"/>
          <w:lang w:val="en-US"/>
        </w:rPr>
        <w:t>f lack of competence filed by</w:t>
      </w:r>
      <w:r w:rsidR="003B5FC8" w:rsidRPr="007B2402">
        <w:rPr>
          <w:rFonts w:eastAsia="Calibri" w:cs="Times New Roman"/>
          <w:szCs w:val="20"/>
          <w:lang w:val="en-US"/>
        </w:rPr>
        <w:t xml:space="preserve"> </w:t>
      </w:r>
      <w:r w:rsidR="00AF4344" w:rsidRPr="007B2402">
        <w:rPr>
          <w:rFonts w:eastAsia="Calibri" w:cs="Times New Roman"/>
          <w:szCs w:val="20"/>
          <w:lang w:val="en-US"/>
        </w:rPr>
        <w:t>the State</w:t>
      </w:r>
      <w:r w:rsidR="003B5FC8" w:rsidRPr="007B2402">
        <w:rPr>
          <w:rFonts w:eastAsia="Calibri" w:cs="Times New Roman"/>
          <w:szCs w:val="20"/>
          <w:lang w:val="en-US"/>
        </w:rPr>
        <w:t>.</w:t>
      </w:r>
      <w:r w:rsidR="003B5FC8" w:rsidRPr="007B2402" w:rsidDel="00E20660">
        <w:rPr>
          <w:rFonts w:eastAsia="Calibri" w:cs="Times New Roman"/>
          <w:szCs w:val="20"/>
          <w:lang w:val="en-US"/>
        </w:rPr>
        <w:t xml:space="preserve"> </w:t>
      </w:r>
    </w:p>
    <w:p w14:paraId="082A45FD" w14:textId="77777777" w:rsidR="003B5FC8" w:rsidRPr="007B2402" w:rsidRDefault="003B5FC8" w:rsidP="000230DA">
      <w:pPr>
        <w:spacing w:after="0" w:line="240" w:lineRule="auto"/>
        <w:jc w:val="both"/>
        <w:rPr>
          <w:rFonts w:eastAsia="Calibri" w:cs="Times New Roman"/>
          <w:szCs w:val="20"/>
          <w:lang w:val="en-US"/>
        </w:rPr>
      </w:pPr>
    </w:p>
    <w:p w14:paraId="58CBC324" w14:textId="7A94E601" w:rsidR="003B5FC8" w:rsidRPr="007B2402" w:rsidRDefault="00EF3E90" w:rsidP="000230DA">
      <w:pPr>
        <w:keepNext/>
        <w:keepLines/>
        <w:numPr>
          <w:ilvl w:val="0"/>
          <w:numId w:val="9"/>
        </w:numPr>
        <w:spacing w:after="0" w:line="240" w:lineRule="auto"/>
        <w:ind w:left="0" w:firstLine="0"/>
        <w:contextualSpacing/>
        <w:jc w:val="both"/>
        <w:outlineLvl w:val="1"/>
        <w:rPr>
          <w:rFonts w:eastAsia="Calibri" w:cs="Times New Roman"/>
          <w:i/>
          <w:szCs w:val="20"/>
          <w:lang w:val="en-US" w:eastAsia="es-ES" w:bidi="en-US"/>
        </w:rPr>
      </w:pPr>
      <w:r w:rsidRPr="007B2402">
        <w:rPr>
          <w:rFonts w:eastAsia="Calibri" w:cs="Times New Roman"/>
          <w:b/>
          <w:i/>
          <w:szCs w:val="20"/>
          <w:lang w:val="en-US" w:eastAsia="es-ES" w:bidi="en-US"/>
        </w:rPr>
        <w:t>Failure to exhaust domestic remedies to obtain reparations</w:t>
      </w:r>
      <w:r w:rsidR="003B5FC8" w:rsidRPr="007B2402">
        <w:rPr>
          <w:rFonts w:eastAsia="Calibri" w:cs="Times New Roman"/>
          <w:b/>
          <w:i/>
          <w:szCs w:val="20"/>
          <w:lang w:val="en-US" w:eastAsia="es-ES" w:bidi="en-US"/>
        </w:rPr>
        <w:t xml:space="preserve"> </w:t>
      </w:r>
    </w:p>
    <w:p w14:paraId="1C0A19D1" w14:textId="77777777" w:rsidR="003B5FC8" w:rsidRPr="007B2402" w:rsidRDefault="003B5FC8" w:rsidP="000230DA">
      <w:pPr>
        <w:pStyle w:val="Textocomentario"/>
        <w:contextualSpacing/>
        <w:rPr>
          <w:rFonts w:eastAsia="Times New Roman" w:cs="Times New Roman"/>
          <w:noProof w:val="0"/>
          <w:lang w:val="en-US" w:eastAsia="es-ES" w:bidi="en-US"/>
        </w:rPr>
      </w:pPr>
    </w:p>
    <w:p w14:paraId="4A8D2351" w14:textId="043017B5" w:rsidR="003B5FC8" w:rsidRPr="007B2402" w:rsidRDefault="00D16A5B" w:rsidP="000230DA">
      <w:pPr>
        <w:keepNext/>
        <w:keepLines/>
        <w:spacing w:after="0" w:line="240" w:lineRule="auto"/>
        <w:ind w:left="426"/>
        <w:contextualSpacing/>
        <w:jc w:val="both"/>
        <w:outlineLvl w:val="2"/>
        <w:rPr>
          <w:rFonts w:eastAsia="Calibri" w:cs="Times New Roman"/>
          <w:szCs w:val="20"/>
          <w:lang w:val="en-US"/>
        </w:rPr>
      </w:pPr>
      <w:bookmarkStart w:id="76" w:name="_Toc505939122"/>
      <w:bookmarkStart w:id="77" w:name="_Toc506496103"/>
      <w:bookmarkStart w:id="78" w:name="_Toc506984082"/>
      <w:r w:rsidRPr="007B2402">
        <w:rPr>
          <w:rFonts w:eastAsia="Times New Roman" w:cs="Times New Roman"/>
          <w:i/>
          <w:szCs w:val="20"/>
          <w:lang w:val="en-US" w:eastAsia="es-ES" w:bidi="en-US"/>
        </w:rPr>
        <w:t>C</w:t>
      </w:r>
      <w:r w:rsidR="003B5FC8" w:rsidRPr="007B2402">
        <w:rPr>
          <w:rFonts w:eastAsia="Times New Roman" w:cs="Times New Roman"/>
          <w:i/>
          <w:szCs w:val="20"/>
          <w:lang w:val="en-US" w:eastAsia="es-ES" w:bidi="en-US"/>
        </w:rPr>
        <w:t xml:space="preserve">.1. </w:t>
      </w:r>
      <w:r w:rsidR="002761AC" w:rsidRPr="007B2402">
        <w:rPr>
          <w:rFonts w:eastAsia="Calibri" w:cs="Times New Roman"/>
          <w:i/>
          <w:szCs w:val="20"/>
          <w:lang w:val="en-US"/>
        </w:rPr>
        <w:t>Arguments</w:t>
      </w:r>
      <w:r w:rsidR="006E2CFF" w:rsidRPr="007B2402">
        <w:rPr>
          <w:rFonts w:eastAsia="Calibri" w:cs="Times New Roman"/>
          <w:i/>
          <w:szCs w:val="20"/>
          <w:lang w:val="en-US"/>
        </w:rPr>
        <w:t xml:space="preserve"> of the </w:t>
      </w:r>
      <w:r w:rsidR="00AF4344" w:rsidRPr="007B2402">
        <w:rPr>
          <w:rFonts w:eastAsia="Calibri" w:cs="Times New Roman"/>
          <w:i/>
          <w:szCs w:val="20"/>
          <w:lang w:val="en-US"/>
        </w:rPr>
        <w:t>State</w:t>
      </w:r>
      <w:r w:rsidR="003B5FC8" w:rsidRPr="007B2402">
        <w:rPr>
          <w:rFonts w:eastAsia="Calibri" w:cs="Times New Roman"/>
          <w:i/>
          <w:szCs w:val="20"/>
          <w:lang w:val="en-US"/>
        </w:rPr>
        <w:t xml:space="preserve">, </w:t>
      </w:r>
      <w:r w:rsidR="002761AC" w:rsidRPr="007B2402">
        <w:rPr>
          <w:rFonts w:eastAsia="Calibri" w:cs="Times New Roman"/>
          <w:i/>
          <w:szCs w:val="20"/>
          <w:lang w:val="en-US"/>
        </w:rPr>
        <w:t>observations</w:t>
      </w:r>
      <w:r w:rsidR="005B1590" w:rsidRPr="007B2402">
        <w:rPr>
          <w:rFonts w:eastAsia="Calibri" w:cs="Times New Roman"/>
          <w:i/>
          <w:szCs w:val="20"/>
          <w:lang w:val="en-US"/>
        </w:rPr>
        <w:t xml:space="preserve"> of the </w:t>
      </w:r>
      <w:r w:rsidR="00AF4344" w:rsidRPr="007B2402">
        <w:rPr>
          <w:rFonts w:eastAsia="Calibri" w:cs="Times New Roman"/>
          <w:i/>
          <w:szCs w:val="20"/>
          <w:lang w:val="en-US"/>
        </w:rPr>
        <w:t>Commission</w:t>
      </w:r>
      <w:r w:rsidR="005B1590" w:rsidRPr="007B2402">
        <w:rPr>
          <w:rFonts w:eastAsia="Calibri" w:cs="Times New Roman"/>
          <w:i/>
          <w:szCs w:val="20"/>
          <w:lang w:val="en-US"/>
        </w:rPr>
        <w:t xml:space="preserve"> and of the representatives</w:t>
      </w:r>
      <w:bookmarkEnd w:id="76"/>
      <w:bookmarkEnd w:id="77"/>
      <w:bookmarkEnd w:id="78"/>
    </w:p>
    <w:p w14:paraId="2390C3B4" w14:textId="77777777" w:rsidR="003B5FC8" w:rsidRPr="007B2402" w:rsidRDefault="003B5FC8" w:rsidP="000230DA">
      <w:pPr>
        <w:spacing w:after="0" w:line="240" w:lineRule="auto"/>
        <w:jc w:val="both"/>
        <w:rPr>
          <w:rFonts w:eastAsia="Calibri" w:cs="Times New Roman"/>
          <w:szCs w:val="20"/>
          <w:lang w:val="en-US"/>
        </w:rPr>
      </w:pPr>
    </w:p>
    <w:p w14:paraId="553E4B66" w14:textId="3A70C6EE" w:rsidR="00EF3E90" w:rsidRPr="007B2402" w:rsidRDefault="00AF4344" w:rsidP="00DB1F30">
      <w:pPr>
        <w:numPr>
          <w:ilvl w:val="0"/>
          <w:numId w:val="5"/>
        </w:numPr>
        <w:spacing w:after="0" w:line="240" w:lineRule="auto"/>
        <w:contextualSpacing/>
        <w:jc w:val="both"/>
        <w:rPr>
          <w:rFonts w:eastAsia="Batang" w:cs="Times"/>
          <w:szCs w:val="20"/>
          <w:lang w:val="en-US" w:eastAsia="es-ES"/>
        </w:rPr>
      </w:pPr>
      <w:r w:rsidRPr="007B2402">
        <w:rPr>
          <w:rFonts w:eastAsia="Calibri" w:cs="Times New Roman"/>
          <w:szCs w:val="20"/>
          <w:lang w:val="en-US"/>
        </w:rPr>
        <w:t xml:space="preserve">The </w:t>
      </w:r>
      <w:r w:rsidRPr="007B2402">
        <w:rPr>
          <w:rFonts w:eastAsia="Calibri" w:cs="Times New Roman"/>
          <w:b/>
          <w:i/>
          <w:szCs w:val="20"/>
          <w:lang w:val="en-US"/>
        </w:rPr>
        <w:t>State</w:t>
      </w:r>
      <w:r w:rsidR="003B5FC8" w:rsidRPr="007B2402">
        <w:rPr>
          <w:rFonts w:eastAsia="Calibri" w:cs="Times New Roman"/>
          <w:szCs w:val="20"/>
          <w:lang w:val="en-US"/>
        </w:rPr>
        <w:t xml:space="preserve"> </w:t>
      </w:r>
      <w:r w:rsidR="00964582" w:rsidRPr="007B2402">
        <w:rPr>
          <w:rFonts w:eastAsia="Batang" w:cs="Times"/>
          <w:szCs w:val="20"/>
          <w:lang w:val="en-US" w:eastAsia="es-ES"/>
        </w:rPr>
        <w:t>argue</w:t>
      </w:r>
      <w:r w:rsidR="00EF3E90" w:rsidRPr="007B2402">
        <w:rPr>
          <w:rFonts w:eastAsia="Batang" w:cs="Times"/>
          <w:szCs w:val="20"/>
          <w:lang w:val="en-US" w:eastAsia="es-ES"/>
        </w:rPr>
        <w:t xml:space="preserve">d that the first requirement for the admissibility of a petition before the inter-American human rights system was the exhaustion of domestic remedies, because the victim may not resort to the protection of the international jurisdiction without, first, having recourse to a domestic remedy that permits </w:t>
      </w:r>
      <w:r w:rsidR="00AB3A97" w:rsidRPr="007B2402">
        <w:rPr>
          <w:rFonts w:eastAsia="Batang" w:cs="Times"/>
          <w:szCs w:val="20"/>
          <w:lang w:val="en-US" w:eastAsia="es-ES"/>
        </w:rPr>
        <w:t xml:space="preserve">the </w:t>
      </w:r>
      <w:r w:rsidR="00EF3E90" w:rsidRPr="007B2402">
        <w:rPr>
          <w:rFonts w:eastAsia="Batang" w:cs="Times"/>
          <w:szCs w:val="20"/>
          <w:lang w:val="en-US" w:eastAsia="es-ES"/>
        </w:rPr>
        <w:t xml:space="preserve">recognition of the violation and its reparation. It asserted that when the victim has only exhausted the domestic remedies to request a declaration of the violation of the right to life of a person </w:t>
      </w:r>
      <w:r w:rsidR="00D668E2" w:rsidRPr="007B2402">
        <w:rPr>
          <w:rFonts w:eastAsia="Batang" w:cs="Times"/>
          <w:szCs w:val="20"/>
          <w:lang w:val="en-US" w:eastAsia="es-ES"/>
        </w:rPr>
        <w:t>murder</w:t>
      </w:r>
      <w:r w:rsidR="00EF3E90" w:rsidRPr="007B2402">
        <w:rPr>
          <w:rFonts w:eastAsia="Batang" w:cs="Times"/>
          <w:szCs w:val="20"/>
          <w:lang w:val="en-US" w:eastAsia="es-ES"/>
        </w:rPr>
        <w:t>ed by the State, he cannot then resort to the international jurisdiction to request reparation for this violation, because the State c</w:t>
      </w:r>
      <w:r w:rsidR="00AB3A97" w:rsidRPr="007B2402">
        <w:rPr>
          <w:rFonts w:eastAsia="Batang" w:cs="Times"/>
          <w:szCs w:val="20"/>
          <w:lang w:val="en-US" w:eastAsia="es-ES"/>
        </w:rPr>
        <w:t xml:space="preserve">ould not </w:t>
      </w:r>
      <w:r w:rsidR="00EF3E90" w:rsidRPr="007B2402">
        <w:rPr>
          <w:rFonts w:eastAsia="Batang" w:cs="Times"/>
          <w:szCs w:val="20"/>
          <w:lang w:val="en-US" w:eastAsia="es-ES"/>
        </w:rPr>
        <w:t xml:space="preserve">be </w:t>
      </w:r>
      <w:r w:rsidR="00AB3A97" w:rsidRPr="007B2402">
        <w:rPr>
          <w:rFonts w:eastAsia="Batang" w:cs="Times"/>
          <w:szCs w:val="20"/>
          <w:lang w:val="en-US" w:eastAsia="es-ES"/>
        </w:rPr>
        <w:t>caught unaware</w:t>
      </w:r>
      <w:r w:rsidR="00EF3E90" w:rsidRPr="007B2402">
        <w:rPr>
          <w:rFonts w:eastAsia="Batang" w:cs="Times"/>
          <w:szCs w:val="20"/>
          <w:lang w:val="en-US" w:eastAsia="es-ES"/>
        </w:rPr>
        <w:t xml:space="preserve"> </w:t>
      </w:r>
      <w:r w:rsidR="00AB3A97" w:rsidRPr="007B2402">
        <w:rPr>
          <w:rFonts w:eastAsia="Batang" w:cs="Times"/>
          <w:szCs w:val="20"/>
          <w:lang w:val="en-US" w:eastAsia="es-ES"/>
        </w:rPr>
        <w:t>by</w:t>
      </w:r>
      <w:r w:rsidR="00EF3E90" w:rsidRPr="007B2402">
        <w:rPr>
          <w:rFonts w:eastAsia="Batang" w:cs="Times"/>
          <w:szCs w:val="20"/>
          <w:lang w:val="en-US" w:eastAsia="es-ES"/>
        </w:rPr>
        <w:t xml:space="preserve"> a request for pecuniary reparation that it ha</w:t>
      </w:r>
      <w:r w:rsidR="00AB3A97" w:rsidRPr="007B2402">
        <w:rPr>
          <w:rFonts w:eastAsia="Batang" w:cs="Times"/>
          <w:szCs w:val="20"/>
          <w:lang w:val="en-US" w:eastAsia="es-ES"/>
        </w:rPr>
        <w:t>d</w:t>
      </w:r>
      <w:r w:rsidR="00EF3E90" w:rsidRPr="007B2402">
        <w:rPr>
          <w:rFonts w:eastAsia="Batang" w:cs="Times"/>
          <w:szCs w:val="20"/>
          <w:lang w:val="en-US" w:eastAsia="es-ES"/>
        </w:rPr>
        <w:t xml:space="preserve"> been unable to examine in the domestic sphere.</w:t>
      </w:r>
    </w:p>
    <w:p w14:paraId="26ED7FBE" w14:textId="77777777" w:rsidR="003B5FC8" w:rsidRPr="007B2402" w:rsidRDefault="003B5FC8" w:rsidP="003B5FC8">
      <w:pPr>
        <w:spacing w:after="0" w:line="240" w:lineRule="auto"/>
        <w:jc w:val="both"/>
        <w:rPr>
          <w:rFonts w:eastAsia="Calibri" w:cs="Times New Roman"/>
          <w:szCs w:val="20"/>
          <w:lang w:val="en-US"/>
        </w:rPr>
      </w:pPr>
    </w:p>
    <w:p w14:paraId="66A9E12B" w14:textId="2C4A7E54" w:rsidR="00CF5B84" w:rsidRPr="007B2402" w:rsidRDefault="00CF5B84" w:rsidP="00DB1F30">
      <w:pPr>
        <w:numPr>
          <w:ilvl w:val="0"/>
          <w:numId w:val="5"/>
        </w:numPr>
        <w:spacing w:after="0" w:line="240" w:lineRule="auto"/>
        <w:contextualSpacing/>
        <w:jc w:val="both"/>
        <w:rPr>
          <w:rFonts w:eastAsia="Calibri" w:cs="Times New Roman"/>
          <w:b/>
          <w:szCs w:val="20"/>
          <w:lang w:val="en-US"/>
        </w:rPr>
      </w:pPr>
      <w:r w:rsidRPr="007B2402">
        <w:rPr>
          <w:rFonts w:eastAsia="Calibri" w:cs="Times New Roman"/>
          <w:szCs w:val="20"/>
          <w:lang w:val="en-US"/>
        </w:rPr>
        <w:t xml:space="preserve">The State also indicated that, in this case, domestic remedies were available to declare the violations that had been alleged and to obtain the corresponding reparations, and the presumed victims had not exhausted them. It asserted that it had not paid any financial compensation other than that established through the administrative channels, because the presumed victims had not requested </w:t>
      </w:r>
      <w:r w:rsidR="00AB3A97" w:rsidRPr="007B2402">
        <w:rPr>
          <w:rFonts w:eastAsia="Calibri" w:cs="Times New Roman"/>
          <w:szCs w:val="20"/>
          <w:lang w:val="en-US"/>
        </w:rPr>
        <w:t>compensation</w:t>
      </w:r>
      <w:r w:rsidRPr="007B2402">
        <w:rPr>
          <w:rFonts w:eastAsia="Calibri" w:cs="Times New Roman"/>
          <w:szCs w:val="20"/>
          <w:lang w:val="en-US"/>
        </w:rPr>
        <w:t xml:space="preserve"> before the domestic jurisdiction despite the existence of the appropriate judicial mechanisms to present this claim.</w:t>
      </w:r>
    </w:p>
    <w:p w14:paraId="41EC243A" w14:textId="77777777" w:rsidR="003B5FC8" w:rsidRPr="007B2402" w:rsidRDefault="003B5FC8" w:rsidP="003B5FC8">
      <w:pPr>
        <w:spacing w:after="0" w:line="240" w:lineRule="auto"/>
        <w:jc w:val="both"/>
        <w:rPr>
          <w:rFonts w:eastAsia="Calibri" w:cs="Times New Roman"/>
          <w:szCs w:val="20"/>
          <w:lang w:val="en-US"/>
        </w:rPr>
      </w:pPr>
    </w:p>
    <w:p w14:paraId="1B369EB0" w14:textId="34BB139C" w:rsidR="003B5FC8" w:rsidRPr="007B2402" w:rsidRDefault="00CF5B84" w:rsidP="00AB3A97">
      <w:pPr>
        <w:numPr>
          <w:ilvl w:val="0"/>
          <w:numId w:val="5"/>
        </w:numPr>
        <w:spacing w:after="0" w:line="240" w:lineRule="auto"/>
        <w:contextualSpacing/>
        <w:jc w:val="both"/>
        <w:rPr>
          <w:rFonts w:eastAsia="Calibri" w:cs="Times New Roman"/>
          <w:b/>
          <w:szCs w:val="20"/>
          <w:lang w:val="en-US"/>
        </w:rPr>
      </w:pPr>
      <w:r w:rsidRPr="007B2402">
        <w:rPr>
          <w:rFonts w:eastAsia="Calibri" w:cs="Times New Roman"/>
          <w:szCs w:val="20"/>
          <w:lang w:val="en-US"/>
        </w:rPr>
        <w:t xml:space="preserve">Similarly, the State argued that the representatives had justified the failure to exhaust domestic remedies by citing </w:t>
      </w:r>
      <w:r w:rsidR="00AF4344" w:rsidRPr="007B2402">
        <w:rPr>
          <w:rFonts w:eastAsia="Calibri" w:cs="Times New Roman"/>
          <w:szCs w:val="20"/>
          <w:lang w:val="en-US"/>
        </w:rPr>
        <w:t>Article</w:t>
      </w:r>
      <w:r w:rsidR="003B5FC8" w:rsidRPr="007B2402">
        <w:rPr>
          <w:rFonts w:eastAsia="Calibri" w:cs="Times New Roman"/>
          <w:szCs w:val="20"/>
          <w:lang w:val="en-US"/>
        </w:rPr>
        <w:t xml:space="preserve"> 46</w:t>
      </w:r>
      <w:r w:rsidRPr="007B2402">
        <w:rPr>
          <w:rFonts w:eastAsia="Calibri" w:cs="Times New Roman"/>
          <w:szCs w:val="20"/>
          <w:lang w:val="en-US"/>
        </w:rPr>
        <w:t>(</w:t>
      </w:r>
      <w:r w:rsidR="003B5FC8" w:rsidRPr="007B2402">
        <w:rPr>
          <w:rFonts w:eastAsia="Calibri" w:cs="Times New Roman"/>
          <w:szCs w:val="20"/>
          <w:lang w:val="en-US"/>
        </w:rPr>
        <w:t>2</w:t>
      </w:r>
      <w:r w:rsidRPr="007B2402">
        <w:rPr>
          <w:rFonts w:eastAsia="Calibri" w:cs="Times New Roman"/>
          <w:szCs w:val="20"/>
          <w:lang w:val="en-US"/>
        </w:rPr>
        <w:t>)(</w:t>
      </w:r>
      <w:r w:rsidR="003B5FC8" w:rsidRPr="007B2402">
        <w:rPr>
          <w:rFonts w:eastAsia="Calibri" w:cs="Times New Roman"/>
          <w:szCs w:val="20"/>
          <w:lang w:val="en-US"/>
        </w:rPr>
        <w:t>b</w:t>
      </w:r>
      <w:r w:rsidRPr="007B2402">
        <w:rPr>
          <w:rFonts w:eastAsia="Calibri" w:cs="Times New Roman"/>
          <w:szCs w:val="20"/>
          <w:lang w:val="en-US"/>
        </w:rPr>
        <w:t xml:space="preserve">) </w:t>
      </w:r>
      <w:r w:rsidR="00AF4344" w:rsidRPr="007B2402">
        <w:rPr>
          <w:rFonts w:eastAsia="Calibri" w:cs="Times New Roman"/>
          <w:szCs w:val="20"/>
          <w:lang w:val="en-US"/>
        </w:rPr>
        <w:t>of the Convention</w:t>
      </w:r>
      <w:r w:rsidR="003B5FC8" w:rsidRPr="007B2402">
        <w:rPr>
          <w:rFonts w:eastAsia="Calibri" w:cs="Times New Roman"/>
          <w:szCs w:val="20"/>
          <w:lang w:val="en-US"/>
        </w:rPr>
        <w:t xml:space="preserve">. </w:t>
      </w:r>
      <w:r w:rsidRPr="007B2402">
        <w:rPr>
          <w:rFonts w:eastAsia="Calibri" w:cs="Times New Roman"/>
          <w:szCs w:val="20"/>
          <w:lang w:val="en-US"/>
        </w:rPr>
        <w:t xml:space="preserve">However, it indicated that although this </w:t>
      </w:r>
      <w:r w:rsidR="00AB3A97" w:rsidRPr="007B2402">
        <w:rPr>
          <w:rFonts w:eastAsia="Calibri" w:cs="Times New Roman"/>
          <w:szCs w:val="20"/>
          <w:lang w:val="en-US"/>
        </w:rPr>
        <w:t>bore a</w:t>
      </w:r>
      <w:r w:rsidR="00F337BB" w:rsidRPr="007B2402">
        <w:rPr>
          <w:rFonts w:eastAsia="Calibri" w:cs="Times New Roman"/>
          <w:szCs w:val="20"/>
          <w:lang w:val="en-US"/>
        </w:rPr>
        <w:t xml:space="preserve"> substantial</w:t>
      </w:r>
      <w:r w:rsidR="00AB3A97" w:rsidRPr="007B2402">
        <w:rPr>
          <w:rFonts w:eastAsia="Calibri" w:cs="Times New Roman"/>
          <w:szCs w:val="20"/>
          <w:lang w:val="en-US"/>
        </w:rPr>
        <w:t xml:space="preserve"> relationship</w:t>
      </w:r>
      <w:r w:rsidRPr="007B2402">
        <w:rPr>
          <w:rFonts w:eastAsia="Calibri" w:cs="Times New Roman"/>
          <w:szCs w:val="20"/>
          <w:lang w:val="en-US"/>
        </w:rPr>
        <w:t xml:space="preserve"> to the merits of the matter</w:t>
      </w:r>
      <w:r w:rsidR="00F337BB" w:rsidRPr="007B2402">
        <w:rPr>
          <w:rFonts w:eastAsia="Calibri" w:cs="Times New Roman"/>
          <w:szCs w:val="20"/>
          <w:lang w:val="en-US"/>
        </w:rPr>
        <w:t>, it c</w:t>
      </w:r>
      <w:r w:rsidR="00AB3A97" w:rsidRPr="007B2402">
        <w:rPr>
          <w:rFonts w:eastAsia="Calibri" w:cs="Times New Roman"/>
          <w:szCs w:val="20"/>
          <w:lang w:val="en-US"/>
        </w:rPr>
        <w:t>ould not, of itself, justify the failure</w:t>
      </w:r>
      <w:r w:rsidR="00F337BB" w:rsidRPr="007B2402">
        <w:rPr>
          <w:rFonts w:eastAsia="Calibri" w:cs="Times New Roman"/>
          <w:szCs w:val="20"/>
          <w:lang w:val="en-US"/>
        </w:rPr>
        <w:t xml:space="preserve"> to exhaust the domestic jurisdiction</w:t>
      </w:r>
      <w:r w:rsidR="003B5FC8" w:rsidRPr="007B2402">
        <w:rPr>
          <w:rFonts w:eastAsia="Calibri" w:cs="Times New Roman"/>
          <w:szCs w:val="20"/>
          <w:lang w:val="en-US"/>
        </w:rPr>
        <w:t>.</w:t>
      </w:r>
    </w:p>
    <w:p w14:paraId="19729118" w14:textId="77777777" w:rsidR="003B5FC8" w:rsidRPr="007B2402" w:rsidRDefault="003B5FC8" w:rsidP="00AB3A97">
      <w:pPr>
        <w:spacing w:after="0"/>
        <w:contextualSpacing/>
        <w:jc w:val="both"/>
        <w:rPr>
          <w:rFonts w:eastAsia="Calibri" w:cs="Times New Roman"/>
          <w:b/>
          <w:szCs w:val="20"/>
          <w:lang w:val="en-US"/>
        </w:rPr>
      </w:pPr>
    </w:p>
    <w:p w14:paraId="74A4A8C0" w14:textId="23C5AD6A" w:rsidR="00710075" w:rsidRPr="007B2402" w:rsidRDefault="00F337BB" w:rsidP="00AB3A97">
      <w:pPr>
        <w:numPr>
          <w:ilvl w:val="0"/>
          <w:numId w:val="5"/>
        </w:numPr>
        <w:spacing w:after="0" w:line="240" w:lineRule="auto"/>
        <w:contextualSpacing/>
        <w:jc w:val="both"/>
        <w:rPr>
          <w:rFonts w:eastAsia="Calibri" w:cs="Times New Roman"/>
          <w:szCs w:val="20"/>
          <w:lang w:val="en-US"/>
        </w:rPr>
      </w:pPr>
      <w:r w:rsidRPr="007B2402">
        <w:rPr>
          <w:rFonts w:eastAsia="Calibri" w:cs="Times New Roman"/>
          <w:szCs w:val="20"/>
          <w:lang w:val="en-US"/>
        </w:rPr>
        <w:t>In its answering brief, t</w:t>
      </w:r>
      <w:r w:rsidR="00AF4344" w:rsidRPr="007B2402">
        <w:rPr>
          <w:rFonts w:eastAsia="Calibri" w:cs="Times New Roman"/>
          <w:szCs w:val="20"/>
          <w:lang w:val="en-US"/>
        </w:rPr>
        <w:t>he State</w:t>
      </w:r>
      <w:r w:rsidR="003B5FC8" w:rsidRPr="007B2402">
        <w:rPr>
          <w:rFonts w:eastAsia="Calibri" w:cs="Times New Roman"/>
          <w:szCs w:val="20"/>
          <w:lang w:val="en-US"/>
        </w:rPr>
        <w:t xml:space="preserve"> transcrib</w:t>
      </w:r>
      <w:r w:rsidRPr="007B2402">
        <w:rPr>
          <w:rFonts w:eastAsia="Calibri" w:cs="Times New Roman"/>
          <w:szCs w:val="20"/>
          <w:lang w:val="en-US"/>
        </w:rPr>
        <w:t xml:space="preserve">ed several rulings of domestic courts in which the State was sentenced to compensate the damage caused by detentions and acts of torture during the </w:t>
      </w:r>
      <w:r w:rsidR="003B5FC8" w:rsidRPr="007B2402">
        <w:rPr>
          <w:rFonts w:eastAsia="Calibri" w:cs="Times New Roman"/>
          <w:szCs w:val="20"/>
          <w:lang w:val="en-US"/>
        </w:rPr>
        <w:t>militar</w:t>
      </w:r>
      <w:r w:rsidRPr="007B2402">
        <w:rPr>
          <w:rFonts w:eastAsia="Calibri" w:cs="Times New Roman"/>
          <w:szCs w:val="20"/>
          <w:lang w:val="en-US"/>
        </w:rPr>
        <w:t>y dictatorship</w:t>
      </w:r>
      <w:r w:rsidR="003B5FC8" w:rsidRPr="007B2402">
        <w:rPr>
          <w:rFonts w:eastAsia="Calibri" w:cs="Times New Roman"/>
          <w:szCs w:val="20"/>
          <w:lang w:val="en-US"/>
        </w:rPr>
        <w:t>,</w:t>
      </w:r>
      <w:r w:rsidR="005B1590" w:rsidRPr="007B2402">
        <w:rPr>
          <w:rFonts w:eastAsia="Calibri" w:cs="Times New Roman"/>
          <w:szCs w:val="20"/>
          <w:lang w:val="en-US"/>
        </w:rPr>
        <w:t xml:space="preserve"> and </w:t>
      </w:r>
      <w:r w:rsidRPr="007B2402">
        <w:rPr>
          <w:rFonts w:eastAsia="Calibri" w:cs="Times New Roman"/>
          <w:szCs w:val="20"/>
          <w:lang w:val="en-US"/>
        </w:rPr>
        <w:t>indicated that the</w:t>
      </w:r>
      <w:r w:rsidR="003B5FC8" w:rsidRPr="007B2402">
        <w:rPr>
          <w:rFonts w:eastAsia="Calibri" w:cs="Times New Roman"/>
          <w:szCs w:val="20"/>
          <w:lang w:val="en-US"/>
        </w:rPr>
        <w:t xml:space="preserve"> </w:t>
      </w:r>
      <w:r w:rsidRPr="007B2402">
        <w:rPr>
          <w:rFonts w:eastAsia="Calibri" w:cs="Times New Roman"/>
          <w:szCs w:val="20"/>
          <w:lang w:val="en-US"/>
        </w:rPr>
        <w:t>Superior Court of Justice</w:t>
      </w:r>
      <w:r w:rsidR="003B5FC8" w:rsidRPr="007B2402">
        <w:rPr>
          <w:rFonts w:eastAsia="Calibri" w:cs="Times New Roman"/>
          <w:szCs w:val="20"/>
          <w:lang w:val="en-US"/>
        </w:rPr>
        <w:t xml:space="preserve"> </w:t>
      </w:r>
      <w:r w:rsidR="00710075" w:rsidRPr="007B2402">
        <w:rPr>
          <w:rFonts w:eastAsia="Calibri" w:cs="Times New Roman"/>
          <w:szCs w:val="20"/>
          <w:lang w:val="en-US"/>
        </w:rPr>
        <w:t xml:space="preserve">had declared that actions for compensation for facts similar to those of the instant case were not subject to a statute of limitations. Consequently, the State concluded that </w:t>
      </w:r>
      <w:r w:rsidR="009C684F" w:rsidRPr="007B2402">
        <w:rPr>
          <w:rFonts w:eastAsia="Calibri" w:cs="Times New Roman"/>
          <w:szCs w:val="20"/>
          <w:lang w:val="en-US"/>
        </w:rPr>
        <w:t>there was a</w:t>
      </w:r>
      <w:r w:rsidR="00710075" w:rsidRPr="007B2402">
        <w:rPr>
          <w:rFonts w:eastAsia="Calibri" w:cs="Times New Roman"/>
          <w:szCs w:val="20"/>
          <w:lang w:val="en-US"/>
        </w:rPr>
        <w:t xml:space="preserve"> very favorable environment for granting compensation in this case</w:t>
      </w:r>
      <w:r w:rsidR="003B5FC8" w:rsidRPr="007B2402">
        <w:rPr>
          <w:rFonts w:eastAsia="Calibri" w:cs="Times New Roman"/>
          <w:szCs w:val="20"/>
          <w:lang w:val="en-US"/>
        </w:rPr>
        <w:t>.</w:t>
      </w:r>
      <w:r w:rsidR="00710075" w:rsidRPr="007B2402">
        <w:rPr>
          <w:rFonts w:eastAsia="Calibri" w:cs="Times New Roman"/>
          <w:szCs w:val="20"/>
          <w:lang w:val="en-US"/>
        </w:rPr>
        <w:t xml:space="preserve"> It added that, in this case, the victims had received compensation of</w:t>
      </w:r>
      <w:r w:rsidR="00D85950" w:rsidRPr="007B2402">
        <w:rPr>
          <w:rFonts w:eastAsia="Calibri" w:cs="Times New Roman"/>
          <w:b/>
          <w:szCs w:val="20"/>
          <w:lang w:val="en-US"/>
        </w:rPr>
        <w:t xml:space="preserve"> </w:t>
      </w:r>
      <w:r w:rsidR="003B5FC8" w:rsidRPr="007B2402">
        <w:rPr>
          <w:rFonts w:eastAsia="Calibri" w:cs="Times New Roman"/>
          <w:szCs w:val="20"/>
          <w:lang w:val="en-US"/>
        </w:rPr>
        <w:t>R$1</w:t>
      </w:r>
      <w:r w:rsidR="00710075" w:rsidRPr="007B2402">
        <w:rPr>
          <w:rFonts w:eastAsia="Calibri" w:cs="Times New Roman"/>
          <w:szCs w:val="20"/>
          <w:lang w:val="en-US"/>
        </w:rPr>
        <w:t>00,000.00</w:t>
      </w:r>
      <w:r w:rsidR="003B5FC8" w:rsidRPr="007B2402">
        <w:rPr>
          <w:rFonts w:eastAsia="Calibri" w:cs="Times New Roman"/>
          <w:szCs w:val="20"/>
          <w:lang w:val="en-US"/>
        </w:rPr>
        <w:t xml:space="preserve"> (</w:t>
      </w:r>
      <w:r w:rsidR="00710075" w:rsidRPr="007B2402">
        <w:rPr>
          <w:rFonts w:eastAsia="Calibri" w:cs="Times New Roman"/>
          <w:szCs w:val="20"/>
          <w:lang w:val="en-US"/>
        </w:rPr>
        <w:t xml:space="preserve">an amount that, at the time, was equivalent to approximately </w:t>
      </w:r>
      <w:r w:rsidR="003B5FC8" w:rsidRPr="007B2402">
        <w:rPr>
          <w:rFonts w:eastAsia="Calibri" w:cs="Times New Roman"/>
          <w:szCs w:val="20"/>
          <w:lang w:val="en-US"/>
        </w:rPr>
        <w:t>US$1</w:t>
      </w:r>
      <w:r w:rsidR="00710075" w:rsidRPr="007B2402">
        <w:rPr>
          <w:rFonts w:eastAsia="Calibri" w:cs="Times New Roman"/>
          <w:szCs w:val="20"/>
          <w:lang w:val="en-US"/>
        </w:rPr>
        <w:t>00,000.00</w:t>
      </w:r>
      <w:r w:rsidR="003B5FC8" w:rsidRPr="007B2402">
        <w:rPr>
          <w:rFonts w:eastAsia="Calibri" w:cs="Times New Roman"/>
          <w:szCs w:val="20"/>
          <w:lang w:val="en-US"/>
        </w:rPr>
        <w:t xml:space="preserve">) </w:t>
      </w:r>
      <w:r w:rsidR="00710075" w:rsidRPr="007B2402">
        <w:rPr>
          <w:rFonts w:eastAsia="Calibri" w:cs="Times New Roman"/>
          <w:szCs w:val="20"/>
          <w:lang w:val="en-US"/>
        </w:rPr>
        <w:t>and this showed that the State had tried to comply with its obligation to redress the harm caused. The State also argued that, in addition to the administrative request – which had been answered – it had no information on any other request that the victim</w:t>
      </w:r>
      <w:r w:rsidR="008558D6" w:rsidRPr="007B2402">
        <w:rPr>
          <w:rFonts w:eastAsia="Calibri" w:cs="Times New Roman"/>
          <w:szCs w:val="20"/>
          <w:lang w:val="en-US"/>
        </w:rPr>
        <w:t>’s next of kin had filed and that had been denied.</w:t>
      </w:r>
    </w:p>
    <w:p w14:paraId="1B59D88D" w14:textId="77777777" w:rsidR="003B5FC8" w:rsidRPr="007B2402" w:rsidRDefault="003B5FC8" w:rsidP="00AB3A97">
      <w:pPr>
        <w:spacing w:after="0" w:line="240" w:lineRule="auto"/>
        <w:contextualSpacing/>
        <w:jc w:val="both"/>
        <w:rPr>
          <w:rFonts w:eastAsia="Calibri" w:cs="Times New Roman"/>
          <w:szCs w:val="20"/>
          <w:lang w:val="en-US"/>
        </w:rPr>
      </w:pPr>
    </w:p>
    <w:p w14:paraId="60D56ABE" w14:textId="6F600531" w:rsidR="003B5FC8" w:rsidRPr="007B2402" w:rsidRDefault="00C148BF" w:rsidP="00DB1F30">
      <w:pPr>
        <w:numPr>
          <w:ilvl w:val="0"/>
          <w:numId w:val="5"/>
        </w:numPr>
        <w:spacing w:after="0" w:line="240" w:lineRule="auto"/>
        <w:contextualSpacing/>
        <w:jc w:val="both"/>
        <w:rPr>
          <w:rFonts w:eastAsia="Calibri" w:cs="Times New Roman"/>
          <w:szCs w:val="20"/>
          <w:lang w:val="en-US"/>
        </w:rPr>
      </w:pPr>
      <w:r w:rsidRPr="007B2402">
        <w:rPr>
          <w:rFonts w:eastAsia="Calibri" w:cs="Times New Roman"/>
          <w:szCs w:val="20"/>
          <w:lang w:val="en-US"/>
        </w:rPr>
        <w:t xml:space="preserve">Regarding the allegations that access was refused to the documentation on </w:t>
      </w:r>
      <w:r w:rsidR="009C684F" w:rsidRPr="007B2402">
        <w:rPr>
          <w:rFonts w:eastAsia="Calibri" w:cs="Times New Roman"/>
          <w:szCs w:val="20"/>
          <w:lang w:val="en-US"/>
        </w:rPr>
        <w:t xml:space="preserve">the </w:t>
      </w:r>
      <w:r w:rsidRPr="007B2402">
        <w:rPr>
          <w:rFonts w:eastAsia="Calibri" w:cs="Times New Roman"/>
          <w:szCs w:val="20"/>
          <w:lang w:val="en-US"/>
        </w:rPr>
        <w:t xml:space="preserve">human rights violations that occurred under the military regime, the State indicated that it was  </w:t>
      </w:r>
      <w:r w:rsidRPr="007B2402">
        <w:rPr>
          <w:rFonts w:eastAsia="Calibri" w:cs="Times New Roman"/>
          <w:szCs w:val="20"/>
          <w:lang w:val="en-US"/>
        </w:rPr>
        <w:lastRenderedPageBreak/>
        <w:t xml:space="preserve">unaware of whether the presumed victims or their representatives had filed an application for </w:t>
      </w:r>
      <w:r w:rsidRPr="007B2402">
        <w:rPr>
          <w:rFonts w:eastAsia="Calibri" w:cs="Times New Roman"/>
          <w:i/>
          <w:szCs w:val="20"/>
          <w:lang w:val="en-US"/>
        </w:rPr>
        <w:t xml:space="preserve">habeas data, </w:t>
      </w:r>
      <w:r w:rsidRPr="007B2402">
        <w:rPr>
          <w:rFonts w:eastAsia="Calibri" w:cs="Times New Roman"/>
          <w:szCs w:val="20"/>
          <w:lang w:val="en-US"/>
        </w:rPr>
        <w:t xml:space="preserve">and no evidence had been submitted to prove this. </w:t>
      </w:r>
    </w:p>
    <w:p w14:paraId="766CECD6" w14:textId="77777777" w:rsidR="003B5FC8" w:rsidRPr="007B2402" w:rsidRDefault="003B5FC8" w:rsidP="003B5FC8">
      <w:pPr>
        <w:ind w:left="720"/>
        <w:contextualSpacing/>
        <w:rPr>
          <w:rFonts w:eastAsia="Calibri" w:cs="Times New Roman"/>
          <w:szCs w:val="20"/>
          <w:lang w:val="en-US"/>
        </w:rPr>
      </w:pPr>
    </w:p>
    <w:p w14:paraId="18C0E38B" w14:textId="18B4D632" w:rsidR="00C148BF" w:rsidRPr="007B2402" w:rsidRDefault="00AF4344" w:rsidP="00DB1F30">
      <w:pPr>
        <w:numPr>
          <w:ilvl w:val="0"/>
          <w:numId w:val="5"/>
        </w:numPr>
        <w:spacing w:after="0" w:line="240" w:lineRule="auto"/>
        <w:contextualSpacing/>
        <w:jc w:val="both"/>
        <w:rPr>
          <w:rFonts w:eastAsia="Batang" w:cs="Times"/>
          <w:b/>
          <w:szCs w:val="20"/>
          <w:lang w:val="en-US" w:eastAsia="es-ES"/>
        </w:rPr>
      </w:pPr>
      <w:r w:rsidRPr="007B2402">
        <w:rPr>
          <w:rFonts w:eastAsia="Batang" w:cs="Times"/>
          <w:szCs w:val="20"/>
          <w:lang w:val="en-US" w:eastAsia="es-ES"/>
        </w:rPr>
        <w:t>The State</w:t>
      </w:r>
      <w:r w:rsidR="003B5FC8" w:rsidRPr="007B2402">
        <w:rPr>
          <w:rFonts w:eastAsia="Batang" w:cs="Times"/>
          <w:szCs w:val="20"/>
          <w:lang w:val="en-US" w:eastAsia="es-ES"/>
        </w:rPr>
        <w:t xml:space="preserve"> </w:t>
      </w:r>
      <w:r w:rsidR="00121371" w:rsidRPr="007B2402">
        <w:rPr>
          <w:rFonts w:eastAsia="Batang" w:cs="Times"/>
          <w:szCs w:val="20"/>
          <w:lang w:val="en-US" w:eastAsia="es-ES"/>
        </w:rPr>
        <w:t xml:space="preserve">argued </w:t>
      </w:r>
      <w:r w:rsidR="00C148BF" w:rsidRPr="007B2402">
        <w:rPr>
          <w:rFonts w:eastAsia="Batang" w:cs="Times"/>
          <w:szCs w:val="20"/>
          <w:lang w:val="en-US" w:eastAsia="es-ES"/>
        </w:rPr>
        <w:t xml:space="preserve">that the criminal investigation and the prosecution conducted in the ordinary jurisdiction were not the only remedies that should be considered. It </w:t>
      </w:r>
      <w:r w:rsidR="009C684F" w:rsidRPr="007B2402">
        <w:rPr>
          <w:rFonts w:eastAsia="Batang" w:cs="Times"/>
          <w:szCs w:val="20"/>
          <w:lang w:val="en-US" w:eastAsia="es-ES"/>
        </w:rPr>
        <w:t>indicated</w:t>
      </w:r>
      <w:r w:rsidR="00C148BF" w:rsidRPr="007B2402">
        <w:rPr>
          <w:rFonts w:eastAsia="Batang" w:cs="Times"/>
          <w:szCs w:val="20"/>
          <w:lang w:val="en-US" w:eastAsia="es-ES"/>
        </w:rPr>
        <w:t xml:space="preserve"> that failure to recognize this represented a grave violation of the principle of the subsidiarity of the inter-American system and the State’s right to defend itself.</w:t>
      </w:r>
    </w:p>
    <w:p w14:paraId="2456348F" w14:textId="77777777" w:rsidR="003B5FC8" w:rsidRPr="007B2402" w:rsidRDefault="003B5FC8" w:rsidP="003B5FC8">
      <w:pPr>
        <w:contextualSpacing/>
        <w:rPr>
          <w:rFonts w:eastAsia="Calibri" w:cs="Times New Roman"/>
          <w:szCs w:val="20"/>
          <w:lang w:val="en-US"/>
        </w:rPr>
      </w:pPr>
    </w:p>
    <w:p w14:paraId="6AC1A6FC" w14:textId="416D9598" w:rsidR="00C148BF" w:rsidRPr="007B2402" w:rsidRDefault="00AF4344" w:rsidP="00DB1F30">
      <w:pPr>
        <w:numPr>
          <w:ilvl w:val="0"/>
          <w:numId w:val="5"/>
        </w:numPr>
        <w:spacing w:after="0" w:line="240" w:lineRule="auto"/>
        <w:contextualSpacing/>
        <w:jc w:val="both"/>
        <w:rPr>
          <w:rFonts w:eastAsia="Calibri" w:cs="Times New Roman"/>
          <w:b/>
          <w:szCs w:val="20"/>
          <w:lang w:val="en-US"/>
        </w:rPr>
      </w:pPr>
      <w:r w:rsidRPr="007B2402">
        <w:rPr>
          <w:rFonts w:eastAsia="Calibri" w:cs="Times New Roman"/>
          <w:szCs w:val="20"/>
          <w:lang w:val="en-US"/>
        </w:rPr>
        <w:t xml:space="preserve">The </w:t>
      </w:r>
      <w:r w:rsidRPr="007B2402">
        <w:rPr>
          <w:rFonts w:eastAsia="Calibri" w:cs="Times New Roman"/>
          <w:b/>
          <w:i/>
          <w:szCs w:val="20"/>
          <w:lang w:val="en-US"/>
        </w:rPr>
        <w:t>Commission</w:t>
      </w:r>
      <w:r w:rsidR="003B5FC8" w:rsidRPr="007B2402">
        <w:rPr>
          <w:rFonts w:eastAsia="Calibri" w:cs="Times New Roman"/>
          <w:szCs w:val="20"/>
          <w:lang w:val="en-US"/>
        </w:rPr>
        <w:t xml:space="preserve"> </w:t>
      </w:r>
      <w:r w:rsidR="00964582" w:rsidRPr="007B2402">
        <w:rPr>
          <w:rFonts w:eastAsia="Calibri" w:cs="Times New Roman"/>
          <w:szCs w:val="20"/>
          <w:lang w:val="en-US"/>
        </w:rPr>
        <w:t>noted</w:t>
      </w:r>
      <w:r w:rsidR="00C148BF" w:rsidRPr="007B2402">
        <w:rPr>
          <w:rFonts w:eastAsia="Calibri" w:cs="Times New Roman"/>
          <w:szCs w:val="20"/>
          <w:lang w:val="en-US"/>
        </w:rPr>
        <w:t xml:space="preserve"> that, </w:t>
      </w:r>
      <w:r w:rsidR="00964582" w:rsidRPr="007B2402">
        <w:rPr>
          <w:rFonts w:eastAsia="Calibri" w:cs="Times New Roman"/>
          <w:szCs w:val="20"/>
          <w:lang w:val="en-US"/>
        </w:rPr>
        <w:t>regarding</w:t>
      </w:r>
      <w:r w:rsidR="003B5FC8" w:rsidRPr="007B2402">
        <w:rPr>
          <w:rFonts w:eastAsia="Calibri" w:cs="Times New Roman"/>
          <w:szCs w:val="20"/>
          <w:lang w:val="en-US"/>
        </w:rPr>
        <w:t xml:space="preserve"> </w:t>
      </w:r>
      <w:r w:rsidR="00C148BF" w:rsidRPr="007B2402">
        <w:rPr>
          <w:rFonts w:eastAsia="Calibri" w:cs="Times New Roman"/>
          <w:szCs w:val="20"/>
          <w:lang w:val="en-US"/>
        </w:rPr>
        <w:t xml:space="preserve">the </w:t>
      </w:r>
      <w:r w:rsidR="006E2CFF" w:rsidRPr="007B2402">
        <w:rPr>
          <w:rFonts w:eastAsia="Calibri" w:cs="Times New Roman"/>
          <w:szCs w:val="20"/>
          <w:lang w:val="en-US"/>
        </w:rPr>
        <w:t>preliminary objection</w:t>
      </w:r>
      <w:r w:rsidR="00C148BF" w:rsidRPr="007B2402">
        <w:rPr>
          <w:rFonts w:eastAsia="Calibri" w:cs="Times New Roman"/>
          <w:szCs w:val="20"/>
          <w:lang w:val="en-US"/>
        </w:rPr>
        <w:t xml:space="preserve"> of failure to exhaust domestic remedies, the Court’s case law indicated that this should be filed at the proper procedural moment and that the State must specify clearly the remedies that, in its opinion, were not exhausted. </w:t>
      </w:r>
      <w:r w:rsidR="009C684F" w:rsidRPr="007B2402">
        <w:rPr>
          <w:rFonts w:eastAsia="Calibri" w:cs="Times New Roman"/>
          <w:szCs w:val="20"/>
          <w:lang w:val="en-US"/>
        </w:rPr>
        <w:t>It</w:t>
      </w:r>
      <w:r w:rsidR="00C148BF" w:rsidRPr="007B2402">
        <w:rPr>
          <w:rFonts w:eastAsia="Calibri" w:cs="Times New Roman"/>
          <w:szCs w:val="20"/>
          <w:lang w:val="en-US"/>
        </w:rPr>
        <w:t xml:space="preserve"> indicated that the State </w:t>
      </w:r>
      <w:r w:rsidR="009C684F" w:rsidRPr="007B2402">
        <w:rPr>
          <w:rFonts w:eastAsia="Calibri" w:cs="Times New Roman"/>
          <w:szCs w:val="20"/>
          <w:lang w:val="en-US"/>
        </w:rPr>
        <w:t>had</w:t>
      </w:r>
      <w:r w:rsidR="00C148BF" w:rsidRPr="007B2402">
        <w:rPr>
          <w:rFonts w:eastAsia="Calibri" w:cs="Times New Roman"/>
          <w:szCs w:val="20"/>
          <w:lang w:val="en-US"/>
        </w:rPr>
        <w:t xml:space="preserve"> not file</w:t>
      </w:r>
      <w:r w:rsidR="009C684F" w:rsidRPr="007B2402">
        <w:rPr>
          <w:rFonts w:eastAsia="Calibri" w:cs="Times New Roman"/>
          <w:szCs w:val="20"/>
          <w:lang w:val="en-US"/>
        </w:rPr>
        <w:t>d</w:t>
      </w:r>
      <w:r w:rsidR="00C148BF" w:rsidRPr="007B2402">
        <w:rPr>
          <w:rFonts w:eastAsia="Calibri" w:cs="Times New Roman"/>
          <w:szCs w:val="20"/>
          <w:lang w:val="en-US"/>
        </w:rPr>
        <w:t xml:space="preserve"> the objection of failure to exhaust domestic remedies</w:t>
      </w:r>
      <w:r w:rsidR="009C684F" w:rsidRPr="007B2402">
        <w:rPr>
          <w:rFonts w:eastAsia="Calibri" w:cs="Times New Roman"/>
          <w:szCs w:val="20"/>
          <w:lang w:val="en-US"/>
        </w:rPr>
        <w:t xml:space="preserve"> in its briefs of May and October 2012,</w:t>
      </w:r>
      <w:r w:rsidR="00C148BF" w:rsidRPr="007B2402">
        <w:rPr>
          <w:rFonts w:eastAsia="Calibri" w:cs="Times New Roman"/>
          <w:szCs w:val="20"/>
          <w:lang w:val="en-US"/>
        </w:rPr>
        <w:t xml:space="preserve"> and </w:t>
      </w:r>
      <w:r w:rsidR="009C684F" w:rsidRPr="007B2402">
        <w:rPr>
          <w:rFonts w:eastAsia="Calibri" w:cs="Times New Roman"/>
          <w:szCs w:val="20"/>
          <w:lang w:val="en-US"/>
        </w:rPr>
        <w:t xml:space="preserve">had </w:t>
      </w:r>
      <w:r w:rsidR="00C148BF" w:rsidRPr="007B2402">
        <w:rPr>
          <w:rFonts w:eastAsia="Calibri" w:cs="Times New Roman"/>
          <w:szCs w:val="20"/>
          <w:lang w:val="en-US"/>
        </w:rPr>
        <w:t>made no mention of the remedies that should be exhausted when it filed th</w:t>
      </w:r>
      <w:r w:rsidR="009C684F" w:rsidRPr="007B2402">
        <w:rPr>
          <w:rFonts w:eastAsia="Calibri" w:cs="Times New Roman"/>
          <w:szCs w:val="20"/>
          <w:lang w:val="en-US"/>
        </w:rPr>
        <w:t>at</w:t>
      </w:r>
      <w:r w:rsidR="00C148BF" w:rsidRPr="007B2402">
        <w:rPr>
          <w:rFonts w:eastAsia="Calibri" w:cs="Times New Roman"/>
          <w:szCs w:val="20"/>
          <w:lang w:val="en-US"/>
        </w:rPr>
        <w:t xml:space="preserve"> objection</w:t>
      </w:r>
      <w:r w:rsidR="009C684F" w:rsidRPr="007B2402">
        <w:rPr>
          <w:rFonts w:eastAsia="Calibri" w:cs="Times New Roman"/>
          <w:szCs w:val="20"/>
          <w:lang w:val="en-US"/>
        </w:rPr>
        <w:t>; therefore,</w:t>
      </w:r>
      <w:r w:rsidR="00C148BF" w:rsidRPr="007B2402">
        <w:rPr>
          <w:rFonts w:eastAsia="Calibri" w:cs="Times New Roman"/>
          <w:szCs w:val="20"/>
          <w:lang w:val="en-US"/>
        </w:rPr>
        <w:t xml:space="preserve"> it considered that the objection was time-barred. The Commission also indicated that the American Convention did not establish that additional </w:t>
      </w:r>
      <w:r w:rsidR="009C684F" w:rsidRPr="007B2402">
        <w:rPr>
          <w:rFonts w:eastAsia="Calibri" w:cs="Times New Roman"/>
          <w:szCs w:val="20"/>
          <w:lang w:val="en-US"/>
        </w:rPr>
        <w:t>remedies</w:t>
      </w:r>
      <w:r w:rsidR="00C148BF" w:rsidRPr="007B2402">
        <w:rPr>
          <w:rFonts w:eastAsia="Calibri" w:cs="Times New Roman"/>
          <w:szCs w:val="20"/>
          <w:lang w:val="en-US"/>
        </w:rPr>
        <w:t xml:space="preserve"> should be exhausted </w:t>
      </w:r>
      <w:r w:rsidR="009C684F" w:rsidRPr="007B2402">
        <w:rPr>
          <w:rFonts w:eastAsia="Calibri" w:cs="Times New Roman"/>
          <w:szCs w:val="20"/>
          <w:lang w:val="en-US"/>
        </w:rPr>
        <w:t>to enable</w:t>
      </w:r>
      <w:r w:rsidR="005D11FB" w:rsidRPr="007B2402">
        <w:rPr>
          <w:rFonts w:eastAsia="Calibri" w:cs="Times New Roman"/>
          <w:szCs w:val="20"/>
          <w:lang w:val="en-US"/>
        </w:rPr>
        <w:t xml:space="preserve"> the victims to obtain reparation </w:t>
      </w:r>
      <w:r w:rsidR="009C684F" w:rsidRPr="007B2402">
        <w:rPr>
          <w:rFonts w:eastAsia="Calibri" w:cs="Times New Roman"/>
          <w:szCs w:val="20"/>
          <w:lang w:val="en-US"/>
        </w:rPr>
        <w:t>for</w:t>
      </w:r>
      <w:r w:rsidR="005D11FB" w:rsidRPr="007B2402">
        <w:rPr>
          <w:rFonts w:eastAsia="Calibri" w:cs="Times New Roman"/>
          <w:szCs w:val="20"/>
          <w:lang w:val="en-US"/>
        </w:rPr>
        <w:t xml:space="preserve"> facts </w:t>
      </w:r>
      <w:r w:rsidR="009C684F" w:rsidRPr="007B2402">
        <w:rPr>
          <w:rFonts w:eastAsia="Calibri" w:cs="Times New Roman"/>
          <w:szCs w:val="20"/>
          <w:lang w:val="en-US"/>
        </w:rPr>
        <w:t>examined by</w:t>
      </w:r>
      <w:r w:rsidR="005D11FB" w:rsidRPr="007B2402">
        <w:rPr>
          <w:rFonts w:eastAsia="Calibri" w:cs="Times New Roman"/>
          <w:szCs w:val="20"/>
          <w:lang w:val="en-US"/>
        </w:rPr>
        <w:t xml:space="preserve"> the pertinent domestic remedies; therefore, an interpretation such as th</w:t>
      </w:r>
      <w:r w:rsidR="00964582" w:rsidRPr="007B2402">
        <w:rPr>
          <w:rFonts w:eastAsia="Calibri" w:cs="Times New Roman"/>
          <w:szCs w:val="20"/>
          <w:lang w:val="en-US"/>
        </w:rPr>
        <w:t>at</w:t>
      </w:r>
      <w:r w:rsidR="005D11FB" w:rsidRPr="007B2402">
        <w:rPr>
          <w:rFonts w:eastAsia="Calibri" w:cs="Times New Roman"/>
          <w:szCs w:val="20"/>
          <w:lang w:val="en-US"/>
        </w:rPr>
        <w:t xml:space="preserve"> proposed by the State would not only place a disproportionate burden on the victims, but would be contrary to the provisions of the Convention and the </w:t>
      </w:r>
      <w:r w:rsidR="005D11FB" w:rsidRPr="007B2402">
        <w:rPr>
          <w:rFonts w:eastAsia="Calibri" w:cs="Times New Roman"/>
          <w:i/>
          <w:szCs w:val="20"/>
          <w:lang w:val="en-US"/>
        </w:rPr>
        <w:t>raison d’être</w:t>
      </w:r>
      <w:r w:rsidR="005D11FB" w:rsidRPr="007B2402">
        <w:rPr>
          <w:rFonts w:eastAsia="Calibri" w:cs="Times New Roman"/>
          <w:szCs w:val="20"/>
          <w:lang w:val="en-US"/>
        </w:rPr>
        <w:t xml:space="preserve"> of both the requirement of exhaustion of domestic remedies and the mechanism of reparation.</w:t>
      </w:r>
    </w:p>
    <w:p w14:paraId="008D0BFD" w14:textId="77777777" w:rsidR="003B5FC8" w:rsidRPr="007B2402" w:rsidRDefault="003B5FC8" w:rsidP="003B5FC8">
      <w:pPr>
        <w:spacing w:after="0" w:line="240" w:lineRule="auto"/>
        <w:contextualSpacing/>
        <w:jc w:val="both"/>
        <w:rPr>
          <w:rFonts w:eastAsia="Calibri" w:cs="Times New Roman"/>
          <w:b/>
          <w:szCs w:val="20"/>
          <w:lang w:val="en-US"/>
        </w:rPr>
      </w:pPr>
    </w:p>
    <w:p w14:paraId="778AE77F" w14:textId="7BFA57B1" w:rsidR="005D11FB" w:rsidRPr="007B2402" w:rsidRDefault="005D11FB" w:rsidP="00DB1F30">
      <w:pPr>
        <w:numPr>
          <w:ilvl w:val="0"/>
          <w:numId w:val="5"/>
        </w:numPr>
        <w:spacing w:after="0" w:line="240" w:lineRule="auto"/>
        <w:contextualSpacing/>
        <w:jc w:val="both"/>
        <w:rPr>
          <w:rFonts w:eastAsia="Calibri" w:cs="Times New Roman"/>
          <w:b/>
          <w:szCs w:val="20"/>
          <w:lang w:val="en-US"/>
        </w:rPr>
      </w:pPr>
      <w:r w:rsidRPr="007B2402">
        <w:rPr>
          <w:rFonts w:eastAsia="Calibri" w:cs="Times New Roman"/>
          <w:szCs w:val="20"/>
          <w:lang w:val="en-US"/>
        </w:rPr>
        <w:t>It a</w:t>
      </w:r>
      <w:r w:rsidR="00964582" w:rsidRPr="007B2402">
        <w:rPr>
          <w:rFonts w:eastAsia="Calibri" w:cs="Times New Roman"/>
          <w:szCs w:val="20"/>
          <w:lang w:val="en-US"/>
        </w:rPr>
        <w:t>rgued</w:t>
      </w:r>
      <w:r w:rsidRPr="007B2402">
        <w:rPr>
          <w:rFonts w:eastAsia="Calibri" w:cs="Times New Roman"/>
          <w:szCs w:val="20"/>
          <w:lang w:val="en-US"/>
        </w:rPr>
        <w:t xml:space="preserve"> that the requirement of the exhaustion of domestic remedies related to the facts that </w:t>
      </w:r>
      <w:r w:rsidR="00964582" w:rsidRPr="007B2402">
        <w:rPr>
          <w:rFonts w:eastAsia="Calibri" w:cs="Times New Roman"/>
          <w:szCs w:val="20"/>
          <w:lang w:val="en-US"/>
        </w:rPr>
        <w:t>we</w:t>
      </w:r>
      <w:r w:rsidRPr="007B2402">
        <w:rPr>
          <w:rFonts w:eastAsia="Calibri" w:cs="Times New Roman"/>
          <w:szCs w:val="20"/>
          <w:lang w:val="en-US"/>
        </w:rPr>
        <w:t>re alleged to have violated human rights. The claim for reparations arose from the declaration of the State’s international responsibility; consequently, that claim did not depend on the exhaustion of domestic remedies.</w:t>
      </w:r>
    </w:p>
    <w:p w14:paraId="436A41FE" w14:textId="77777777" w:rsidR="003B5FC8" w:rsidRPr="007B2402" w:rsidRDefault="003B5FC8" w:rsidP="003B5FC8">
      <w:pPr>
        <w:spacing w:after="0" w:line="240" w:lineRule="auto"/>
        <w:jc w:val="both"/>
        <w:rPr>
          <w:rFonts w:eastAsia="Calibri" w:cs="Times New Roman"/>
          <w:szCs w:val="20"/>
          <w:lang w:val="en-US"/>
        </w:rPr>
      </w:pPr>
    </w:p>
    <w:p w14:paraId="6BECA73D" w14:textId="0B164152" w:rsidR="003B5FC8" w:rsidRPr="007B2402" w:rsidRDefault="005B1590" w:rsidP="003B5FC8">
      <w:pPr>
        <w:numPr>
          <w:ilvl w:val="0"/>
          <w:numId w:val="5"/>
        </w:numPr>
        <w:spacing w:after="0" w:line="240" w:lineRule="auto"/>
        <w:contextualSpacing/>
        <w:jc w:val="both"/>
        <w:rPr>
          <w:rFonts w:eastAsia="Calibri" w:cs="Times New Roman"/>
          <w:szCs w:val="20"/>
          <w:lang w:val="en-US"/>
        </w:rPr>
      </w:pPr>
      <w:r w:rsidRPr="007B2402">
        <w:rPr>
          <w:rFonts w:eastAsia="Calibri" w:cs="Times New Roman"/>
          <w:szCs w:val="20"/>
          <w:lang w:val="en-US"/>
        </w:rPr>
        <w:t xml:space="preserve">The </w:t>
      </w:r>
      <w:r w:rsidRPr="007B2402">
        <w:rPr>
          <w:rFonts w:eastAsia="Calibri" w:cs="Times New Roman"/>
          <w:b/>
          <w:i/>
          <w:szCs w:val="20"/>
          <w:lang w:val="en-US"/>
        </w:rPr>
        <w:t>representatives</w:t>
      </w:r>
      <w:r w:rsidR="003B5FC8" w:rsidRPr="007B2402">
        <w:rPr>
          <w:rFonts w:eastAsia="Calibri" w:cs="Times New Roman"/>
          <w:szCs w:val="20"/>
          <w:lang w:val="en-US"/>
        </w:rPr>
        <w:t xml:space="preserve"> </w:t>
      </w:r>
      <w:r w:rsidR="005D11FB" w:rsidRPr="007B2402">
        <w:rPr>
          <w:rFonts w:eastAsia="Calibri" w:cs="Times New Roman"/>
          <w:szCs w:val="20"/>
          <w:lang w:val="en-US"/>
        </w:rPr>
        <w:t xml:space="preserve">stressed that the State had not filed the objection of failure to exhaust domestic remedies at the proper time. They also indicated that the </w:t>
      </w:r>
      <w:r w:rsidR="00964582" w:rsidRPr="007B2402">
        <w:rPr>
          <w:rFonts w:eastAsia="Calibri" w:cs="Times New Roman"/>
          <w:szCs w:val="20"/>
          <w:lang w:val="en-US"/>
        </w:rPr>
        <w:t>S</w:t>
      </w:r>
      <w:r w:rsidR="005D11FB" w:rsidRPr="007B2402">
        <w:rPr>
          <w:rFonts w:eastAsia="Calibri" w:cs="Times New Roman"/>
          <w:szCs w:val="20"/>
          <w:lang w:val="en-US"/>
        </w:rPr>
        <w:t xml:space="preserve">tate’s arguments were inconsistent, because it had also argued that the promulgation of the Amnesty Law prevented the exhaustion of remedies </w:t>
      </w:r>
      <w:r w:rsidR="00964582" w:rsidRPr="007B2402">
        <w:rPr>
          <w:rFonts w:eastAsia="Calibri" w:cs="Times New Roman"/>
          <w:szCs w:val="20"/>
          <w:lang w:val="en-US"/>
        </w:rPr>
        <w:t>in</w:t>
      </w:r>
      <w:r w:rsidR="005D11FB" w:rsidRPr="007B2402">
        <w:rPr>
          <w:rFonts w:eastAsia="Calibri" w:cs="Times New Roman"/>
          <w:szCs w:val="20"/>
          <w:lang w:val="en-US"/>
        </w:rPr>
        <w:t xml:space="preserve"> the domestic jurisdiction. They indicated that the State had </w:t>
      </w:r>
      <w:r w:rsidR="00964582" w:rsidRPr="007B2402">
        <w:rPr>
          <w:rFonts w:eastAsia="Calibri" w:cs="Times New Roman"/>
          <w:szCs w:val="20"/>
          <w:lang w:val="en-US"/>
        </w:rPr>
        <w:t>indicated</w:t>
      </w:r>
      <w:r w:rsidR="005D11FB" w:rsidRPr="007B2402">
        <w:rPr>
          <w:rFonts w:eastAsia="Calibri" w:cs="Times New Roman"/>
          <w:szCs w:val="20"/>
          <w:lang w:val="en-US"/>
        </w:rPr>
        <w:t xml:space="preserve"> that the remedies had been exhausted by the ruling of the </w:t>
      </w:r>
      <w:r w:rsidR="00F337BB" w:rsidRPr="007B2402">
        <w:rPr>
          <w:rFonts w:eastAsia="Calibri" w:cs="Times New Roman"/>
          <w:szCs w:val="20"/>
          <w:lang w:val="en-US"/>
        </w:rPr>
        <w:t>Superior Court of Justice</w:t>
      </w:r>
      <w:r w:rsidR="005D11FB" w:rsidRPr="007B2402">
        <w:rPr>
          <w:rFonts w:eastAsia="Calibri" w:cs="Times New Roman"/>
          <w:szCs w:val="20"/>
          <w:lang w:val="en-US"/>
        </w:rPr>
        <w:t xml:space="preserve"> of August 18, </w:t>
      </w:r>
      <w:r w:rsidR="003B5FC8" w:rsidRPr="007B2402">
        <w:rPr>
          <w:rFonts w:eastAsia="Calibri" w:cs="Times New Roman"/>
          <w:szCs w:val="20"/>
          <w:lang w:val="en-US"/>
        </w:rPr>
        <w:t>1993</w:t>
      </w:r>
      <w:r w:rsidR="0022315C" w:rsidRPr="007B2402">
        <w:rPr>
          <w:rFonts w:eastAsia="Calibri" w:cs="Times New Roman"/>
          <w:szCs w:val="20"/>
          <w:lang w:val="en-US"/>
        </w:rPr>
        <w:t>; thus, in addition to the late filing of the objection, they considered that the State had violated the principle of</w:t>
      </w:r>
      <w:r w:rsidR="003B5FC8" w:rsidRPr="007B2402">
        <w:rPr>
          <w:rFonts w:eastAsia="Calibri" w:cs="Times New Roman"/>
          <w:szCs w:val="20"/>
          <w:lang w:val="en-US"/>
        </w:rPr>
        <w:t xml:space="preserve"> </w:t>
      </w:r>
      <w:r w:rsidR="003B5FC8" w:rsidRPr="007B2402">
        <w:rPr>
          <w:rFonts w:eastAsia="Calibri" w:cs="Times New Roman"/>
          <w:i/>
          <w:szCs w:val="20"/>
          <w:lang w:val="en-US"/>
        </w:rPr>
        <w:t>estoppel</w:t>
      </w:r>
      <w:r w:rsidR="003B5FC8" w:rsidRPr="007B2402">
        <w:rPr>
          <w:rFonts w:eastAsia="Calibri" w:cs="Times New Roman"/>
          <w:szCs w:val="20"/>
          <w:lang w:val="en-US"/>
        </w:rPr>
        <w:t xml:space="preserve"> </w:t>
      </w:r>
      <w:r w:rsidR="0022315C" w:rsidRPr="007B2402">
        <w:rPr>
          <w:rFonts w:eastAsia="Calibri" w:cs="Times New Roman"/>
          <w:szCs w:val="20"/>
          <w:lang w:val="en-US"/>
        </w:rPr>
        <w:t>by adopting a contradictory procedural position.</w:t>
      </w:r>
    </w:p>
    <w:p w14:paraId="01634B7D" w14:textId="77777777" w:rsidR="00DD788B" w:rsidRPr="007B2402" w:rsidRDefault="00DD788B" w:rsidP="00DD788B">
      <w:pPr>
        <w:spacing w:after="0" w:line="240" w:lineRule="auto"/>
        <w:contextualSpacing/>
        <w:jc w:val="both"/>
        <w:rPr>
          <w:rFonts w:eastAsia="Calibri" w:cs="Times New Roman"/>
          <w:szCs w:val="20"/>
          <w:lang w:val="en-US"/>
        </w:rPr>
      </w:pPr>
    </w:p>
    <w:p w14:paraId="70D8B7D5" w14:textId="2FB995E9" w:rsidR="003B5FC8" w:rsidRPr="007B2402" w:rsidRDefault="0022315C" w:rsidP="00DB1F30">
      <w:pPr>
        <w:numPr>
          <w:ilvl w:val="0"/>
          <w:numId w:val="5"/>
        </w:numPr>
        <w:spacing w:after="0" w:line="240" w:lineRule="auto"/>
        <w:contextualSpacing/>
        <w:jc w:val="both"/>
        <w:rPr>
          <w:rFonts w:eastAsia="Calibri" w:cs="Times New Roman"/>
          <w:szCs w:val="20"/>
          <w:lang w:val="en-US"/>
        </w:rPr>
      </w:pPr>
      <w:r w:rsidRPr="007B2402">
        <w:rPr>
          <w:rFonts w:eastAsia="Calibri" w:cs="Times New Roman"/>
          <w:szCs w:val="20"/>
          <w:lang w:val="en-US"/>
        </w:rPr>
        <w:t>Lastly, they argued tha</w:t>
      </w:r>
      <w:r w:rsidR="00964582" w:rsidRPr="007B2402">
        <w:rPr>
          <w:rFonts w:eastAsia="Calibri" w:cs="Times New Roman"/>
          <w:szCs w:val="20"/>
          <w:lang w:val="en-US"/>
        </w:rPr>
        <w:t>t a writ</w:t>
      </w:r>
      <w:r w:rsidRPr="007B2402">
        <w:rPr>
          <w:rFonts w:eastAsia="Calibri" w:cs="Times New Roman"/>
          <w:szCs w:val="20"/>
          <w:lang w:val="en-US"/>
        </w:rPr>
        <w:t xml:space="preserve"> of </w:t>
      </w:r>
      <w:r w:rsidR="003B5FC8" w:rsidRPr="007B2402">
        <w:rPr>
          <w:rFonts w:eastAsia="Calibri" w:cs="Times New Roman"/>
          <w:i/>
          <w:szCs w:val="20"/>
          <w:lang w:val="en-US"/>
        </w:rPr>
        <w:t>habeas data</w:t>
      </w:r>
      <w:r w:rsidRPr="007B2402">
        <w:rPr>
          <w:rFonts w:eastAsia="Calibri" w:cs="Times New Roman"/>
          <w:szCs w:val="20"/>
          <w:lang w:val="en-US"/>
        </w:rPr>
        <w:t xml:space="preserve"> was not an appropriate remedy to establish responsibilities </w:t>
      </w:r>
      <w:r w:rsidR="00964582" w:rsidRPr="007B2402">
        <w:rPr>
          <w:rFonts w:eastAsia="Calibri" w:cs="Times New Roman"/>
          <w:szCs w:val="20"/>
          <w:lang w:val="en-US"/>
        </w:rPr>
        <w:t>for</w:t>
      </w:r>
      <w:r w:rsidRPr="007B2402">
        <w:rPr>
          <w:rFonts w:eastAsia="Calibri" w:cs="Times New Roman"/>
          <w:szCs w:val="20"/>
          <w:lang w:val="en-US"/>
        </w:rPr>
        <w:t xml:space="preserve"> the arbitrary </w:t>
      </w:r>
      <w:r w:rsidR="00964582" w:rsidRPr="007B2402">
        <w:rPr>
          <w:rFonts w:eastAsia="Calibri" w:cs="Times New Roman"/>
          <w:szCs w:val="20"/>
          <w:lang w:val="en-US"/>
        </w:rPr>
        <w:t>detention</w:t>
      </w:r>
      <w:r w:rsidRPr="007B2402">
        <w:rPr>
          <w:rFonts w:eastAsia="Calibri" w:cs="Times New Roman"/>
          <w:szCs w:val="20"/>
          <w:lang w:val="en-US"/>
        </w:rPr>
        <w:t>, torture and execution of</w:t>
      </w:r>
      <w:r w:rsidR="003B5FC8" w:rsidRPr="007B2402">
        <w:rPr>
          <w:rFonts w:eastAsia="Calibri" w:cs="Times New Roman"/>
          <w:szCs w:val="20"/>
          <w:lang w:val="en-US"/>
        </w:rPr>
        <w:t xml:space="preserve"> Vladimir Herzog. </w:t>
      </w:r>
      <w:r w:rsidRPr="007B2402">
        <w:rPr>
          <w:rFonts w:eastAsia="Calibri" w:cs="Times New Roman"/>
          <w:szCs w:val="20"/>
          <w:lang w:val="en-US"/>
        </w:rPr>
        <w:t>The remedy that met this purpose was the investigation and criminal prosecution that had been repeatedly obstructed by the Brazilian authorities</w:t>
      </w:r>
      <w:r w:rsidR="003B5FC8" w:rsidRPr="007B2402">
        <w:rPr>
          <w:rFonts w:eastAsia="Calibri" w:cs="Times New Roman"/>
          <w:szCs w:val="20"/>
          <w:lang w:val="en-US"/>
        </w:rPr>
        <w:t xml:space="preserve">. </w:t>
      </w:r>
      <w:r w:rsidR="005B1590" w:rsidRPr="007B2402">
        <w:rPr>
          <w:rFonts w:eastAsia="Calibri" w:cs="Times New Roman"/>
          <w:szCs w:val="20"/>
          <w:lang w:val="en-US"/>
        </w:rPr>
        <w:t>The representatives</w:t>
      </w:r>
      <w:r w:rsidR="003B5FC8" w:rsidRPr="007B2402">
        <w:rPr>
          <w:rFonts w:eastAsia="Calibri" w:cs="Times New Roman"/>
          <w:szCs w:val="20"/>
          <w:lang w:val="en-US"/>
        </w:rPr>
        <w:t xml:space="preserve"> </w:t>
      </w:r>
      <w:r w:rsidRPr="007B2402">
        <w:rPr>
          <w:rFonts w:eastAsia="Calibri" w:cs="Times New Roman"/>
          <w:szCs w:val="20"/>
          <w:lang w:val="en-US"/>
        </w:rPr>
        <w:t>a</w:t>
      </w:r>
      <w:r w:rsidR="00964582" w:rsidRPr="007B2402">
        <w:rPr>
          <w:rFonts w:eastAsia="Calibri" w:cs="Times New Roman"/>
          <w:szCs w:val="20"/>
          <w:lang w:val="en-US"/>
        </w:rPr>
        <w:t>rgued</w:t>
      </w:r>
      <w:r w:rsidRPr="007B2402">
        <w:rPr>
          <w:rFonts w:eastAsia="Calibri" w:cs="Times New Roman"/>
          <w:szCs w:val="20"/>
          <w:lang w:val="en-US"/>
        </w:rPr>
        <w:t xml:space="preserve"> that the Court should reject the objection of failure to exhaust domestic remedies filed by </w:t>
      </w:r>
      <w:r w:rsidR="00AF4344" w:rsidRPr="007B2402">
        <w:rPr>
          <w:rFonts w:eastAsia="Calibri" w:cs="Times New Roman"/>
          <w:szCs w:val="20"/>
          <w:lang w:val="en-US"/>
        </w:rPr>
        <w:t>the State</w:t>
      </w:r>
      <w:r w:rsidR="003B5FC8" w:rsidRPr="007B2402">
        <w:rPr>
          <w:rFonts w:eastAsia="Calibri" w:cs="Times New Roman"/>
          <w:szCs w:val="20"/>
          <w:lang w:val="en-US"/>
        </w:rPr>
        <w:t>.</w:t>
      </w:r>
    </w:p>
    <w:p w14:paraId="45115D24" w14:textId="77777777" w:rsidR="003B5FC8" w:rsidRPr="007B2402" w:rsidRDefault="003B5FC8" w:rsidP="003B5FC8">
      <w:pPr>
        <w:spacing w:after="0" w:line="240" w:lineRule="auto"/>
        <w:jc w:val="both"/>
        <w:rPr>
          <w:rFonts w:eastAsia="Calibri" w:cs="Times New Roman"/>
          <w:b/>
          <w:szCs w:val="20"/>
          <w:lang w:val="en-US"/>
        </w:rPr>
      </w:pPr>
    </w:p>
    <w:p w14:paraId="462F042C" w14:textId="79FBEACA" w:rsidR="003B5FC8" w:rsidRPr="007B2402" w:rsidRDefault="00D16A5B" w:rsidP="003B5FC8">
      <w:pPr>
        <w:keepNext/>
        <w:keepLines/>
        <w:spacing w:after="0" w:line="240" w:lineRule="auto"/>
        <w:ind w:left="426"/>
        <w:contextualSpacing/>
        <w:jc w:val="both"/>
        <w:outlineLvl w:val="2"/>
        <w:rPr>
          <w:rFonts w:eastAsia="Calibri" w:cs="Times New Roman"/>
          <w:szCs w:val="20"/>
          <w:lang w:val="en-US" w:eastAsia="es-ES" w:bidi="en-US"/>
        </w:rPr>
      </w:pPr>
      <w:bookmarkStart w:id="79" w:name="_Toc505939123"/>
      <w:bookmarkStart w:id="80" w:name="_Toc506496104"/>
      <w:bookmarkStart w:id="81" w:name="_Toc506984083"/>
      <w:r w:rsidRPr="007B2402">
        <w:rPr>
          <w:rFonts w:eastAsia="Calibri" w:cs="Times New Roman"/>
          <w:i/>
          <w:szCs w:val="20"/>
          <w:lang w:val="en-US" w:eastAsia="es-ES" w:bidi="en-US"/>
        </w:rPr>
        <w:t>C</w:t>
      </w:r>
      <w:r w:rsidR="003B5FC8" w:rsidRPr="007B2402">
        <w:rPr>
          <w:rFonts w:eastAsia="Calibri" w:cs="Times New Roman"/>
          <w:i/>
          <w:szCs w:val="20"/>
          <w:lang w:val="en-US" w:eastAsia="es-ES" w:bidi="en-US"/>
        </w:rPr>
        <w:t xml:space="preserve">.2. </w:t>
      </w:r>
      <w:r w:rsidR="007A07B8" w:rsidRPr="007B2402">
        <w:rPr>
          <w:rFonts w:eastAsia="Calibri" w:cs="Times New Roman"/>
          <w:i/>
          <w:szCs w:val="20"/>
          <w:lang w:val="en-US" w:eastAsia="es-ES" w:bidi="en-US"/>
        </w:rPr>
        <w:t>Considerations</w:t>
      </w:r>
      <w:r w:rsidR="00AF4344" w:rsidRPr="007B2402">
        <w:rPr>
          <w:rFonts w:eastAsia="Calibri" w:cs="Times New Roman"/>
          <w:i/>
          <w:szCs w:val="20"/>
          <w:lang w:val="en-US" w:eastAsia="es-ES" w:bidi="en-US"/>
        </w:rPr>
        <w:t xml:space="preserve"> of the Court</w:t>
      </w:r>
      <w:bookmarkEnd w:id="79"/>
      <w:bookmarkEnd w:id="80"/>
      <w:bookmarkEnd w:id="81"/>
    </w:p>
    <w:p w14:paraId="14BFDA83" w14:textId="77777777" w:rsidR="003B5FC8" w:rsidRPr="007B2402" w:rsidRDefault="003B5FC8" w:rsidP="003B5FC8">
      <w:pPr>
        <w:spacing w:after="0" w:line="240" w:lineRule="auto"/>
        <w:jc w:val="both"/>
        <w:rPr>
          <w:rFonts w:eastAsia="Times New Roman" w:cs="Times New Roman"/>
          <w:b/>
          <w:i/>
          <w:szCs w:val="20"/>
          <w:lang w:val="en-US" w:eastAsia="es-ES" w:bidi="en-US"/>
        </w:rPr>
      </w:pPr>
    </w:p>
    <w:p w14:paraId="1F2E94DB" w14:textId="113ECB68" w:rsidR="003B5FC8" w:rsidRPr="007B2402" w:rsidRDefault="00AF4344" w:rsidP="0022315C">
      <w:pPr>
        <w:numPr>
          <w:ilvl w:val="0"/>
          <w:numId w:val="5"/>
        </w:numPr>
        <w:spacing w:after="0" w:line="240" w:lineRule="auto"/>
        <w:contextualSpacing/>
        <w:jc w:val="both"/>
        <w:rPr>
          <w:rFonts w:eastAsia="Times New Roman" w:cs="Times New Roman"/>
          <w:szCs w:val="20"/>
          <w:lang w:val="en-US" w:eastAsia="es-ES" w:bidi="en-US"/>
        </w:rPr>
      </w:pPr>
      <w:r w:rsidRPr="007B2402">
        <w:rPr>
          <w:rFonts w:eastAsia="Times New Roman" w:cs="Times New Roman"/>
          <w:szCs w:val="20"/>
          <w:lang w:val="en-US" w:eastAsia="es-ES" w:bidi="en-US"/>
        </w:rPr>
        <w:t>The Court</w:t>
      </w:r>
      <w:r w:rsidR="003B5FC8" w:rsidRPr="007B2402">
        <w:rPr>
          <w:rFonts w:eastAsia="Times New Roman" w:cs="Times New Roman"/>
          <w:szCs w:val="20"/>
          <w:lang w:val="en-US" w:eastAsia="es-ES" w:bidi="en-US"/>
        </w:rPr>
        <w:t xml:space="preserve"> ha</w:t>
      </w:r>
      <w:r w:rsidR="0022315C" w:rsidRPr="007B2402">
        <w:rPr>
          <w:rFonts w:eastAsia="Times New Roman" w:cs="Times New Roman"/>
          <w:szCs w:val="20"/>
          <w:lang w:val="en-US" w:eastAsia="es-ES" w:bidi="en-US"/>
        </w:rPr>
        <w:t xml:space="preserve">s developed clear standards for the analysis of a </w:t>
      </w:r>
      <w:r w:rsidR="006E2CFF" w:rsidRPr="007B2402">
        <w:rPr>
          <w:rFonts w:eastAsia="Times New Roman" w:cs="Times New Roman"/>
          <w:szCs w:val="20"/>
          <w:lang w:val="en-US" w:eastAsia="es-ES" w:bidi="en-US"/>
        </w:rPr>
        <w:t>preliminary objection</w:t>
      </w:r>
      <w:r w:rsidR="003B5FC8" w:rsidRPr="007B2402">
        <w:rPr>
          <w:rFonts w:eastAsia="Times New Roman" w:cs="Times New Roman"/>
          <w:szCs w:val="20"/>
          <w:lang w:val="en-US" w:eastAsia="es-ES" w:bidi="en-US"/>
        </w:rPr>
        <w:t xml:space="preserve"> bas</w:t>
      </w:r>
      <w:r w:rsidR="0022315C" w:rsidRPr="007B2402">
        <w:rPr>
          <w:rFonts w:eastAsia="Times New Roman" w:cs="Times New Roman"/>
          <w:szCs w:val="20"/>
          <w:lang w:val="en-US" w:eastAsia="es-ES" w:bidi="en-US"/>
        </w:rPr>
        <w:t xml:space="preserve">ed on a presumed failure to comply with the requirement of exhaustion of domestic remedies. First, it has interpreted the objection as a means of defense available to the State and, as such, </w:t>
      </w:r>
      <w:r w:rsidR="009E3F36" w:rsidRPr="007B2402">
        <w:rPr>
          <w:rFonts w:eastAsia="Times New Roman" w:cs="Times New Roman"/>
          <w:szCs w:val="20"/>
          <w:lang w:val="en-US" w:eastAsia="es-ES" w:bidi="en-US"/>
        </w:rPr>
        <w:t>it may be</w:t>
      </w:r>
      <w:r w:rsidR="0022315C" w:rsidRPr="007B2402">
        <w:rPr>
          <w:rFonts w:eastAsia="Times New Roman" w:cs="Times New Roman"/>
          <w:szCs w:val="20"/>
          <w:lang w:val="en-US" w:eastAsia="es-ES" w:bidi="en-US"/>
        </w:rPr>
        <w:t xml:space="preserve"> waive</w:t>
      </w:r>
      <w:r w:rsidR="009E3F36" w:rsidRPr="007B2402">
        <w:rPr>
          <w:rFonts w:eastAsia="Times New Roman" w:cs="Times New Roman"/>
          <w:szCs w:val="20"/>
          <w:lang w:val="en-US" w:eastAsia="es-ES" w:bidi="en-US"/>
        </w:rPr>
        <w:t>d</w:t>
      </w:r>
      <w:r w:rsidR="0022315C" w:rsidRPr="007B2402">
        <w:rPr>
          <w:rFonts w:eastAsia="Times New Roman" w:cs="Times New Roman"/>
          <w:szCs w:val="20"/>
          <w:lang w:val="en-US" w:eastAsia="es-ES" w:bidi="en-US"/>
        </w:rPr>
        <w:t xml:space="preserve"> either expressly or tacitly. Second, this objection must be filed at the </w:t>
      </w:r>
      <w:r w:rsidR="009E3F36" w:rsidRPr="007B2402">
        <w:rPr>
          <w:rFonts w:eastAsia="Times New Roman" w:cs="Times New Roman"/>
          <w:szCs w:val="20"/>
          <w:lang w:val="en-US" w:eastAsia="es-ES" w:bidi="en-US"/>
        </w:rPr>
        <w:t>appropriate</w:t>
      </w:r>
      <w:r w:rsidR="0022315C" w:rsidRPr="007B2402">
        <w:rPr>
          <w:rFonts w:eastAsia="Times New Roman" w:cs="Times New Roman"/>
          <w:szCs w:val="20"/>
          <w:lang w:val="en-US" w:eastAsia="es-ES" w:bidi="en-US"/>
        </w:rPr>
        <w:t xml:space="preserve"> time so that the State may exercise its right </w:t>
      </w:r>
      <w:r w:rsidR="005268A4" w:rsidRPr="007B2402">
        <w:rPr>
          <w:rFonts w:eastAsia="Times New Roman" w:cs="Times New Roman"/>
          <w:szCs w:val="20"/>
          <w:lang w:val="en-US" w:eastAsia="es-ES" w:bidi="en-US"/>
        </w:rPr>
        <w:t>of defense</w:t>
      </w:r>
      <w:r w:rsidR="0022315C" w:rsidRPr="007B2402">
        <w:rPr>
          <w:rFonts w:eastAsia="Times New Roman" w:cs="Times New Roman"/>
          <w:szCs w:val="20"/>
          <w:lang w:val="en-US" w:eastAsia="es-ES" w:bidi="en-US"/>
        </w:rPr>
        <w:t xml:space="preserve">. Third, the Court has </w:t>
      </w:r>
      <w:r w:rsidR="009E3F36" w:rsidRPr="007B2402">
        <w:rPr>
          <w:rFonts w:eastAsia="Times New Roman" w:cs="Times New Roman"/>
          <w:szCs w:val="20"/>
          <w:lang w:val="en-US" w:eastAsia="es-ES" w:bidi="en-US"/>
        </w:rPr>
        <w:t>asserted</w:t>
      </w:r>
      <w:r w:rsidR="0022315C" w:rsidRPr="007B2402">
        <w:rPr>
          <w:rFonts w:eastAsia="Times New Roman" w:cs="Times New Roman"/>
          <w:szCs w:val="20"/>
          <w:lang w:val="en-US" w:eastAsia="es-ES" w:bidi="en-US"/>
        </w:rPr>
        <w:t xml:space="preserve"> that the State that files this objection must specify the domestic remedies that remain to be exhausted and demonstrate that </w:t>
      </w:r>
      <w:r w:rsidR="009E3F36" w:rsidRPr="007B2402">
        <w:rPr>
          <w:rFonts w:eastAsia="Times New Roman" w:cs="Times New Roman"/>
          <w:szCs w:val="20"/>
          <w:lang w:val="en-US" w:eastAsia="es-ES" w:bidi="en-US"/>
        </w:rPr>
        <w:t>such</w:t>
      </w:r>
      <w:r w:rsidR="0022315C" w:rsidRPr="007B2402">
        <w:rPr>
          <w:rFonts w:eastAsia="Times New Roman" w:cs="Times New Roman"/>
          <w:szCs w:val="20"/>
          <w:lang w:val="en-US" w:eastAsia="es-ES" w:bidi="en-US"/>
        </w:rPr>
        <w:t xml:space="preserve"> remedies are applicable and effective.</w:t>
      </w:r>
      <w:r w:rsidR="003B5FC8" w:rsidRPr="007B2402">
        <w:rPr>
          <w:rFonts w:eastAsia="Times New Roman" w:cs="Times New Roman"/>
          <w:szCs w:val="20"/>
          <w:vertAlign w:val="superscript"/>
          <w:lang w:val="en-US" w:eastAsia="es-ES" w:bidi="en-US"/>
        </w:rPr>
        <w:footnoteReference w:id="26"/>
      </w:r>
    </w:p>
    <w:p w14:paraId="5911510D" w14:textId="77777777" w:rsidR="003B5FC8" w:rsidRPr="007B2402" w:rsidRDefault="003B5FC8" w:rsidP="003B5FC8">
      <w:pPr>
        <w:spacing w:after="0" w:line="240" w:lineRule="auto"/>
        <w:jc w:val="both"/>
        <w:rPr>
          <w:rFonts w:eastAsia="Times New Roman" w:cs="Times New Roman"/>
          <w:szCs w:val="20"/>
          <w:lang w:val="en-US" w:eastAsia="es-ES" w:bidi="en-US"/>
        </w:rPr>
      </w:pPr>
    </w:p>
    <w:p w14:paraId="085F421B" w14:textId="73676ED4" w:rsidR="003B5FC8" w:rsidRPr="007B2402" w:rsidRDefault="00AF4344" w:rsidP="005268A4">
      <w:pPr>
        <w:numPr>
          <w:ilvl w:val="0"/>
          <w:numId w:val="5"/>
        </w:numPr>
        <w:spacing w:after="0" w:line="240" w:lineRule="auto"/>
        <w:contextualSpacing/>
        <w:jc w:val="both"/>
        <w:rPr>
          <w:rFonts w:eastAsia="Times New Roman" w:cs="Times New Roman"/>
          <w:szCs w:val="20"/>
          <w:lang w:val="en-US" w:eastAsia="es-ES" w:bidi="en-US"/>
        </w:rPr>
      </w:pPr>
      <w:r w:rsidRPr="007B2402">
        <w:rPr>
          <w:rFonts w:eastAsia="Times New Roman" w:cs="Times New Roman"/>
          <w:szCs w:val="20"/>
          <w:lang w:val="en-US" w:eastAsia="es-ES" w:bidi="en-US"/>
        </w:rPr>
        <w:t>The Court</w:t>
      </w:r>
      <w:r w:rsidR="003B5FC8" w:rsidRPr="007B2402">
        <w:rPr>
          <w:rFonts w:eastAsia="Times New Roman" w:cs="Times New Roman"/>
          <w:szCs w:val="20"/>
          <w:lang w:val="en-US" w:eastAsia="es-ES" w:bidi="en-US"/>
        </w:rPr>
        <w:t xml:space="preserve"> </w:t>
      </w:r>
      <w:r w:rsidR="0022315C" w:rsidRPr="007B2402">
        <w:rPr>
          <w:rFonts w:eastAsia="Times New Roman" w:cs="Times New Roman"/>
          <w:szCs w:val="20"/>
          <w:lang w:val="en-US" w:eastAsia="es-ES" w:bidi="en-US"/>
        </w:rPr>
        <w:t>has indicated that</w:t>
      </w:r>
      <w:r w:rsidR="003B5FC8" w:rsidRPr="007B2402">
        <w:rPr>
          <w:rFonts w:eastAsia="Times New Roman" w:cs="Times New Roman"/>
          <w:szCs w:val="20"/>
          <w:lang w:val="en-US" w:eastAsia="es-ES" w:bidi="en-US"/>
        </w:rPr>
        <w:t xml:space="preserve"> </w:t>
      </w:r>
      <w:r w:rsidRPr="007B2402">
        <w:rPr>
          <w:rFonts w:eastAsia="Times New Roman" w:cs="Times New Roman"/>
          <w:szCs w:val="20"/>
          <w:lang w:val="en-US" w:eastAsia="es-ES" w:bidi="en-US"/>
        </w:rPr>
        <w:t>Article</w:t>
      </w:r>
      <w:r w:rsidR="003B5FC8" w:rsidRPr="007B2402">
        <w:rPr>
          <w:rFonts w:eastAsia="Times New Roman" w:cs="Times New Roman"/>
          <w:szCs w:val="20"/>
          <w:lang w:val="en-US" w:eastAsia="es-ES" w:bidi="en-US"/>
        </w:rPr>
        <w:t xml:space="preserve"> 46</w:t>
      </w:r>
      <w:r w:rsidR="0022315C" w:rsidRPr="007B2402">
        <w:rPr>
          <w:rFonts w:eastAsia="Times New Roman" w:cs="Times New Roman"/>
          <w:szCs w:val="20"/>
          <w:lang w:val="en-US" w:eastAsia="es-ES" w:bidi="en-US"/>
        </w:rPr>
        <w:t>(</w:t>
      </w:r>
      <w:r w:rsidR="003B5FC8" w:rsidRPr="007B2402">
        <w:rPr>
          <w:rFonts w:eastAsia="Times New Roman" w:cs="Times New Roman"/>
          <w:szCs w:val="20"/>
          <w:lang w:val="en-US" w:eastAsia="es-ES" w:bidi="en-US"/>
        </w:rPr>
        <w:t>1</w:t>
      </w:r>
      <w:r w:rsidR="0022315C" w:rsidRPr="007B2402">
        <w:rPr>
          <w:rFonts w:eastAsia="Times New Roman" w:cs="Times New Roman"/>
          <w:szCs w:val="20"/>
          <w:lang w:val="en-US" w:eastAsia="es-ES" w:bidi="en-US"/>
        </w:rPr>
        <w:t>)(</w:t>
      </w:r>
      <w:r w:rsidR="003B5FC8" w:rsidRPr="007B2402">
        <w:rPr>
          <w:rFonts w:eastAsia="Times New Roman" w:cs="Times New Roman"/>
          <w:szCs w:val="20"/>
          <w:lang w:val="en-US" w:eastAsia="es-ES" w:bidi="en-US"/>
        </w:rPr>
        <w:t>a</w:t>
      </w:r>
      <w:r w:rsidR="0022315C" w:rsidRPr="007B2402">
        <w:rPr>
          <w:rFonts w:eastAsia="Times New Roman" w:cs="Times New Roman"/>
          <w:szCs w:val="20"/>
          <w:lang w:val="en-US" w:eastAsia="es-ES" w:bidi="en-US"/>
        </w:rPr>
        <w:t>)</w:t>
      </w:r>
      <w:r w:rsidRPr="007B2402">
        <w:rPr>
          <w:rFonts w:eastAsia="Times New Roman" w:cs="Times New Roman"/>
          <w:szCs w:val="20"/>
          <w:lang w:val="en-US" w:eastAsia="es-ES" w:bidi="en-US"/>
        </w:rPr>
        <w:t xml:space="preserve"> of the Convention</w:t>
      </w:r>
      <w:r w:rsidR="003B5FC8" w:rsidRPr="007B2402">
        <w:rPr>
          <w:rFonts w:eastAsia="Times New Roman" w:cs="Times New Roman"/>
          <w:szCs w:val="20"/>
          <w:lang w:val="en-US" w:eastAsia="es-ES" w:bidi="en-US"/>
        </w:rPr>
        <w:t xml:space="preserve"> </w:t>
      </w:r>
      <w:r w:rsidR="0022315C" w:rsidRPr="007B2402">
        <w:rPr>
          <w:rFonts w:eastAsia="Times New Roman" w:cs="Times New Roman"/>
          <w:szCs w:val="20"/>
          <w:lang w:val="en-US" w:eastAsia="es-ES" w:bidi="en-US"/>
        </w:rPr>
        <w:t>establishes that</w:t>
      </w:r>
      <w:r w:rsidR="005268A4" w:rsidRPr="007B2402">
        <w:rPr>
          <w:rFonts w:eastAsia="Times New Roman" w:cs="Times New Roman"/>
          <w:szCs w:val="20"/>
          <w:lang w:val="en-US" w:eastAsia="es-ES" w:bidi="en-US"/>
        </w:rPr>
        <w:t>,</w:t>
      </w:r>
      <w:r w:rsidR="009E3F36" w:rsidRPr="007B2402">
        <w:rPr>
          <w:rFonts w:eastAsia="Times New Roman" w:cs="Times New Roman"/>
          <w:szCs w:val="20"/>
          <w:lang w:val="en-US" w:eastAsia="es-ES" w:bidi="en-US"/>
        </w:rPr>
        <w:t xml:space="preserve"> </w:t>
      </w:r>
      <w:r w:rsidR="009E3F36" w:rsidRPr="007B2402">
        <w:rPr>
          <w:rFonts w:eastAsia="Batang" w:cs="Times"/>
          <w:noProof/>
          <w:szCs w:val="24"/>
          <w:lang w:val="en-US" w:eastAsia="es-ES"/>
        </w:rPr>
        <w:t>to determine the admissibility of a petition or communication lodged before the Commission in accordace with Articles 44 or 45 of the Convention, it is necessary that the remedies under domestic law have been pursued and exhausted in accordance with generally recognized principles of international law</w:t>
      </w:r>
      <w:r w:rsidR="009E3F36" w:rsidRPr="007B2402">
        <w:rPr>
          <w:rFonts w:eastAsia="Times New Roman" w:cs="Times New Roman"/>
          <w:szCs w:val="20"/>
          <w:lang w:val="en-US" w:eastAsia="es-ES" w:bidi="en-US"/>
        </w:rPr>
        <w:t>.</w:t>
      </w:r>
      <w:r w:rsidR="003B5FC8" w:rsidRPr="007B2402">
        <w:rPr>
          <w:rFonts w:eastAsia="Times New Roman" w:cs="Times New Roman"/>
          <w:szCs w:val="20"/>
          <w:vertAlign w:val="superscript"/>
          <w:lang w:val="en-US" w:eastAsia="es-ES" w:bidi="en-US"/>
        </w:rPr>
        <w:footnoteReference w:id="27"/>
      </w:r>
    </w:p>
    <w:p w14:paraId="4977CC3E" w14:textId="77777777" w:rsidR="003B5FC8" w:rsidRPr="007B2402" w:rsidRDefault="003B5FC8" w:rsidP="005268A4">
      <w:pPr>
        <w:spacing w:after="0"/>
        <w:contextualSpacing/>
        <w:rPr>
          <w:rFonts w:eastAsia="Times New Roman" w:cs="Times New Roman"/>
          <w:szCs w:val="20"/>
          <w:lang w:val="en-US" w:eastAsia="es-ES" w:bidi="en-US"/>
        </w:rPr>
      </w:pPr>
    </w:p>
    <w:p w14:paraId="13E3367A" w14:textId="1AB961F4" w:rsidR="003B5FC8" w:rsidRPr="007B2402" w:rsidRDefault="009E3F36" w:rsidP="005268A4">
      <w:pPr>
        <w:numPr>
          <w:ilvl w:val="0"/>
          <w:numId w:val="5"/>
        </w:numPr>
        <w:spacing w:after="0" w:line="240" w:lineRule="auto"/>
        <w:contextualSpacing/>
        <w:jc w:val="both"/>
        <w:rPr>
          <w:rFonts w:eastAsia="Times New Roman" w:cs="Times New Roman"/>
          <w:szCs w:val="20"/>
          <w:lang w:val="en-US" w:eastAsia="es-ES" w:bidi="en-US"/>
        </w:rPr>
      </w:pPr>
      <w:r w:rsidRPr="007B2402">
        <w:rPr>
          <w:rFonts w:eastAsia="Times New Roman" w:cs="Times New Roman"/>
          <w:szCs w:val="20"/>
          <w:lang w:val="en-US" w:eastAsia="es-ES" w:bidi="en-US"/>
        </w:rPr>
        <w:t xml:space="preserve">Therefore, during the admissibility stage of a case before </w:t>
      </w:r>
      <w:r w:rsidR="00AF4344" w:rsidRPr="007B2402">
        <w:rPr>
          <w:rFonts w:eastAsia="Times New Roman" w:cs="Times New Roman"/>
          <w:szCs w:val="20"/>
          <w:lang w:val="en-US" w:eastAsia="es-ES" w:bidi="en-US"/>
        </w:rPr>
        <w:t>the Commission</w:t>
      </w:r>
      <w:r w:rsidRPr="007B2402">
        <w:rPr>
          <w:rFonts w:eastAsia="Times New Roman" w:cs="Times New Roman"/>
          <w:szCs w:val="20"/>
          <w:lang w:val="en-US" w:eastAsia="es-ES" w:bidi="en-US"/>
        </w:rPr>
        <w:t>,</w:t>
      </w:r>
      <w:r w:rsidR="003B5FC8" w:rsidRPr="007B2402">
        <w:rPr>
          <w:rFonts w:eastAsia="Times New Roman" w:cs="Times New Roman"/>
          <w:szCs w:val="20"/>
          <w:lang w:val="en-US" w:eastAsia="es-ES" w:bidi="en-US"/>
        </w:rPr>
        <w:t xml:space="preserve"> </w:t>
      </w:r>
      <w:r w:rsidR="00AF4344" w:rsidRPr="007B2402">
        <w:rPr>
          <w:rFonts w:eastAsia="Times New Roman" w:cs="Times New Roman"/>
          <w:szCs w:val="20"/>
          <w:lang w:val="en-US" w:eastAsia="es-ES" w:bidi="en-US"/>
        </w:rPr>
        <w:t>the State</w:t>
      </w:r>
      <w:r w:rsidR="003B5FC8" w:rsidRPr="007B2402">
        <w:rPr>
          <w:rFonts w:eastAsia="Times New Roman" w:cs="Times New Roman"/>
          <w:szCs w:val="20"/>
          <w:lang w:val="en-US" w:eastAsia="es-ES" w:bidi="en-US"/>
        </w:rPr>
        <w:t xml:space="preserve"> </w:t>
      </w:r>
      <w:r w:rsidRPr="007B2402">
        <w:rPr>
          <w:rFonts w:eastAsia="Times New Roman" w:cs="Times New Roman"/>
          <w:szCs w:val="20"/>
          <w:lang w:val="en-US" w:eastAsia="es-ES" w:bidi="en-US"/>
        </w:rPr>
        <w:t>must specify clearly the remedies that, in its opinion, remain to be exhausted in order to safeguard the principle of procedural equality between the parties that should govern any proceeding before the inter-American system.</w:t>
      </w:r>
      <w:r w:rsidR="003B5FC8" w:rsidRPr="007B2402">
        <w:rPr>
          <w:rFonts w:eastAsia="Times New Roman" w:cs="Times New Roman"/>
          <w:szCs w:val="20"/>
          <w:vertAlign w:val="superscript"/>
          <w:lang w:val="en-US" w:eastAsia="es-ES" w:bidi="en-US"/>
        </w:rPr>
        <w:footnoteReference w:id="28"/>
      </w:r>
      <w:r w:rsidR="003B5FC8" w:rsidRPr="007B2402">
        <w:rPr>
          <w:rFonts w:eastAsia="Times New Roman" w:cs="Times New Roman"/>
          <w:szCs w:val="20"/>
          <w:lang w:val="en-US" w:eastAsia="es-ES" w:bidi="en-US"/>
        </w:rPr>
        <w:t xml:space="preserve"> </w:t>
      </w:r>
      <w:r w:rsidRPr="007B2402">
        <w:rPr>
          <w:rFonts w:eastAsia="Times New Roman" w:cs="Times New Roman"/>
          <w:szCs w:val="20"/>
          <w:lang w:val="en-US" w:eastAsia="es-ES" w:bidi="en-US"/>
        </w:rPr>
        <w:t>As</w:t>
      </w:r>
      <w:r w:rsidR="003B5FC8" w:rsidRPr="007B2402">
        <w:rPr>
          <w:rFonts w:eastAsia="Times New Roman" w:cs="Times New Roman"/>
          <w:szCs w:val="20"/>
          <w:lang w:val="en-US" w:eastAsia="es-ES" w:bidi="en-US"/>
        </w:rPr>
        <w:t xml:space="preserve"> </w:t>
      </w:r>
      <w:r w:rsidR="00AF4344" w:rsidRPr="007B2402">
        <w:rPr>
          <w:rFonts w:eastAsia="Times New Roman" w:cs="Times New Roman"/>
          <w:szCs w:val="20"/>
          <w:lang w:val="en-US" w:eastAsia="es-ES" w:bidi="en-US"/>
        </w:rPr>
        <w:t>the Court</w:t>
      </w:r>
      <w:r w:rsidR="003B5FC8" w:rsidRPr="007B2402">
        <w:rPr>
          <w:rFonts w:eastAsia="Times New Roman" w:cs="Times New Roman"/>
          <w:szCs w:val="20"/>
          <w:lang w:val="en-US" w:eastAsia="es-ES" w:bidi="en-US"/>
        </w:rPr>
        <w:t xml:space="preserve"> ha</w:t>
      </w:r>
      <w:r w:rsidRPr="007B2402">
        <w:rPr>
          <w:rFonts w:eastAsia="Times New Roman" w:cs="Times New Roman"/>
          <w:szCs w:val="20"/>
          <w:lang w:val="en-US" w:eastAsia="es-ES" w:bidi="en-US"/>
        </w:rPr>
        <w:t>s</w:t>
      </w:r>
      <w:r w:rsidR="003B5FC8" w:rsidRPr="007B2402">
        <w:rPr>
          <w:rFonts w:eastAsia="Times New Roman" w:cs="Times New Roman"/>
          <w:szCs w:val="20"/>
          <w:lang w:val="en-US" w:eastAsia="es-ES" w:bidi="en-US"/>
        </w:rPr>
        <w:t xml:space="preserve"> establ</w:t>
      </w:r>
      <w:r w:rsidRPr="007B2402">
        <w:rPr>
          <w:rFonts w:eastAsia="Times New Roman" w:cs="Times New Roman"/>
          <w:szCs w:val="20"/>
          <w:lang w:val="en-US" w:eastAsia="es-ES" w:bidi="en-US"/>
        </w:rPr>
        <w:t xml:space="preserve">ished repeatedly, </w:t>
      </w:r>
      <w:r w:rsidRPr="007B2402">
        <w:rPr>
          <w:rFonts w:eastAsia="Batang" w:cs="Times"/>
          <w:noProof/>
          <w:szCs w:val="24"/>
          <w:lang w:val="en-US" w:eastAsia="es-ES"/>
        </w:rPr>
        <w:t xml:space="preserve">it is not the task of either the Court or the Commission to identify </w:t>
      </w:r>
      <w:r w:rsidRPr="007B2402">
        <w:rPr>
          <w:rFonts w:eastAsia="Batang" w:cs="Times"/>
          <w:i/>
          <w:noProof/>
          <w:szCs w:val="24"/>
          <w:lang w:val="en-US" w:eastAsia="es-ES"/>
        </w:rPr>
        <w:t>ex officio</w:t>
      </w:r>
      <w:r w:rsidRPr="007B2402">
        <w:rPr>
          <w:rFonts w:eastAsia="Batang" w:cs="Times"/>
          <w:noProof/>
          <w:szCs w:val="24"/>
          <w:lang w:val="en-US" w:eastAsia="es-ES"/>
        </w:rPr>
        <w:t xml:space="preserve"> the domestic remedies that remain to be exhausted, because it is not incumbent on the international organs to rectify the lack of precision of the State’s arguments</w:t>
      </w:r>
      <w:r w:rsidR="00043F88" w:rsidRPr="007B2402">
        <w:rPr>
          <w:rFonts w:eastAsia="Times New Roman" w:cs="Times New Roman"/>
          <w:szCs w:val="20"/>
          <w:lang w:val="en-US" w:eastAsia="es-ES" w:bidi="en-US"/>
        </w:rPr>
        <w:t>.</w:t>
      </w:r>
      <w:r w:rsidR="003B5FC8" w:rsidRPr="007B2402">
        <w:rPr>
          <w:rFonts w:eastAsia="Times New Roman" w:cs="Times New Roman"/>
          <w:szCs w:val="20"/>
          <w:vertAlign w:val="superscript"/>
          <w:lang w:val="en-US" w:eastAsia="es-ES" w:bidi="en-US"/>
        </w:rPr>
        <w:footnoteReference w:id="29"/>
      </w:r>
      <w:r w:rsidR="003B5FC8" w:rsidRPr="007B2402">
        <w:rPr>
          <w:rFonts w:eastAsia="Times New Roman" w:cs="Times New Roman"/>
          <w:szCs w:val="20"/>
          <w:lang w:val="en-US" w:eastAsia="es-ES" w:bidi="en-US"/>
        </w:rPr>
        <w:t xml:space="preserve"> </w:t>
      </w:r>
      <w:r w:rsidR="00043F88" w:rsidRPr="007B2402">
        <w:rPr>
          <w:rFonts w:eastAsia="Batang" w:cs="Times"/>
          <w:noProof/>
          <w:szCs w:val="24"/>
          <w:lang w:val="en-US" w:eastAsia="es-ES"/>
        </w:rPr>
        <w:t>Furthermore, the arguments that give content to the preliminary objection filed by the State before the Commission at the admissibility stage should correspond to those submitted to the Court.</w:t>
      </w:r>
      <w:r w:rsidR="003B5FC8" w:rsidRPr="007B2402">
        <w:rPr>
          <w:rFonts w:eastAsia="Times New Roman" w:cs="Times New Roman"/>
          <w:szCs w:val="20"/>
          <w:vertAlign w:val="superscript"/>
          <w:lang w:val="en-US" w:eastAsia="es-ES" w:bidi="en-US"/>
        </w:rPr>
        <w:footnoteReference w:id="30"/>
      </w:r>
    </w:p>
    <w:p w14:paraId="0EAD9288" w14:textId="77777777" w:rsidR="003B5FC8" w:rsidRPr="007B2402" w:rsidRDefault="003B5FC8" w:rsidP="005268A4">
      <w:pPr>
        <w:spacing w:after="0"/>
        <w:contextualSpacing/>
        <w:rPr>
          <w:rFonts w:eastAsia="Times New Roman" w:cs="Times New Roman"/>
          <w:szCs w:val="20"/>
          <w:lang w:val="en-US" w:eastAsia="es-ES" w:bidi="en-US"/>
        </w:rPr>
      </w:pPr>
    </w:p>
    <w:p w14:paraId="33DB2554" w14:textId="666BD609" w:rsidR="003B5FC8" w:rsidRPr="007B2402" w:rsidRDefault="00AF4344" w:rsidP="005268A4">
      <w:pPr>
        <w:numPr>
          <w:ilvl w:val="0"/>
          <w:numId w:val="5"/>
        </w:numPr>
        <w:spacing w:after="0" w:line="240" w:lineRule="auto"/>
        <w:contextualSpacing/>
        <w:jc w:val="both"/>
        <w:rPr>
          <w:rFonts w:eastAsia="Times New Roman" w:cs="Times New Roman"/>
          <w:szCs w:val="20"/>
          <w:lang w:val="en-US" w:eastAsia="es-ES" w:bidi="en-US"/>
        </w:rPr>
      </w:pPr>
      <w:r w:rsidRPr="007B2402">
        <w:rPr>
          <w:rFonts w:eastAsia="Times New Roman" w:cs="Times New Roman"/>
          <w:szCs w:val="20"/>
          <w:lang w:val="en-US" w:eastAsia="es-ES" w:bidi="en-US"/>
        </w:rPr>
        <w:t>The Court</w:t>
      </w:r>
      <w:r w:rsidR="003B5FC8" w:rsidRPr="007B2402">
        <w:rPr>
          <w:rFonts w:eastAsia="Times New Roman" w:cs="Times New Roman"/>
          <w:szCs w:val="20"/>
          <w:lang w:val="en-US" w:eastAsia="es-ES" w:bidi="en-US"/>
        </w:rPr>
        <w:t xml:space="preserve"> </w:t>
      </w:r>
      <w:r w:rsidR="00043F88" w:rsidRPr="007B2402">
        <w:rPr>
          <w:rFonts w:eastAsia="Times New Roman" w:cs="Times New Roman"/>
          <w:szCs w:val="20"/>
          <w:lang w:val="en-US" w:eastAsia="es-ES" w:bidi="en-US"/>
        </w:rPr>
        <w:t xml:space="preserve">notes that these </w:t>
      </w:r>
      <w:r w:rsidR="005268A4" w:rsidRPr="007B2402">
        <w:rPr>
          <w:rFonts w:eastAsia="Times New Roman" w:cs="Times New Roman"/>
          <w:szCs w:val="20"/>
          <w:lang w:val="en-US" w:eastAsia="es-ES" w:bidi="en-US"/>
        </w:rPr>
        <w:t>requirements</w:t>
      </w:r>
      <w:r w:rsidR="00043F88" w:rsidRPr="007B2402">
        <w:rPr>
          <w:rFonts w:eastAsia="Times New Roman" w:cs="Times New Roman"/>
          <w:szCs w:val="20"/>
          <w:lang w:val="en-US" w:eastAsia="es-ES" w:bidi="en-US"/>
        </w:rPr>
        <w:t xml:space="preserve"> haves not been </w:t>
      </w:r>
      <w:r w:rsidR="005268A4" w:rsidRPr="007B2402">
        <w:rPr>
          <w:rFonts w:eastAsia="Times New Roman" w:cs="Times New Roman"/>
          <w:szCs w:val="20"/>
          <w:lang w:val="en-US" w:eastAsia="es-ES" w:bidi="en-US"/>
        </w:rPr>
        <w:t>met</w:t>
      </w:r>
      <w:r w:rsidR="00043F88" w:rsidRPr="007B2402">
        <w:rPr>
          <w:rFonts w:eastAsia="Times New Roman" w:cs="Times New Roman"/>
          <w:szCs w:val="20"/>
          <w:lang w:val="en-US" w:eastAsia="es-ES" w:bidi="en-US"/>
        </w:rPr>
        <w:t xml:space="preserve"> in this case. In other words, the State has presented different arguments at the admissibility stage before </w:t>
      </w:r>
      <w:r w:rsidRPr="007B2402">
        <w:rPr>
          <w:rFonts w:eastAsia="Times New Roman" w:cs="Times New Roman"/>
          <w:szCs w:val="20"/>
          <w:lang w:val="en-US" w:eastAsia="es-ES" w:bidi="en-US"/>
        </w:rPr>
        <w:t>the Commission</w:t>
      </w:r>
      <w:r w:rsidR="005B1590" w:rsidRPr="007B2402">
        <w:rPr>
          <w:rFonts w:eastAsia="Times New Roman" w:cs="Times New Roman"/>
          <w:szCs w:val="20"/>
          <w:lang w:val="en-US" w:eastAsia="es-ES" w:bidi="en-US"/>
        </w:rPr>
        <w:t xml:space="preserve"> and </w:t>
      </w:r>
      <w:r w:rsidR="00043F88" w:rsidRPr="007B2402">
        <w:rPr>
          <w:rFonts w:eastAsia="Times New Roman" w:cs="Times New Roman"/>
          <w:szCs w:val="20"/>
          <w:lang w:val="en-US" w:eastAsia="es-ES" w:bidi="en-US"/>
        </w:rPr>
        <w:t>in the</w:t>
      </w:r>
      <w:r w:rsidR="003B5FC8" w:rsidRPr="007B2402">
        <w:rPr>
          <w:rFonts w:eastAsia="Times New Roman" w:cs="Times New Roman"/>
          <w:szCs w:val="20"/>
          <w:lang w:val="en-US" w:eastAsia="es-ES" w:bidi="en-US"/>
        </w:rPr>
        <w:t xml:space="preserve"> </w:t>
      </w:r>
      <w:r w:rsidR="006E2CFF" w:rsidRPr="007B2402">
        <w:rPr>
          <w:rFonts w:eastAsia="Times New Roman" w:cs="Times New Roman"/>
          <w:szCs w:val="20"/>
          <w:lang w:val="en-US" w:eastAsia="es-ES" w:bidi="en-US"/>
        </w:rPr>
        <w:t>preliminary objection</w:t>
      </w:r>
      <w:r w:rsidR="003B5FC8" w:rsidRPr="007B2402">
        <w:rPr>
          <w:rFonts w:eastAsia="Times New Roman" w:cs="Times New Roman"/>
          <w:szCs w:val="20"/>
          <w:lang w:val="en-US" w:eastAsia="es-ES" w:bidi="en-US"/>
        </w:rPr>
        <w:t xml:space="preserve"> </w:t>
      </w:r>
      <w:r w:rsidR="00043F88" w:rsidRPr="007B2402">
        <w:rPr>
          <w:rFonts w:eastAsia="Times New Roman" w:cs="Times New Roman"/>
          <w:szCs w:val="20"/>
          <w:lang w:val="en-US" w:eastAsia="es-ES" w:bidi="en-US"/>
        </w:rPr>
        <w:t>filed before</w:t>
      </w:r>
      <w:r w:rsidR="003B5FC8" w:rsidRPr="007B2402">
        <w:rPr>
          <w:rFonts w:eastAsia="Times New Roman" w:cs="Times New Roman"/>
          <w:szCs w:val="20"/>
          <w:lang w:val="en-US" w:eastAsia="es-ES" w:bidi="en-US"/>
        </w:rPr>
        <w:t xml:space="preserve"> </w:t>
      </w:r>
      <w:r w:rsidRPr="007B2402">
        <w:rPr>
          <w:rFonts w:eastAsia="Times New Roman" w:cs="Times New Roman"/>
          <w:szCs w:val="20"/>
          <w:lang w:val="en-US" w:eastAsia="es-ES" w:bidi="en-US"/>
        </w:rPr>
        <w:t>the Cour</w:t>
      </w:r>
      <w:r w:rsidR="00043F88" w:rsidRPr="007B2402">
        <w:rPr>
          <w:rFonts w:eastAsia="Times New Roman" w:cs="Times New Roman"/>
          <w:szCs w:val="20"/>
          <w:lang w:val="en-US" w:eastAsia="es-ES" w:bidi="en-US"/>
        </w:rPr>
        <w:t>t.</w:t>
      </w:r>
      <w:r w:rsidR="003B5FC8" w:rsidRPr="007B2402">
        <w:rPr>
          <w:rFonts w:eastAsia="Times New Roman" w:cs="Times New Roman"/>
          <w:szCs w:val="20"/>
          <w:vertAlign w:val="superscript"/>
          <w:lang w:val="en-US" w:eastAsia="es-ES" w:bidi="en-US"/>
        </w:rPr>
        <w:footnoteReference w:id="31"/>
      </w:r>
      <w:r w:rsidR="00043F88" w:rsidRPr="007B2402">
        <w:rPr>
          <w:rFonts w:eastAsia="Times New Roman" w:cs="Times New Roman"/>
          <w:szCs w:val="20"/>
          <w:lang w:val="en-US" w:eastAsia="es-ES" w:bidi="en-US"/>
        </w:rPr>
        <w:t xml:space="preserve"> The Court also notes that, in its first communication to </w:t>
      </w:r>
      <w:r w:rsidRPr="007B2402">
        <w:rPr>
          <w:rFonts w:eastAsia="Times New Roman" w:cs="Times New Roman"/>
          <w:szCs w:val="20"/>
          <w:lang w:val="en-US" w:eastAsia="es-ES" w:bidi="en-US"/>
        </w:rPr>
        <w:t>the Commission</w:t>
      </w:r>
      <w:r w:rsidR="00537846" w:rsidRPr="007B2402">
        <w:rPr>
          <w:rFonts w:eastAsia="Times New Roman" w:cs="Times New Roman"/>
          <w:szCs w:val="20"/>
          <w:lang w:val="en-US" w:eastAsia="es-ES" w:bidi="en-US"/>
        </w:rPr>
        <w:t xml:space="preserve">, </w:t>
      </w:r>
      <w:r w:rsidRPr="007B2402">
        <w:rPr>
          <w:rFonts w:eastAsia="Times New Roman" w:cs="Times New Roman"/>
          <w:szCs w:val="20"/>
          <w:lang w:val="en-US" w:eastAsia="es-ES" w:bidi="en-US"/>
        </w:rPr>
        <w:t>the State</w:t>
      </w:r>
      <w:r w:rsidR="00537846" w:rsidRPr="007B2402">
        <w:rPr>
          <w:rFonts w:eastAsia="Times New Roman" w:cs="Times New Roman"/>
          <w:szCs w:val="20"/>
          <w:lang w:val="en-US" w:eastAsia="es-ES" w:bidi="en-US"/>
        </w:rPr>
        <w:t xml:space="preserve"> </w:t>
      </w:r>
      <w:r w:rsidR="00043F88" w:rsidRPr="007B2402">
        <w:rPr>
          <w:rFonts w:eastAsia="Times New Roman" w:cs="Times New Roman"/>
          <w:szCs w:val="20"/>
          <w:lang w:val="en-US" w:eastAsia="es-ES" w:bidi="en-US"/>
        </w:rPr>
        <w:t>did not file this objection and its submission to the Court is time-barred</w:t>
      </w:r>
      <w:r w:rsidR="00537846" w:rsidRPr="007B2402">
        <w:rPr>
          <w:rFonts w:eastAsia="Times New Roman" w:cs="Times New Roman"/>
          <w:szCs w:val="20"/>
          <w:lang w:val="en-US" w:eastAsia="es-ES" w:bidi="en-US"/>
        </w:rPr>
        <w:t>.</w:t>
      </w:r>
      <w:r w:rsidR="003B5FC8" w:rsidRPr="007B2402">
        <w:rPr>
          <w:rFonts w:eastAsia="Times New Roman" w:cs="Times New Roman"/>
          <w:szCs w:val="20"/>
          <w:lang w:val="en-US" w:eastAsia="es-ES" w:bidi="en-US"/>
        </w:rPr>
        <w:t xml:space="preserve"> </w:t>
      </w:r>
    </w:p>
    <w:p w14:paraId="7933CAA6" w14:textId="77777777" w:rsidR="003B5FC8" w:rsidRPr="007B2402" w:rsidRDefault="003B5FC8" w:rsidP="005268A4">
      <w:pPr>
        <w:spacing w:after="0"/>
        <w:contextualSpacing/>
        <w:rPr>
          <w:rFonts w:eastAsia="Times New Roman" w:cs="Times New Roman"/>
          <w:szCs w:val="20"/>
          <w:lang w:val="en-US" w:eastAsia="es-ES" w:bidi="en-US"/>
        </w:rPr>
      </w:pPr>
    </w:p>
    <w:p w14:paraId="52F238EA" w14:textId="3968EF80" w:rsidR="003B5FC8" w:rsidRPr="007B2402" w:rsidRDefault="00043F88" w:rsidP="005268A4">
      <w:pPr>
        <w:numPr>
          <w:ilvl w:val="0"/>
          <w:numId w:val="5"/>
        </w:numPr>
        <w:spacing w:after="0" w:line="240" w:lineRule="auto"/>
        <w:contextualSpacing/>
        <w:jc w:val="both"/>
        <w:rPr>
          <w:rFonts w:eastAsia="Calibri" w:cs="Times New Roman"/>
          <w:bCs/>
          <w:szCs w:val="20"/>
          <w:lang w:val="en-US"/>
        </w:rPr>
      </w:pPr>
      <w:r w:rsidRPr="007B2402">
        <w:rPr>
          <w:rFonts w:eastAsia="Calibri" w:cs="Times New Roman"/>
          <w:bCs/>
          <w:szCs w:val="20"/>
          <w:lang w:val="en-US"/>
        </w:rPr>
        <w:t xml:space="preserve">Based on the foregoing, the Court rejects the objection filed by the State considering it inadmissible. </w:t>
      </w:r>
    </w:p>
    <w:p w14:paraId="317E5787" w14:textId="77777777" w:rsidR="003B5FC8" w:rsidRPr="007B2402" w:rsidRDefault="003B5FC8" w:rsidP="005268A4">
      <w:pPr>
        <w:spacing w:after="0" w:line="240" w:lineRule="auto"/>
        <w:contextualSpacing/>
        <w:jc w:val="both"/>
        <w:rPr>
          <w:rFonts w:eastAsia="Calibri" w:cs="Times New Roman"/>
          <w:b/>
          <w:szCs w:val="20"/>
          <w:lang w:val="en-US"/>
        </w:rPr>
      </w:pPr>
    </w:p>
    <w:p w14:paraId="56F0ACCF" w14:textId="65FE4CB2" w:rsidR="00D16A5B" w:rsidRPr="007B2402" w:rsidRDefault="00043F88" w:rsidP="005268A4">
      <w:pPr>
        <w:keepNext/>
        <w:keepLines/>
        <w:numPr>
          <w:ilvl w:val="0"/>
          <w:numId w:val="9"/>
        </w:numPr>
        <w:spacing w:after="0" w:line="240" w:lineRule="auto"/>
        <w:ind w:left="0" w:firstLine="0"/>
        <w:contextualSpacing/>
        <w:jc w:val="both"/>
        <w:outlineLvl w:val="1"/>
        <w:rPr>
          <w:rFonts w:eastAsia="Calibri" w:cs="Times New Roman"/>
          <w:i/>
          <w:szCs w:val="20"/>
          <w:lang w:val="en-US"/>
        </w:rPr>
      </w:pPr>
      <w:bookmarkStart w:id="82" w:name="_Toc506984084"/>
      <w:r w:rsidRPr="007B2402">
        <w:rPr>
          <w:rFonts w:eastAsia="Calibri" w:cs="Times New Roman"/>
          <w:b/>
          <w:i/>
          <w:szCs w:val="20"/>
          <w:lang w:val="en-US"/>
        </w:rPr>
        <w:t xml:space="preserve">Failure to comply with the time </w:t>
      </w:r>
      <w:r w:rsidR="007462A7" w:rsidRPr="007B2402">
        <w:rPr>
          <w:rFonts w:eastAsia="Calibri" w:cs="Times New Roman"/>
          <w:b/>
          <w:i/>
          <w:szCs w:val="20"/>
          <w:lang w:val="en-US"/>
        </w:rPr>
        <w:t>limit</w:t>
      </w:r>
      <w:r w:rsidRPr="007B2402">
        <w:rPr>
          <w:rFonts w:eastAsia="Calibri" w:cs="Times New Roman"/>
          <w:b/>
          <w:i/>
          <w:szCs w:val="20"/>
          <w:lang w:val="en-US"/>
        </w:rPr>
        <w:t xml:space="preserve"> for lodging a petition before </w:t>
      </w:r>
      <w:r w:rsidR="00AF4344" w:rsidRPr="007B2402">
        <w:rPr>
          <w:rFonts w:eastAsia="Calibri" w:cs="Times New Roman"/>
          <w:b/>
          <w:i/>
          <w:szCs w:val="20"/>
          <w:lang w:val="en-US"/>
        </w:rPr>
        <w:t>the Commission</w:t>
      </w:r>
      <w:bookmarkEnd w:id="82"/>
      <w:r w:rsidR="00D16A5B" w:rsidRPr="007B2402">
        <w:rPr>
          <w:rFonts w:eastAsia="Calibri" w:cs="Times New Roman"/>
          <w:b/>
          <w:i/>
          <w:szCs w:val="20"/>
          <w:lang w:val="en-US"/>
        </w:rPr>
        <w:t xml:space="preserve"> </w:t>
      </w:r>
    </w:p>
    <w:p w14:paraId="6A226813" w14:textId="77777777" w:rsidR="00D16A5B" w:rsidRPr="007B2402" w:rsidRDefault="00D16A5B" w:rsidP="005268A4">
      <w:pPr>
        <w:spacing w:after="0" w:line="240" w:lineRule="auto"/>
        <w:contextualSpacing/>
        <w:jc w:val="both"/>
        <w:rPr>
          <w:rFonts w:eastAsia="Calibri" w:cs="Times New Roman"/>
          <w:b/>
          <w:i/>
          <w:szCs w:val="20"/>
          <w:lang w:val="en-US"/>
        </w:rPr>
      </w:pPr>
    </w:p>
    <w:p w14:paraId="44FF89CD" w14:textId="0056DBDE" w:rsidR="00D16A5B" w:rsidRPr="007B2402" w:rsidRDefault="00D16A5B" w:rsidP="005268A4">
      <w:pPr>
        <w:keepNext/>
        <w:keepLines/>
        <w:spacing w:after="0" w:line="240" w:lineRule="auto"/>
        <w:ind w:left="426"/>
        <w:contextualSpacing/>
        <w:jc w:val="both"/>
        <w:outlineLvl w:val="2"/>
        <w:rPr>
          <w:rFonts w:eastAsia="Calibri" w:cs="Times New Roman"/>
          <w:szCs w:val="20"/>
          <w:lang w:val="en-US"/>
        </w:rPr>
      </w:pPr>
      <w:bookmarkStart w:id="83" w:name="_Toc506984085"/>
      <w:r w:rsidRPr="007B2402">
        <w:rPr>
          <w:rFonts w:eastAsia="Calibri" w:cs="Times New Roman"/>
          <w:i/>
          <w:szCs w:val="20"/>
          <w:lang w:val="en-US"/>
        </w:rPr>
        <w:t xml:space="preserve">D.1. </w:t>
      </w:r>
      <w:r w:rsidR="002761AC" w:rsidRPr="007B2402">
        <w:rPr>
          <w:rFonts w:eastAsia="Calibri" w:cs="Times New Roman"/>
          <w:i/>
          <w:szCs w:val="20"/>
          <w:lang w:val="en-US" w:eastAsia="es-ES" w:bidi="en-US"/>
        </w:rPr>
        <w:t>Arguments</w:t>
      </w:r>
      <w:r w:rsidR="006E2CFF" w:rsidRPr="007B2402">
        <w:rPr>
          <w:rFonts w:eastAsia="Calibri" w:cs="Times New Roman"/>
          <w:i/>
          <w:szCs w:val="20"/>
          <w:lang w:val="en-US"/>
        </w:rPr>
        <w:t xml:space="preserve"> of the </w:t>
      </w:r>
      <w:r w:rsidR="00AF4344" w:rsidRPr="007B2402">
        <w:rPr>
          <w:rFonts w:eastAsia="Calibri" w:cs="Times New Roman"/>
          <w:i/>
          <w:szCs w:val="20"/>
          <w:lang w:val="en-US"/>
        </w:rPr>
        <w:t>State</w:t>
      </w:r>
      <w:r w:rsidRPr="007B2402">
        <w:rPr>
          <w:rFonts w:eastAsia="Calibri" w:cs="Times New Roman"/>
          <w:i/>
          <w:szCs w:val="20"/>
          <w:lang w:val="en-US"/>
        </w:rPr>
        <w:t xml:space="preserve">, </w:t>
      </w:r>
      <w:r w:rsidR="002761AC" w:rsidRPr="007B2402">
        <w:rPr>
          <w:rFonts w:eastAsia="Calibri" w:cs="Times New Roman"/>
          <w:i/>
          <w:szCs w:val="20"/>
          <w:lang w:val="en-US"/>
        </w:rPr>
        <w:t>observations</w:t>
      </w:r>
      <w:r w:rsidR="005B1590" w:rsidRPr="007B2402">
        <w:rPr>
          <w:rFonts w:eastAsia="Calibri" w:cs="Times New Roman"/>
          <w:i/>
          <w:szCs w:val="20"/>
          <w:lang w:val="en-US"/>
        </w:rPr>
        <w:t xml:space="preserve"> of the </w:t>
      </w:r>
      <w:r w:rsidR="00AF4344" w:rsidRPr="007B2402">
        <w:rPr>
          <w:rFonts w:eastAsia="Calibri" w:cs="Times New Roman"/>
          <w:i/>
          <w:szCs w:val="20"/>
          <w:lang w:val="en-US"/>
        </w:rPr>
        <w:t>Commission</w:t>
      </w:r>
      <w:r w:rsidR="005B1590" w:rsidRPr="007B2402">
        <w:rPr>
          <w:rFonts w:eastAsia="Calibri" w:cs="Times New Roman"/>
          <w:i/>
          <w:szCs w:val="20"/>
          <w:lang w:val="en-US"/>
        </w:rPr>
        <w:t xml:space="preserve"> and of the representatives</w:t>
      </w:r>
      <w:bookmarkEnd w:id="83"/>
    </w:p>
    <w:p w14:paraId="1A5662B4" w14:textId="77777777" w:rsidR="00D16A5B" w:rsidRPr="007B2402" w:rsidRDefault="00D16A5B" w:rsidP="00D16A5B">
      <w:pPr>
        <w:spacing w:after="0" w:line="240" w:lineRule="auto"/>
        <w:jc w:val="both"/>
        <w:rPr>
          <w:rFonts w:eastAsia="Calibri" w:cs="Times New Roman"/>
          <w:szCs w:val="20"/>
          <w:lang w:val="en-US"/>
        </w:rPr>
      </w:pPr>
    </w:p>
    <w:p w14:paraId="07D6DCF1" w14:textId="2BF9984C" w:rsidR="00FA6E0A" w:rsidRPr="007B2402" w:rsidRDefault="00AF4344" w:rsidP="00D16A5B">
      <w:pPr>
        <w:numPr>
          <w:ilvl w:val="0"/>
          <w:numId w:val="5"/>
        </w:numPr>
        <w:spacing w:after="0" w:line="240" w:lineRule="auto"/>
        <w:contextualSpacing/>
        <w:jc w:val="both"/>
        <w:rPr>
          <w:rFonts w:eastAsia="Batang" w:cs="Times"/>
          <w:b/>
          <w:szCs w:val="20"/>
          <w:lang w:val="en-US" w:eastAsia="es-ES"/>
        </w:rPr>
      </w:pPr>
      <w:r w:rsidRPr="007B2402">
        <w:rPr>
          <w:rFonts w:eastAsia="Calibri" w:cs="Times New Roman"/>
          <w:szCs w:val="20"/>
          <w:lang w:val="en-US"/>
        </w:rPr>
        <w:t xml:space="preserve">The </w:t>
      </w:r>
      <w:r w:rsidRPr="007B2402">
        <w:rPr>
          <w:rFonts w:eastAsia="Calibri" w:cs="Times New Roman"/>
          <w:b/>
          <w:i/>
          <w:szCs w:val="20"/>
          <w:lang w:val="en-US"/>
        </w:rPr>
        <w:t>State</w:t>
      </w:r>
      <w:r w:rsidR="00D16A5B" w:rsidRPr="007B2402">
        <w:rPr>
          <w:rFonts w:eastAsia="Calibri" w:cs="Times New Roman"/>
          <w:szCs w:val="20"/>
          <w:lang w:val="en-US"/>
        </w:rPr>
        <w:t xml:space="preserve"> </w:t>
      </w:r>
      <w:r w:rsidR="00D16A5B" w:rsidRPr="007B2402">
        <w:rPr>
          <w:rFonts w:eastAsia="Batang" w:cs="Times"/>
          <w:szCs w:val="20"/>
          <w:lang w:val="en-US" w:eastAsia="es-ES"/>
        </w:rPr>
        <w:t>indic</w:t>
      </w:r>
      <w:r w:rsidR="00043F88" w:rsidRPr="007B2402">
        <w:rPr>
          <w:rFonts w:eastAsia="Batang" w:cs="Times"/>
          <w:szCs w:val="20"/>
          <w:lang w:val="en-US" w:eastAsia="es-ES"/>
        </w:rPr>
        <w:t>ated that</w:t>
      </w:r>
      <w:r w:rsidR="00D16A5B" w:rsidRPr="007B2402">
        <w:rPr>
          <w:rFonts w:eastAsia="Batang" w:cs="Times"/>
          <w:szCs w:val="20"/>
          <w:lang w:val="en-US" w:eastAsia="es-ES"/>
        </w:rPr>
        <w:t xml:space="preserve"> </w:t>
      </w:r>
      <w:r w:rsidRPr="007B2402">
        <w:rPr>
          <w:rFonts w:eastAsia="Batang" w:cs="Times"/>
          <w:szCs w:val="20"/>
          <w:lang w:val="en-US" w:eastAsia="es-ES"/>
        </w:rPr>
        <w:t>the American Convention</w:t>
      </w:r>
      <w:r w:rsidR="00D16A5B" w:rsidRPr="007B2402">
        <w:rPr>
          <w:rFonts w:eastAsia="Batang" w:cs="Times"/>
          <w:szCs w:val="20"/>
          <w:lang w:val="en-US" w:eastAsia="es-ES"/>
        </w:rPr>
        <w:t xml:space="preserve"> </w:t>
      </w:r>
      <w:r w:rsidR="00043F88" w:rsidRPr="007B2402">
        <w:rPr>
          <w:rFonts w:eastAsia="Batang" w:cs="Times"/>
          <w:szCs w:val="20"/>
          <w:lang w:val="en-US" w:eastAsia="es-ES"/>
        </w:rPr>
        <w:t>establishe</w:t>
      </w:r>
      <w:r w:rsidR="009F2F20" w:rsidRPr="007B2402">
        <w:rPr>
          <w:rFonts w:eastAsia="Batang" w:cs="Times"/>
          <w:szCs w:val="20"/>
          <w:lang w:val="en-US" w:eastAsia="es-ES"/>
        </w:rPr>
        <w:t>d</w:t>
      </w:r>
      <w:r w:rsidR="00043F88" w:rsidRPr="007B2402">
        <w:rPr>
          <w:rFonts w:eastAsia="Batang" w:cs="Times"/>
          <w:szCs w:val="20"/>
          <w:lang w:val="en-US" w:eastAsia="es-ES"/>
        </w:rPr>
        <w:t xml:space="preserve"> that the petition must be lodged before </w:t>
      </w:r>
      <w:r w:rsidRPr="007B2402">
        <w:rPr>
          <w:rFonts w:eastAsia="Batang" w:cs="Times"/>
          <w:szCs w:val="20"/>
          <w:lang w:val="en-US" w:eastAsia="es-ES"/>
        </w:rPr>
        <w:t>the Commission</w:t>
      </w:r>
      <w:r w:rsidR="00D16A5B" w:rsidRPr="007B2402">
        <w:rPr>
          <w:rFonts w:eastAsia="Batang" w:cs="Times"/>
          <w:szCs w:val="20"/>
          <w:lang w:val="en-US" w:eastAsia="es-ES"/>
        </w:rPr>
        <w:t xml:space="preserve"> </w:t>
      </w:r>
      <w:r w:rsidR="00043F88" w:rsidRPr="007B2402">
        <w:rPr>
          <w:rFonts w:eastAsia="Batang" w:cs="Times"/>
          <w:szCs w:val="20"/>
          <w:lang w:val="en-US" w:eastAsia="es-ES"/>
        </w:rPr>
        <w:t xml:space="preserve">six months after the exhaustion of the domestic remedies. Exceptionally, when this time </w:t>
      </w:r>
      <w:r w:rsidR="009F2F20" w:rsidRPr="007B2402">
        <w:rPr>
          <w:rFonts w:eastAsia="Batang" w:cs="Times"/>
          <w:szCs w:val="20"/>
          <w:lang w:val="en-US" w:eastAsia="es-ES"/>
        </w:rPr>
        <w:t>limit</w:t>
      </w:r>
      <w:r w:rsidR="00043F88" w:rsidRPr="007B2402">
        <w:rPr>
          <w:rFonts w:eastAsia="Batang" w:cs="Times"/>
          <w:szCs w:val="20"/>
          <w:lang w:val="en-US" w:eastAsia="es-ES"/>
        </w:rPr>
        <w:t xml:space="preserve"> is not ap</w:t>
      </w:r>
      <w:r w:rsidR="00FA6E0A" w:rsidRPr="007B2402">
        <w:rPr>
          <w:rFonts w:eastAsia="Batang" w:cs="Times"/>
          <w:szCs w:val="20"/>
          <w:lang w:val="en-US" w:eastAsia="es-ES"/>
        </w:rPr>
        <w:t>p</w:t>
      </w:r>
      <w:r w:rsidR="00043F88" w:rsidRPr="007B2402">
        <w:rPr>
          <w:rFonts w:eastAsia="Batang" w:cs="Times"/>
          <w:szCs w:val="20"/>
          <w:lang w:val="en-US" w:eastAsia="es-ES"/>
        </w:rPr>
        <w:t>licable, the petition must</w:t>
      </w:r>
      <w:r w:rsidR="00FA6E0A" w:rsidRPr="007B2402">
        <w:rPr>
          <w:rFonts w:eastAsia="Batang" w:cs="Times"/>
          <w:szCs w:val="20"/>
          <w:lang w:val="en-US" w:eastAsia="es-ES"/>
        </w:rPr>
        <w:t xml:space="preserve"> be</w:t>
      </w:r>
      <w:r w:rsidR="00043F88" w:rsidRPr="007B2402">
        <w:rPr>
          <w:rFonts w:eastAsia="Batang" w:cs="Times"/>
          <w:szCs w:val="20"/>
          <w:lang w:val="en-US" w:eastAsia="es-ES"/>
        </w:rPr>
        <w:t xml:space="preserve"> </w:t>
      </w:r>
      <w:r w:rsidR="00FA6E0A" w:rsidRPr="007B2402">
        <w:rPr>
          <w:rFonts w:eastAsia="Batang" w:cs="Times"/>
          <w:szCs w:val="20"/>
          <w:lang w:val="en-US" w:eastAsia="es-ES"/>
        </w:rPr>
        <w:t>lodged within a reasonable time. Brazil a</w:t>
      </w:r>
      <w:r w:rsidR="00A20842" w:rsidRPr="007B2402">
        <w:rPr>
          <w:rFonts w:eastAsia="Batang" w:cs="Times"/>
          <w:szCs w:val="20"/>
          <w:lang w:val="en-US" w:eastAsia="es-ES"/>
        </w:rPr>
        <w:t>rgued</w:t>
      </w:r>
      <w:r w:rsidR="00FA6E0A" w:rsidRPr="007B2402">
        <w:rPr>
          <w:rFonts w:eastAsia="Batang" w:cs="Times"/>
          <w:szCs w:val="20"/>
          <w:lang w:val="en-US" w:eastAsia="es-ES"/>
        </w:rPr>
        <w:t xml:space="preserve"> that, in this case, the reasonable time was not observed or, subsidiarily, the period of six months, </w:t>
      </w:r>
      <w:r w:rsidR="009F2F20" w:rsidRPr="007B2402">
        <w:rPr>
          <w:rFonts w:eastAsia="Batang" w:cs="Times"/>
          <w:szCs w:val="20"/>
          <w:lang w:val="en-US" w:eastAsia="es-ES"/>
        </w:rPr>
        <w:t>with regard to</w:t>
      </w:r>
      <w:r w:rsidR="00FA6E0A" w:rsidRPr="007B2402">
        <w:rPr>
          <w:rFonts w:eastAsia="Batang" w:cs="Times"/>
          <w:szCs w:val="20"/>
          <w:lang w:val="en-US" w:eastAsia="es-ES"/>
        </w:rPr>
        <w:t xml:space="preserve"> the presumed violations derived from the supposed </w:t>
      </w:r>
      <w:r w:rsidR="009F2F20" w:rsidRPr="007B2402">
        <w:rPr>
          <w:rFonts w:eastAsia="Batang" w:cs="Times"/>
          <w:szCs w:val="20"/>
          <w:lang w:val="en-US" w:eastAsia="es-ES"/>
        </w:rPr>
        <w:t>lack</w:t>
      </w:r>
      <w:r w:rsidR="00FA6E0A" w:rsidRPr="007B2402">
        <w:rPr>
          <w:rFonts w:eastAsia="Batang" w:cs="Times"/>
          <w:szCs w:val="20"/>
          <w:lang w:val="en-US" w:eastAsia="es-ES"/>
        </w:rPr>
        <w:t xml:space="preserve"> of a criminal prosecution.</w:t>
      </w:r>
    </w:p>
    <w:p w14:paraId="73536D87" w14:textId="77777777" w:rsidR="00043F88" w:rsidRPr="007B2402" w:rsidRDefault="00043F88" w:rsidP="00043F88">
      <w:pPr>
        <w:spacing w:after="0" w:line="240" w:lineRule="auto"/>
        <w:contextualSpacing/>
        <w:jc w:val="both"/>
        <w:rPr>
          <w:rFonts w:eastAsia="Batang" w:cs="Times"/>
          <w:b/>
          <w:szCs w:val="20"/>
          <w:lang w:val="en-US" w:eastAsia="es-ES"/>
        </w:rPr>
      </w:pPr>
    </w:p>
    <w:p w14:paraId="52937B71" w14:textId="2B07F836" w:rsidR="00FA6E0A" w:rsidRPr="007B2402" w:rsidRDefault="00FA6E0A" w:rsidP="00253297">
      <w:pPr>
        <w:pStyle w:val="Textocomentario"/>
        <w:numPr>
          <w:ilvl w:val="0"/>
          <w:numId w:val="5"/>
        </w:numPr>
        <w:contextualSpacing/>
        <w:rPr>
          <w:rFonts w:eastAsia="Calibri" w:cs="Times New Roman"/>
          <w:noProof w:val="0"/>
          <w:lang w:val="en-US"/>
        </w:rPr>
      </w:pPr>
      <w:r w:rsidRPr="007B2402">
        <w:rPr>
          <w:rFonts w:eastAsia="Calibri" w:cs="Times New Roman"/>
          <w:noProof w:val="0"/>
          <w:lang w:val="en-US"/>
        </w:rPr>
        <w:t>According to</w:t>
      </w:r>
      <w:r w:rsidR="00D16A5B" w:rsidRPr="007B2402">
        <w:rPr>
          <w:rFonts w:eastAsia="Calibri" w:cs="Times New Roman"/>
          <w:noProof w:val="0"/>
          <w:lang w:val="en-US"/>
        </w:rPr>
        <w:t xml:space="preserve"> </w:t>
      </w:r>
      <w:r w:rsidR="00AF4344" w:rsidRPr="007B2402">
        <w:rPr>
          <w:rFonts w:eastAsia="Calibri" w:cs="Times New Roman"/>
          <w:noProof w:val="0"/>
          <w:lang w:val="en-US"/>
        </w:rPr>
        <w:t>the State</w:t>
      </w:r>
      <w:r w:rsidR="00D16A5B" w:rsidRPr="007B2402">
        <w:rPr>
          <w:rFonts w:eastAsia="Calibri" w:cs="Times New Roman"/>
          <w:noProof w:val="0"/>
          <w:lang w:val="en-US"/>
        </w:rPr>
        <w:t xml:space="preserve">, </w:t>
      </w:r>
      <w:r w:rsidRPr="007B2402">
        <w:rPr>
          <w:rFonts w:eastAsia="Calibri" w:cs="Times New Roman"/>
          <w:noProof w:val="0"/>
          <w:lang w:val="en-US"/>
        </w:rPr>
        <w:t>in this case</w:t>
      </w:r>
      <w:r w:rsidR="00D16A5B" w:rsidRPr="007B2402">
        <w:rPr>
          <w:rFonts w:eastAsia="Calibri" w:cs="Times New Roman"/>
          <w:noProof w:val="0"/>
          <w:lang w:val="en-US"/>
        </w:rPr>
        <w:t xml:space="preserve">, </w:t>
      </w:r>
      <w:r w:rsidR="00AF4344" w:rsidRPr="007B2402">
        <w:rPr>
          <w:rFonts w:eastAsia="Calibri" w:cs="Times New Roman"/>
          <w:noProof w:val="0"/>
          <w:lang w:val="en-US"/>
        </w:rPr>
        <w:t>the Commission</w:t>
      </w:r>
      <w:r w:rsidR="00D16A5B" w:rsidRPr="007B2402">
        <w:rPr>
          <w:rFonts w:eastAsia="Calibri" w:cs="Times New Roman"/>
          <w:noProof w:val="0"/>
          <w:lang w:val="en-US"/>
        </w:rPr>
        <w:t xml:space="preserve"> ap</w:t>
      </w:r>
      <w:r w:rsidRPr="007B2402">
        <w:rPr>
          <w:rFonts w:eastAsia="Calibri" w:cs="Times New Roman"/>
          <w:noProof w:val="0"/>
          <w:lang w:val="en-US"/>
        </w:rPr>
        <w:t xml:space="preserve">plied the exception to prior exhaustion of domestic remedies established in </w:t>
      </w:r>
      <w:r w:rsidR="00AF4344" w:rsidRPr="007B2402">
        <w:rPr>
          <w:rFonts w:eastAsia="Calibri" w:cs="Times New Roman"/>
          <w:noProof w:val="0"/>
          <w:lang w:val="en-US"/>
        </w:rPr>
        <w:t>Article</w:t>
      </w:r>
      <w:r w:rsidR="00D16A5B" w:rsidRPr="007B2402">
        <w:rPr>
          <w:rFonts w:eastAsia="Calibri" w:cs="Times New Roman"/>
          <w:noProof w:val="0"/>
          <w:lang w:val="en-US"/>
        </w:rPr>
        <w:t xml:space="preserve"> 46</w:t>
      </w:r>
      <w:r w:rsidRPr="007B2402">
        <w:rPr>
          <w:rFonts w:eastAsia="Calibri" w:cs="Times New Roman"/>
          <w:noProof w:val="0"/>
          <w:lang w:val="en-US"/>
        </w:rPr>
        <w:t>(</w:t>
      </w:r>
      <w:r w:rsidR="00D16A5B" w:rsidRPr="007B2402">
        <w:rPr>
          <w:rFonts w:eastAsia="Calibri" w:cs="Times New Roman"/>
          <w:noProof w:val="0"/>
          <w:lang w:val="en-US"/>
        </w:rPr>
        <w:t>2</w:t>
      </w:r>
      <w:r w:rsidRPr="007B2402">
        <w:rPr>
          <w:rFonts w:eastAsia="Calibri" w:cs="Times New Roman"/>
          <w:noProof w:val="0"/>
          <w:lang w:val="en-US"/>
        </w:rPr>
        <w:t>)(a)</w:t>
      </w:r>
      <w:r w:rsidR="00AF4344" w:rsidRPr="007B2402">
        <w:rPr>
          <w:rFonts w:eastAsia="Calibri" w:cs="Times New Roman"/>
          <w:noProof w:val="0"/>
          <w:lang w:val="en-US"/>
        </w:rPr>
        <w:t xml:space="preserve"> of the American Convention</w:t>
      </w:r>
      <w:r w:rsidR="00D16A5B" w:rsidRPr="007B2402">
        <w:rPr>
          <w:rFonts w:eastAsia="Calibri" w:cs="Times New Roman"/>
          <w:noProof w:val="0"/>
          <w:lang w:val="en-US"/>
        </w:rPr>
        <w:t xml:space="preserve">, </w:t>
      </w:r>
      <w:r w:rsidRPr="007B2402">
        <w:rPr>
          <w:rFonts w:eastAsia="Calibri" w:cs="Times New Roman"/>
          <w:noProof w:val="0"/>
          <w:lang w:val="en-US"/>
        </w:rPr>
        <w:t xml:space="preserve">under the assumption that the Amnesty Law constituted a situation of </w:t>
      </w:r>
      <w:r w:rsidR="009F2F20" w:rsidRPr="007B2402">
        <w:rPr>
          <w:rFonts w:eastAsia="Calibri" w:cs="Times New Roman"/>
          <w:noProof w:val="0"/>
          <w:lang w:val="en-US"/>
        </w:rPr>
        <w:t>absence</w:t>
      </w:r>
      <w:r w:rsidRPr="007B2402">
        <w:rPr>
          <w:rFonts w:eastAsia="Calibri" w:cs="Times New Roman"/>
          <w:noProof w:val="0"/>
          <w:lang w:val="en-US"/>
        </w:rPr>
        <w:t xml:space="preserve"> of due process of law for the protection of the rights supposedly violated and, on this basis, </w:t>
      </w:r>
      <w:r w:rsidR="009F2F20" w:rsidRPr="007B2402">
        <w:rPr>
          <w:rFonts w:eastAsia="Calibri" w:cs="Times New Roman"/>
          <w:noProof w:val="0"/>
          <w:lang w:val="en-US"/>
        </w:rPr>
        <w:t>then</w:t>
      </w:r>
      <w:r w:rsidRPr="007B2402">
        <w:rPr>
          <w:rFonts w:eastAsia="Calibri" w:cs="Times New Roman"/>
          <w:noProof w:val="0"/>
          <w:lang w:val="en-US"/>
        </w:rPr>
        <w:t xml:space="preserve"> examine</w:t>
      </w:r>
      <w:r w:rsidR="009F2F20" w:rsidRPr="007B2402">
        <w:rPr>
          <w:rFonts w:eastAsia="Calibri" w:cs="Times New Roman"/>
          <w:noProof w:val="0"/>
          <w:lang w:val="en-US"/>
        </w:rPr>
        <w:t>d</w:t>
      </w:r>
      <w:r w:rsidRPr="007B2402">
        <w:rPr>
          <w:rFonts w:eastAsia="Calibri" w:cs="Times New Roman"/>
          <w:noProof w:val="0"/>
          <w:lang w:val="en-US"/>
        </w:rPr>
        <w:t xml:space="preserve"> the reasonable time. The State argued that</w:t>
      </w:r>
      <w:r w:rsidR="009F2F20" w:rsidRPr="007B2402">
        <w:rPr>
          <w:rFonts w:eastAsia="Calibri" w:cs="Times New Roman"/>
          <w:noProof w:val="0"/>
          <w:lang w:val="en-US"/>
        </w:rPr>
        <w:t>, at that point of the analysis of admissibility,</w:t>
      </w:r>
      <w:r w:rsidRPr="007B2402">
        <w:rPr>
          <w:rFonts w:eastAsia="Calibri" w:cs="Times New Roman"/>
          <w:noProof w:val="0"/>
          <w:lang w:val="en-US"/>
        </w:rPr>
        <w:t xml:space="preserve"> the Commission </w:t>
      </w:r>
      <w:r w:rsidR="009F2F20" w:rsidRPr="007B2402">
        <w:rPr>
          <w:rFonts w:eastAsia="Calibri" w:cs="Times New Roman"/>
          <w:noProof w:val="0"/>
          <w:lang w:val="en-US"/>
        </w:rPr>
        <w:t xml:space="preserve">had set to one side its </w:t>
      </w:r>
      <w:r w:rsidR="002B472C" w:rsidRPr="007B2402">
        <w:rPr>
          <w:rFonts w:eastAsia="Calibri" w:cs="Times New Roman"/>
          <w:noProof w:val="0"/>
          <w:lang w:val="en-US"/>
        </w:rPr>
        <w:t xml:space="preserve">examination </w:t>
      </w:r>
      <w:r w:rsidR="009F2F20" w:rsidRPr="007B2402">
        <w:rPr>
          <w:rFonts w:eastAsia="Calibri" w:cs="Times New Roman"/>
          <w:noProof w:val="0"/>
          <w:lang w:val="en-US"/>
        </w:rPr>
        <w:t xml:space="preserve">of </w:t>
      </w:r>
      <w:r w:rsidRPr="007B2402">
        <w:rPr>
          <w:rFonts w:eastAsia="Calibri" w:cs="Times New Roman"/>
          <w:noProof w:val="0"/>
          <w:lang w:val="en-US"/>
        </w:rPr>
        <w:t xml:space="preserve">the </w:t>
      </w:r>
      <w:r w:rsidR="009F2F20" w:rsidRPr="007B2402">
        <w:rPr>
          <w:rFonts w:eastAsia="Calibri" w:cs="Times New Roman"/>
          <w:noProof w:val="0"/>
          <w:lang w:val="en-US"/>
        </w:rPr>
        <w:t>main</w:t>
      </w:r>
      <w:r w:rsidRPr="007B2402">
        <w:rPr>
          <w:rFonts w:eastAsia="Calibri" w:cs="Times New Roman"/>
          <w:noProof w:val="0"/>
          <w:lang w:val="en-US"/>
        </w:rPr>
        <w:t xml:space="preserve"> facts </w:t>
      </w:r>
      <w:r w:rsidR="009F2F20" w:rsidRPr="007B2402">
        <w:rPr>
          <w:rFonts w:eastAsia="Calibri" w:cs="Times New Roman"/>
          <w:noProof w:val="0"/>
          <w:lang w:val="en-US"/>
        </w:rPr>
        <w:t>concerning</w:t>
      </w:r>
      <w:r w:rsidRPr="007B2402">
        <w:rPr>
          <w:rFonts w:eastAsia="Calibri" w:cs="Times New Roman"/>
          <w:noProof w:val="0"/>
          <w:lang w:val="en-US"/>
        </w:rPr>
        <w:t xml:space="preserve"> the victim’s </w:t>
      </w:r>
      <w:r w:rsidRPr="007B2402">
        <w:rPr>
          <w:rFonts w:eastAsia="Calibri" w:cs="Times New Roman"/>
          <w:noProof w:val="0"/>
          <w:lang w:val="en-US"/>
        </w:rPr>
        <w:lastRenderedPageBreak/>
        <w:t xml:space="preserve">arbitrary detention, torture and death, to consider the </w:t>
      </w:r>
      <w:r w:rsidR="002B472C" w:rsidRPr="007B2402">
        <w:rPr>
          <w:rFonts w:eastAsia="Calibri" w:cs="Times New Roman"/>
          <w:noProof w:val="0"/>
          <w:lang w:val="en-US"/>
        </w:rPr>
        <w:t>objections to</w:t>
      </w:r>
      <w:r w:rsidRPr="007B2402">
        <w:rPr>
          <w:rFonts w:eastAsia="Calibri" w:cs="Times New Roman"/>
          <w:noProof w:val="0"/>
          <w:lang w:val="en-US"/>
        </w:rPr>
        <w:t xml:space="preserve"> the Amnesty La</w:t>
      </w:r>
      <w:r w:rsidR="002B472C" w:rsidRPr="007B2402">
        <w:rPr>
          <w:rFonts w:eastAsia="Calibri" w:cs="Times New Roman"/>
          <w:noProof w:val="0"/>
          <w:lang w:val="en-US"/>
        </w:rPr>
        <w:t>w as</w:t>
      </w:r>
      <w:r w:rsidRPr="007B2402">
        <w:rPr>
          <w:rFonts w:eastAsia="Calibri" w:cs="Times New Roman"/>
          <w:noProof w:val="0"/>
          <w:lang w:val="en-US"/>
        </w:rPr>
        <w:t xml:space="preserve"> </w:t>
      </w:r>
      <w:r w:rsidR="00602FFC" w:rsidRPr="007B2402">
        <w:rPr>
          <w:rFonts w:eastAsia="Calibri" w:cs="Times New Roman"/>
          <w:noProof w:val="0"/>
          <w:lang w:val="en-US"/>
        </w:rPr>
        <w:t>the</w:t>
      </w:r>
      <w:r w:rsidRPr="007B2402">
        <w:rPr>
          <w:rFonts w:eastAsia="Calibri" w:cs="Times New Roman"/>
          <w:noProof w:val="0"/>
          <w:lang w:val="en-US"/>
        </w:rPr>
        <w:t xml:space="preserve"> central element of the petition</w:t>
      </w:r>
      <w:r w:rsidR="00602FFC" w:rsidRPr="007B2402">
        <w:rPr>
          <w:rFonts w:eastAsia="Calibri" w:cs="Times New Roman"/>
          <w:noProof w:val="0"/>
          <w:lang w:val="en-US"/>
        </w:rPr>
        <w:t>, and therefore asked the Court to conduct a control of the legality of the Commission’s action.</w:t>
      </w:r>
    </w:p>
    <w:p w14:paraId="5F75870B" w14:textId="77777777" w:rsidR="00D16A5B" w:rsidRPr="007B2402" w:rsidRDefault="00D16A5B" w:rsidP="00D16A5B">
      <w:pPr>
        <w:spacing w:after="0" w:line="240" w:lineRule="auto"/>
        <w:jc w:val="both"/>
        <w:rPr>
          <w:rFonts w:eastAsia="Batang" w:cs="Times"/>
          <w:szCs w:val="20"/>
          <w:lang w:val="en-US" w:eastAsia="es-ES"/>
        </w:rPr>
      </w:pPr>
    </w:p>
    <w:p w14:paraId="0569EA00" w14:textId="6928AF3A" w:rsidR="00602FFC" w:rsidRPr="007B2402" w:rsidRDefault="00602FFC" w:rsidP="00DB1F30">
      <w:pPr>
        <w:numPr>
          <w:ilvl w:val="0"/>
          <w:numId w:val="5"/>
        </w:numPr>
        <w:spacing w:after="0" w:line="240" w:lineRule="auto"/>
        <w:contextualSpacing/>
        <w:jc w:val="both"/>
        <w:rPr>
          <w:rFonts w:eastAsia="Batang" w:cs="Times"/>
          <w:szCs w:val="20"/>
          <w:lang w:val="en-US" w:eastAsia="es-ES"/>
        </w:rPr>
      </w:pPr>
      <w:r w:rsidRPr="007B2402">
        <w:rPr>
          <w:rFonts w:eastAsia="Calibri" w:cs="Times New Roman"/>
          <w:szCs w:val="20"/>
          <w:lang w:val="en-US"/>
        </w:rPr>
        <w:t>Second, the State a</w:t>
      </w:r>
      <w:r w:rsidR="002B472C" w:rsidRPr="007B2402">
        <w:rPr>
          <w:rFonts w:eastAsia="Calibri" w:cs="Times New Roman"/>
          <w:szCs w:val="20"/>
          <w:lang w:val="en-US"/>
        </w:rPr>
        <w:t>rgu</w:t>
      </w:r>
      <w:r w:rsidRPr="007B2402">
        <w:rPr>
          <w:rFonts w:eastAsia="Calibri" w:cs="Times New Roman"/>
          <w:szCs w:val="20"/>
          <w:lang w:val="en-US"/>
        </w:rPr>
        <w:t xml:space="preserve">ed that it was not valid to </w:t>
      </w:r>
      <w:r w:rsidR="002B472C" w:rsidRPr="007B2402">
        <w:rPr>
          <w:rFonts w:eastAsia="Calibri" w:cs="Times New Roman"/>
          <w:szCs w:val="20"/>
          <w:lang w:val="en-US"/>
        </w:rPr>
        <w:t xml:space="preserve">calculate the reasonable time from </w:t>
      </w:r>
      <w:r w:rsidRPr="007B2402">
        <w:rPr>
          <w:rFonts w:eastAsia="Calibri" w:cs="Times New Roman"/>
          <w:szCs w:val="20"/>
          <w:lang w:val="en-US"/>
        </w:rPr>
        <w:t xml:space="preserve">the date </w:t>
      </w:r>
      <w:r w:rsidR="002B472C" w:rsidRPr="007B2402">
        <w:rPr>
          <w:rFonts w:eastAsia="Calibri" w:cs="Times New Roman"/>
          <w:szCs w:val="20"/>
          <w:lang w:val="en-US"/>
        </w:rPr>
        <w:t>on which</w:t>
      </w:r>
      <w:r w:rsidRPr="007B2402">
        <w:rPr>
          <w:rFonts w:eastAsia="Calibri" w:cs="Times New Roman"/>
          <w:szCs w:val="20"/>
          <w:lang w:val="en-US"/>
        </w:rPr>
        <w:t xml:space="preserve"> the Amnesty La</w:t>
      </w:r>
      <w:r w:rsidR="002B472C" w:rsidRPr="007B2402">
        <w:rPr>
          <w:rFonts w:eastAsia="Calibri" w:cs="Times New Roman"/>
          <w:szCs w:val="20"/>
          <w:lang w:val="en-US"/>
        </w:rPr>
        <w:t>w was promulgated</w:t>
      </w:r>
      <w:r w:rsidRPr="007B2402">
        <w:rPr>
          <w:rFonts w:eastAsia="Calibri" w:cs="Times New Roman"/>
          <w:szCs w:val="20"/>
          <w:lang w:val="en-US"/>
        </w:rPr>
        <w:t xml:space="preserve"> because this would entail the Court</w:t>
      </w:r>
      <w:r w:rsidR="002B472C" w:rsidRPr="007B2402">
        <w:rPr>
          <w:rFonts w:eastAsia="Calibri" w:cs="Times New Roman"/>
          <w:szCs w:val="20"/>
          <w:lang w:val="en-US"/>
        </w:rPr>
        <w:t xml:space="preserve"> exercising its</w:t>
      </w:r>
      <w:r w:rsidRPr="007B2402">
        <w:rPr>
          <w:rFonts w:eastAsia="Calibri" w:cs="Times New Roman"/>
          <w:szCs w:val="20"/>
          <w:lang w:val="en-US"/>
        </w:rPr>
        <w:t xml:space="preserve"> contentious jurisdiction in the abstract. It added that, even if that date was taken into consideration, 30 years had passed </w:t>
      </w:r>
      <w:r w:rsidR="002B472C" w:rsidRPr="007B2402">
        <w:rPr>
          <w:rFonts w:eastAsia="Calibri" w:cs="Times New Roman"/>
          <w:szCs w:val="20"/>
          <w:lang w:val="en-US"/>
        </w:rPr>
        <w:t>between</w:t>
      </w:r>
      <w:r w:rsidRPr="007B2402">
        <w:rPr>
          <w:rFonts w:eastAsia="Calibri" w:cs="Times New Roman"/>
          <w:szCs w:val="20"/>
          <w:lang w:val="en-US"/>
        </w:rPr>
        <w:t xml:space="preserve"> the promulgation of the Law </w:t>
      </w:r>
      <w:r w:rsidR="002B472C" w:rsidRPr="007B2402">
        <w:rPr>
          <w:rFonts w:eastAsia="Calibri" w:cs="Times New Roman"/>
          <w:szCs w:val="20"/>
          <w:lang w:val="en-US"/>
        </w:rPr>
        <w:t>and</w:t>
      </w:r>
      <w:r w:rsidRPr="007B2402">
        <w:rPr>
          <w:rFonts w:eastAsia="Calibri" w:cs="Times New Roman"/>
          <w:szCs w:val="20"/>
          <w:lang w:val="en-US"/>
        </w:rPr>
        <w:t xml:space="preserve"> the lodging of the petition before the Commission. Third, it argued that it was not appropriate to consider the </w:t>
      </w:r>
      <w:r w:rsidR="002B472C" w:rsidRPr="007B2402">
        <w:rPr>
          <w:rFonts w:eastAsia="Calibri" w:cs="Times New Roman"/>
          <w:szCs w:val="20"/>
          <w:lang w:val="en-US"/>
        </w:rPr>
        <w:t>attempts</w:t>
      </w:r>
      <w:r w:rsidRPr="007B2402">
        <w:rPr>
          <w:rFonts w:eastAsia="Calibri" w:cs="Times New Roman"/>
          <w:szCs w:val="20"/>
          <w:lang w:val="en-US"/>
        </w:rPr>
        <w:t xml:space="preserve"> to open an investigation and the procedures to </w:t>
      </w:r>
      <w:r w:rsidR="002B472C" w:rsidRPr="007B2402">
        <w:rPr>
          <w:rFonts w:eastAsia="Calibri" w:cs="Times New Roman"/>
          <w:szCs w:val="20"/>
          <w:lang w:val="en-US"/>
        </w:rPr>
        <w:t>obtain</w:t>
      </w:r>
      <w:r w:rsidRPr="007B2402">
        <w:rPr>
          <w:rFonts w:eastAsia="Calibri" w:cs="Times New Roman"/>
          <w:szCs w:val="20"/>
          <w:lang w:val="en-US"/>
        </w:rPr>
        <w:t xml:space="preserve"> measures of reparation as a temporal framework to calculate the reasonable time. Fourth, it added that the alleged continuing nature of the impunity of the facts did not allow a time frame to be established, and this prevent</w:t>
      </w:r>
      <w:r w:rsidR="002B472C" w:rsidRPr="007B2402">
        <w:rPr>
          <w:rFonts w:eastAsia="Calibri" w:cs="Times New Roman"/>
          <w:szCs w:val="20"/>
          <w:lang w:val="en-US"/>
        </w:rPr>
        <w:t>ed</w:t>
      </w:r>
      <w:r w:rsidRPr="007B2402">
        <w:rPr>
          <w:rFonts w:eastAsia="Calibri" w:cs="Times New Roman"/>
          <w:szCs w:val="20"/>
          <w:lang w:val="en-US"/>
        </w:rPr>
        <w:t xml:space="preserve"> any analysis of the reasonable time. It also indicated that, </w:t>
      </w:r>
      <w:r w:rsidR="00CA3D0E" w:rsidRPr="007B2402">
        <w:rPr>
          <w:rFonts w:eastAsia="Calibri" w:cs="Times New Roman"/>
          <w:szCs w:val="20"/>
          <w:lang w:val="en-US"/>
        </w:rPr>
        <w:t xml:space="preserve">since August 28, 1979, </w:t>
      </w:r>
      <w:r w:rsidR="002B472C" w:rsidRPr="007B2402">
        <w:rPr>
          <w:rFonts w:eastAsia="Calibri" w:cs="Times New Roman"/>
          <w:szCs w:val="20"/>
          <w:lang w:val="en-US"/>
        </w:rPr>
        <w:t xml:space="preserve">there had been </w:t>
      </w:r>
      <w:r w:rsidR="00CA3D0E" w:rsidRPr="007B2402">
        <w:rPr>
          <w:rFonts w:eastAsia="Calibri" w:cs="Times New Roman"/>
          <w:szCs w:val="20"/>
          <w:lang w:val="en-US"/>
        </w:rPr>
        <w:t>no domestic remedy to investigate the violations suffered by Vladimir Herzog</w:t>
      </w:r>
      <w:r w:rsidR="002B472C" w:rsidRPr="007B2402">
        <w:rPr>
          <w:rFonts w:eastAsia="Calibri" w:cs="Times New Roman"/>
          <w:szCs w:val="20"/>
          <w:lang w:val="en-US"/>
        </w:rPr>
        <w:t>,</w:t>
      </w:r>
      <w:r w:rsidR="00CA3D0E" w:rsidRPr="007B2402">
        <w:rPr>
          <w:rFonts w:eastAsia="Calibri" w:cs="Times New Roman"/>
          <w:szCs w:val="20"/>
          <w:lang w:val="en-US"/>
        </w:rPr>
        <w:t xml:space="preserve"> </w:t>
      </w:r>
      <w:r w:rsidR="002B472C" w:rsidRPr="007B2402">
        <w:rPr>
          <w:rFonts w:eastAsia="Calibri" w:cs="Times New Roman"/>
          <w:szCs w:val="20"/>
          <w:lang w:val="en-US"/>
        </w:rPr>
        <w:t>and that these had been</w:t>
      </w:r>
      <w:r w:rsidR="00CA3D0E" w:rsidRPr="007B2402">
        <w:rPr>
          <w:rFonts w:eastAsia="Calibri" w:cs="Times New Roman"/>
          <w:szCs w:val="20"/>
          <w:lang w:val="en-US"/>
        </w:rPr>
        <w:t xml:space="preserve"> instantaneous rather than continuing. </w:t>
      </w:r>
    </w:p>
    <w:p w14:paraId="07AA4081" w14:textId="77777777" w:rsidR="00D16A5B" w:rsidRPr="007B2402" w:rsidRDefault="00D16A5B" w:rsidP="00D16A5B">
      <w:pPr>
        <w:contextualSpacing/>
        <w:rPr>
          <w:rFonts w:eastAsia="Calibri" w:cs="Times New Roman"/>
          <w:szCs w:val="20"/>
          <w:lang w:val="en-US"/>
        </w:rPr>
      </w:pPr>
    </w:p>
    <w:p w14:paraId="297944BF" w14:textId="06BC33B6" w:rsidR="00D16A5B" w:rsidRPr="007B2402" w:rsidRDefault="00CA3D0E" w:rsidP="00DB1F30">
      <w:pPr>
        <w:numPr>
          <w:ilvl w:val="0"/>
          <w:numId w:val="5"/>
        </w:numPr>
        <w:spacing w:after="0" w:line="240" w:lineRule="auto"/>
        <w:contextualSpacing/>
        <w:jc w:val="both"/>
        <w:rPr>
          <w:rFonts w:eastAsia="Batang" w:cs="Times"/>
          <w:szCs w:val="20"/>
          <w:lang w:val="en-US" w:eastAsia="es-ES"/>
        </w:rPr>
      </w:pPr>
      <w:r w:rsidRPr="007B2402">
        <w:rPr>
          <w:rFonts w:eastAsia="Calibri" w:cs="Times New Roman"/>
          <w:szCs w:val="20"/>
          <w:lang w:val="en-US"/>
        </w:rPr>
        <w:t xml:space="preserve">It also argued that </w:t>
      </w:r>
      <w:r w:rsidR="00AF4344" w:rsidRPr="007B2402">
        <w:rPr>
          <w:rFonts w:eastAsia="Calibri" w:cs="Times New Roman"/>
          <w:szCs w:val="20"/>
          <w:lang w:val="en-US"/>
        </w:rPr>
        <w:t>Brazil</w:t>
      </w:r>
      <w:r w:rsidR="00D16A5B" w:rsidRPr="007B2402">
        <w:rPr>
          <w:rFonts w:eastAsia="Calibri" w:cs="Times New Roman"/>
          <w:szCs w:val="20"/>
          <w:lang w:val="en-US"/>
        </w:rPr>
        <w:t xml:space="preserve"> </w:t>
      </w:r>
      <w:r w:rsidRPr="007B2402">
        <w:rPr>
          <w:rFonts w:eastAsia="Calibri" w:cs="Times New Roman"/>
          <w:szCs w:val="20"/>
          <w:lang w:val="en-US"/>
        </w:rPr>
        <w:t>had ratified</w:t>
      </w:r>
      <w:r w:rsidR="00D16A5B" w:rsidRPr="007B2402">
        <w:rPr>
          <w:rFonts w:eastAsia="Calibri" w:cs="Times New Roman"/>
          <w:szCs w:val="20"/>
          <w:lang w:val="en-US"/>
        </w:rPr>
        <w:t xml:space="preserve"> </w:t>
      </w:r>
      <w:r w:rsidR="00AF4344" w:rsidRPr="007B2402">
        <w:rPr>
          <w:rFonts w:eastAsia="Calibri" w:cs="Times New Roman"/>
          <w:szCs w:val="20"/>
          <w:lang w:val="en-US"/>
        </w:rPr>
        <w:t>the American Convention</w:t>
      </w:r>
      <w:r w:rsidR="005B1590" w:rsidRPr="007B2402">
        <w:rPr>
          <w:rFonts w:eastAsia="Calibri" w:cs="Times New Roman"/>
          <w:szCs w:val="20"/>
          <w:lang w:val="en-US"/>
        </w:rPr>
        <w:t xml:space="preserve"> </w:t>
      </w:r>
      <w:r w:rsidR="002B472C" w:rsidRPr="007B2402">
        <w:rPr>
          <w:rFonts w:eastAsia="Calibri" w:cs="Times New Roman"/>
          <w:szCs w:val="20"/>
          <w:lang w:val="en-US"/>
        </w:rPr>
        <w:t xml:space="preserve">in 1992 </w:t>
      </w:r>
      <w:r w:rsidR="005B1590" w:rsidRPr="007B2402">
        <w:rPr>
          <w:rFonts w:eastAsia="Calibri" w:cs="Times New Roman"/>
          <w:szCs w:val="20"/>
          <w:lang w:val="en-US"/>
        </w:rPr>
        <w:t>and</w:t>
      </w:r>
      <w:r w:rsidRPr="007B2402">
        <w:rPr>
          <w:rFonts w:eastAsia="Calibri" w:cs="Times New Roman"/>
          <w:szCs w:val="20"/>
          <w:lang w:val="en-US"/>
        </w:rPr>
        <w:t>, as of that time, the petitioners were able to lodge their case before</w:t>
      </w:r>
      <w:r w:rsidR="005B1590" w:rsidRPr="007B2402">
        <w:rPr>
          <w:rFonts w:eastAsia="Calibri" w:cs="Times New Roman"/>
          <w:szCs w:val="20"/>
          <w:lang w:val="en-US"/>
        </w:rPr>
        <w:t xml:space="preserve"> </w:t>
      </w:r>
      <w:r w:rsidR="00AF4344" w:rsidRPr="007B2402">
        <w:rPr>
          <w:rFonts w:eastAsia="Calibri" w:cs="Times New Roman"/>
          <w:szCs w:val="20"/>
          <w:lang w:val="en-US"/>
        </w:rPr>
        <w:t>the</w:t>
      </w:r>
      <w:r w:rsidRPr="007B2402">
        <w:rPr>
          <w:rFonts w:eastAsia="Calibri" w:cs="Times New Roman"/>
          <w:szCs w:val="20"/>
          <w:lang w:val="en-US"/>
        </w:rPr>
        <w:t xml:space="preserve"> </w:t>
      </w:r>
      <w:r w:rsidR="00AF4344" w:rsidRPr="007B2402">
        <w:rPr>
          <w:rFonts w:eastAsia="Calibri" w:cs="Times New Roman"/>
          <w:szCs w:val="20"/>
          <w:lang w:val="en-US"/>
        </w:rPr>
        <w:t>Commission</w:t>
      </w:r>
      <w:r w:rsidR="00D16A5B" w:rsidRPr="007B2402">
        <w:rPr>
          <w:rFonts w:eastAsia="Calibri" w:cs="Times New Roman"/>
          <w:szCs w:val="20"/>
          <w:lang w:val="en-US"/>
        </w:rPr>
        <w:t xml:space="preserve">. </w:t>
      </w:r>
      <w:r w:rsidRPr="007B2402">
        <w:rPr>
          <w:rFonts w:eastAsia="Calibri" w:cs="Times New Roman"/>
          <w:szCs w:val="20"/>
          <w:lang w:val="en-US"/>
        </w:rPr>
        <w:t xml:space="preserve">The State indicated that, in the absence of domestic remedies, the six-month rule established in </w:t>
      </w:r>
      <w:r w:rsidR="00AF4344" w:rsidRPr="007B2402">
        <w:rPr>
          <w:rFonts w:eastAsia="Calibri" w:cs="Times New Roman"/>
          <w:szCs w:val="20"/>
          <w:lang w:val="en-US"/>
        </w:rPr>
        <w:t>Article</w:t>
      </w:r>
      <w:r w:rsidR="00D16A5B" w:rsidRPr="007B2402">
        <w:rPr>
          <w:rFonts w:eastAsia="Calibri" w:cs="Times New Roman"/>
          <w:szCs w:val="20"/>
          <w:lang w:val="en-US"/>
        </w:rPr>
        <w:t xml:space="preserve"> 46</w:t>
      </w:r>
      <w:r w:rsidR="00AF4344" w:rsidRPr="007B2402">
        <w:rPr>
          <w:rFonts w:eastAsia="Calibri" w:cs="Times New Roman"/>
          <w:szCs w:val="20"/>
          <w:lang w:val="en-US"/>
        </w:rPr>
        <w:t xml:space="preserve"> of the Convention</w:t>
      </w:r>
      <w:r w:rsidRPr="007B2402">
        <w:rPr>
          <w:rFonts w:eastAsia="Calibri" w:cs="Times New Roman"/>
          <w:szCs w:val="20"/>
          <w:lang w:val="en-US"/>
        </w:rPr>
        <w:t xml:space="preserve"> was not applicable, but the obligation to lodge the petition within a reasonable time did apply.</w:t>
      </w:r>
    </w:p>
    <w:p w14:paraId="2C4F097D" w14:textId="77777777" w:rsidR="00D16A5B" w:rsidRPr="007B2402" w:rsidRDefault="00D16A5B" w:rsidP="00D16A5B">
      <w:pPr>
        <w:spacing w:after="0" w:line="240" w:lineRule="auto"/>
        <w:jc w:val="both"/>
        <w:rPr>
          <w:rFonts w:eastAsia="Calibri" w:cs="Times New Roman"/>
          <w:szCs w:val="20"/>
          <w:lang w:val="en-US"/>
        </w:rPr>
      </w:pPr>
    </w:p>
    <w:p w14:paraId="6F2BB96E" w14:textId="78D0AC8C" w:rsidR="00D16A5B" w:rsidRPr="007B2402" w:rsidRDefault="00AF4344" w:rsidP="00DB1F30">
      <w:pPr>
        <w:numPr>
          <w:ilvl w:val="0"/>
          <w:numId w:val="5"/>
        </w:numPr>
        <w:spacing w:after="0" w:line="240" w:lineRule="auto"/>
        <w:contextualSpacing/>
        <w:jc w:val="both"/>
        <w:rPr>
          <w:rFonts w:eastAsia="Batang" w:cs="Times"/>
          <w:b/>
          <w:szCs w:val="20"/>
          <w:lang w:val="en-US" w:eastAsia="es-ES"/>
        </w:rPr>
      </w:pPr>
      <w:r w:rsidRPr="007B2402">
        <w:rPr>
          <w:rFonts w:eastAsia="Calibri" w:cs="Times New Roman"/>
          <w:szCs w:val="20"/>
          <w:lang w:val="en-US"/>
        </w:rPr>
        <w:t>Brazil</w:t>
      </w:r>
      <w:r w:rsidR="00D16A5B" w:rsidRPr="007B2402">
        <w:rPr>
          <w:rFonts w:eastAsia="Calibri" w:cs="Times New Roman"/>
          <w:szCs w:val="20"/>
          <w:lang w:val="en-US"/>
        </w:rPr>
        <w:t xml:space="preserve"> consider</w:t>
      </w:r>
      <w:r w:rsidR="00CA3D0E" w:rsidRPr="007B2402">
        <w:rPr>
          <w:rFonts w:eastAsia="Calibri" w:cs="Times New Roman"/>
          <w:szCs w:val="20"/>
          <w:lang w:val="en-US"/>
        </w:rPr>
        <w:t xml:space="preserve">ed that the criteria used by </w:t>
      </w:r>
      <w:r w:rsidR="005B1590" w:rsidRPr="007B2402">
        <w:rPr>
          <w:rFonts w:eastAsia="Calibri" w:cs="Times New Roman"/>
          <w:szCs w:val="20"/>
          <w:lang w:val="en-US"/>
        </w:rPr>
        <w:t xml:space="preserve">the </w:t>
      </w:r>
      <w:r w:rsidRPr="007B2402">
        <w:rPr>
          <w:rFonts w:eastAsia="Calibri" w:cs="Times New Roman"/>
          <w:szCs w:val="20"/>
          <w:lang w:val="en-US"/>
        </w:rPr>
        <w:t>Commission</w:t>
      </w:r>
      <w:r w:rsidR="00D16A5B" w:rsidRPr="007B2402">
        <w:rPr>
          <w:rFonts w:eastAsia="Calibri" w:cs="Times New Roman"/>
          <w:szCs w:val="20"/>
          <w:lang w:val="en-US"/>
        </w:rPr>
        <w:t xml:space="preserve"> </w:t>
      </w:r>
      <w:r w:rsidR="00CA3D0E" w:rsidRPr="007B2402">
        <w:rPr>
          <w:rFonts w:eastAsia="Calibri" w:cs="Times New Roman"/>
          <w:szCs w:val="20"/>
          <w:lang w:val="en-US"/>
        </w:rPr>
        <w:t xml:space="preserve">to consider a reasonable time were “extremely” flexible and varied based on casuistic considerations. It </w:t>
      </w:r>
      <w:r w:rsidR="006B6EAD" w:rsidRPr="007B2402">
        <w:rPr>
          <w:rFonts w:eastAsia="Calibri" w:cs="Times New Roman"/>
          <w:szCs w:val="20"/>
          <w:lang w:val="en-US"/>
        </w:rPr>
        <w:t xml:space="preserve">emphasized that, in the case </w:t>
      </w:r>
      <w:r w:rsidR="00D16A5B" w:rsidRPr="007B2402">
        <w:rPr>
          <w:rFonts w:eastAsia="Calibri" w:cs="Times New Roman"/>
          <w:i/>
          <w:szCs w:val="20"/>
          <w:lang w:val="en-US"/>
        </w:rPr>
        <w:t>sub judice</w:t>
      </w:r>
      <w:r w:rsidR="006B6EAD" w:rsidRPr="007B2402">
        <w:rPr>
          <w:rFonts w:eastAsia="Calibri" w:cs="Times New Roman"/>
          <w:i/>
          <w:szCs w:val="20"/>
          <w:lang w:val="en-US"/>
        </w:rPr>
        <w:t>,</w:t>
      </w:r>
      <w:r w:rsidR="00D16A5B" w:rsidRPr="007B2402">
        <w:rPr>
          <w:rFonts w:eastAsia="Calibri" w:cs="Times New Roman"/>
          <w:szCs w:val="20"/>
          <w:lang w:val="en-US"/>
        </w:rPr>
        <w:t xml:space="preserve"> </w:t>
      </w:r>
      <w:r w:rsidR="006B6EAD" w:rsidRPr="007B2402">
        <w:rPr>
          <w:rFonts w:eastAsia="Calibri" w:cs="Times New Roman"/>
          <w:szCs w:val="20"/>
          <w:lang w:val="en-US"/>
        </w:rPr>
        <w:t xml:space="preserve">the violations had been of an instantaneous nature and that 30 years </w:t>
      </w:r>
      <w:r w:rsidR="002B472C" w:rsidRPr="007B2402">
        <w:rPr>
          <w:rFonts w:eastAsia="Calibri" w:cs="Times New Roman"/>
          <w:szCs w:val="20"/>
          <w:lang w:val="en-US"/>
        </w:rPr>
        <w:t>had pass</w:t>
      </w:r>
      <w:r w:rsidR="006B6EAD" w:rsidRPr="007B2402">
        <w:rPr>
          <w:rFonts w:eastAsia="Calibri" w:cs="Times New Roman"/>
          <w:szCs w:val="20"/>
          <w:lang w:val="en-US"/>
        </w:rPr>
        <w:t xml:space="preserve">ed between the time the facts occurred and the lodging of the petition. In the State’s opinion, this did not constitute a reasonable time. </w:t>
      </w:r>
    </w:p>
    <w:p w14:paraId="7B759390" w14:textId="77777777" w:rsidR="00D16A5B" w:rsidRPr="007B2402" w:rsidRDefault="00D16A5B" w:rsidP="00D16A5B">
      <w:pPr>
        <w:contextualSpacing/>
        <w:rPr>
          <w:rFonts w:eastAsia="Calibri" w:cs="Times New Roman"/>
          <w:szCs w:val="20"/>
          <w:lang w:val="en-US"/>
        </w:rPr>
      </w:pPr>
    </w:p>
    <w:p w14:paraId="68AAFD03" w14:textId="729C39FD" w:rsidR="00D16A5B" w:rsidRPr="007B2402" w:rsidRDefault="006B6EAD" w:rsidP="006B6EAD">
      <w:pPr>
        <w:numPr>
          <w:ilvl w:val="0"/>
          <w:numId w:val="5"/>
        </w:numPr>
        <w:spacing w:after="0" w:line="240" w:lineRule="auto"/>
        <w:contextualSpacing/>
        <w:jc w:val="both"/>
        <w:rPr>
          <w:rFonts w:eastAsia="Calibri" w:cs="Times New Roman"/>
          <w:szCs w:val="20"/>
          <w:lang w:val="en-US"/>
        </w:rPr>
      </w:pPr>
      <w:r w:rsidRPr="007B2402">
        <w:rPr>
          <w:rFonts w:eastAsia="Calibri" w:cs="Times New Roman"/>
          <w:szCs w:val="20"/>
          <w:lang w:val="en-US"/>
        </w:rPr>
        <w:t xml:space="preserve">Lastly, the State considered it inappropriate that the last attempt to re-open the investigation in this specific case should be used as a date for calculating the reasonable time. It indicated </w:t>
      </w:r>
      <w:r w:rsidR="00B50AE7" w:rsidRPr="007B2402">
        <w:rPr>
          <w:rFonts w:eastAsia="Calibri" w:cs="Times New Roman"/>
          <w:szCs w:val="20"/>
          <w:lang w:val="en-US"/>
        </w:rPr>
        <w:t xml:space="preserve">that </w:t>
      </w:r>
      <w:r w:rsidRPr="007B2402">
        <w:rPr>
          <w:rFonts w:eastAsia="Calibri" w:cs="Times New Roman"/>
          <w:szCs w:val="20"/>
          <w:lang w:val="en-US"/>
        </w:rPr>
        <w:t>the purpose of the claim filed before the Public Prosecut</w:t>
      </w:r>
      <w:r w:rsidR="00B50AE7" w:rsidRPr="007B2402">
        <w:rPr>
          <w:rFonts w:eastAsia="Calibri" w:cs="Times New Roman"/>
          <w:szCs w:val="20"/>
          <w:lang w:val="en-US"/>
        </w:rPr>
        <w:t>ion Service</w:t>
      </w:r>
      <w:r w:rsidRPr="007B2402">
        <w:rPr>
          <w:rFonts w:eastAsia="Calibri" w:cs="Times New Roman"/>
          <w:szCs w:val="20"/>
          <w:lang w:val="en-US"/>
        </w:rPr>
        <w:t xml:space="preserve"> in 2007 was the failure of the Union to present</w:t>
      </w:r>
      <w:r w:rsidR="00B50AE7" w:rsidRPr="007B2402">
        <w:rPr>
          <w:rFonts w:eastAsia="Calibri" w:cs="Times New Roman"/>
          <w:szCs w:val="20"/>
          <w:lang w:val="en-US"/>
        </w:rPr>
        <w:t xml:space="preserve"> actions for</w:t>
      </w:r>
      <w:r w:rsidRPr="007B2402">
        <w:rPr>
          <w:rFonts w:eastAsia="Calibri" w:cs="Times New Roman"/>
          <w:szCs w:val="20"/>
          <w:lang w:val="en-US"/>
        </w:rPr>
        <w:t xml:space="preserve"> reimbursement (to collect compensation) against the perpetrators of the </w:t>
      </w:r>
      <w:r w:rsidR="00B50AE7" w:rsidRPr="007B2402">
        <w:rPr>
          <w:rFonts w:eastAsia="Calibri" w:cs="Times New Roman"/>
          <w:szCs w:val="20"/>
          <w:lang w:val="en-US"/>
        </w:rPr>
        <w:t>damage</w:t>
      </w:r>
      <w:r w:rsidRPr="007B2402">
        <w:rPr>
          <w:rFonts w:eastAsia="Calibri" w:cs="Times New Roman"/>
          <w:szCs w:val="20"/>
          <w:lang w:val="en-US"/>
        </w:rPr>
        <w:t xml:space="preserve"> under Law No. 9140 of 1995. Th</w:t>
      </w:r>
      <w:r w:rsidR="00B50AE7" w:rsidRPr="007B2402">
        <w:rPr>
          <w:rFonts w:eastAsia="Calibri" w:cs="Times New Roman"/>
          <w:szCs w:val="20"/>
          <w:lang w:val="en-US"/>
        </w:rPr>
        <w:t>at</w:t>
      </w:r>
      <w:r w:rsidRPr="007B2402">
        <w:rPr>
          <w:rFonts w:eastAsia="Calibri" w:cs="Times New Roman"/>
          <w:szCs w:val="20"/>
          <w:lang w:val="en-US"/>
        </w:rPr>
        <w:t xml:space="preserve"> claim was not limited to the case of Vladimir Herzog and did not</w:t>
      </w:r>
      <w:r w:rsidR="00B50AE7" w:rsidRPr="007B2402">
        <w:rPr>
          <w:rFonts w:eastAsia="Calibri" w:cs="Times New Roman"/>
          <w:szCs w:val="20"/>
          <w:lang w:val="en-US"/>
        </w:rPr>
        <w:t xml:space="preserve"> seek to incriminate anyone</w:t>
      </w:r>
      <w:r w:rsidRPr="007B2402">
        <w:rPr>
          <w:rFonts w:eastAsia="Calibri" w:cs="Times New Roman"/>
          <w:szCs w:val="20"/>
          <w:lang w:val="en-US"/>
        </w:rPr>
        <w:t>; to the contrary, according to the State, it recognized</w:t>
      </w:r>
      <w:r w:rsidR="0051220F" w:rsidRPr="007B2402">
        <w:rPr>
          <w:rFonts w:eastAsia="Calibri" w:cs="Times New Roman"/>
          <w:szCs w:val="20"/>
          <w:lang w:val="en-US"/>
        </w:rPr>
        <w:t xml:space="preserve"> that</w:t>
      </w:r>
      <w:r w:rsidRPr="007B2402">
        <w:rPr>
          <w:rFonts w:eastAsia="Calibri" w:cs="Times New Roman"/>
          <w:szCs w:val="20"/>
          <w:lang w:val="en-US"/>
        </w:rPr>
        <w:t xml:space="preserve"> the criminal actions</w:t>
      </w:r>
      <w:r w:rsidR="0051220F" w:rsidRPr="007B2402">
        <w:rPr>
          <w:rFonts w:eastAsia="Calibri" w:cs="Times New Roman"/>
          <w:szCs w:val="20"/>
          <w:lang w:val="en-US"/>
        </w:rPr>
        <w:t xml:space="preserve"> had extinguished due to </w:t>
      </w:r>
      <w:r w:rsidR="002E16BA" w:rsidRPr="007B2402">
        <w:rPr>
          <w:rFonts w:eastAsia="Calibri" w:cs="Times New Roman"/>
          <w:szCs w:val="20"/>
          <w:lang w:val="en-US"/>
        </w:rPr>
        <w:t>the application of</w:t>
      </w:r>
      <w:r w:rsidR="0051220F" w:rsidRPr="007B2402">
        <w:rPr>
          <w:rFonts w:eastAsia="Calibri" w:cs="Times New Roman"/>
          <w:szCs w:val="20"/>
          <w:lang w:val="en-US"/>
        </w:rPr>
        <w:t xml:space="preserve"> statut</w:t>
      </w:r>
      <w:r w:rsidR="002E16BA" w:rsidRPr="007B2402">
        <w:rPr>
          <w:rFonts w:eastAsia="Calibri" w:cs="Times New Roman"/>
          <w:szCs w:val="20"/>
          <w:lang w:val="en-US"/>
        </w:rPr>
        <w:t>ory</w:t>
      </w:r>
      <w:r w:rsidR="0051220F" w:rsidRPr="007B2402">
        <w:rPr>
          <w:rFonts w:eastAsia="Calibri" w:cs="Times New Roman"/>
          <w:szCs w:val="20"/>
          <w:lang w:val="en-US"/>
        </w:rPr>
        <w:t xml:space="preserve"> limitation</w:t>
      </w:r>
      <w:r w:rsidR="002E16BA" w:rsidRPr="007B2402">
        <w:rPr>
          <w:rFonts w:eastAsia="Calibri" w:cs="Times New Roman"/>
          <w:szCs w:val="20"/>
          <w:lang w:val="en-US"/>
        </w:rPr>
        <w:t>s</w:t>
      </w:r>
      <w:r w:rsidRPr="007B2402">
        <w:rPr>
          <w:rFonts w:eastAsia="Calibri" w:cs="Times New Roman"/>
          <w:szCs w:val="20"/>
          <w:lang w:val="en-US"/>
        </w:rPr>
        <w:t>. Therefore, the State’s representatives a</w:t>
      </w:r>
      <w:r w:rsidR="00121371" w:rsidRPr="007B2402">
        <w:rPr>
          <w:rFonts w:eastAsia="Calibri" w:cs="Times New Roman"/>
          <w:szCs w:val="20"/>
          <w:lang w:val="en-US"/>
        </w:rPr>
        <w:t>rgued</w:t>
      </w:r>
      <w:r w:rsidRPr="007B2402">
        <w:rPr>
          <w:rFonts w:eastAsia="Calibri" w:cs="Times New Roman"/>
          <w:szCs w:val="20"/>
          <w:lang w:val="en-US"/>
        </w:rPr>
        <w:t xml:space="preserve"> that</w:t>
      </w:r>
      <w:r w:rsidR="0051220F" w:rsidRPr="007B2402">
        <w:rPr>
          <w:rFonts w:eastAsia="Calibri" w:cs="Times New Roman"/>
          <w:szCs w:val="20"/>
          <w:lang w:val="en-US"/>
        </w:rPr>
        <w:t>, what happened in 2008, had not been a closing of</w:t>
      </w:r>
      <w:r w:rsidRPr="007B2402">
        <w:rPr>
          <w:rFonts w:eastAsia="Calibri" w:cs="Times New Roman"/>
          <w:szCs w:val="20"/>
          <w:lang w:val="en-US"/>
        </w:rPr>
        <w:t xml:space="preserve"> the investigation and, consequently, the reasonable time should not be calculated </w:t>
      </w:r>
      <w:r w:rsidR="0051220F" w:rsidRPr="007B2402">
        <w:rPr>
          <w:rFonts w:eastAsia="Calibri" w:cs="Times New Roman"/>
          <w:szCs w:val="20"/>
          <w:lang w:val="en-US"/>
        </w:rPr>
        <w:t>from</w:t>
      </w:r>
      <w:r w:rsidRPr="007B2402">
        <w:rPr>
          <w:rFonts w:eastAsia="Calibri" w:cs="Times New Roman"/>
          <w:szCs w:val="20"/>
          <w:lang w:val="en-US"/>
        </w:rPr>
        <w:t xml:space="preserve"> that last date. Finally, it indicated that, </w:t>
      </w:r>
      <w:r w:rsidR="007962F9" w:rsidRPr="007B2402">
        <w:rPr>
          <w:rFonts w:eastAsia="Calibri" w:cs="Times New Roman"/>
          <w:szCs w:val="20"/>
          <w:lang w:val="en-US"/>
        </w:rPr>
        <w:t xml:space="preserve">in the Merits Report, </w:t>
      </w:r>
      <w:r w:rsidR="00AF4344" w:rsidRPr="007B2402">
        <w:rPr>
          <w:rFonts w:eastAsia="Calibri" w:cs="Times New Roman"/>
          <w:szCs w:val="20"/>
          <w:lang w:val="en-US"/>
        </w:rPr>
        <w:t>the Commission</w:t>
      </w:r>
      <w:r w:rsidR="00D16A5B" w:rsidRPr="007B2402">
        <w:rPr>
          <w:rFonts w:eastAsia="Calibri" w:cs="Times New Roman"/>
          <w:szCs w:val="20"/>
          <w:lang w:val="en-US"/>
        </w:rPr>
        <w:t xml:space="preserve"> </w:t>
      </w:r>
      <w:r w:rsidR="007962F9" w:rsidRPr="007B2402">
        <w:rPr>
          <w:rFonts w:eastAsia="Calibri" w:cs="Times New Roman"/>
          <w:szCs w:val="20"/>
          <w:lang w:val="en-US"/>
        </w:rPr>
        <w:t xml:space="preserve">had failed to identify clearly the criteria used to assess the reasonable time and that it was obliged to identify the date </w:t>
      </w:r>
      <w:r w:rsidR="0051220F" w:rsidRPr="007B2402">
        <w:rPr>
          <w:rFonts w:eastAsia="Calibri" w:cs="Times New Roman"/>
          <w:szCs w:val="20"/>
          <w:lang w:val="en-US"/>
        </w:rPr>
        <w:t>from</w:t>
      </w:r>
      <w:r w:rsidR="007962F9" w:rsidRPr="007B2402">
        <w:rPr>
          <w:rFonts w:eastAsia="Calibri" w:cs="Times New Roman"/>
          <w:szCs w:val="20"/>
          <w:lang w:val="en-US"/>
        </w:rPr>
        <w:t xml:space="preserve"> which this was calculated</w:t>
      </w:r>
      <w:r w:rsidR="00253297" w:rsidRPr="007B2402">
        <w:rPr>
          <w:rFonts w:eastAsia="Calibri" w:cs="Times New Roman"/>
          <w:szCs w:val="20"/>
          <w:lang w:val="en-US"/>
        </w:rPr>
        <w:t>.</w:t>
      </w:r>
    </w:p>
    <w:p w14:paraId="02B9461E" w14:textId="77777777" w:rsidR="00D16A5B" w:rsidRPr="007B2402" w:rsidRDefault="00D16A5B" w:rsidP="00D16A5B">
      <w:pPr>
        <w:spacing w:after="0" w:line="240" w:lineRule="auto"/>
        <w:jc w:val="both"/>
        <w:rPr>
          <w:rFonts w:eastAsia="Calibri" w:cs="Times New Roman"/>
          <w:szCs w:val="20"/>
          <w:lang w:val="en-US"/>
        </w:rPr>
      </w:pPr>
    </w:p>
    <w:p w14:paraId="3EE87EBA" w14:textId="3C9C00AF" w:rsidR="00072F45" w:rsidRPr="007B2402" w:rsidRDefault="00AF4344" w:rsidP="00072F45">
      <w:pPr>
        <w:numPr>
          <w:ilvl w:val="0"/>
          <w:numId w:val="5"/>
        </w:numPr>
        <w:spacing w:after="0" w:line="240" w:lineRule="auto"/>
        <w:contextualSpacing/>
        <w:jc w:val="both"/>
        <w:rPr>
          <w:rFonts w:eastAsia="Calibri" w:cs="Times New Roman"/>
          <w:szCs w:val="20"/>
          <w:lang w:val="en-US"/>
        </w:rPr>
      </w:pPr>
      <w:r w:rsidRPr="007B2402">
        <w:rPr>
          <w:rFonts w:eastAsia="Calibri" w:cs="Times New Roman"/>
          <w:szCs w:val="20"/>
          <w:lang w:val="en-US"/>
        </w:rPr>
        <w:t xml:space="preserve">The </w:t>
      </w:r>
      <w:r w:rsidRPr="007B2402">
        <w:rPr>
          <w:rFonts w:eastAsia="Calibri" w:cs="Times New Roman"/>
          <w:b/>
          <w:i/>
          <w:szCs w:val="20"/>
          <w:lang w:val="en-US"/>
        </w:rPr>
        <w:t>Commission</w:t>
      </w:r>
      <w:r w:rsidR="00D16A5B" w:rsidRPr="007B2402">
        <w:rPr>
          <w:rFonts w:eastAsia="Calibri" w:cs="Times New Roman"/>
          <w:szCs w:val="20"/>
          <w:lang w:val="en-US"/>
        </w:rPr>
        <w:t xml:space="preserve"> </w:t>
      </w:r>
      <w:r w:rsidR="00072F45" w:rsidRPr="007B2402">
        <w:rPr>
          <w:rFonts w:eastAsia="Calibri" w:cs="Times New Roman"/>
          <w:szCs w:val="20"/>
          <w:lang w:val="en-US"/>
        </w:rPr>
        <w:t xml:space="preserve">noted, first, that the State had asked the Court to conduct a control of the legality of the analysis of the six-month period. It indicated that it had full autonomy in the exercise of its powers under the Convention, and a review of </w:t>
      </w:r>
      <w:r w:rsidR="0051220F" w:rsidRPr="007B2402">
        <w:rPr>
          <w:rFonts w:eastAsia="Calibri" w:cs="Times New Roman"/>
          <w:szCs w:val="20"/>
          <w:lang w:val="en-US"/>
        </w:rPr>
        <w:t xml:space="preserve">matters relating to </w:t>
      </w:r>
      <w:r w:rsidR="00072F45" w:rsidRPr="007B2402">
        <w:rPr>
          <w:rFonts w:eastAsia="Calibri" w:cs="Times New Roman"/>
          <w:szCs w:val="20"/>
          <w:lang w:val="en-US"/>
        </w:rPr>
        <w:t xml:space="preserve">admissibility should only be conducted in exceptional circumstances when the following elements are present: (i) a procedural error; (ii) that is considered very serious; (iii) that affects the right of defense of the party citing it, and (iv) that specific prejudice has been proved. The Commission considered that none of these elements </w:t>
      </w:r>
      <w:r w:rsidR="008036CB" w:rsidRPr="007B2402">
        <w:rPr>
          <w:rFonts w:eastAsia="Calibri" w:cs="Times New Roman"/>
          <w:szCs w:val="20"/>
          <w:lang w:val="en-US"/>
        </w:rPr>
        <w:t>were present</w:t>
      </w:r>
      <w:r w:rsidR="00072F45" w:rsidRPr="007B2402">
        <w:rPr>
          <w:rFonts w:eastAsia="Calibri" w:cs="Times New Roman"/>
          <w:szCs w:val="20"/>
          <w:lang w:val="en-US"/>
        </w:rPr>
        <w:t xml:space="preserve"> in this case.</w:t>
      </w:r>
    </w:p>
    <w:p w14:paraId="7852834D" w14:textId="77777777" w:rsidR="00072F45" w:rsidRPr="007B2402" w:rsidRDefault="00072F45" w:rsidP="00072F45">
      <w:pPr>
        <w:pStyle w:val="Prrafodelista"/>
        <w:rPr>
          <w:rFonts w:eastAsia="Calibri" w:cs="Times New Roman"/>
          <w:szCs w:val="20"/>
          <w:lang w:val="en-US"/>
        </w:rPr>
      </w:pPr>
    </w:p>
    <w:p w14:paraId="704D0793" w14:textId="74346A4E" w:rsidR="00072F45" w:rsidRPr="007B2402" w:rsidRDefault="00072F45" w:rsidP="00DB1F30">
      <w:pPr>
        <w:numPr>
          <w:ilvl w:val="0"/>
          <w:numId w:val="5"/>
        </w:numPr>
        <w:spacing w:after="0" w:line="240" w:lineRule="auto"/>
        <w:contextualSpacing/>
        <w:jc w:val="both"/>
        <w:rPr>
          <w:rFonts w:eastAsia="Calibri" w:cs="Times New Roman"/>
          <w:b/>
          <w:szCs w:val="20"/>
          <w:lang w:val="en-US"/>
        </w:rPr>
      </w:pPr>
      <w:r w:rsidRPr="007B2402">
        <w:rPr>
          <w:rFonts w:eastAsia="Calibri" w:cs="Times New Roman"/>
          <w:szCs w:val="20"/>
          <w:lang w:val="en-US"/>
        </w:rPr>
        <w:t>Second</w:t>
      </w:r>
      <w:r w:rsidR="00D16A5B" w:rsidRPr="007B2402">
        <w:rPr>
          <w:rFonts w:eastAsia="Calibri" w:cs="Times New Roman"/>
          <w:szCs w:val="20"/>
          <w:lang w:val="en-US"/>
        </w:rPr>
        <w:t xml:space="preserve">, </w:t>
      </w:r>
      <w:r w:rsidR="00AF4344" w:rsidRPr="007B2402">
        <w:rPr>
          <w:rFonts w:eastAsia="Calibri" w:cs="Times New Roman"/>
          <w:szCs w:val="20"/>
          <w:lang w:val="en-US"/>
        </w:rPr>
        <w:t>the Commission</w:t>
      </w:r>
      <w:r w:rsidR="00D16A5B" w:rsidRPr="007B2402">
        <w:rPr>
          <w:rFonts w:eastAsia="Calibri" w:cs="Times New Roman"/>
          <w:szCs w:val="20"/>
          <w:lang w:val="en-US"/>
        </w:rPr>
        <w:t xml:space="preserve"> consider</w:t>
      </w:r>
      <w:r w:rsidRPr="007B2402">
        <w:rPr>
          <w:rFonts w:eastAsia="Calibri" w:cs="Times New Roman"/>
          <w:szCs w:val="20"/>
          <w:lang w:val="en-US"/>
        </w:rPr>
        <w:t>ed that the exception to the requirement of exhaustion of domestic remedies established in</w:t>
      </w:r>
      <w:r w:rsidR="00D16A5B" w:rsidRPr="007B2402">
        <w:rPr>
          <w:rFonts w:eastAsia="Calibri" w:cs="Times New Roman"/>
          <w:szCs w:val="20"/>
          <w:lang w:val="en-US"/>
        </w:rPr>
        <w:t xml:space="preserve"> </w:t>
      </w:r>
      <w:r w:rsidR="00AF4344" w:rsidRPr="007B2402">
        <w:rPr>
          <w:rFonts w:eastAsia="Calibri" w:cs="Times New Roman"/>
          <w:szCs w:val="20"/>
          <w:lang w:val="en-US"/>
        </w:rPr>
        <w:t>Article</w:t>
      </w:r>
      <w:r w:rsidR="00D16A5B" w:rsidRPr="007B2402">
        <w:rPr>
          <w:rFonts w:eastAsia="Calibri" w:cs="Times New Roman"/>
          <w:szCs w:val="20"/>
          <w:lang w:val="en-US"/>
        </w:rPr>
        <w:t xml:space="preserve"> 46</w:t>
      </w:r>
      <w:r w:rsidRPr="007B2402">
        <w:rPr>
          <w:rFonts w:eastAsia="Calibri" w:cs="Times New Roman"/>
          <w:szCs w:val="20"/>
          <w:lang w:val="en-US"/>
        </w:rPr>
        <w:t>(</w:t>
      </w:r>
      <w:r w:rsidR="00D16A5B" w:rsidRPr="007B2402">
        <w:rPr>
          <w:rFonts w:eastAsia="Calibri" w:cs="Times New Roman"/>
          <w:szCs w:val="20"/>
          <w:lang w:val="en-US"/>
        </w:rPr>
        <w:t>2</w:t>
      </w:r>
      <w:r w:rsidRPr="007B2402">
        <w:rPr>
          <w:rFonts w:eastAsia="Calibri" w:cs="Times New Roman"/>
          <w:szCs w:val="20"/>
          <w:lang w:val="en-US"/>
        </w:rPr>
        <w:t>)(</w:t>
      </w:r>
      <w:r w:rsidR="00D16A5B" w:rsidRPr="007B2402">
        <w:rPr>
          <w:rFonts w:eastAsia="Calibri" w:cs="Times New Roman"/>
          <w:szCs w:val="20"/>
          <w:lang w:val="en-US"/>
        </w:rPr>
        <w:t>a</w:t>
      </w:r>
      <w:r w:rsidRPr="007B2402">
        <w:rPr>
          <w:rFonts w:eastAsia="Calibri" w:cs="Times New Roman"/>
          <w:szCs w:val="20"/>
          <w:lang w:val="en-US"/>
        </w:rPr>
        <w:t>)</w:t>
      </w:r>
      <w:r w:rsidR="00AF4344" w:rsidRPr="007B2402">
        <w:rPr>
          <w:rFonts w:eastAsia="Calibri" w:cs="Times New Roman"/>
          <w:szCs w:val="20"/>
          <w:lang w:val="en-US"/>
        </w:rPr>
        <w:t xml:space="preserve"> of the Convention</w:t>
      </w:r>
      <w:r w:rsidRPr="007B2402">
        <w:rPr>
          <w:rFonts w:eastAsia="Calibri" w:cs="Times New Roman"/>
          <w:szCs w:val="20"/>
          <w:lang w:val="en-US"/>
        </w:rPr>
        <w:t xml:space="preserve"> was applicable, because the</w:t>
      </w:r>
      <w:r w:rsidR="008036CB" w:rsidRPr="007B2402">
        <w:rPr>
          <w:rFonts w:eastAsia="Calibri" w:cs="Times New Roman"/>
          <w:szCs w:val="20"/>
          <w:lang w:val="en-US"/>
        </w:rPr>
        <w:t xml:space="preserve"> six-month</w:t>
      </w:r>
      <w:r w:rsidRPr="007B2402">
        <w:rPr>
          <w:rFonts w:eastAsia="Calibri" w:cs="Times New Roman"/>
          <w:szCs w:val="20"/>
          <w:lang w:val="en-US"/>
        </w:rPr>
        <w:t xml:space="preserve"> period </w:t>
      </w:r>
      <w:r w:rsidR="008036CB" w:rsidRPr="007B2402">
        <w:rPr>
          <w:rFonts w:eastAsia="Calibri" w:cs="Times New Roman"/>
          <w:szCs w:val="20"/>
          <w:lang w:val="en-US"/>
        </w:rPr>
        <w:t>was inapplicable</w:t>
      </w:r>
      <w:r w:rsidRPr="007B2402">
        <w:rPr>
          <w:rFonts w:eastAsia="Calibri" w:cs="Times New Roman"/>
          <w:szCs w:val="20"/>
          <w:lang w:val="en-US"/>
        </w:rPr>
        <w:t xml:space="preserve">. </w:t>
      </w:r>
      <w:r w:rsidR="00AF4344" w:rsidRPr="007B2402">
        <w:rPr>
          <w:rFonts w:eastAsia="Calibri" w:cs="Times New Roman"/>
          <w:szCs w:val="20"/>
          <w:lang w:val="en-US"/>
        </w:rPr>
        <w:t>The Commission</w:t>
      </w:r>
      <w:r w:rsidR="00D16A5B" w:rsidRPr="007B2402">
        <w:rPr>
          <w:rFonts w:eastAsia="Calibri" w:cs="Times New Roman"/>
          <w:szCs w:val="20"/>
          <w:lang w:val="en-US"/>
        </w:rPr>
        <w:t xml:space="preserve"> reiter</w:t>
      </w:r>
      <w:r w:rsidRPr="007B2402">
        <w:rPr>
          <w:rFonts w:eastAsia="Calibri" w:cs="Times New Roman"/>
          <w:szCs w:val="20"/>
          <w:lang w:val="en-US"/>
        </w:rPr>
        <w:t xml:space="preserve">ated </w:t>
      </w:r>
      <w:r w:rsidR="008036CB" w:rsidRPr="007B2402">
        <w:rPr>
          <w:rFonts w:eastAsia="Calibri" w:cs="Times New Roman"/>
          <w:szCs w:val="20"/>
          <w:lang w:val="en-US"/>
        </w:rPr>
        <w:t xml:space="preserve">its considerations in </w:t>
      </w:r>
      <w:r w:rsidRPr="007B2402">
        <w:rPr>
          <w:rFonts w:eastAsia="Calibri" w:cs="Times New Roman"/>
          <w:szCs w:val="20"/>
          <w:lang w:val="en-US"/>
        </w:rPr>
        <w:t xml:space="preserve">the </w:t>
      </w:r>
      <w:r w:rsidR="00375567" w:rsidRPr="007B2402">
        <w:rPr>
          <w:rFonts w:eastAsia="Calibri" w:cs="Times New Roman"/>
          <w:szCs w:val="20"/>
          <w:lang w:val="en-US"/>
        </w:rPr>
        <w:t>Admissibility Report</w:t>
      </w:r>
      <w:r w:rsidR="00D16A5B" w:rsidRPr="007B2402">
        <w:rPr>
          <w:rFonts w:eastAsia="Calibri" w:cs="Times New Roman"/>
          <w:szCs w:val="20"/>
          <w:lang w:val="en-US"/>
        </w:rPr>
        <w:t xml:space="preserve">, </w:t>
      </w:r>
      <w:r w:rsidRPr="007B2402">
        <w:rPr>
          <w:rFonts w:eastAsia="Calibri" w:cs="Times New Roman"/>
          <w:szCs w:val="20"/>
          <w:lang w:val="en-US"/>
        </w:rPr>
        <w:t>in which it had a</w:t>
      </w:r>
      <w:r w:rsidR="00121371" w:rsidRPr="007B2402">
        <w:rPr>
          <w:rFonts w:eastAsia="Calibri" w:cs="Times New Roman"/>
          <w:szCs w:val="20"/>
          <w:lang w:val="en-US"/>
        </w:rPr>
        <w:t>rgued</w:t>
      </w:r>
      <w:r w:rsidRPr="007B2402">
        <w:rPr>
          <w:rFonts w:eastAsia="Calibri" w:cs="Times New Roman"/>
          <w:szCs w:val="20"/>
          <w:lang w:val="en-US"/>
        </w:rPr>
        <w:t xml:space="preserve"> that</w:t>
      </w:r>
      <w:r w:rsidR="00BF4CE4" w:rsidRPr="007B2402">
        <w:rPr>
          <w:rFonts w:eastAsia="Calibri" w:cs="Times New Roman"/>
          <w:szCs w:val="20"/>
          <w:lang w:val="en-US"/>
        </w:rPr>
        <w:t xml:space="preserve">, in cases that </w:t>
      </w:r>
      <w:r w:rsidR="00BF4CE4" w:rsidRPr="007B2402">
        <w:rPr>
          <w:rFonts w:eastAsia="Calibri" w:cs="Times New Roman"/>
          <w:szCs w:val="20"/>
          <w:lang w:val="en-US"/>
        </w:rPr>
        <w:lastRenderedPageBreak/>
        <w:t>presumably</w:t>
      </w:r>
      <w:r w:rsidRPr="007B2402">
        <w:rPr>
          <w:rFonts w:eastAsia="Calibri" w:cs="Times New Roman"/>
          <w:szCs w:val="20"/>
          <w:lang w:val="en-US"/>
        </w:rPr>
        <w:t xml:space="preserve"> </w:t>
      </w:r>
      <w:r w:rsidR="00BF4CE4" w:rsidRPr="007B2402">
        <w:rPr>
          <w:rFonts w:eastAsia="Calibri" w:cs="Times New Roman"/>
          <w:szCs w:val="20"/>
          <w:lang w:val="en-US"/>
        </w:rPr>
        <w:t xml:space="preserve">involved criminal offenses that could be prosecuted </w:t>
      </w:r>
      <w:r w:rsidR="00BF4CE4" w:rsidRPr="007B2402">
        <w:rPr>
          <w:rFonts w:eastAsia="Calibri" w:cs="Times New Roman"/>
          <w:i/>
          <w:szCs w:val="20"/>
          <w:lang w:val="en-US"/>
        </w:rPr>
        <w:t>ex officio</w:t>
      </w:r>
      <w:r w:rsidR="00BF4CE4" w:rsidRPr="007B2402">
        <w:rPr>
          <w:rFonts w:eastAsia="Calibri" w:cs="Times New Roman"/>
          <w:szCs w:val="20"/>
          <w:lang w:val="en-US"/>
        </w:rPr>
        <w:t xml:space="preserve"> in Brazil –  arbitrary detention, torture and extrajudicial execution – the appropriate and effective remedy was a criminal investigation and a trial before the ordinary system of justice. The Commission also noted that the Amnesty Law was “an obstacle to the criminal prosecution of those responsible” for the violations perpetrated against the presumed victim and, therefore, determined that the petition was admissible because Brazil’s domestic laws did not establish the appropriate legal proceedings to protect the rights allegedly violated. The Commission also a</w:t>
      </w:r>
      <w:r w:rsidR="008036CB" w:rsidRPr="007B2402">
        <w:rPr>
          <w:rFonts w:eastAsia="Calibri" w:cs="Times New Roman"/>
          <w:szCs w:val="20"/>
          <w:lang w:val="en-US"/>
        </w:rPr>
        <w:t xml:space="preserve">rgued </w:t>
      </w:r>
      <w:r w:rsidR="00BF4CE4" w:rsidRPr="007B2402">
        <w:rPr>
          <w:rFonts w:eastAsia="Calibri" w:cs="Times New Roman"/>
          <w:szCs w:val="20"/>
          <w:lang w:val="en-US"/>
        </w:rPr>
        <w:t xml:space="preserve">that numerous actions </w:t>
      </w:r>
      <w:r w:rsidR="008036CB" w:rsidRPr="007B2402">
        <w:rPr>
          <w:rFonts w:eastAsia="Calibri" w:cs="Times New Roman"/>
          <w:szCs w:val="20"/>
          <w:lang w:val="en-US"/>
        </w:rPr>
        <w:t>had been</w:t>
      </w:r>
      <w:r w:rsidR="00BF4CE4" w:rsidRPr="007B2402">
        <w:rPr>
          <w:rFonts w:eastAsia="Calibri" w:cs="Times New Roman"/>
          <w:szCs w:val="20"/>
          <w:lang w:val="en-US"/>
        </w:rPr>
        <w:t xml:space="preserve"> </w:t>
      </w:r>
      <w:r w:rsidR="008036CB" w:rsidRPr="007B2402">
        <w:rPr>
          <w:rFonts w:eastAsia="Calibri" w:cs="Times New Roman"/>
          <w:szCs w:val="20"/>
          <w:lang w:val="en-US"/>
        </w:rPr>
        <w:t>taken</w:t>
      </w:r>
      <w:r w:rsidR="00BF4CE4" w:rsidRPr="007B2402">
        <w:rPr>
          <w:rFonts w:eastAsia="Calibri" w:cs="Times New Roman"/>
          <w:szCs w:val="20"/>
          <w:lang w:val="en-US"/>
        </w:rPr>
        <w:t xml:space="preserve"> at the domestic level in 2008 and 2009, so that lodging the petition in 2009 was reasonable.</w:t>
      </w:r>
    </w:p>
    <w:p w14:paraId="7E244800" w14:textId="77777777" w:rsidR="00D16A5B" w:rsidRPr="007B2402" w:rsidRDefault="00D16A5B" w:rsidP="00D16A5B">
      <w:pPr>
        <w:spacing w:after="0" w:line="240" w:lineRule="auto"/>
        <w:contextualSpacing/>
        <w:jc w:val="both"/>
        <w:rPr>
          <w:rFonts w:eastAsia="Calibri" w:cs="Times New Roman"/>
          <w:b/>
          <w:szCs w:val="20"/>
          <w:lang w:val="en-US"/>
        </w:rPr>
      </w:pPr>
    </w:p>
    <w:p w14:paraId="50EB1AB7" w14:textId="36274CF5" w:rsidR="00D16A5B" w:rsidRPr="007B2402" w:rsidRDefault="00BF4CE4" w:rsidP="004C46D2">
      <w:pPr>
        <w:numPr>
          <w:ilvl w:val="0"/>
          <w:numId w:val="5"/>
        </w:numPr>
        <w:spacing w:after="0" w:line="240" w:lineRule="auto"/>
        <w:contextualSpacing/>
        <w:jc w:val="both"/>
        <w:rPr>
          <w:rFonts w:eastAsia="Calibri" w:cs="Times New Roman"/>
          <w:b/>
          <w:szCs w:val="20"/>
          <w:lang w:val="en-US"/>
        </w:rPr>
      </w:pPr>
      <w:r w:rsidRPr="007B2402">
        <w:rPr>
          <w:rFonts w:eastAsia="Calibri" w:cs="Times New Roman"/>
          <w:szCs w:val="20"/>
          <w:lang w:val="en-US"/>
        </w:rPr>
        <w:t>Based on the above</w:t>
      </w:r>
      <w:r w:rsidR="008036CB" w:rsidRPr="007B2402">
        <w:rPr>
          <w:rFonts w:eastAsia="Calibri" w:cs="Times New Roman"/>
          <w:szCs w:val="20"/>
          <w:lang w:val="en-US"/>
        </w:rPr>
        <w:t>, the</w:t>
      </w:r>
      <w:r w:rsidR="00AF4344" w:rsidRPr="007B2402">
        <w:rPr>
          <w:rFonts w:eastAsia="Calibri" w:cs="Times New Roman"/>
          <w:szCs w:val="20"/>
          <w:lang w:val="en-US"/>
        </w:rPr>
        <w:t xml:space="preserve"> Commission</w:t>
      </w:r>
      <w:r w:rsidR="00D16A5B" w:rsidRPr="007B2402">
        <w:rPr>
          <w:rFonts w:eastAsia="Calibri" w:cs="Times New Roman"/>
          <w:szCs w:val="20"/>
          <w:lang w:val="en-US"/>
        </w:rPr>
        <w:t xml:space="preserve"> </w:t>
      </w:r>
      <w:r w:rsidRPr="007B2402">
        <w:rPr>
          <w:rFonts w:eastAsia="Calibri" w:cs="Times New Roman"/>
          <w:szCs w:val="20"/>
          <w:lang w:val="en-US"/>
        </w:rPr>
        <w:t>asked</w:t>
      </w:r>
      <w:r w:rsidR="00D16A5B" w:rsidRPr="007B2402">
        <w:rPr>
          <w:rFonts w:eastAsia="Calibri" w:cs="Times New Roman"/>
          <w:szCs w:val="20"/>
          <w:lang w:val="en-US"/>
        </w:rPr>
        <w:t xml:space="preserve"> </w:t>
      </w:r>
      <w:r w:rsidR="00AF4344" w:rsidRPr="007B2402">
        <w:rPr>
          <w:rFonts w:eastAsia="Calibri" w:cs="Times New Roman"/>
          <w:szCs w:val="20"/>
          <w:lang w:val="en-US"/>
        </w:rPr>
        <w:t>the Court</w:t>
      </w:r>
      <w:r w:rsidR="00D16A5B" w:rsidRPr="007B2402">
        <w:rPr>
          <w:rFonts w:eastAsia="Calibri" w:cs="Times New Roman"/>
          <w:szCs w:val="20"/>
          <w:lang w:val="en-US"/>
        </w:rPr>
        <w:t xml:space="preserve"> </w:t>
      </w:r>
      <w:r w:rsidRPr="007B2402">
        <w:rPr>
          <w:rFonts w:eastAsia="Calibri" w:cs="Times New Roman"/>
          <w:szCs w:val="20"/>
          <w:lang w:val="en-US"/>
        </w:rPr>
        <w:t xml:space="preserve">to deny the State’s request to conduct a control of legality on this point, because the State had not proved </w:t>
      </w:r>
      <w:r w:rsidR="003D3039" w:rsidRPr="007B2402">
        <w:rPr>
          <w:rFonts w:eastAsia="Calibri" w:cs="Times New Roman"/>
          <w:szCs w:val="20"/>
          <w:lang w:val="en-US"/>
        </w:rPr>
        <w:t xml:space="preserve">the existence of the </w:t>
      </w:r>
      <w:r w:rsidR="008036CB" w:rsidRPr="007B2402">
        <w:rPr>
          <w:rFonts w:eastAsia="Calibri" w:cs="Times New Roman"/>
          <w:szCs w:val="20"/>
          <w:lang w:val="en-US"/>
        </w:rPr>
        <w:t>presumptions</w:t>
      </w:r>
      <w:r w:rsidR="003D3039" w:rsidRPr="007B2402">
        <w:rPr>
          <w:rFonts w:eastAsia="Calibri" w:cs="Times New Roman"/>
          <w:szCs w:val="20"/>
          <w:lang w:val="en-US"/>
        </w:rPr>
        <w:t xml:space="preserve"> for this control to take place. It also </w:t>
      </w:r>
      <w:r w:rsidR="008036CB" w:rsidRPr="007B2402">
        <w:rPr>
          <w:rFonts w:eastAsia="Calibri" w:cs="Times New Roman"/>
          <w:szCs w:val="20"/>
          <w:lang w:val="en-US"/>
        </w:rPr>
        <w:t>asked</w:t>
      </w:r>
      <w:r w:rsidR="003D3039" w:rsidRPr="007B2402">
        <w:rPr>
          <w:rFonts w:eastAsia="Calibri" w:cs="Times New Roman"/>
          <w:szCs w:val="20"/>
          <w:lang w:val="en-US"/>
        </w:rPr>
        <w:t xml:space="preserve"> the Court to establish that </w:t>
      </w:r>
      <w:r w:rsidR="008036CB" w:rsidRPr="007B2402">
        <w:rPr>
          <w:rFonts w:eastAsia="Calibri" w:cs="Times New Roman"/>
          <w:szCs w:val="20"/>
          <w:lang w:val="en-US"/>
        </w:rPr>
        <w:t>its</w:t>
      </w:r>
      <w:r w:rsidR="003D3039" w:rsidRPr="007B2402">
        <w:rPr>
          <w:rFonts w:eastAsia="Calibri" w:cs="Times New Roman"/>
          <w:szCs w:val="20"/>
          <w:lang w:val="en-US"/>
        </w:rPr>
        <w:t xml:space="preserve"> analysis</w:t>
      </w:r>
      <w:r w:rsidR="004C46D2" w:rsidRPr="007B2402">
        <w:rPr>
          <w:rFonts w:eastAsia="Calibri" w:cs="Times New Roman"/>
          <w:szCs w:val="20"/>
          <w:lang w:val="en-US"/>
        </w:rPr>
        <w:t xml:space="preserve">, </w:t>
      </w:r>
      <w:r w:rsidR="008036CB" w:rsidRPr="007B2402">
        <w:rPr>
          <w:rFonts w:eastAsia="Calibri" w:cs="Times New Roman"/>
          <w:szCs w:val="20"/>
          <w:lang w:val="en-US"/>
        </w:rPr>
        <w:t>in the</w:t>
      </w:r>
      <w:r w:rsidR="008036CB" w:rsidRPr="007B2402">
        <w:rPr>
          <w:rFonts w:eastAsia="Calibri" w:cs="Times New Roman"/>
          <w:b/>
          <w:szCs w:val="20"/>
          <w:lang w:val="en-US"/>
        </w:rPr>
        <w:t xml:space="preserve"> </w:t>
      </w:r>
      <w:r w:rsidR="008036CB" w:rsidRPr="007B2402">
        <w:rPr>
          <w:rFonts w:eastAsia="Calibri" w:cs="Times New Roman"/>
          <w:szCs w:val="20"/>
          <w:lang w:val="en-US"/>
        </w:rPr>
        <w:t>Admissibility Report</w:t>
      </w:r>
      <w:r w:rsidR="004C46D2" w:rsidRPr="007B2402">
        <w:rPr>
          <w:rFonts w:eastAsia="Calibri" w:cs="Times New Roman"/>
          <w:szCs w:val="20"/>
          <w:lang w:val="en-US"/>
        </w:rPr>
        <w:t>, of the requirement of opportune submission of the petition</w:t>
      </w:r>
      <w:r w:rsidR="003D3039" w:rsidRPr="007B2402">
        <w:rPr>
          <w:rFonts w:eastAsia="Calibri" w:cs="Times New Roman"/>
          <w:szCs w:val="20"/>
          <w:lang w:val="en-US"/>
        </w:rPr>
        <w:t xml:space="preserve"> complied with the conventional and regulatory framework and, consequently, </w:t>
      </w:r>
      <w:r w:rsidR="004C46D2" w:rsidRPr="007B2402">
        <w:rPr>
          <w:rFonts w:eastAsia="Calibri" w:cs="Times New Roman"/>
          <w:szCs w:val="20"/>
          <w:lang w:val="en-US"/>
        </w:rPr>
        <w:t xml:space="preserve">to </w:t>
      </w:r>
      <w:r w:rsidR="003D3039" w:rsidRPr="007B2402">
        <w:rPr>
          <w:rFonts w:eastAsia="Calibri" w:cs="Times New Roman"/>
          <w:szCs w:val="20"/>
          <w:lang w:val="en-US"/>
        </w:rPr>
        <w:t xml:space="preserve">declare this </w:t>
      </w:r>
      <w:r w:rsidR="006E2CFF" w:rsidRPr="007B2402">
        <w:rPr>
          <w:rFonts w:eastAsia="Calibri" w:cs="Times New Roman"/>
          <w:szCs w:val="20"/>
          <w:lang w:val="en-US"/>
        </w:rPr>
        <w:t>preliminary objection</w:t>
      </w:r>
      <w:r w:rsidR="003D3039" w:rsidRPr="007B2402">
        <w:rPr>
          <w:rFonts w:eastAsia="Calibri" w:cs="Times New Roman"/>
          <w:szCs w:val="20"/>
          <w:lang w:val="en-US"/>
        </w:rPr>
        <w:t xml:space="preserve"> inadmissible</w:t>
      </w:r>
      <w:r w:rsidR="00D16A5B" w:rsidRPr="007B2402">
        <w:rPr>
          <w:rFonts w:eastAsia="Calibri" w:cs="Times New Roman"/>
          <w:szCs w:val="20"/>
          <w:lang w:val="en-US"/>
        </w:rPr>
        <w:t>.</w:t>
      </w:r>
    </w:p>
    <w:p w14:paraId="666CBBEA" w14:textId="77777777" w:rsidR="00D16A5B" w:rsidRPr="007B2402" w:rsidRDefault="00D16A5B" w:rsidP="004C46D2">
      <w:pPr>
        <w:spacing w:after="0" w:line="240" w:lineRule="auto"/>
        <w:jc w:val="both"/>
        <w:rPr>
          <w:rFonts w:eastAsia="Calibri" w:cs="Times New Roman"/>
          <w:szCs w:val="20"/>
          <w:lang w:val="en-US"/>
        </w:rPr>
      </w:pPr>
    </w:p>
    <w:p w14:paraId="7471ED40" w14:textId="46D4F2FB" w:rsidR="00D16A5B" w:rsidRPr="007B2402" w:rsidRDefault="005B1590" w:rsidP="004C46D2">
      <w:pPr>
        <w:numPr>
          <w:ilvl w:val="0"/>
          <w:numId w:val="5"/>
        </w:numPr>
        <w:spacing w:after="0" w:line="240" w:lineRule="auto"/>
        <w:contextualSpacing/>
        <w:jc w:val="both"/>
        <w:rPr>
          <w:rFonts w:eastAsia="Calibri" w:cs="Times New Roman"/>
          <w:szCs w:val="20"/>
          <w:lang w:val="en-US"/>
        </w:rPr>
      </w:pPr>
      <w:r w:rsidRPr="007B2402">
        <w:rPr>
          <w:rFonts w:eastAsia="Calibri" w:cs="Times New Roman"/>
          <w:szCs w:val="20"/>
          <w:lang w:val="en-US"/>
        </w:rPr>
        <w:t xml:space="preserve">The </w:t>
      </w:r>
      <w:r w:rsidRPr="007B2402">
        <w:rPr>
          <w:rFonts w:eastAsia="Calibri" w:cs="Times New Roman"/>
          <w:b/>
          <w:i/>
          <w:szCs w:val="20"/>
          <w:lang w:val="en-US"/>
        </w:rPr>
        <w:t>representatives</w:t>
      </w:r>
      <w:r w:rsidR="00D16A5B" w:rsidRPr="007B2402">
        <w:rPr>
          <w:rFonts w:eastAsia="Calibri" w:cs="Times New Roman"/>
          <w:szCs w:val="20"/>
          <w:lang w:val="en-US"/>
        </w:rPr>
        <w:t xml:space="preserve"> </w:t>
      </w:r>
      <w:r w:rsidR="003D3039" w:rsidRPr="007B2402">
        <w:rPr>
          <w:rFonts w:eastAsia="Calibri" w:cs="Times New Roman"/>
          <w:szCs w:val="20"/>
          <w:lang w:val="en-US"/>
        </w:rPr>
        <w:t xml:space="preserve">underlined that the Court’s consistent case law had determined the inadmissibility of the objection relating to the six-months’ time </w:t>
      </w:r>
      <w:r w:rsidR="004C46D2" w:rsidRPr="007B2402">
        <w:rPr>
          <w:rFonts w:eastAsia="Calibri" w:cs="Times New Roman"/>
          <w:szCs w:val="20"/>
          <w:lang w:val="en-US"/>
        </w:rPr>
        <w:t>limit</w:t>
      </w:r>
      <w:r w:rsidR="003D3039" w:rsidRPr="007B2402">
        <w:rPr>
          <w:rFonts w:eastAsia="Calibri" w:cs="Times New Roman"/>
          <w:szCs w:val="20"/>
          <w:lang w:val="en-US"/>
        </w:rPr>
        <w:t xml:space="preserve"> if the State argued the failure to exhaust domestic remedies, owing to the intrinsic contradiction between these arguments. </w:t>
      </w:r>
      <w:r w:rsidR="004C46D2" w:rsidRPr="007B2402">
        <w:rPr>
          <w:rFonts w:eastAsia="Calibri" w:cs="Times New Roman"/>
          <w:szCs w:val="20"/>
          <w:lang w:val="en-US"/>
        </w:rPr>
        <w:t xml:space="preserve">They also </w:t>
      </w:r>
      <w:r w:rsidR="003D3039" w:rsidRPr="007B2402">
        <w:rPr>
          <w:rFonts w:eastAsia="Calibri" w:cs="Times New Roman"/>
          <w:szCs w:val="20"/>
          <w:lang w:val="en-US"/>
        </w:rPr>
        <w:t xml:space="preserve">stressed that </w:t>
      </w:r>
      <w:r w:rsidR="00AF4344" w:rsidRPr="007B2402">
        <w:rPr>
          <w:rFonts w:eastAsia="Calibri" w:cs="Times New Roman"/>
          <w:szCs w:val="20"/>
          <w:lang w:val="en-US"/>
        </w:rPr>
        <w:t>the Inter-American Commission</w:t>
      </w:r>
      <w:r w:rsidR="00D16A5B" w:rsidRPr="007B2402">
        <w:rPr>
          <w:rFonts w:eastAsia="Calibri" w:cs="Times New Roman"/>
          <w:szCs w:val="20"/>
          <w:lang w:val="en-US"/>
        </w:rPr>
        <w:t xml:space="preserve"> </w:t>
      </w:r>
      <w:r w:rsidR="003D3039" w:rsidRPr="007B2402">
        <w:rPr>
          <w:rFonts w:eastAsia="Calibri" w:cs="Times New Roman"/>
          <w:szCs w:val="20"/>
          <w:lang w:val="en-US"/>
        </w:rPr>
        <w:t xml:space="preserve">had autonomy and </w:t>
      </w:r>
      <w:r w:rsidR="004C46D2" w:rsidRPr="007B2402">
        <w:rPr>
          <w:rFonts w:eastAsia="Calibri" w:cs="Times New Roman"/>
          <w:szCs w:val="20"/>
          <w:lang w:val="en-US"/>
        </w:rPr>
        <w:t>i</w:t>
      </w:r>
      <w:r w:rsidR="003D3039" w:rsidRPr="007B2402">
        <w:rPr>
          <w:rFonts w:eastAsia="Calibri" w:cs="Times New Roman"/>
          <w:szCs w:val="20"/>
          <w:lang w:val="en-US"/>
        </w:rPr>
        <w:t>ndependence to examine the individual petitions submitted to its consideration in the exercise of its mandate under the Convention.</w:t>
      </w:r>
      <w:r w:rsidR="00D16A5B" w:rsidRPr="007B2402">
        <w:rPr>
          <w:rFonts w:eastAsia="Calibri" w:cs="Times New Roman"/>
          <w:szCs w:val="20"/>
          <w:lang w:val="en-US"/>
        </w:rPr>
        <w:t xml:space="preserve"> </w:t>
      </w:r>
    </w:p>
    <w:p w14:paraId="51A7AA02" w14:textId="77777777" w:rsidR="00D16A5B" w:rsidRPr="007B2402" w:rsidRDefault="00D16A5B" w:rsidP="004C46D2">
      <w:pPr>
        <w:spacing w:after="0"/>
        <w:contextualSpacing/>
        <w:rPr>
          <w:rFonts w:eastAsia="Calibri" w:cs="Times New Roman"/>
          <w:szCs w:val="20"/>
          <w:lang w:val="en-US"/>
        </w:rPr>
      </w:pPr>
    </w:p>
    <w:p w14:paraId="278047B6" w14:textId="54DBDD09" w:rsidR="00BE4299" w:rsidRPr="007B2402" w:rsidRDefault="00BE4299" w:rsidP="004C46D2">
      <w:pPr>
        <w:numPr>
          <w:ilvl w:val="0"/>
          <w:numId w:val="5"/>
        </w:numPr>
        <w:spacing w:after="0" w:line="240" w:lineRule="auto"/>
        <w:contextualSpacing/>
        <w:jc w:val="both"/>
        <w:rPr>
          <w:rFonts w:eastAsia="Calibri" w:cs="Times New Roman"/>
          <w:szCs w:val="20"/>
          <w:lang w:val="en-US"/>
        </w:rPr>
      </w:pPr>
      <w:r w:rsidRPr="007B2402">
        <w:rPr>
          <w:rFonts w:eastAsia="Calibri" w:cs="Times New Roman"/>
          <w:szCs w:val="20"/>
          <w:lang w:val="en-US"/>
        </w:rPr>
        <w:t>In addition,</w:t>
      </w:r>
      <w:r w:rsidR="00D16A5B" w:rsidRPr="007B2402">
        <w:rPr>
          <w:rFonts w:eastAsia="Calibri" w:cs="Times New Roman"/>
          <w:szCs w:val="20"/>
          <w:lang w:val="en-US"/>
        </w:rPr>
        <w:t xml:space="preserve"> </w:t>
      </w:r>
      <w:r w:rsidRPr="007B2402">
        <w:rPr>
          <w:rFonts w:eastAsia="Calibri" w:cs="Times New Roman"/>
          <w:szCs w:val="20"/>
          <w:lang w:val="en-US"/>
        </w:rPr>
        <w:t xml:space="preserve">they argued that, according to the Court’s rulings, a review of the procedure before the Commission would only </w:t>
      </w:r>
      <w:r w:rsidR="004C46D2" w:rsidRPr="007B2402">
        <w:rPr>
          <w:rFonts w:eastAsia="Calibri" w:cs="Times New Roman"/>
          <w:szCs w:val="20"/>
          <w:lang w:val="en-US"/>
        </w:rPr>
        <w:t>have been</w:t>
      </w:r>
      <w:r w:rsidRPr="007B2402">
        <w:rPr>
          <w:rFonts w:eastAsia="Calibri" w:cs="Times New Roman"/>
          <w:szCs w:val="20"/>
          <w:lang w:val="en-US"/>
        </w:rPr>
        <w:t xml:space="preserve"> admissible if one of the parties had </w:t>
      </w:r>
      <w:r w:rsidR="004C46D2" w:rsidRPr="007B2402">
        <w:rPr>
          <w:rFonts w:eastAsia="Calibri" w:cs="Times New Roman"/>
          <w:szCs w:val="20"/>
          <w:lang w:val="en-US"/>
        </w:rPr>
        <w:t>proved</w:t>
      </w:r>
      <w:r w:rsidRPr="007B2402">
        <w:rPr>
          <w:rFonts w:eastAsia="Calibri" w:cs="Times New Roman"/>
          <w:szCs w:val="20"/>
          <w:lang w:val="en-US"/>
        </w:rPr>
        <w:t xml:space="preserve"> that there had been a grave error or failure to observe the admissibility requirements in a way that violated the interested party</w:t>
      </w:r>
      <w:r w:rsidR="004C46D2" w:rsidRPr="007B2402">
        <w:rPr>
          <w:rFonts w:eastAsia="Calibri" w:cs="Times New Roman"/>
          <w:szCs w:val="20"/>
          <w:lang w:val="en-US"/>
        </w:rPr>
        <w:t>’s right of defense</w:t>
      </w:r>
      <w:r w:rsidRPr="007B2402">
        <w:rPr>
          <w:rFonts w:eastAsia="Calibri" w:cs="Times New Roman"/>
          <w:szCs w:val="20"/>
          <w:lang w:val="en-US"/>
        </w:rPr>
        <w:t xml:space="preserve">. The representatives </w:t>
      </w:r>
      <w:r w:rsidR="004C46D2" w:rsidRPr="007B2402">
        <w:rPr>
          <w:rFonts w:eastAsia="Calibri" w:cs="Times New Roman"/>
          <w:szCs w:val="20"/>
          <w:lang w:val="en-US"/>
        </w:rPr>
        <w:t>emphasized</w:t>
      </w:r>
      <w:r w:rsidRPr="007B2402">
        <w:rPr>
          <w:rFonts w:eastAsia="Calibri" w:cs="Times New Roman"/>
          <w:szCs w:val="20"/>
          <w:lang w:val="en-US"/>
        </w:rPr>
        <w:t xml:space="preserve"> that the burden of proof lay with the party </w:t>
      </w:r>
      <w:r w:rsidR="004C46D2" w:rsidRPr="007B2402">
        <w:rPr>
          <w:rFonts w:eastAsia="Calibri" w:cs="Times New Roman"/>
          <w:szCs w:val="20"/>
          <w:lang w:val="en-US"/>
        </w:rPr>
        <w:t>alleging</w:t>
      </w:r>
      <w:r w:rsidRPr="007B2402">
        <w:rPr>
          <w:rFonts w:eastAsia="Calibri" w:cs="Times New Roman"/>
          <w:szCs w:val="20"/>
          <w:lang w:val="en-US"/>
        </w:rPr>
        <w:t xml:space="preserve"> this as they must prove a real prejudice to their right of defense</w:t>
      </w:r>
      <w:r w:rsidR="004C46D2" w:rsidRPr="007B2402">
        <w:rPr>
          <w:rFonts w:eastAsia="Calibri" w:cs="Times New Roman"/>
          <w:szCs w:val="20"/>
          <w:lang w:val="en-US"/>
        </w:rPr>
        <w:t>; thus,</w:t>
      </w:r>
      <w:r w:rsidRPr="007B2402">
        <w:rPr>
          <w:rFonts w:eastAsia="Calibri" w:cs="Times New Roman"/>
          <w:szCs w:val="20"/>
          <w:lang w:val="en-US"/>
        </w:rPr>
        <w:t xml:space="preserve"> a mere complaint or difference of opinion with regard to the Commission’s actions was insufficient.</w:t>
      </w:r>
    </w:p>
    <w:p w14:paraId="1EAB093A" w14:textId="77777777" w:rsidR="00D16A5B" w:rsidRPr="007B2402" w:rsidRDefault="00D16A5B" w:rsidP="004C46D2">
      <w:pPr>
        <w:spacing w:after="0" w:line="240" w:lineRule="auto"/>
        <w:contextualSpacing/>
        <w:jc w:val="both"/>
        <w:rPr>
          <w:rFonts w:eastAsia="Calibri" w:cs="Times New Roman"/>
          <w:szCs w:val="20"/>
          <w:lang w:val="en-US"/>
        </w:rPr>
      </w:pPr>
    </w:p>
    <w:p w14:paraId="228DC652" w14:textId="1EDE61F0" w:rsidR="00D16A5B" w:rsidRPr="007B2402" w:rsidRDefault="00BE4299" w:rsidP="004C46D2">
      <w:pPr>
        <w:numPr>
          <w:ilvl w:val="0"/>
          <w:numId w:val="5"/>
        </w:numPr>
        <w:spacing w:after="0" w:line="240" w:lineRule="auto"/>
        <w:contextualSpacing/>
        <w:jc w:val="both"/>
        <w:rPr>
          <w:rFonts w:eastAsia="Calibri" w:cs="Times New Roman"/>
          <w:szCs w:val="20"/>
          <w:lang w:val="en-US"/>
        </w:rPr>
      </w:pPr>
      <w:r w:rsidRPr="007B2402">
        <w:rPr>
          <w:rFonts w:eastAsia="Calibri" w:cs="Times New Roman"/>
          <w:szCs w:val="20"/>
          <w:lang w:val="en-US"/>
        </w:rPr>
        <w:t xml:space="preserve">The representatives underscored that the reasonableness of the time is a decision </w:t>
      </w:r>
      <w:r w:rsidR="005B1590" w:rsidRPr="007B2402">
        <w:rPr>
          <w:rFonts w:eastAsia="Calibri" w:cs="Times New Roman"/>
          <w:szCs w:val="20"/>
          <w:lang w:val="en-US"/>
        </w:rPr>
        <w:t xml:space="preserve">of the </w:t>
      </w:r>
      <w:r w:rsidR="00AF4344" w:rsidRPr="007B2402">
        <w:rPr>
          <w:rFonts w:eastAsia="Calibri" w:cs="Times New Roman"/>
          <w:szCs w:val="20"/>
          <w:lang w:val="en-US"/>
        </w:rPr>
        <w:t>Commission</w:t>
      </w:r>
      <w:r w:rsidRPr="007B2402">
        <w:rPr>
          <w:rFonts w:eastAsia="Calibri" w:cs="Times New Roman"/>
          <w:szCs w:val="20"/>
          <w:lang w:val="en-US"/>
        </w:rPr>
        <w:t xml:space="preserve"> and, to this end, it took into account the date of the facts and the specific circumstances of the case. </w:t>
      </w:r>
      <w:r w:rsidR="005B1590" w:rsidRPr="007B2402">
        <w:rPr>
          <w:rFonts w:eastAsia="Calibri" w:cs="Times New Roman"/>
          <w:szCs w:val="20"/>
          <w:lang w:val="en-US"/>
        </w:rPr>
        <w:t>The</w:t>
      </w:r>
      <w:r w:rsidRPr="007B2402">
        <w:rPr>
          <w:rFonts w:eastAsia="Calibri" w:cs="Times New Roman"/>
          <w:szCs w:val="20"/>
          <w:lang w:val="en-US"/>
        </w:rPr>
        <w:t xml:space="preserve">y emphasized the incompatibility of the Amnesty Law with </w:t>
      </w:r>
      <w:r w:rsidR="00AF4344" w:rsidRPr="007B2402">
        <w:rPr>
          <w:rFonts w:eastAsia="Calibri" w:cs="Times New Roman"/>
          <w:szCs w:val="20"/>
          <w:lang w:val="en-US"/>
        </w:rPr>
        <w:t>the American Convention</w:t>
      </w:r>
      <w:r w:rsidR="00D16A5B" w:rsidRPr="007B2402">
        <w:rPr>
          <w:rFonts w:eastAsia="Calibri" w:cs="Times New Roman"/>
          <w:szCs w:val="20"/>
          <w:lang w:val="en-US"/>
        </w:rPr>
        <w:t xml:space="preserve">, </w:t>
      </w:r>
      <w:r w:rsidR="005837CE" w:rsidRPr="007B2402">
        <w:rPr>
          <w:rFonts w:eastAsia="Calibri" w:cs="Times New Roman"/>
          <w:szCs w:val="20"/>
          <w:lang w:val="en-US"/>
        </w:rPr>
        <w:t xml:space="preserve">in addition to the impunity that reigned under this Law </w:t>
      </w:r>
      <w:r w:rsidR="004C46D2" w:rsidRPr="007B2402">
        <w:rPr>
          <w:rFonts w:eastAsia="Calibri" w:cs="Times New Roman"/>
          <w:szCs w:val="20"/>
          <w:lang w:val="en-US"/>
        </w:rPr>
        <w:t>in relation to</w:t>
      </w:r>
      <w:r w:rsidR="005837CE" w:rsidRPr="007B2402">
        <w:rPr>
          <w:rFonts w:eastAsia="Calibri" w:cs="Times New Roman"/>
          <w:szCs w:val="20"/>
          <w:lang w:val="en-US"/>
        </w:rPr>
        <w:t xml:space="preserve"> the human rights violations that occurred during the military regime</w:t>
      </w:r>
      <w:r w:rsidR="004C46D2" w:rsidRPr="007B2402">
        <w:rPr>
          <w:rFonts w:eastAsia="Calibri" w:cs="Times New Roman"/>
          <w:szCs w:val="20"/>
          <w:lang w:val="en-US"/>
        </w:rPr>
        <w:t>:</w:t>
      </w:r>
      <w:r w:rsidR="005837CE" w:rsidRPr="007B2402">
        <w:rPr>
          <w:rFonts w:eastAsia="Calibri" w:cs="Times New Roman"/>
          <w:szCs w:val="20"/>
          <w:lang w:val="en-US"/>
        </w:rPr>
        <w:t xml:space="preserve"> reasons that had led the Commission to conclude that the petition had been lodged within a reasonable time</w:t>
      </w:r>
      <w:r w:rsidR="00D16A5B" w:rsidRPr="007B2402">
        <w:rPr>
          <w:rFonts w:eastAsia="Calibri" w:cs="Times New Roman"/>
          <w:szCs w:val="20"/>
          <w:lang w:val="en-US"/>
        </w:rPr>
        <w:t>.</w:t>
      </w:r>
    </w:p>
    <w:p w14:paraId="33FDFFDF" w14:textId="77777777" w:rsidR="00D16A5B" w:rsidRPr="007B2402" w:rsidRDefault="00D16A5B" w:rsidP="00D16A5B">
      <w:pPr>
        <w:spacing w:after="0" w:line="240" w:lineRule="auto"/>
        <w:jc w:val="both"/>
        <w:rPr>
          <w:rFonts w:eastAsia="Calibri" w:cs="Times New Roman"/>
          <w:szCs w:val="20"/>
          <w:lang w:val="en-US"/>
        </w:rPr>
      </w:pPr>
    </w:p>
    <w:p w14:paraId="324DDDD0" w14:textId="0FF3F4D8" w:rsidR="00D16A5B" w:rsidRPr="007B2402" w:rsidRDefault="00D16A5B" w:rsidP="00D16A5B">
      <w:pPr>
        <w:keepNext/>
        <w:keepLines/>
        <w:spacing w:after="0" w:line="240" w:lineRule="auto"/>
        <w:ind w:left="426"/>
        <w:contextualSpacing/>
        <w:jc w:val="both"/>
        <w:outlineLvl w:val="2"/>
        <w:rPr>
          <w:rFonts w:eastAsia="Calibri" w:cs="Times New Roman"/>
          <w:szCs w:val="20"/>
          <w:lang w:val="en-US"/>
        </w:rPr>
      </w:pPr>
      <w:bookmarkStart w:id="84" w:name="_Toc505939125"/>
      <w:bookmarkStart w:id="85" w:name="_Toc506496106"/>
      <w:bookmarkStart w:id="86" w:name="_Toc506984086"/>
      <w:r w:rsidRPr="007B2402">
        <w:rPr>
          <w:rFonts w:eastAsia="Calibri" w:cs="Times New Roman"/>
          <w:i/>
          <w:szCs w:val="20"/>
          <w:lang w:val="en-US"/>
        </w:rPr>
        <w:t xml:space="preserve">D.2. </w:t>
      </w:r>
      <w:r w:rsidR="007A07B8" w:rsidRPr="007B2402">
        <w:rPr>
          <w:rFonts w:eastAsia="Calibri" w:cs="Times New Roman"/>
          <w:i/>
          <w:szCs w:val="20"/>
          <w:lang w:val="en-US"/>
        </w:rPr>
        <w:t>Considerations</w:t>
      </w:r>
      <w:r w:rsidR="00AF4344" w:rsidRPr="007B2402">
        <w:rPr>
          <w:rFonts w:eastAsia="Calibri" w:cs="Times New Roman"/>
          <w:i/>
          <w:szCs w:val="20"/>
          <w:lang w:val="en-US"/>
        </w:rPr>
        <w:t xml:space="preserve"> of the Court</w:t>
      </w:r>
      <w:bookmarkEnd w:id="84"/>
      <w:bookmarkEnd w:id="85"/>
      <w:bookmarkEnd w:id="86"/>
      <w:r w:rsidRPr="007B2402">
        <w:rPr>
          <w:rFonts w:eastAsia="Calibri" w:cs="Times New Roman"/>
          <w:i/>
          <w:szCs w:val="20"/>
          <w:lang w:val="en-US"/>
        </w:rPr>
        <w:t xml:space="preserve"> </w:t>
      </w:r>
    </w:p>
    <w:p w14:paraId="70433932" w14:textId="77777777" w:rsidR="00D16A5B" w:rsidRPr="007B2402" w:rsidRDefault="00D16A5B" w:rsidP="00D16A5B">
      <w:pPr>
        <w:spacing w:after="0" w:line="240" w:lineRule="auto"/>
        <w:jc w:val="both"/>
        <w:rPr>
          <w:rFonts w:eastAsia="Calibri" w:cs="Times New Roman"/>
          <w:szCs w:val="20"/>
          <w:lang w:val="en-US"/>
        </w:rPr>
      </w:pPr>
    </w:p>
    <w:p w14:paraId="5DF61BB0" w14:textId="5CDA1A55" w:rsidR="00272908" w:rsidRPr="007B2402" w:rsidRDefault="00AF4344" w:rsidP="009D62A2">
      <w:pPr>
        <w:numPr>
          <w:ilvl w:val="0"/>
          <w:numId w:val="5"/>
        </w:numPr>
        <w:spacing w:after="0" w:line="240" w:lineRule="auto"/>
        <w:contextualSpacing/>
        <w:jc w:val="both"/>
        <w:rPr>
          <w:rFonts w:eastAsia="Calibri" w:cs="Times New Roman"/>
          <w:szCs w:val="20"/>
          <w:lang w:val="en-US"/>
        </w:rPr>
      </w:pPr>
      <w:r w:rsidRPr="007B2402">
        <w:rPr>
          <w:lang w:val="en-US"/>
        </w:rPr>
        <w:t>The State</w:t>
      </w:r>
      <w:r w:rsidR="009D62A2" w:rsidRPr="007B2402">
        <w:rPr>
          <w:lang w:val="en-US"/>
        </w:rPr>
        <w:t xml:space="preserve"> </w:t>
      </w:r>
      <w:r w:rsidR="005837CE" w:rsidRPr="007B2402">
        <w:rPr>
          <w:lang w:val="en-US"/>
        </w:rPr>
        <w:t>asked</w:t>
      </w:r>
      <w:r w:rsidR="009D62A2" w:rsidRPr="007B2402">
        <w:rPr>
          <w:lang w:val="en-US"/>
        </w:rPr>
        <w:t xml:space="preserve"> </w:t>
      </w:r>
      <w:r w:rsidRPr="007B2402">
        <w:rPr>
          <w:lang w:val="en-US"/>
        </w:rPr>
        <w:t>the Court</w:t>
      </w:r>
      <w:r w:rsidR="009D62A2" w:rsidRPr="007B2402">
        <w:rPr>
          <w:lang w:val="en-US"/>
        </w:rPr>
        <w:t xml:space="preserve"> </w:t>
      </w:r>
      <w:r w:rsidR="005837CE" w:rsidRPr="007B2402">
        <w:rPr>
          <w:lang w:val="en-US"/>
        </w:rPr>
        <w:t xml:space="preserve">to conduct a control of the legality of the proceedings before the </w:t>
      </w:r>
      <w:r w:rsidRPr="007B2402">
        <w:rPr>
          <w:lang w:val="en-US"/>
        </w:rPr>
        <w:t>Commission</w:t>
      </w:r>
      <w:r w:rsidR="004C46D2" w:rsidRPr="007B2402">
        <w:rPr>
          <w:lang w:val="en-US"/>
        </w:rPr>
        <w:t>.</w:t>
      </w:r>
      <w:r w:rsidR="005837CE" w:rsidRPr="007B2402">
        <w:rPr>
          <w:lang w:val="en-US"/>
        </w:rPr>
        <w:t xml:space="preserve"> </w:t>
      </w:r>
      <w:r w:rsidR="004C46D2" w:rsidRPr="007B2402">
        <w:rPr>
          <w:lang w:val="en-US"/>
        </w:rPr>
        <w:t>H</w:t>
      </w:r>
      <w:r w:rsidR="005837CE" w:rsidRPr="007B2402">
        <w:rPr>
          <w:lang w:val="en-US"/>
        </w:rPr>
        <w:t>owever, in the Court’s opinion, in this case the request correspond</w:t>
      </w:r>
      <w:r w:rsidR="004C46D2" w:rsidRPr="007B2402">
        <w:rPr>
          <w:lang w:val="en-US"/>
        </w:rPr>
        <w:t>ed</w:t>
      </w:r>
      <w:r w:rsidR="005837CE" w:rsidRPr="007B2402">
        <w:rPr>
          <w:lang w:val="en-US"/>
        </w:rPr>
        <w:t xml:space="preserve"> to a </w:t>
      </w:r>
      <w:r w:rsidR="006E2CFF" w:rsidRPr="007B2402">
        <w:rPr>
          <w:lang w:val="en-US"/>
        </w:rPr>
        <w:t>preliminary objection</w:t>
      </w:r>
      <w:r w:rsidR="009D62A2" w:rsidRPr="007B2402">
        <w:rPr>
          <w:rFonts w:eastAsia="Times New Roman" w:cs="Verdana"/>
          <w:spacing w:val="-2"/>
          <w:szCs w:val="20"/>
          <w:lang w:val="en-US" w:eastAsia="es-CR"/>
        </w:rPr>
        <w:t xml:space="preserve"> </w:t>
      </w:r>
      <w:r w:rsidR="005837CE" w:rsidRPr="007B2402">
        <w:rPr>
          <w:rFonts w:eastAsia="Times New Roman" w:cs="Verdana"/>
          <w:spacing w:val="-2"/>
          <w:szCs w:val="20"/>
          <w:lang w:val="en-US" w:eastAsia="es-CR"/>
        </w:rPr>
        <w:t>that question</w:t>
      </w:r>
      <w:r w:rsidR="004C46D2" w:rsidRPr="007B2402">
        <w:rPr>
          <w:rFonts w:eastAsia="Times New Roman" w:cs="Verdana"/>
          <w:spacing w:val="-2"/>
          <w:szCs w:val="20"/>
          <w:lang w:val="en-US" w:eastAsia="es-CR"/>
        </w:rPr>
        <w:t>ed</w:t>
      </w:r>
      <w:r w:rsidR="005837CE" w:rsidRPr="007B2402">
        <w:rPr>
          <w:rFonts w:eastAsia="Times New Roman" w:cs="Verdana"/>
          <w:spacing w:val="-2"/>
          <w:szCs w:val="20"/>
          <w:lang w:val="en-US" w:eastAsia="es-CR"/>
        </w:rPr>
        <w:t xml:space="preserve"> the admissibility of the petition owing to the presumed failure to comply with the requirement established in</w:t>
      </w:r>
      <w:r w:rsidR="009D62A2" w:rsidRPr="007B2402">
        <w:rPr>
          <w:rFonts w:eastAsia="Times New Roman" w:cs="Verdana"/>
          <w:spacing w:val="-2"/>
          <w:szCs w:val="20"/>
          <w:lang w:val="en-US" w:eastAsia="es-CR"/>
        </w:rPr>
        <w:t xml:space="preserve"> </w:t>
      </w:r>
      <w:r w:rsidRPr="007B2402">
        <w:rPr>
          <w:rFonts w:eastAsia="Times New Roman" w:cs="Verdana"/>
          <w:spacing w:val="-2"/>
          <w:szCs w:val="20"/>
          <w:lang w:val="en-US" w:eastAsia="es-CR"/>
        </w:rPr>
        <w:t>Article</w:t>
      </w:r>
      <w:r w:rsidR="009D62A2" w:rsidRPr="007B2402">
        <w:rPr>
          <w:rFonts w:eastAsia="Times New Roman" w:cs="Verdana"/>
          <w:spacing w:val="-2"/>
          <w:szCs w:val="20"/>
          <w:lang w:val="en-US" w:eastAsia="es-CR"/>
        </w:rPr>
        <w:t xml:space="preserve"> 46</w:t>
      </w:r>
      <w:r w:rsidR="005837CE" w:rsidRPr="007B2402">
        <w:rPr>
          <w:rFonts w:eastAsia="Times New Roman" w:cs="Verdana"/>
          <w:spacing w:val="-2"/>
          <w:szCs w:val="20"/>
          <w:lang w:val="en-US" w:eastAsia="es-CR"/>
        </w:rPr>
        <w:t>(</w:t>
      </w:r>
      <w:r w:rsidR="00D12A96" w:rsidRPr="007B2402">
        <w:rPr>
          <w:rFonts w:eastAsia="Times New Roman" w:cs="Verdana"/>
          <w:spacing w:val="-2"/>
          <w:szCs w:val="20"/>
          <w:lang w:val="en-US" w:eastAsia="es-CR"/>
        </w:rPr>
        <w:t>2</w:t>
      </w:r>
      <w:r w:rsidR="005837CE" w:rsidRPr="007B2402">
        <w:rPr>
          <w:rFonts w:eastAsia="Times New Roman" w:cs="Verdana"/>
          <w:spacing w:val="-2"/>
          <w:szCs w:val="20"/>
          <w:lang w:val="en-US" w:eastAsia="es-CR"/>
        </w:rPr>
        <w:t>)(</w:t>
      </w:r>
      <w:r w:rsidR="00D12A96" w:rsidRPr="007B2402">
        <w:rPr>
          <w:rFonts w:eastAsia="Times New Roman" w:cs="Verdana"/>
          <w:spacing w:val="-2"/>
          <w:szCs w:val="20"/>
          <w:lang w:val="en-US" w:eastAsia="es-CR"/>
        </w:rPr>
        <w:t>a</w:t>
      </w:r>
      <w:r w:rsidR="005837CE" w:rsidRPr="007B2402">
        <w:rPr>
          <w:rFonts w:eastAsia="Times New Roman" w:cs="Verdana"/>
          <w:spacing w:val="-2"/>
          <w:szCs w:val="20"/>
          <w:lang w:val="en-US" w:eastAsia="es-CR"/>
        </w:rPr>
        <w:t>)</w:t>
      </w:r>
      <w:r w:rsidRPr="007B2402">
        <w:rPr>
          <w:rFonts w:eastAsia="Times New Roman" w:cs="Verdana"/>
          <w:spacing w:val="-2"/>
          <w:szCs w:val="20"/>
          <w:lang w:val="en-US" w:eastAsia="es-CR"/>
        </w:rPr>
        <w:t xml:space="preserve"> of the American Convention</w:t>
      </w:r>
      <w:r w:rsidR="005837CE" w:rsidRPr="007B2402">
        <w:rPr>
          <w:rFonts w:eastAsia="Times New Roman" w:cs="Verdana"/>
          <w:spacing w:val="-2"/>
          <w:szCs w:val="20"/>
          <w:lang w:val="en-US" w:eastAsia="es-CR"/>
        </w:rPr>
        <w:t>.</w:t>
      </w:r>
      <w:r w:rsidR="009D62A2" w:rsidRPr="007B2402">
        <w:rPr>
          <w:rStyle w:val="Refdenotaalpie"/>
          <w:rFonts w:ascii="Verdana" w:eastAsia="Times New Roman" w:hAnsi="Verdana"/>
          <w:spacing w:val="-2"/>
          <w:lang w:val="en-US" w:eastAsia="es-CR"/>
        </w:rPr>
        <w:footnoteReference w:id="32"/>
      </w:r>
      <w:r w:rsidR="009D62A2" w:rsidRPr="007B2402">
        <w:rPr>
          <w:rFonts w:eastAsia="Times New Roman" w:cs="Verdana"/>
          <w:spacing w:val="-2"/>
          <w:szCs w:val="20"/>
          <w:lang w:val="en-US" w:eastAsia="es-CR"/>
        </w:rPr>
        <w:t xml:space="preserve"> </w:t>
      </w:r>
      <w:r w:rsidR="005837CE" w:rsidRPr="007B2402">
        <w:rPr>
          <w:rFonts w:eastAsia="Times New Roman" w:cs="Verdana"/>
          <w:spacing w:val="-2"/>
          <w:szCs w:val="20"/>
          <w:lang w:val="en-US" w:eastAsia="es-CR"/>
        </w:rPr>
        <w:t>The Court will therefore examine the arguments of the parties in light of these circumstances.</w:t>
      </w:r>
    </w:p>
    <w:p w14:paraId="459117C3" w14:textId="77777777" w:rsidR="00D12A96" w:rsidRPr="007B2402" w:rsidRDefault="00D12A96" w:rsidP="00157FC3">
      <w:pPr>
        <w:pStyle w:val="Prrafodelista"/>
        <w:ind w:left="0"/>
        <w:rPr>
          <w:lang w:val="en-US"/>
        </w:rPr>
      </w:pPr>
    </w:p>
    <w:p w14:paraId="6A497219" w14:textId="0F9C48D9" w:rsidR="00D12A96" w:rsidRPr="007B2402" w:rsidRDefault="005837CE" w:rsidP="005837CE">
      <w:pPr>
        <w:numPr>
          <w:ilvl w:val="0"/>
          <w:numId w:val="5"/>
        </w:numPr>
        <w:spacing w:after="0" w:line="240" w:lineRule="auto"/>
        <w:jc w:val="both"/>
        <w:rPr>
          <w:szCs w:val="20"/>
          <w:lang w:val="en-US"/>
        </w:rPr>
      </w:pPr>
      <w:r w:rsidRPr="007B2402">
        <w:rPr>
          <w:szCs w:val="20"/>
          <w:lang w:val="en-US"/>
        </w:rPr>
        <w:t xml:space="preserve">First, the Court must assess whether, during the admissibility stage of the case before </w:t>
      </w:r>
      <w:r w:rsidR="00AF4344" w:rsidRPr="007B2402">
        <w:rPr>
          <w:szCs w:val="20"/>
          <w:lang w:val="en-US"/>
        </w:rPr>
        <w:t>the Commission</w:t>
      </w:r>
      <w:r w:rsidR="00D12A96" w:rsidRPr="007B2402">
        <w:rPr>
          <w:szCs w:val="20"/>
          <w:lang w:val="en-US"/>
        </w:rPr>
        <w:t xml:space="preserve">, </w:t>
      </w:r>
      <w:r w:rsidRPr="007B2402">
        <w:rPr>
          <w:szCs w:val="20"/>
          <w:lang w:val="en-US"/>
        </w:rPr>
        <w:t xml:space="preserve">the arguments that substantiate the </w:t>
      </w:r>
      <w:r w:rsidR="006E2CFF" w:rsidRPr="007B2402">
        <w:rPr>
          <w:szCs w:val="20"/>
          <w:lang w:val="en-US"/>
        </w:rPr>
        <w:t>preliminary objection</w:t>
      </w:r>
      <w:r w:rsidR="00D12A96" w:rsidRPr="007B2402">
        <w:rPr>
          <w:szCs w:val="20"/>
          <w:lang w:val="en-US"/>
        </w:rPr>
        <w:t xml:space="preserve"> </w:t>
      </w:r>
      <w:r w:rsidRPr="007B2402">
        <w:rPr>
          <w:szCs w:val="20"/>
          <w:lang w:val="en-US"/>
        </w:rPr>
        <w:t>filed by</w:t>
      </w:r>
      <w:r w:rsidR="00D12A96" w:rsidRPr="007B2402">
        <w:rPr>
          <w:szCs w:val="20"/>
          <w:lang w:val="en-US"/>
        </w:rPr>
        <w:t xml:space="preserve"> </w:t>
      </w:r>
      <w:r w:rsidR="00AF4344" w:rsidRPr="007B2402">
        <w:rPr>
          <w:szCs w:val="20"/>
          <w:lang w:val="en-US"/>
        </w:rPr>
        <w:t>the State</w:t>
      </w:r>
      <w:r w:rsidR="00D12A96" w:rsidRPr="007B2402">
        <w:rPr>
          <w:szCs w:val="20"/>
          <w:lang w:val="en-US"/>
        </w:rPr>
        <w:t xml:space="preserve"> correspond</w:t>
      </w:r>
      <w:r w:rsidR="00E71C09" w:rsidRPr="007B2402">
        <w:rPr>
          <w:szCs w:val="20"/>
          <w:lang w:val="en-US"/>
        </w:rPr>
        <w:t>ed</w:t>
      </w:r>
      <w:r w:rsidRPr="007B2402">
        <w:rPr>
          <w:szCs w:val="20"/>
          <w:lang w:val="en-US"/>
        </w:rPr>
        <w:t xml:space="preserve"> to those submitted to </w:t>
      </w:r>
      <w:r w:rsidR="00AF4344" w:rsidRPr="007B2402">
        <w:rPr>
          <w:szCs w:val="20"/>
          <w:lang w:val="en-US"/>
        </w:rPr>
        <w:t>the Court</w:t>
      </w:r>
      <w:r w:rsidRPr="007B2402">
        <w:rPr>
          <w:szCs w:val="20"/>
          <w:lang w:val="en-US"/>
        </w:rPr>
        <w:t>.</w:t>
      </w:r>
      <w:r w:rsidR="00D12A96" w:rsidRPr="007B2402">
        <w:rPr>
          <w:rFonts w:cs="Times New Roman"/>
          <w:szCs w:val="20"/>
          <w:vertAlign w:val="superscript"/>
          <w:lang w:val="en-US"/>
        </w:rPr>
        <w:footnoteReference w:id="33"/>
      </w:r>
    </w:p>
    <w:p w14:paraId="1EAB1641" w14:textId="77777777" w:rsidR="0031600B" w:rsidRPr="007B2402" w:rsidRDefault="0031600B" w:rsidP="0031600B">
      <w:pPr>
        <w:spacing w:after="0" w:line="240" w:lineRule="auto"/>
        <w:jc w:val="both"/>
        <w:rPr>
          <w:szCs w:val="20"/>
          <w:lang w:val="en-US"/>
        </w:rPr>
      </w:pPr>
    </w:p>
    <w:p w14:paraId="2481880B" w14:textId="3514BCA8" w:rsidR="00D12A96" w:rsidRPr="007B2402" w:rsidRDefault="00E71C09" w:rsidP="00D12A96">
      <w:pPr>
        <w:numPr>
          <w:ilvl w:val="0"/>
          <w:numId w:val="5"/>
        </w:numPr>
        <w:spacing w:after="0" w:line="240" w:lineRule="auto"/>
        <w:contextualSpacing/>
        <w:jc w:val="both"/>
        <w:rPr>
          <w:lang w:val="en-US"/>
        </w:rPr>
      </w:pPr>
      <w:r w:rsidRPr="007B2402">
        <w:rPr>
          <w:szCs w:val="20"/>
          <w:lang w:val="en-US"/>
        </w:rPr>
        <w:t xml:space="preserve">In this case, during the admissibility stage, the State presented two briefs to </w:t>
      </w:r>
      <w:r w:rsidR="00AF4344" w:rsidRPr="007B2402">
        <w:rPr>
          <w:szCs w:val="20"/>
          <w:lang w:val="en-US"/>
        </w:rPr>
        <w:t>the Commission</w:t>
      </w:r>
      <w:r w:rsidR="00D12A96" w:rsidRPr="007B2402">
        <w:rPr>
          <w:szCs w:val="20"/>
          <w:lang w:val="en-US"/>
        </w:rPr>
        <w:t xml:space="preserve">, </w:t>
      </w:r>
      <w:r w:rsidRPr="007B2402">
        <w:rPr>
          <w:szCs w:val="20"/>
          <w:lang w:val="en-US"/>
        </w:rPr>
        <w:t>one on May</w:t>
      </w:r>
      <w:r w:rsidR="00D12A96" w:rsidRPr="007B2402">
        <w:rPr>
          <w:szCs w:val="20"/>
          <w:lang w:val="en-US"/>
        </w:rPr>
        <w:t xml:space="preserve"> </w:t>
      </w:r>
      <w:r w:rsidR="00513BF3" w:rsidRPr="007B2402">
        <w:rPr>
          <w:szCs w:val="20"/>
          <w:lang w:val="en-US"/>
        </w:rPr>
        <w:t>30</w:t>
      </w:r>
      <w:r w:rsidRPr="007B2402">
        <w:rPr>
          <w:szCs w:val="20"/>
          <w:lang w:val="en-US"/>
        </w:rPr>
        <w:t xml:space="preserve">, </w:t>
      </w:r>
      <w:r w:rsidR="00513BF3" w:rsidRPr="007B2402">
        <w:rPr>
          <w:szCs w:val="20"/>
          <w:lang w:val="en-US"/>
        </w:rPr>
        <w:t>2012</w:t>
      </w:r>
      <w:r w:rsidRPr="007B2402">
        <w:rPr>
          <w:szCs w:val="20"/>
          <w:lang w:val="en-US"/>
        </w:rPr>
        <w:t xml:space="preserve">, and the other on June 18, that year. In both briefs it presented similar arguments on the time </w:t>
      </w:r>
      <w:r w:rsidR="00DA416F" w:rsidRPr="007B2402">
        <w:rPr>
          <w:szCs w:val="20"/>
          <w:lang w:val="en-US"/>
        </w:rPr>
        <w:t>limit</w:t>
      </w:r>
      <w:r w:rsidR="00141E02" w:rsidRPr="007B2402">
        <w:rPr>
          <w:szCs w:val="20"/>
          <w:lang w:val="en-US"/>
        </w:rPr>
        <w:t xml:space="preserve"> </w:t>
      </w:r>
      <w:r w:rsidRPr="007B2402">
        <w:rPr>
          <w:szCs w:val="20"/>
          <w:lang w:val="en-US"/>
        </w:rPr>
        <w:t xml:space="preserve">for lodging the initial petition. Subsequently, in its </w:t>
      </w:r>
      <w:r w:rsidR="006E2CFF" w:rsidRPr="007B2402">
        <w:rPr>
          <w:szCs w:val="20"/>
          <w:lang w:val="en-US"/>
        </w:rPr>
        <w:t>answering brief</w:t>
      </w:r>
      <w:r w:rsidR="00D12A96" w:rsidRPr="007B2402">
        <w:rPr>
          <w:szCs w:val="20"/>
          <w:lang w:val="en-US"/>
        </w:rPr>
        <w:t xml:space="preserve"> </w:t>
      </w:r>
      <w:r w:rsidRPr="007B2402">
        <w:rPr>
          <w:szCs w:val="20"/>
          <w:lang w:val="en-US"/>
        </w:rPr>
        <w:t xml:space="preserve">during the proceedings before </w:t>
      </w:r>
      <w:r w:rsidR="00AF4344" w:rsidRPr="007B2402">
        <w:rPr>
          <w:szCs w:val="20"/>
          <w:lang w:val="en-US"/>
        </w:rPr>
        <w:t>the Court</w:t>
      </w:r>
      <w:r w:rsidR="00D12A96" w:rsidRPr="007B2402">
        <w:rPr>
          <w:szCs w:val="20"/>
          <w:lang w:val="en-US"/>
        </w:rPr>
        <w:t xml:space="preserve">, </w:t>
      </w:r>
      <w:r w:rsidR="00AF4344" w:rsidRPr="007B2402">
        <w:rPr>
          <w:szCs w:val="20"/>
          <w:lang w:val="en-US"/>
        </w:rPr>
        <w:t>the State</w:t>
      </w:r>
      <w:r w:rsidRPr="007B2402">
        <w:rPr>
          <w:szCs w:val="20"/>
          <w:lang w:val="en-US"/>
        </w:rPr>
        <w:t xml:space="preserve"> again referred to the said </w:t>
      </w:r>
      <w:r w:rsidR="006E2CFF" w:rsidRPr="007B2402">
        <w:rPr>
          <w:szCs w:val="20"/>
          <w:lang w:val="en-US"/>
        </w:rPr>
        <w:t>preliminary objection</w:t>
      </w:r>
      <w:r w:rsidR="00D12A96" w:rsidRPr="007B2402">
        <w:rPr>
          <w:szCs w:val="20"/>
          <w:lang w:val="en-US"/>
        </w:rPr>
        <w:t>.</w:t>
      </w:r>
      <w:r w:rsidR="0031600B" w:rsidRPr="007B2402">
        <w:rPr>
          <w:szCs w:val="20"/>
          <w:lang w:val="en-US"/>
        </w:rPr>
        <w:t xml:space="preserve"> </w:t>
      </w:r>
      <w:r w:rsidRPr="007B2402">
        <w:rPr>
          <w:szCs w:val="20"/>
          <w:lang w:val="en-US"/>
        </w:rPr>
        <w:t xml:space="preserve">Accordingly, the Court notes that the arguments that substantiate the </w:t>
      </w:r>
      <w:r w:rsidR="006E2CFF" w:rsidRPr="007B2402">
        <w:rPr>
          <w:szCs w:val="20"/>
          <w:lang w:val="en-US"/>
        </w:rPr>
        <w:t>preliminary objection</w:t>
      </w:r>
      <w:r w:rsidR="00D12A96" w:rsidRPr="007B2402">
        <w:rPr>
          <w:szCs w:val="20"/>
          <w:lang w:val="en-US"/>
        </w:rPr>
        <w:t xml:space="preserve"> </w:t>
      </w:r>
      <w:r w:rsidRPr="007B2402">
        <w:rPr>
          <w:szCs w:val="20"/>
          <w:lang w:val="en-US"/>
        </w:rPr>
        <w:t>filed by</w:t>
      </w:r>
      <w:r w:rsidR="00D12A96" w:rsidRPr="007B2402">
        <w:rPr>
          <w:szCs w:val="20"/>
          <w:lang w:val="en-US"/>
        </w:rPr>
        <w:t xml:space="preserve"> </w:t>
      </w:r>
      <w:r w:rsidR="00AF4344" w:rsidRPr="007B2402">
        <w:rPr>
          <w:szCs w:val="20"/>
          <w:lang w:val="en-US"/>
        </w:rPr>
        <w:t>the State</w:t>
      </w:r>
      <w:r w:rsidR="00D12A96" w:rsidRPr="007B2402">
        <w:rPr>
          <w:szCs w:val="20"/>
          <w:lang w:val="en-US"/>
        </w:rPr>
        <w:t xml:space="preserve"> </w:t>
      </w:r>
      <w:r w:rsidRPr="007B2402">
        <w:rPr>
          <w:szCs w:val="20"/>
          <w:lang w:val="en-US"/>
        </w:rPr>
        <w:t>before</w:t>
      </w:r>
      <w:r w:rsidR="00D12A96" w:rsidRPr="007B2402">
        <w:rPr>
          <w:szCs w:val="20"/>
          <w:lang w:val="en-US"/>
        </w:rPr>
        <w:t xml:space="preserve"> </w:t>
      </w:r>
      <w:r w:rsidR="00AF4344" w:rsidRPr="007B2402">
        <w:rPr>
          <w:szCs w:val="20"/>
          <w:lang w:val="en-US"/>
        </w:rPr>
        <w:t>the Commission</w:t>
      </w:r>
      <w:r w:rsidR="00D12A96" w:rsidRPr="007B2402">
        <w:rPr>
          <w:szCs w:val="20"/>
          <w:lang w:val="en-US"/>
        </w:rPr>
        <w:t xml:space="preserve"> </w:t>
      </w:r>
      <w:r w:rsidRPr="007B2402">
        <w:rPr>
          <w:szCs w:val="20"/>
          <w:lang w:val="en-US"/>
        </w:rPr>
        <w:t>during the admissibility stage correspond to those submitted to this Court; it will therefore proceed to analyze their content.</w:t>
      </w:r>
    </w:p>
    <w:p w14:paraId="184CCBF7" w14:textId="77777777" w:rsidR="00D12A96" w:rsidRPr="007B2402" w:rsidRDefault="00D12A96" w:rsidP="0031600B">
      <w:pPr>
        <w:spacing w:after="0" w:line="240" w:lineRule="auto"/>
        <w:contextualSpacing/>
        <w:jc w:val="both"/>
        <w:rPr>
          <w:rFonts w:eastAsia="Calibri" w:cs="Times New Roman"/>
          <w:szCs w:val="20"/>
          <w:lang w:val="en-US"/>
        </w:rPr>
      </w:pPr>
    </w:p>
    <w:p w14:paraId="55397E86" w14:textId="77964947" w:rsidR="00272908" w:rsidRPr="007B2402" w:rsidRDefault="00AF4344" w:rsidP="00E71C09">
      <w:pPr>
        <w:numPr>
          <w:ilvl w:val="0"/>
          <w:numId w:val="5"/>
        </w:numPr>
        <w:spacing w:after="0" w:line="240" w:lineRule="auto"/>
        <w:contextualSpacing/>
        <w:jc w:val="both"/>
        <w:rPr>
          <w:rFonts w:eastAsia="Calibri" w:cs="Times New Roman"/>
          <w:szCs w:val="20"/>
          <w:lang w:val="en-US"/>
        </w:rPr>
      </w:pPr>
      <w:r w:rsidRPr="007B2402">
        <w:rPr>
          <w:lang w:val="en-US"/>
        </w:rPr>
        <w:t>The Court</w:t>
      </w:r>
      <w:r w:rsidR="00272908" w:rsidRPr="007B2402">
        <w:rPr>
          <w:lang w:val="en-US"/>
        </w:rPr>
        <w:t xml:space="preserve"> </w:t>
      </w:r>
      <w:r w:rsidR="00E71C09" w:rsidRPr="007B2402">
        <w:rPr>
          <w:rFonts w:eastAsia="Times New Roman" w:cs="Verdana"/>
          <w:spacing w:val="-2"/>
          <w:szCs w:val="20"/>
          <w:lang w:val="en-US" w:eastAsia="es-CR"/>
        </w:rPr>
        <w:t>notes that</w:t>
      </w:r>
      <w:r w:rsidR="00272908" w:rsidRPr="007B2402">
        <w:rPr>
          <w:rFonts w:eastAsia="Times New Roman" w:cs="Verdana"/>
          <w:spacing w:val="-2"/>
          <w:szCs w:val="20"/>
          <w:lang w:val="en-US" w:eastAsia="es-CR"/>
        </w:rPr>
        <w:t xml:space="preserve"> </w:t>
      </w:r>
      <w:r w:rsidRPr="007B2402">
        <w:rPr>
          <w:rFonts w:eastAsia="Times New Roman" w:cs="Verdana"/>
          <w:spacing w:val="-2"/>
          <w:szCs w:val="20"/>
          <w:lang w:val="en-US" w:eastAsia="es-CR"/>
        </w:rPr>
        <w:t>the State</w:t>
      </w:r>
      <w:r w:rsidR="00272908" w:rsidRPr="007B2402">
        <w:rPr>
          <w:rFonts w:eastAsia="Times New Roman" w:cs="Verdana"/>
          <w:spacing w:val="-2"/>
          <w:szCs w:val="20"/>
          <w:lang w:val="en-US" w:eastAsia="es-CR"/>
        </w:rPr>
        <w:t xml:space="preserve"> reco</w:t>
      </w:r>
      <w:r w:rsidR="00E71C09" w:rsidRPr="007B2402">
        <w:rPr>
          <w:rFonts w:eastAsia="Times New Roman" w:cs="Verdana"/>
          <w:spacing w:val="-2"/>
          <w:szCs w:val="20"/>
          <w:lang w:val="en-US" w:eastAsia="es-CR"/>
        </w:rPr>
        <w:t>gnized that no remedies were available to the victims owing to the Amnesty Law.</w:t>
      </w:r>
      <w:r w:rsidR="00272908" w:rsidRPr="007B2402">
        <w:rPr>
          <w:rStyle w:val="Refdenotaalpie"/>
          <w:rFonts w:ascii="Verdana" w:eastAsia="Times New Roman" w:hAnsi="Verdana"/>
          <w:spacing w:val="-2"/>
          <w:lang w:val="en-US" w:eastAsia="es-CR"/>
        </w:rPr>
        <w:footnoteReference w:id="34"/>
      </w:r>
      <w:r w:rsidR="00E71C09" w:rsidRPr="007B2402">
        <w:rPr>
          <w:rFonts w:eastAsia="Times New Roman" w:cs="Verdana"/>
          <w:spacing w:val="-2"/>
          <w:szCs w:val="20"/>
          <w:lang w:val="en-US" w:eastAsia="es-CR"/>
        </w:rPr>
        <w:t xml:space="preserve"> In other words, there is no dispute between the parties on this point. Thus, the six-month rule is inapplicable; therefore, the Court must verify whether the time that passed before the petitioners had recourse to </w:t>
      </w:r>
      <w:r w:rsidRPr="007B2402">
        <w:rPr>
          <w:rFonts w:eastAsia="Times New Roman" w:cs="Verdana"/>
          <w:spacing w:val="-2"/>
          <w:szCs w:val="20"/>
          <w:lang w:val="en-US" w:eastAsia="es-CR"/>
        </w:rPr>
        <w:t>the Inter-American Commission</w:t>
      </w:r>
      <w:r w:rsidR="00E71C09" w:rsidRPr="007B2402">
        <w:rPr>
          <w:rFonts w:eastAsia="Times New Roman" w:cs="Verdana"/>
          <w:spacing w:val="-2"/>
          <w:szCs w:val="20"/>
          <w:lang w:val="en-US" w:eastAsia="es-CR"/>
        </w:rPr>
        <w:t xml:space="preserve"> was reasonable</w:t>
      </w:r>
      <w:r w:rsidR="00272908" w:rsidRPr="007B2402">
        <w:rPr>
          <w:rFonts w:eastAsia="Times New Roman" w:cs="Verdana"/>
          <w:spacing w:val="-2"/>
          <w:szCs w:val="20"/>
          <w:lang w:val="en-US" w:eastAsia="es-CR"/>
        </w:rPr>
        <w:t xml:space="preserve">. </w:t>
      </w:r>
      <w:r w:rsidR="00E71C09" w:rsidRPr="007B2402">
        <w:rPr>
          <w:rFonts w:eastAsia="Times New Roman" w:cs="Verdana"/>
          <w:spacing w:val="-2"/>
          <w:szCs w:val="20"/>
          <w:lang w:val="en-US" w:eastAsia="es-CR"/>
        </w:rPr>
        <w:t>In this regard, the Court notes that a dispute does exist between the parties concerning the relevant date for calculating this reasonable time</w:t>
      </w:r>
      <w:r w:rsidR="00272908" w:rsidRPr="007B2402">
        <w:rPr>
          <w:rFonts w:eastAsia="Times New Roman" w:cs="Verdana"/>
          <w:spacing w:val="-2"/>
          <w:szCs w:val="20"/>
          <w:lang w:val="en-US" w:eastAsia="es-CR"/>
        </w:rPr>
        <w:t xml:space="preserve">. </w:t>
      </w:r>
    </w:p>
    <w:p w14:paraId="19B7B293" w14:textId="77777777" w:rsidR="00272908" w:rsidRPr="007B2402" w:rsidRDefault="00272908" w:rsidP="00272908">
      <w:pPr>
        <w:spacing w:after="0" w:line="240" w:lineRule="auto"/>
        <w:contextualSpacing/>
        <w:jc w:val="both"/>
        <w:rPr>
          <w:rFonts w:eastAsia="Calibri" w:cs="Times New Roman"/>
          <w:szCs w:val="20"/>
          <w:lang w:val="en-US"/>
        </w:rPr>
      </w:pPr>
    </w:p>
    <w:p w14:paraId="374A675A" w14:textId="7008BC14" w:rsidR="00272908" w:rsidRPr="007B2402" w:rsidRDefault="00AF4344" w:rsidP="006B47D1">
      <w:pPr>
        <w:numPr>
          <w:ilvl w:val="0"/>
          <w:numId w:val="5"/>
        </w:numPr>
        <w:spacing w:after="0" w:line="240" w:lineRule="auto"/>
        <w:contextualSpacing/>
        <w:jc w:val="both"/>
        <w:rPr>
          <w:rFonts w:eastAsia="Calibri" w:cs="Times New Roman"/>
          <w:b/>
          <w:i/>
          <w:szCs w:val="20"/>
          <w:lang w:val="en-US" w:eastAsia="es-ES" w:bidi="en-US"/>
        </w:rPr>
      </w:pPr>
      <w:r w:rsidRPr="007B2402">
        <w:rPr>
          <w:rFonts w:eastAsia="Times New Roman" w:cs="Verdana"/>
          <w:spacing w:val="-2"/>
          <w:szCs w:val="20"/>
          <w:lang w:val="en-US" w:eastAsia="es-CR"/>
        </w:rPr>
        <w:t>The Court</w:t>
      </w:r>
      <w:r w:rsidR="00272908" w:rsidRPr="007B2402">
        <w:rPr>
          <w:rFonts w:eastAsia="Times New Roman" w:cs="Verdana"/>
          <w:spacing w:val="-2"/>
          <w:szCs w:val="20"/>
          <w:lang w:val="en-US" w:eastAsia="es-CR"/>
        </w:rPr>
        <w:t xml:space="preserve"> observ</w:t>
      </w:r>
      <w:r w:rsidR="006B47D1" w:rsidRPr="007B2402">
        <w:rPr>
          <w:rFonts w:eastAsia="Times New Roman" w:cs="Verdana"/>
          <w:spacing w:val="-2"/>
          <w:szCs w:val="20"/>
          <w:lang w:val="en-US" w:eastAsia="es-CR"/>
        </w:rPr>
        <w:t xml:space="preserve">es that although, on August 16, 1993, police investigation No. 487/92 before the </w:t>
      </w:r>
      <w:r w:rsidR="006B47D1" w:rsidRPr="007B2402">
        <w:rPr>
          <w:lang w:val="en-US" w:eastAsia="zh-CN"/>
        </w:rPr>
        <w:t>S</w:t>
      </w:r>
      <w:r w:rsidR="006B47D1" w:rsidRPr="007B2402">
        <w:rPr>
          <w:lang w:val="en-US"/>
        </w:rPr>
        <w:t>ã</w:t>
      </w:r>
      <w:r w:rsidR="006B47D1" w:rsidRPr="007B2402">
        <w:rPr>
          <w:lang w:val="en-US" w:eastAsia="zh-CN"/>
        </w:rPr>
        <w:t xml:space="preserve">o Paulo </w:t>
      </w:r>
      <w:r w:rsidR="006B47D1" w:rsidRPr="007B2402">
        <w:rPr>
          <w:rFonts w:eastAsia="Times New Roman" w:cs="Verdana"/>
          <w:spacing w:val="-2"/>
          <w:szCs w:val="20"/>
          <w:lang w:val="en-US" w:eastAsia="es-CR"/>
        </w:rPr>
        <w:t xml:space="preserve">state justice system was officially concluded </w:t>
      </w:r>
      <w:r w:rsidR="006B47D1" w:rsidRPr="007B2402">
        <w:rPr>
          <w:lang w:val="en-US" w:eastAsia="zh-CN"/>
        </w:rPr>
        <w:t>(</w:t>
      </w:r>
      <w:r w:rsidR="006B47D1" w:rsidRPr="007B2402">
        <w:rPr>
          <w:i/>
          <w:lang w:val="en-US" w:eastAsia="zh-CN"/>
        </w:rPr>
        <w:t xml:space="preserve">infra </w:t>
      </w:r>
      <w:r w:rsidR="006B47D1" w:rsidRPr="007B2402">
        <w:rPr>
          <w:lang w:val="en-US" w:eastAsia="zh-CN"/>
        </w:rPr>
        <w:t xml:space="preserve">paras. 140 to 145), on December 4, 1995, Law No. </w:t>
      </w:r>
      <w:r w:rsidR="00272908" w:rsidRPr="007B2402">
        <w:rPr>
          <w:lang w:val="en-US" w:eastAsia="zh-CN"/>
        </w:rPr>
        <w:t>9</w:t>
      </w:r>
      <w:r w:rsidR="006B47D1" w:rsidRPr="007B2402">
        <w:rPr>
          <w:lang w:val="en-US" w:eastAsia="zh-CN"/>
        </w:rPr>
        <w:t>,</w:t>
      </w:r>
      <w:r w:rsidR="00272908" w:rsidRPr="007B2402">
        <w:rPr>
          <w:lang w:val="en-US" w:eastAsia="zh-CN"/>
        </w:rPr>
        <w:t>140/1995</w:t>
      </w:r>
      <w:r w:rsidR="00272908" w:rsidRPr="007B2402" w:rsidDel="007C554D">
        <w:rPr>
          <w:rFonts w:eastAsia="Times New Roman" w:cs="Verdana"/>
          <w:spacing w:val="-2"/>
          <w:szCs w:val="20"/>
          <w:lang w:val="en-US" w:eastAsia="es-CR"/>
        </w:rPr>
        <w:t xml:space="preserve"> </w:t>
      </w:r>
      <w:r w:rsidR="006B47D1" w:rsidRPr="007B2402">
        <w:rPr>
          <w:rFonts w:eastAsia="Times New Roman" w:cs="Verdana"/>
          <w:spacing w:val="-2"/>
          <w:szCs w:val="20"/>
          <w:lang w:val="en-US" w:eastAsia="es-CR"/>
        </w:rPr>
        <w:t xml:space="preserve">was promulgated </w:t>
      </w:r>
      <w:r w:rsidR="00141E02" w:rsidRPr="007B2402">
        <w:rPr>
          <w:rFonts w:eastAsia="Times New Roman" w:cs="Verdana"/>
          <w:spacing w:val="-2"/>
          <w:szCs w:val="20"/>
          <w:lang w:val="en-US" w:eastAsia="es-CR"/>
        </w:rPr>
        <w:t>creating</w:t>
      </w:r>
      <w:r w:rsidR="006B47D1" w:rsidRPr="007B2402">
        <w:rPr>
          <w:rFonts w:eastAsia="Times New Roman" w:cs="Verdana"/>
          <w:spacing w:val="-2"/>
          <w:szCs w:val="20"/>
          <w:lang w:val="en-US" w:eastAsia="es-CR"/>
        </w:rPr>
        <w:t xml:space="preserve"> the Special Commission on Political Deaths and Disappearances (CEMDP)</w:t>
      </w:r>
      <w:r w:rsidR="00272908" w:rsidRPr="007B2402">
        <w:rPr>
          <w:rFonts w:eastAsia="Times New Roman" w:cs="Verdana"/>
          <w:spacing w:val="-2"/>
          <w:szCs w:val="20"/>
          <w:lang w:val="en-US" w:eastAsia="es-CR"/>
        </w:rPr>
        <w:t xml:space="preserve"> (</w:t>
      </w:r>
      <w:r w:rsidR="00272908" w:rsidRPr="007B2402">
        <w:rPr>
          <w:rFonts w:eastAsia="Times New Roman" w:cs="Verdana"/>
          <w:i/>
          <w:spacing w:val="-2"/>
          <w:szCs w:val="20"/>
          <w:lang w:val="en-US" w:eastAsia="es-CR"/>
        </w:rPr>
        <w:t>infra</w:t>
      </w:r>
      <w:r w:rsidR="00272908" w:rsidRPr="007B2402">
        <w:rPr>
          <w:rFonts w:eastAsia="Times New Roman" w:cs="Verdana"/>
          <w:spacing w:val="-2"/>
          <w:szCs w:val="20"/>
          <w:lang w:val="en-US" w:eastAsia="es-CR"/>
        </w:rPr>
        <w:t xml:space="preserve"> </w:t>
      </w:r>
      <w:r w:rsidR="00892CA3" w:rsidRPr="007B2402">
        <w:rPr>
          <w:rFonts w:eastAsia="Times New Roman" w:cs="Verdana"/>
          <w:spacing w:val="-2"/>
          <w:szCs w:val="20"/>
          <w:lang w:val="en-US" w:eastAsia="es-CR"/>
        </w:rPr>
        <w:t>paras.</w:t>
      </w:r>
      <w:r w:rsidR="00272908" w:rsidRPr="007B2402">
        <w:rPr>
          <w:rFonts w:eastAsia="Times New Roman" w:cs="Verdana"/>
          <w:spacing w:val="-2"/>
          <w:szCs w:val="20"/>
          <w:lang w:val="en-US" w:eastAsia="es-CR"/>
        </w:rPr>
        <w:t xml:space="preserve"> </w:t>
      </w:r>
      <w:r w:rsidR="00BD0AFF" w:rsidRPr="007B2402">
        <w:rPr>
          <w:rFonts w:eastAsia="Times New Roman" w:cs="Verdana"/>
          <w:spacing w:val="-2"/>
          <w:szCs w:val="20"/>
          <w:lang w:val="en-US" w:eastAsia="es-CR"/>
        </w:rPr>
        <w:t>146</w:t>
      </w:r>
      <w:r w:rsidR="00272908" w:rsidRPr="007B2402">
        <w:rPr>
          <w:rFonts w:eastAsia="Times New Roman" w:cs="Verdana"/>
          <w:spacing w:val="-2"/>
          <w:szCs w:val="20"/>
          <w:lang w:val="en-US" w:eastAsia="es-CR"/>
        </w:rPr>
        <w:t xml:space="preserve"> </w:t>
      </w:r>
      <w:r w:rsidR="006B47D1" w:rsidRPr="007B2402">
        <w:rPr>
          <w:rFonts w:eastAsia="Times New Roman" w:cs="Verdana"/>
          <w:spacing w:val="-2"/>
          <w:szCs w:val="20"/>
          <w:lang w:val="en-US" w:eastAsia="es-CR"/>
        </w:rPr>
        <w:t>to</w:t>
      </w:r>
      <w:r w:rsidR="00272908" w:rsidRPr="007B2402">
        <w:rPr>
          <w:rFonts w:eastAsia="Times New Roman" w:cs="Verdana"/>
          <w:spacing w:val="-2"/>
          <w:szCs w:val="20"/>
          <w:lang w:val="en-US" w:eastAsia="es-CR"/>
        </w:rPr>
        <w:t xml:space="preserve"> </w:t>
      </w:r>
      <w:r w:rsidR="00BD0AFF" w:rsidRPr="007B2402">
        <w:rPr>
          <w:rFonts w:eastAsia="Times New Roman" w:cs="Verdana"/>
          <w:spacing w:val="-2"/>
          <w:szCs w:val="20"/>
          <w:lang w:val="en-US" w:eastAsia="es-CR"/>
        </w:rPr>
        <w:t>151</w:t>
      </w:r>
      <w:r w:rsidR="00272908" w:rsidRPr="007B2402">
        <w:rPr>
          <w:rFonts w:eastAsia="Times New Roman" w:cs="Verdana"/>
          <w:spacing w:val="-2"/>
          <w:szCs w:val="20"/>
          <w:lang w:val="en-US" w:eastAsia="es-CR"/>
        </w:rPr>
        <w:t>)</w:t>
      </w:r>
      <w:r w:rsidR="005B1590" w:rsidRPr="007B2402">
        <w:rPr>
          <w:rFonts w:eastAsia="Times New Roman" w:cs="Verdana"/>
          <w:spacing w:val="-2"/>
          <w:szCs w:val="20"/>
          <w:lang w:val="en-US" w:eastAsia="es-CR"/>
        </w:rPr>
        <w:t xml:space="preserve"> and </w:t>
      </w:r>
      <w:r w:rsidR="006B47D1" w:rsidRPr="007B2402">
        <w:rPr>
          <w:rFonts w:eastAsia="Times New Roman" w:cs="Verdana"/>
          <w:spacing w:val="-2"/>
          <w:szCs w:val="20"/>
          <w:lang w:val="en-US" w:eastAsia="es-CR"/>
        </w:rPr>
        <w:t xml:space="preserve">this </w:t>
      </w:r>
      <w:r w:rsidR="00141E02" w:rsidRPr="007B2402">
        <w:rPr>
          <w:rFonts w:eastAsia="Times New Roman" w:cs="Verdana"/>
          <w:spacing w:val="-2"/>
          <w:szCs w:val="20"/>
          <w:lang w:val="en-US" w:eastAsia="es-CR"/>
        </w:rPr>
        <w:t>C</w:t>
      </w:r>
      <w:r w:rsidR="006B47D1" w:rsidRPr="007B2402">
        <w:rPr>
          <w:rFonts w:eastAsia="Times New Roman" w:cs="Verdana"/>
          <w:spacing w:val="-2"/>
          <w:szCs w:val="20"/>
          <w:lang w:val="en-US" w:eastAsia="es-CR"/>
        </w:rPr>
        <w:t xml:space="preserve">ommission issued its final report in </w:t>
      </w:r>
      <w:r w:rsidR="00272908" w:rsidRPr="007B2402">
        <w:rPr>
          <w:rFonts w:eastAsia="Times New Roman" w:cs="Verdana"/>
          <w:spacing w:val="-2"/>
          <w:szCs w:val="20"/>
          <w:lang w:val="en-US" w:eastAsia="es-CR"/>
        </w:rPr>
        <w:t xml:space="preserve">2007. </w:t>
      </w:r>
      <w:r w:rsidR="006B47D1" w:rsidRPr="007B2402">
        <w:rPr>
          <w:rFonts w:eastAsia="Times New Roman" w:cs="Verdana"/>
          <w:spacing w:val="-2"/>
          <w:szCs w:val="20"/>
          <w:lang w:val="en-US" w:eastAsia="es-CR"/>
        </w:rPr>
        <w:t>The Court also notes that it was based on the result of this report that a complaint was filed before the Federal Public Prosecution Service</w:t>
      </w:r>
      <w:r w:rsidR="00272908" w:rsidRPr="007B2402">
        <w:rPr>
          <w:rFonts w:eastAsia="Times New Roman" w:cs="Verdana"/>
          <w:spacing w:val="-2"/>
          <w:szCs w:val="20"/>
          <w:lang w:val="en-US" w:eastAsia="es-CR"/>
        </w:rPr>
        <w:t xml:space="preserve"> </w:t>
      </w:r>
      <w:r w:rsidR="006B47D1" w:rsidRPr="007B2402">
        <w:rPr>
          <w:rFonts w:eastAsia="Times New Roman" w:cs="Verdana"/>
          <w:spacing w:val="-2"/>
          <w:szCs w:val="20"/>
          <w:lang w:val="en-US" w:eastAsia="es-CR"/>
        </w:rPr>
        <w:t xml:space="preserve">that initiated proceedings </w:t>
      </w:r>
      <w:r w:rsidR="00272908" w:rsidRPr="007B2402">
        <w:rPr>
          <w:rFonts w:eastAsia="Times New Roman" w:cs="Verdana"/>
          <w:spacing w:val="-2"/>
          <w:szCs w:val="20"/>
          <w:lang w:val="en-US" w:eastAsia="es-CR"/>
        </w:rPr>
        <w:t xml:space="preserve">No. 2008.61.81.013434-2. </w:t>
      </w:r>
      <w:r w:rsidR="006B47D1" w:rsidRPr="007B2402">
        <w:rPr>
          <w:rFonts w:eastAsia="Times New Roman" w:cs="Verdana"/>
          <w:spacing w:val="-2"/>
          <w:szCs w:val="20"/>
          <w:lang w:val="en-US" w:eastAsia="es-CR"/>
        </w:rPr>
        <w:t xml:space="preserve">The </w:t>
      </w:r>
      <w:r w:rsidR="00141E02" w:rsidRPr="007B2402">
        <w:rPr>
          <w:rFonts w:eastAsia="Times New Roman" w:cs="Verdana"/>
          <w:spacing w:val="-2"/>
          <w:szCs w:val="20"/>
          <w:lang w:val="en-US" w:eastAsia="es-CR"/>
        </w:rPr>
        <w:t>closure</w:t>
      </w:r>
      <w:r w:rsidR="006B47D1" w:rsidRPr="007B2402">
        <w:rPr>
          <w:rFonts w:eastAsia="Times New Roman" w:cs="Verdana"/>
          <w:spacing w:val="-2"/>
          <w:szCs w:val="20"/>
          <w:lang w:val="en-US" w:eastAsia="es-CR"/>
        </w:rPr>
        <w:t xml:space="preserve"> of these proceedings on January 9, </w:t>
      </w:r>
      <w:r w:rsidR="00272908" w:rsidRPr="007B2402">
        <w:rPr>
          <w:rFonts w:eastAsia="Times New Roman" w:cs="Verdana"/>
          <w:spacing w:val="-2"/>
          <w:szCs w:val="20"/>
          <w:lang w:val="en-US" w:eastAsia="es-CR"/>
        </w:rPr>
        <w:t>2009</w:t>
      </w:r>
      <w:r w:rsidR="00A62EB1" w:rsidRPr="007B2402">
        <w:rPr>
          <w:rFonts w:eastAsia="Times New Roman" w:cs="Verdana"/>
          <w:spacing w:val="-2"/>
          <w:szCs w:val="20"/>
          <w:lang w:val="en-US" w:eastAsia="es-CR"/>
        </w:rPr>
        <w:t xml:space="preserve"> </w:t>
      </w:r>
      <w:r w:rsidR="00272908" w:rsidRPr="007B2402">
        <w:rPr>
          <w:rFonts w:eastAsia="Times New Roman" w:cs="Verdana"/>
          <w:spacing w:val="-2"/>
          <w:szCs w:val="20"/>
          <w:lang w:val="en-US" w:eastAsia="es-CR"/>
        </w:rPr>
        <w:t>(</w:t>
      </w:r>
      <w:r w:rsidR="00272908" w:rsidRPr="007B2402">
        <w:rPr>
          <w:rFonts w:eastAsia="Times New Roman" w:cs="Verdana"/>
          <w:i/>
          <w:spacing w:val="-2"/>
          <w:szCs w:val="20"/>
          <w:lang w:val="en-US" w:eastAsia="es-CR"/>
        </w:rPr>
        <w:t>infra</w:t>
      </w:r>
      <w:r w:rsidR="00272908" w:rsidRPr="007B2402">
        <w:rPr>
          <w:rFonts w:eastAsia="Times New Roman" w:cs="Verdana"/>
          <w:spacing w:val="-2"/>
          <w:szCs w:val="20"/>
          <w:lang w:val="en-US" w:eastAsia="es-CR"/>
        </w:rPr>
        <w:t xml:space="preserve"> </w:t>
      </w:r>
      <w:r w:rsidR="00892CA3" w:rsidRPr="007B2402">
        <w:rPr>
          <w:rFonts w:eastAsia="Times New Roman" w:cs="Verdana"/>
          <w:spacing w:val="-2"/>
          <w:szCs w:val="20"/>
          <w:lang w:val="en-US" w:eastAsia="es-CR"/>
        </w:rPr>
        <w:t>paras.</w:t>
      </w:r>
      <w:r w:rsidR="00272908" w:rsidRPr="007B2402">
        <w:rPr>
          <w:rFonts w:eastAsia="Times New Roman" w:cs="Verdana"/>
          <w:spacing w:val="-2"/>
          <w:szCs w:val="20"/>
          <w:lang w:val="en-US" w:eastAsia="es-CR"/>
        </w:rPr>
        <w:t xml:space="preserve"> </w:t>
      </w:r>
      <w:r w:rsidR="00BD0AFF" w:rsidRPr="007B2402">
        <w:rPr>
          <w:rFonts w:eastAsia="Times New Roman" w:cs="Verdana"/>
          <w:spacing w:val="-2"/>
          <w:szCs w:val="20"/>
          <w:lang w:val="en-US" w:eastAsia="es-CR"/>
        </w:rPr>
        <w:t>152</w:t>
      </w:r>
      <w:r w:rsidR="00272908" w:rsidRPr="007B2402">
        <w:rPr>
          <w:rFonts w:eastAsia="Times New Roman" w:cs="Verdana"/>
          <w:spacing w:val="-2"/>
          <w:szCs w:val="20"/>
          <w:lang w:val="en-US" w:eastAsia="es-CR"/>
        </w:rPr>
        <w:t xml:space="preserve"> </w:t>
      </w:r>
      <w:r w:rsidR="006B47D1" w:rsidRPr="007B2402">
        <w:rPr>
          <w:rFonts w:eastAsia="Times New Roman" w:cs="Verdana"/>
          <w:spacing w:val="-2"/>
          <w:szCs w:val="20"/>
          <w:lang w:val="en-US" w:eastAsia="es-CR"/>
        </w:rPr>
        <w:t>to</w:t>
      </w:r>
      <w:r w:rsidR="00272908" w:rsidRPr="007B2402">
        <w:rPr>
          <w:rFonts w:eastAsia="Times New Roman" w:cs="Verdana"/>
          <w:spacing w:val="-2"/>
          <w:szCs w:val="20"/>
          <w:lang w:val="en-US" w:eastAsia="es-CR"/>
        </w:rPr>
        <w:t xml:space="preserve"> </w:t>
      </w:r>
      <w:r w:rsidR="00BD0AFF" w:rsidRPr="007B2402">
        <w:rPr>
          <w:rFonts w:eastAsia="Times New Roman" w:cs="Verdana"/>
          <w:spacing w:val="-2"/>
          <w:szCs w:val="20"/>
          <w:lang w:val="en-US" w:eastAsia="es-CR"/>
        </w:rPr>
        <w:t>160</w:t>
      </w:r>
      <w:r w:rsidR="00272908" w:rsidRPr="007B2402">
        <w:rPr>
          <w:rFonts w:eastAsia="Times New Roman" w:cs="Verdana"/>
          <w:spacing w:val="-2"/>
          <w:szCs w:val="20"/>
          <w:lang w:val="en-US" w:eastAsia="es-CR"/>
        </w:rPr>
        <w:t xml:space="preserve">), </w:t>
      </w:r>
      <w:r w:rsidR="006B47D1" w:rsidRPr="007B2402">
        <w:rPr>
          <w:rFonts w:eastAsia="Times New Roman" w:cs="Verdana"/>
          <w:spacing w:val="-2"/>
          <w:szCs w:val="20"/>
          <w:lang w:val="en-US" w:eastAsia="es-CR"/>
        </w:rPr>
        <w:t xml:space="preserve">was the reason that the initial petition was finally lodged before </w:t>
      </w:r>
      <w:r w:rsidRPr="007B2402">
        <w:rPr>
          <w:rFonts w:eastAsia="Times New Roman" w:cs="Verdana"/>
          <w:spacing w:val="-2"/>
          <w:szCs w:val="20"/>
          <w:lang w:val="en-US" w:eastAsia="es-CR"/>
        </w:rPr>
        <w:t>the Inter-American Commission</w:t>
      </w:r>
      <w:r w:rsidR="00272908" w:rsidRPr="007B2402">
        <w:rPr>
          <w:rFonts w:eastAsia="Times New Roman" w:cs="Verdana"/>
          <w:spacing w:val="-2"/>
          <w:szCs w:val="20"/>
          <w:lang w:val="en-US" w:eastAsia="es-CR"/>
        </w:rPr>
        <w:t xml:space="preserve"> </w:t>
      </w:r>
      <w:r w:rsidR="006B47D1" w:rsidRPr="007B2402">
        <w:rPr>
          <w:rFonts w:eastAsia="Times New Roman" w:cs="Verdana"/>
          <w:spacing w:val="-2"/>
          <w:szCs w:val="20"/>
          <w:lang w:val="en-US" w:eastAsia="es-CR"/>
        </w:rPr>
        <w:t>on July 10 that year</w:t>
      </w:r>
      <w:r w:rsidR="00272908" w:rsidRPr="007B2402">
        <w:rPr>
          <w:rFonts w:eastAsia="Times New Roman" w:cs="Verdana"/>
          <w:spacing w:val="-2"/>
          <w:szCs w:val="20"/>
          <w:lang w:val="en-US" w:eastAsia="es-CR"/>
        </w:rPr>
        <w:t>.</w:t>
      </w:r>
    </w:p>
    <w:p w14:paraId="3C6BB925" w14:textId="77777777" w:rsidR="00272908" w:rsidRPr="007B2402" w:rsidRDefault="00272908" w:rsidP="00272908">
      <w:pPr>
        <w:pStyle w:val="Prrafodelista"/>
        <w:rPr>
          <w:rFonts w:eastAsia="Times New Roman" w:cs="Verdana"/>
          <w:spacing w:val="-2"/>
          <w:szCs w:val="20"/>
          <w:lang w:val="en-US" w:eastAsia="es-CR"/>
        </w:rPr>
      </w:pPr>
    </w:p>
    <w:p w14:paraId="0BAA84EE" w14:textId="593E6834" w:rsidR="00D16A5B" w:rsidRPr="007B2402" w:rsidRDefault="006B47D1" w:rsidP="006B47D1">
      <w:pPr>
        <w:numPr>
          <w:ilvl w:val="0"/>
          <w:numId w:val="5"/>
        </w:numPr>
        <w:spacing w:after="0" w:line="240" w:lineRule="auto"/>
        <w:contextualSpacing/>
        <w:jc w:val="both"/>
        <w:rPr>
          <w:rFonts w:eastAsia="Calibri" w:cs="Times New Roman"/>
          <w:b/>
          <w:i/>
          <w:szCs w:val="20"/>
          <w:lang w:val="en-US" w:eastAsia="es-ES" w:bidi="en-US"/>
        </w:rPr>
      </w:pPr>
      <w:r w:rsidRPr="007B2402">
        <w:rPr>
          <w:rFonts w:eastAsia="Times New Roman" w:cs="Verdana"/>
          <w:spacing w:val="-2"/>
          <w:szCs w:val="20"/>
          <w:lang w:val="en-US" w:eastAsia="es-CR"/>
        </w:rPr>
        <w:t xml:space="preserve">In this case, the Court notes that the presumed violation that constituted the reason for </w:t>
      </w:r>
      <w:r w:rsidR="00141E02" w:rsidRPr="007B2402">
        <w:rPr>
          <w:rFonts w:eastAsia="Times New Roman" w:cs="Verdana"/>
          <w:spacing w:val="-2"/>
          <w:szCs w:val="20"/>
          <w:lang w:val="en-US" w:eastAsia="es-CR"/>
        </w:rPr>
        <w:t>lodging</w:t>
      </w:r>
      <w:r w:rsidRPr="007B2402">
        <w:rPr>
          <w:rFonts w:eastAsia="Times New Roman" w:cs="Verdana"/>
          <w:spacing w:val="-2"/>
          <w:szCs w:val="20"/>
          <w:lang w:val="en-US" w:eastAsia="es-CR"/>
        </w:rPr>
        <w:t xml:space="preserve"> the petition was the impunity of the torture and death of Vladimir Herzog. Based on the foregoing, it is the Court’s opinion that the petitioners had reasonable expectation</w:t>
      </w:r>
      <w:r w:rsidR="00141E02" w:rsidRPr="007B2402">
        <w:rPr>
          <w:rFonts w:eastAsia="Times New Roman" w:cs="Verdana"/>
          <w:spacing w:val="-2"/>
          <w:szCs w:val="20"/>
          <w:lang w:val="en-US" w:eastAsia="es-CR"/>
        </w:rPr>
        <w:t>s</w:t>
      </w:r>
      <w:r w:rsidRPr="007B2402">
        <w:rPr>
          <w:rFonts w:eastAsia="Times New Roman" w:cs="Verdana"/>
          <w:spacing w:val="-2"/>
          <w:szCs w:val="20"/>
          <w:lang w:val="en-US" w:eastAsia="es-CR"/>
        </w:rPr>
        <w:t xml:space="preserve"> that the State would rectify this situation of impunity following the return to democracy and, above all, following the final report of the Special Commission created by Law </w:t>
      </w:r>
      <w:r w:rsidR="001A6E53" w:rsidRPr="007B2402">
        <w:rPr>
          <w:rFonts w:eastAsia="Times New Roman" w:cs="Verdana"/>
          <w:spacing w:val="-2"/>
          <w:szCs w:val="20"/>
          <w:lang w:val="en-US" w:eastAsia="es-CR"/>
        </w:rPr>
        <w:t xml:space="preserve">No. </w:t>
      </w:r>
      <w:r w:rsidR="0025614B" w:rsidRPr="007B2402">
        <w:rPr>
          <w:rFonts w:eastAsia="Times New Roman" w:cs="Verdana"/>
          <w:spacing w:val="-2"/>
          <w:szCs w:val="20"/>
          <w:lang w:val="en-US" w:eastAsia="es-CR"/>
        </w:rPr>
        <w:t>9,140</w:t>
      </w:r>
      <w:r w:rsidR="001A6E53" w:rsidRPr="007B2402">
        <w:rPr>
          <w:rFonts w:eastAsia="Times New Roman" w:cs="Verdana"/>
          <w:spacing w:val="-2"/>
          <w:szCs w:val="20"/>
          <w:lang w:val="en-US" w:eastAsia="es-CR"/>
        </w:rPr>
        <w:t xml:space="preserve">/1995. </w:t>
      </w:r>
      <w:r w:rsidRPr="007B2402">
        <w:rPr>
          <w:rFonts w:eastAsia="Times New Roman" w:cs="Verdana"/>
          <w:spacing w:val="-2"/>
          <w:szCs w:val="20"/>
          <w:lang w:val="en-US" w:eastAsia="es-CR"/>
        </w:rPr>
        <w:t xml:space="preserve">Consequently, the Court considers that the specific circumstances of this case, in particular the impact of the Amnesty Law on the possibility of investigating and prosecuting </w:t>
      </w:r>
      <w:r w:rsidR="00B0525F" w:rsidRPr="007B2402">
        <w:rPr>
          <w:rFonts w:eastAsia="Times New Roman" w:cs="Verdana"/>
          <w:spacing w:val="-2"/>
          <w:szCs w:val="20"/>
          <w:lang w:val="en-US" w:eastAsia="es-CR"/>
        </w:rPr>
        <w:t>Mr.</w:t>
      </w:r>
      <w:r w:rsidRPr="007B2402">
        <w:rPr>
          <w:rFonts w:eastAsia="Times New Roman" w:cs="Verdana"/>
          <w:spacing w:val="-2"/>
          <w:szCs w:val="20"/>
          <w:lang w:val="en-US" w:eastAsia="es-CR"/>
        </w:rPr>
        <w:t xml:space="preserve"> Herzog’s death, the issue of the CEMDP report in 2007, and the actions initiated by</w:t>
      </w:r>
      <w:r w:rsidRPr="007B2402">
        <w:rPr>
          <w:rFonts w:eastAsia="Calibri" w:cs="Times New Roman"/>
          <w:b/>
          <w:i/>
          <w:szCs w:val="20"/>
          <w:lang w:val="en-US" w:eastAsia="es-ES" w:bidi="en-US"/>
        </w:rPr>
        <w:t xml:space="preserve"> </w:t>
      </w:r>
      <w:r w:rsidRPr="007B2402">
        <w:rPr>
          <w:rFonts w:eastAsia="Times New Roman" w:cs="Verdana"/>
          <w:spacing w:val="-2"/>
          <w:szCs w:val="20"/>
          <w:lang w:val="en-US" w:eastAsia="es-CR"/>
        </w:rPr>
        <w:t>the Federal Public Prosecution Service</w:t>
      </w:r>
      <w:r w:rsidR="001A6E53" w:rsidRPr="007B2402">
        <w:rPr>
          <w:rFonts w:eastAsia="Times New Roman" w:cs="Verdana"/>
          <w:spacing w:val="-2"/>
          <w:szCs w:val="20"/>
          <w:lang w:val="en-US" w:eastAsia="es-CR"/>
        </w:rPr>
        <w:t xml:space="preserve"> </w:t>
      </w:r>
      <w:r w:rsidRPr="007B2402">
        <w:rPr>
          <w:rFonts w:eastAsia="Times New Roman" w:cs="Verdana"/>
          <w:spacing w:val="-2"/>
          <w:szCs w:val="20"/>
          <w:lang w:val="en-US" w:eastAsia="es-CR"/>
        </w:rPr>
        <w:t>are, taken as a whole, actions that could have contributed to end the impunity and, therefore, are relevant facts that allow it to be determined that the initial petition was lodged within a reasonable time. Consequently, the petition was admissible and, therefore, the Court decides to reject the</w:t>
      </w:r>
      <w:r w:rsidRPr="007B2402">
        <w:rPr>
          <w:rFonts w:eastAsia="Calibri" w:cs="Times New Roman"/>
          <w:b/>
          <w:i/>
          <w:szCs w:val="20"/>
          <w:lang w:val="en-US" w:eastAsia="es-ES" w:bidi="en-US"/>
        </w:rPr>
        <w:t xml:space="preserve"> </w:t>
      </w:r>
      <w:r w:rsidR="006E2CFF" w:rsidRPr="007B2402">
        <w:rPr>
          <w:rFonts w:eastAsia="Times New Roman" w:cs="Verdana"/>
          <w:spacing w:val="-2"/>
          <w:szCs w:val="20"/>
          <w:lang w:val="en-US" w:eastAsia="es-CR"/>
        </w:rPr>
        <w:t>preliminary objection</w:t>
      </w:r>
      <w:r w:rsidR="001A6E53" w:rsidRPr="007B2402">
        <w:rPr>
          <w:rFonts w:eastAsia="Times New Roman" w:cs="Verdana"/>
          <w:spacing w:val="-2"/>
          <w:szCs w:val="20"/>
          <w:lang w:val="en-US" w:eastAsia="es-CR"/>
        </w:rPr>
        <w:t xml:space="preserve"> present</w:t>
      </w:r>
      <w:r w:rsidRPr="007B2402">
        <w:rPr>
          <w:rFonts w:eastAsia="Times New Roman" w:cs="Verdana"/>
          <w:spacing w:val="-2"/>
          <w:szCs w:val="20"/>
          <w:lang w:val="en-US" w:eastAsia="es-CR"/>
        </w:rPr>
        <w:t xml:space="preserve">ed by </w:t>
      </w:r>
      <w:r w:rsidR="00AF4344" w:rsidRPr="007B2402">
        <w:rPr>
          <w:rFonts w:eastAsia="Times New Roman" w:cs="Verdana"/>
          <w:spacing w:val="-2"/>
          <w:szCs w:val="20"/>
          <w:lang w:val="en-US" w:eastAsia="es-CR"/>
        </w:rPr>
        <w:t>the State</w:t>
      </w:r>
      <w:r w:rsidR="00272908" w:rsidRPr="007B2402">
        <w:rPr>
          <w:rFonts w:eastAsia="Times New Roman" w:cs="Verdana"/>
          <w:spacing w:val="-2"/>
          <w:szCs w:val="20"/>
          <w:lang w:val="en-US" w:eastAsia="es-CR"/>
        </w:rPr>
        <w:t>.</w:t>
      </w:r>
    </w:p>
    <w:p w14:paraId="27BA52B0" w14:textId="77777777" w:rsidR="00272908" w:rsidRPr="007B2402" w:rsidRDefault="00272908" w:rsidP="00272908">
      <w:pPr>
        <w:pStyle w:val="Textocomentario"/>
        <w:rPr>
          <w:rFonts w:eastAsia="Calibri" w:cs="Times New Roman"/>
          <w:noProof w:val="0"/>
          <w:lang w:val="en-US"/>
        </w:rPr>
      </w:pPr>
    </w:p>
    <w:p w14:paraId="3202F491" w14:textId="4D20B901" w:rsidR="003B5FC8" w:rsidRPr="007B2402" w:rsidRDefault="007E42A8" w:rsidP="00DB1F30">
      <w:pPr>
        <w:keepNext/>
        <w:keepLines/>
        <w:numPr>
          <w:ilvl w:val="0"/>
          <w:numId w:val="9"/>
        </w:numPr>
        <w:spacing w:after="0" w:line="240" w:lineRule="auto"/>
        <w:ind w:left="0" w:firstLine="0"/>
        <w:contextualSpacing/>
        <w:jc w:val="both"/>
        <w:outlineLvl w:val="1"/>
        <w:rPr>
          <w:rFonts w:eastAsia="Calibri" w:cs="Times New Roman"/>
          <w:b/>
          <w:i/>
          <w:szCs w:val="20"/>
          <w:lang w:val="en-US"/>
        </w:rPr>
      </w:pPr>
      <w:bookmarkStart w:id="87" w:name="_Toc506984087"/>
      <w:r w:rsidRPr="007B2402">
        <w:rPr>
          <w:rFonts w:eastAsia="Calibri" w:cs="Times New Roman"/>
          <w:b/>
          <w:i/>
          <w:szCs w:val="20"/>
          <w:lang w:val="en-US" w:eastAsia="es-ES" w:bidi="en-US"/>
        </w:rPr>
        <w:lastRenderedPageBreak/>
        <w:t>Lack of jurisdiction</w:t>
      </w:r>
      <w:r w:rsidR="003B5FC8" w:rsidRPr="007B2402">
        <w:rPr>
          <w:rFonts w:eastAsia="Calibri" w:cs="Times New Roman"/>
          <w:b/>
          <w:i/>
          <w:szCs w:val="20"/>
          <w:lang w:val="en-US" w:eastAsia="es-ES" w:bidi="en-US"/>
        </w:rPr>
        <w:t xml:space="preserve"> </w:t>
      </w:r>
      <w:r w:rsidR="003B5FC8" w:rsidRPr="007B2402">
        <w:rPr>
          <w:rFonts w:eastAsia="Calibri" w:cs="Times New Roman"/>
          <w:b/>
          <w:szCs w:val="20"/>
          <w:lang w:val="en-US" w:eastAsia="es-ES" w:bidi="en-US"/>
        </w:rPr>
        <w:t>ratione materiae</w:t>
      </w:r>
      <w:r w:rsidR="003B5FC8" w:rsidRPr="007B2402">
        <w:rPr>
          <w:rFonts w:eastAsia="Calibri" w:cs="Times New Roman"/>
          <w:b/>
          <w:i/>
          <w:szCs w:val="20"/>
          <w:lang w:val="en-US" w:eastAsia="es-ES" w:bidi="en-US"/>
        </w:rPr>
        <w:t xml:space="preserve"> </w:t>
      </w:r>
      <w:r w:rsidR="006B47D1" w:rsidRPr="007B2402">
        <w:rPr>
          <w:rFonts w:eastAsia="Calibri" w:cs="Times New Roman"/>
          <w:b/>
          <w:i/>
          <w:szCs w:val="20"/>
          <w:lang w:val="en-US" w:eastAsia="es-ES" w:bidi="en-US"/>
        </w:rPr>
        <w:t>to review domestic decisions on possible violations of</w:t>
      </w:r>
      <w:r w:rsidR="003B5FC8" w:rsidRPr="007B2402">
        <w:rPr>
          <w:rFonts w:eastAsia="Calibri" w:cs="Times New Roman"/>
          <w:b/>
          <w:i/>
          <w:szCs w:val="20"/>
          <w:lang w:val="en-US" w:eastAsia="es-ES" w:bidi="en-US"/>
        </w:rPr>
        <w:t xml:space="preserve"> </w:t>
      </w:r>
      <w:r w:rsidR="00AF4344" w:rsidRPr="007B2402">
        <w:rPr>
          <w:rFonts w:eastAsia="Calibri" w:cs="Times New Roman"/>
          <w:b/>
          <w:i/>
          <w:szCs w:val="20"/>
          <w:lang w:val="en-US" w:eastAsia="es-ES" w:bidi="en-US"/>
        </w:rPr>
        <w:t>Articles</w:t>
      </w:r>
      <w:r w:rsidR="003B5FC8" w:rsidRPr="007B2402">
        <w:rPr>
          <w:rFonts w:eastAsia="Calibri" w:cs="Times New Roman"/>
          <w:b/>
          <w:i/>
          <w:szCs w:val="20"/>
          <w:lang w:val="en-US" w:eastAsia="es-ES" w:bidi="en-US"/>
        </w:rPr>
        <w:t xml:space="preserve"> 8</w:t>
      </w:r>
      <w:r w:rsidR="005B1590" w:rsidRPr="007B2402">
        <w:rPr>
          <w:rFonts w:eastAsia="Calibri" w:cs="Times New Roman"/>
          <w:b/>
          <w:i/>
          <w:szCs w:val="20"/>
          <w:lang w:val="en-US" w:eastAsia="es-ES" w:bidi="en-US"/>
        </w:rPr>
        <w:t xml:space="preserve"> and </w:t>
      </w:r>
      <w:r w:rsidR="003B5FC8" w:rsidRPr="007B2402">
        <w:rPr>
          <w:rFonts w:eastAsia="Calibri" w:cs="Times New Roman"/>
          <w:b/>
          <w:i/>
          <w:szCs w:val="20"/>
          <w:lang w:val="en-US" w:eastAsia="es-ES" w:bidi="en-US"/>
        </w:rPr>
        <w:t>25</w:t>
      </w:r>
      <w:r w:rsidR="00AF4344" w:rsidRPr="007B2402">
        <w:rPr>
          <w:rFonts w:eastAsia="Calibri" w:cs="Times New Roman"/>
          <w:b/>
          <w:i/>
          <w:szCs w:val="20"/>
          <w:lang w:val="en-US" w:eastAsia="es-ES" w:bidi="en-US"/>
        </w:rPr>
        <w:t xml:space="preserve"> of the American Convention</w:t>
      </w:r>
      <w:r w:rsidR="003B5FC8" w:rsidRPr="007B2402">
        <w:rPr>
          <w:rFonts w:eastAsia="Calibri" w:cs="Times New Roman"/>
          <w:b/>
          <w:i/>
          <w:szCs w:val="20"/>
          <w:lang w:val="en-US" w:eastAsia="es-ES" w:bidi="en-US"/>
        </w:rPr>
        <w:t xml:space="preserve"> (</w:t>
      </w:r>
      <w:r w:rsidR="006B47D1" w:rsidRPr="007B2402">
        <w:rPr>
          <w:rFonts w:eastAsia="Calibri" w:cs="Times New Roman"/>
          <w:b/>
          <w:i/>
          <w:szCs w:val="20"/>
          <w:lang w:val="en-US" w:eastAsia="es-ES" w:bidi="en-US"/>
        </w:rPr>
        <w:t>fourth instance</w:t>
      </w:r>
      <w:r w:rsidR="003B5FC8" w:rsidRPr="007B2402">
        <w:rPr>
          <w:rFonts w:eastAsia="Calibri" w:cs="Times New Roman"/>
          <w:b/>
          <w:i/>
          <w:szCs w:val="20"/>
          <w:lang w:val="en-US" w:eastAsia="es-ES" w:bidi="en-US"/>
        </w:rPr>
        <w:t xml:space="preserve"> </w:t>
      </w:r>
      <w:r w:rsidR="006B47D1" w:rsidRPr="007B2402">
        <w:rPr>
          <w:rFonts w:eastAsia="Calibri" w:cs="Times New Roman"/>
          <w:b/>
          <w:i/>
          <w:szCs w:val="20"/>
          <w:lang w:val="en-US" w:eastAsia="es-ES" w:bidi="en-US"/>
        </w:rPr>
        <w:t>objection</w:t>
      </w:r>
      <w:r w:rsidR="003B5FC8" w:rsidRPr="007B2402">
        <w:rPr>
          <w:rFonts w:eastAsia="Calibri" w:cs="Times New Roman"/>
          <w:b/>
          <w:i/>
          <w:szCs w:val="20"/>
          <w:lang w:val="en-US" w:eastAsia="es-ES" w:bidi="en-US"/>
        </w:rPr>
        <w:t>)</w:t>
      </w:r>
      <w:bookmarkEnd w:id="87"/>
    </w:p>
    <w:p w14:paraId="366D3538" w14:textId="77777777" w:rsidR="003B5FC8" w:rsidRPr="007B2402" w:rsidRDefault="003B5FC8" w:rsidP="00E966C4">
      <w:pPr>
        <w:pStyle w:val="Textocomentario"/>
        <w:contextualSpacing/>
        <w:rPr>
          <w:rFonts w:eastAsia="Times New Roman" w:cs="Times New Roman"/>
          <w:noProof w:val="0"/>
          <w:lang w:val="en-US" w:eastAsia="es-ES" w:bidi="en-US"/>
        </w:rPr>
      </w:pPr>
    </w:p>
    <w:p w14:paraId="169F7751" w14:textId="1259A753" w:rsidR="003B5FC8" w:rsidRPr="007B2402" w:rsidRDefault="003B5FC8" w:rsidP="00816D10">
      <w:pPr>
        <w:keepNext/>
        <w:keepLines/>
        <w:spacing w:after="0" w:line="240" w:lineRule="auto"/>
        <w:ind w:left="426"/>
        <w:contextualSpacing/>
        <w:jc w:val="both"/>
        <w:outlineLvl w:val="2"/>
        <w:rPr>
          <w:rFonts w:eastAsia="Calibri" w:cs="Times New Roman"/>
          <w:szCs w:val="20"/>
          <w:lang w:val="en-US"/>
        </w:rPr>
      </w:pPr>
      <w:bookmarkStart w:id="88" w:name="_Toc506984088"/>
      <w:r w:rsidRPr="007B2402">
        <w:rPr>
          <w:rFonts w:eastAsia="Times New Roman" w:cs="Times New Roman"/>
          <w:i/>
          <w:szCs w:val="20"/>
          <w:lang w:val="en-US" w:eastAsia="es-ES" w:bidi="en-US"/>
        </w:rPr>
        <w:t xml:space="preserve">E.1. </w:t>
      </w:r>
      <w:r w:rsidR="002761AC" w:rsidRPr="007B2402">
        <w:rPr>
          <w:rFonts w:eastAsia="Calibri" w:cs="Times New Roman"/>
          <w:i/>
          <w:szCs w:val="20"/>
          <w:lang w:val="en-US"/>
        </w:rPr>
        <w:t>Arguments</w:t>
      </w:r>
      <w:r w:rsidR="006E2CFF" w:rsidRPr="007B2402">
        <w:rPr>
          <w:rFonts w:eastAsia="Calibri" w:cs="Times New Roman"/>
          <w:i/>
          <w:szCs w:val="20"/>
          <w:lang w:val="en-US"/>
        </w:rPr>
        <w:t xml:space="preserve"> of the </w:t>
      </w:r>
      <w:r w:rsidR="00AF4344" w:rsidRPr="007B2402">
        <w:rPr>
          <w:rFonts w:eastAsia="Calibri" w:cs="Times New Roman"/>
          <w:i/>
          <w:szCs w:val="20"/>
          <w:lang w:val="en-US"/>
        </w:rPr>
        <w:t>State</w:t>
      </w:r>
      <w:r w:rsidRPr="007B2402">
        <w:rPr>
          <w:rFonts w:eastAsia="Calibri" w:cs="Times New Roman"/>
          <w:i/>
          <w:szCs w:val="20"/>
          <w:lang w:val="en-US"/>
        </w:rPr>
        <w:t xml:space="preserve">, </w:t>
      </w:r>
      <w:r w:rsidR="002761AC" w:rsidRPr="007B2402">
        <w:rPr>
          <w:rFonts w:eastAsia="Calibri" w:cs="Times New Roman"/>
          <w:i/>
          <w:szCs w:val="20"/>
          <w:lang w:val="en-US"/>
        </w:rPr>
        <w:t>observations</w:t>
      </w:r>
      <w:r w:rsidR="005B1590" w:rsidRPr="007B2402">
        <w:rPr>
          <w:rFonts w:eastAsia="Calibri" w:cs="Times New Roman"/>
          <w:i/>
          <w:szCs w:val="20"/>
          <w:lang w:val="en-US"/>
        </w:rPr>
        <w:t xml:space="preserve"> of the </w:t>
      </w:r>
      <w:r w:rsidR="00AF4344" w:rsidRPr="007B2402">
        <w:rPr>
          <w:rFonts w:eastAsia="Calibri" w:cs="Times New Roman"/>
          <w:i/>
          <w:szCs w:val="20"/>
          <w:lang w:val="en-US"/>
        </w:rPr>
        <w:t>Commission</w:t>
      </w:r>
      <w:r w:rsidR="005B1590" w:rsidRPr="007B2402">
        <w:rPr>
          <w:rFonts w:eastAsia="Calibri" w:cs="Times New Roman"/>
          <w:i/>
          <w:szCs w:val="20"/>
          <w:lang w:val="en-US"/>
        </w:rPr>
        <w:t xml:space="preserve"> and of the representatives</w:t>
      </w:r>
      <w:bookmarkEnd w:id="88"/>
    </w:p>
    <w:p w14:paraId="7EB12D52" w14:textId="77777777" w:rsidR="003B5FC8" w:rsidRPr="007B2402" w:rsidRDefault="003B5FC8" w:rsidP="003B5FC8">
      <w:pPr>
        <w:spacing w:after="0" w:line="240" w:lineRule="auto"/>
        <w:jc w:val="both"/>
        <w:rPr>
          <w:rFonts w:eastAsia="Calibri" w:cs="Times New Roman"/>
          <w:szCs w:val="20"/>
          <w:lang w:val="en-US"/>
        </w:rPr>
      </w:pPr>
    </w:p>
    <w:p w14:paraId="6E24AD41" w14:textId="743766C4" w:rsidR="003B5FC8" w:rsidRPr="007B2402" w:rsidRDefault="00AF4344" w:rsidP="00DB1F30">
      <w:pPr>
        <w:numPr>
          <w:ilvl w:val="0"/>
          <w:numId w:val="5"/>
        </w:numPr>
        <w:spacing w:after="0" w:line="240" w:lineRule="auto"/>
        <w:contextualSpacing/>
        <w:jc w:val="both"/>
        <w:rPr>
          <w:rFonts w:eastAsia="Calibri" w:cs="Times New Roman"/>
          <w:szCs w:val="20"/>
          <w:lang w:val="en-US"/>
        </w:rPr>
      </w:pPr>
      <w:r w:rsidRPr="007B2402">
        <w:rPr>
          <w:rFonts w:eastAsia="Calibri" w:cs="Times New Roman"/>
          <w:szCs w:val="20"/>
          <w:lang w:val="en-US"/>
        </w:rPr>
        <w:t xml:space="preserve">The </w:t>
      </w:r>
      <w:r w:rsidRPr="007B2402">
        <w:rPr>
          <w:rFonts w:eastAsia="Calibri" w:cs="Times New Roman"/>
          <w:b/>
          <w:i/>
          <w:szCs w:val="20"/>
          <w:lang w:val="en-US"/>
        </w:rPr>
        <w:t>State</w:t>
      </w:r>
      <w:r w:rsidR="003B5FC8" w:rsidRPr="007B2402">
        <w:rPr>
          <w:rFonts w:eastAsia="Calibri" w:cs="Times New Roman"/>
          <w:szCs w:val="20"/>
          <w:lang w:val="en-US"/>
        </w:rPr>
        <w:t xml:space="preserve"> </w:t>
      </w:r>
      <w:r w:rsidR="00A473C9" w:rsidRPr="007B2402">
        <w:rPr>
          <w:rFonts w:eastAsia="Calibri" w:cs="Times New Roman"/>
          <w:szCs w:val="20"/>
          <w:lang w:val="en-US"/>
        </w:rPr>
        <w:t>indicated that the purpose of the inter-American human rights system is not to review the merit</w:t>
      </w:r>
      <w:r w:rsidR="00141E02" w:rsidRPr="007B2402">
        <w:rPr>
          <w:rFonts w:eastAsia="Calibri" w:cs="Times New Roman"/>
          <w:szCs w:val="20"/>
          <w:lang w:val="en-US"/>
        </w:rPr>
        <w:t>s</w:t>
      </w:r>
      <w:r w:rsidR="00A473C9" w:rsidRPr="007B2402">
        <w:rPr>
          <w:rFonts w:eastAsia="Calibri" w:cs="Times New Roman"/>
          <w:szCs w:val="20"/>
          <w:lang w:val="en-US"/>
        </w:rPr>
        <w:t xml:space="preserve"> of the conclusions reached by the domestic authorities in the legitimate exercise of their competences</w:t>
      </w:r>
      <w:r w:rsidR="00141E02" w:rsidRPr="007B2402">
        <w:rPr>
          <w:rFonts w:eastAsia="Calibri" w:cs="Times New Roman"/>
          <w:szCs w:val="20"/>
          <w:lang w:val="en-US"/>
        </w:rPr>
        <w:t>.</w:t>
      </w:r>
      <w:r w:rsidR="00A473C9" w:rsidRPr="007B2402">
        <w:rPr>
          <w:rFonts w:eastAsia="Calibri" w:cs="Times New Roman"/>
          <w:szCs w:val="20"/>
          <w:lang w:val="en-US"/>
        </w:rPr>
        <w:t xml:space="preserve"> </w:t>
      </w:r>
      <w:r w:rsidR="00141E02" w:rsidRPr="007B2402">
        <w:rPr>
          <w:rFonts w:eastAsia="Calibri" w:cs="Times New Roman"/>
          <w:szCs w:val="20"/>
          <w:lang w:val="en-US"/>
        </w:rPr>
        <w:t>T</w:t>
      </w:r>
      <w:r w:rsidR="00A473C9" w:rsidRPr="007B2402">
        <w:rPr>
          <w:rFonts w:eastAsia="Calibri" w:cs="Times New Roman"/>
          <w:szCs w:val="20"/>
          <w:lang w:val="en-US"/>
        </w:rPr>
        <w:t>herefore,</w:t>
      </w:r>
      <w:r w:rsidR="00141E02" w:rsidRPr="007B2402">
        <w:rPr>
          <w:rFonts w:eastAsia="Calibri" w:cs="Times New Roman"/>
          <w:szCs w:val="20"/>
          <w:lang w:val="en-US"/>
        </w:rPr>
        <w:t xml:space="preserve"> </w:t>
      </w:r>
      <w:r w:rsidR="00A473C9" w:rsidRPr="007B2402">
        <w:rPr>
          <w:rFonts w:eastAsia="Calibri" w:cs="Times New Roman"/>
          <w:szCs w:val="20"/>
          <w:lang w:val="en-US"/>
        </w:rPr>
        <w:t>assum</w:t>
      </w:r>
      <w:r w:rsidR="00141E02" w:rsidRPr="007B2402">
        <w:rPr>
          <w:rFonts w:eastAsia="Calibri" w:cs="Times New Roman"/>
          <w:szCs w:val="20"/>
          <w:lang w:val="en-US"/>
        </w:rPr>
        <w:t>ing</w:t>
      </w:r>
      <w:r w:rsidR="00A473C9" w:rsidRPr="007B2402">
        <w:rPr>
          <w:rFonts w:eastAsia="Calibri" w:cs="Times New Roman"/>
          <w:szCs w:val="20"/>
          <w:lang w:val="en-US"/>
        </w:rPr>
        <w:t xml:space="preserve"> the role of the domestic authorities and act</w:t>
      </w:r>
      <w:r w:rsidR="00141E02" w:rsidRPr="007B2402">
        <w:rPr>
          <w:rFonts w:eastAsia="Calibri" w:cs="Times New Roman"/>
          <w:szCs w:val="20"/>
          <w:lang w:val="en-US"/>
        </w:rPr>
        <w:t>ing</w:t>
      </w:r>
      <w:r w:rsidR="00A473C9" w:rsidRPr="007B2402">
        <w:rPr>
          <w:rFonts w:eastAsia="Calibri" w:cs="Times New Roman"/>
          <w:szCs w:val="20"/>
          <w:lang w:val="en-US"/>
        </w:rPr>
        <w:t xml:space="preserve"> as if they were a court of appeal</w:t>
      </w:r>
      <w:r w:rsidR="00141E02" w:rsidRPr="007B2402">
        <w:rPr>
          <w:rFonts w:eastAsia="Calibri" w:cs="Times New Roman"/>
          <w:szCs w:val="20"/>
          <w:lang w:val="en-US"/>
        </w:rPr>
        <w:t xml:space="preserve"> falls outside the competence </w:t>
      </w:r>
      <w:r w:rsidR="00141E02" w:rsidRPr="007B2402">
        <w:rPr>
          <w:rFonts w:eastAsia="Calibri" w:cs="Times New Roman"/>
          <w:i/>
          <w:szCs w:val="20"/>
          <w:lang w:val="en-US"/>
        </w:rPr>
        <w:t>ratione materiae</w:t>
      </w:r>
      <w:r w:rsidR="00141E02" w:rsidRPr="007B2402">
        <w:rPr>
          <w:rFonts w:eastAsia="Calibri" w:cs="Times New Roman"/>
          <w:szCs w:val="20"/>
          <w:lang w:val="en-US"/>
        </w:rPr>
        <w:t xml:space="preserve"> of the Commission and of the Court.</w:t>
      </w:r>
    </w:p>
    <w:p w14:paraId="10178A3B" w14:textId="77777777" w:rsidR="003B5FC8" w:rsidRPr="007B2402" w:rsidRDefault="003B5FC8" w:rsidP="003B5FC8">
      <w:pPr>
        <w:spacing w:after="0" w:line="240" w:lineRule="auto"/>
        <w:jc w:val="both"/>
        <w:rPr>
          <w:rFonts w:eastAsia="Calibri" w:cs="Times New Roman"/>
          <w:szCs w:val="20"/>
          <w:lang w:val="en-US"/>
        </w:rPr>
      </w:pPr>
    </w:p>
    <w:p w14:paraId="721EB766" w14:textId="689C73B2" w:rsidR="003B5FC8" w:rsidRPr="007B2402" w:rsidRDefault="00A473C9" w:rsidP="00DB1F30">
      <w:pPr>
        <w:numPr>
          <w:ilvl w:val="0"/>
          <w:numId w:val="5"/>
        </w:numPr>
        <w:spacing w:after="0" w:line="240" w:lineRule="auto"/>
        <w:contextualSpacing/>
        <w:jc w:val="both"/>
        <w:rPr>
          <w:rFonts w:eastAsia="Calibri" w:cs="Times New Roman"/>
          <w:szCs w:val="20"/>
          <w:lang w:val="en-US"/>
        </w:rPr>
      </w:pPr>
      <w:r w:rsidRPr="007B2402">
        <w:rPr>
          <w:rFonts w:eastAsia="Calibri" w:cs="Times New Roman"/>
          <w:szCs w:val="20"/>
          <w:lang w:val="en-US"/>
        </w:rPr>
        <w:t xml:space="preserve">It reiterated that the proceedings opened in 2008 were not an appropriate domestic remedy to calculate the reasonable time for lodging the petition before </w:t>
      </w:r>
      <w:r w:rsidR="00AF4344" w:rsidRPr="007B2402">
        <w:rPr>
          <w:rFonts w:eastAsia="Calibri" w:cs="Times New Roman"/>
          <w:szCs w:val="20"/>
          <w:lang w:val="en-US"/>
        </w:rPr>
        <w:t>the Commission</w:t>
      </w:r>
      <w:r w:rsidR="003B5FC8" w:rsidRPr="007B2402">
        <w:rPr>
          <w:rFonts w:eastAsia="Calibri" w:cs="Times New Roman"/>
          <w:szCs w:val="20"/>
          <w:lang w:val="en-US"/>
        </w:rPr>
        <w:t xml:space="preserve">. </w:t>
      </w:r>
      <w:r w:rsidRPr="007B2402">
        <w:rPr>
          <w:rFonts w:eastAsia="Calibri" w:cs="Times New Roman"/>
          <w:szCs w:val="20"/>
          <w:lang w:val="en-US"/>
        </w:rPr>
        <w:t xml:space="preserve">It added that, even if it was accepted that the said remedy had been appropriate and, therefore, the petition </w:t>
      </w:r>
      <w:r w:rsidR="00141E02" w:rsidRPr="007B2402">
        <w:rPr>
          <w:rFonts w:eastAsia="Calibri" w:cs="Times New Roman"/>
          <w:szCs w:val="20"/>
          <w:lang w:val="en-US"/>
        </w:rPr>
        <w:t>had been lodged</w:t>
      </w:r>
      <w:r w:rsidRPr="007B2402">
        <w:rPr>
          <w:rFonts w:eastAsia="Calibri" w:cs="Times New Roman"/>
          <w:szCs w:val="20"/>
          <w:lang w:val="en-US"/>
        </w:rPr>
        <w:t xml:space="preserve"> within a reasonable time, observance of </w:t>
      </w:r>
      <w:r w:rsidRPr="007B2402">
        <w:rPr>
          <w:rFonts w:eastAsia="Calibri" w:cs="Times New Roman"/>
          <w:i/>
          <w:iCs/>
          <w:szCs w:val="20"/>
          <w:lang w:val="en-US"/>
        </w:rPr>
        <w:t>res judicata</w:t>
      </w:r>
      <w:r w:rsidRPr="007B2402">
        <w:rPr>
          <w:rFonts w:eastAsia="Calibri" w:cs="Times New Roman"/>
          <w:szCs w:val="20"/>
          <w:lang w:val="en-US"/>
        </w:rPr>
        <w:t xml:space="preserve"> and the </w:t>
      </w:r>
      <w:r w:rsidR="002E16BA" w:rsidRPr="007B2402">
        <w:rPr>
          <w:rFonts w:eastAsia="Calibri" w:cs="Times New Roman"/>
          <w:szCs w:val="20"/>
          <w:lang w:val="en-US"/>
        </w:rPr>
        <w:t>application of statutory limitations to</w:t>
      </w:r>
      <w:r w:rsidRPr="007B2402">
        <w:rPr>
          <w:rFonts w:eastAsia="Calibri" w:cs="Times New Roman"/>
          <w:szCs w:val="20"/>
          <w:lang w:val="en-US"/>
        </w:rPr>
        <w:t xml:space="preserve"> the criminal action – both protected by the Convention – prevented an examination of the merits of the matter.</w:t>
      </w:r>
    </w:p>
    <w:p w14:paraId="1F6EA637" w14:textId="77777777" w:rsidR="003B5FC8" w:rsidRPr="007B2402" w:rsidRDefault="003B5FC8" w:rsidP="003B5FC8">
      <w:pPr>
        <w:spacing w:after="0" w:line="240" w:lineRule="auto"/>
        <w:jc w:val="both"/>
        <w:rPr>
          <w:rFonts w:eastAsia="Calibri" w:cs="Times New Roman"/>
          <w:szCs w:val="20"/>
          <w:lang w:val="en-US"/>
        </w:rPr>
      </w:pPr>
    </w:p>
    <w:p w14:paraId="72EB3DA8" w14:textId="0C98AE75" w:rsidR="003B5FC8" w:rsidRPr="007B2402" w:rsidRDefault="00963AA2" w:rsidP="00DB1F30">
      <w:pPr>
        <w:numPr>
          <w:ilvl w:val="0"/>
          <w:numId w:val="5"/>
        </w:numPr>
        <w:spacing w:after="0" w:line="240" w:lineRule="auto"/>
        <w:contextualSpacing/>
        <w:jc w:val="both"/>
        <w:rPr>
          <w:rFonts w:eastAsia="Calibri" w:cs="Times New Roman"/>
          <w:szCs w:val="20"/>
          <w:lang w:val="en-US"/>
        </w:rPr>
      </w:pPr>
      <w:r w:rsidRPr="007B2402">
        <w:rPr>
          <w:rFonts w:eastAsia="Calibri" w:cs="Times New Roman"/>
          <w:szCs w:val="20"/>
          <w:lang w:val="en-US"/>
        </w:rPr>
        <w:t>The State</w:t>
      </w:r>
      <w:r w:rsidR="00A473C9" w:rsidRPr="007B2402">
        <w:rPr>
          <w:rFonts w:eastAsia="Calibri" w:cs="Times New Roman"/>
          <w:szCs w:val="20"/>
          <w:lang w:val="en-US"/>
        </w:rPr>
        <w:t xml:space="preserve"> recalled that the judicial ruling adopted in 1992 </w:t>
      </w:r>
      <w:r w:rsidRPr="007B2402">
        <w:rPr>
          <w:rFonts w:eastAsia="Calibri" w:cs="Times New Roman"/>
          <w:szCs w:val="20"/>
          <w:lang w:val="en-US"/>
        </w:rPr>
        <w:t xml:space="preserve">preceded the </w:t>
      </w:r>
      <w:r w:rsidR="009B068C" w:rsidRPr="007B2402">
        <w:rPr>
          <w:rFonts w:eastAsia="Calibri" w:cs="Times New Roman"/>
          <w:szCs w:val="20"/>
          <w:lang w:val="en-US"/>
        </w:rPr>
        <w:t>developments</w:t>
      </w:r>
      <w:r w:rsidRPr="007B2402">
        <w:rPr>
          <w:rFonts w:eastAsia="Calibri" w:cs="Times New Roman"/>
          <w:szCs w:val="20"/>
          <w:lang w:val="en-US"/>
        </w:rPr>
        <w:t xml:space="preserve"> in </w:t>
      </w:r>
      <w:r w:rsidR="00AF4344" w:rsidRPr="007B2402">
        <w:rPr>
          <w:rFonts w:eastAsia="Calibri" w:cs="Times New Roman"/>
          <w:szCs w:val="20"/>
          <w:lang w:val="en-US"/>
        </w:rPr>
        <w:t>the Inter-American Court</w:t>
      </w:r>
      <w:r w:rsidRPr="007B2402">
        <w:rPr>
          <w:rFonts w:eastAsia="Calibri" w:cs="Times New Roman"/>
          <w:szCs w:val="20"/>
          <w:lang w:val="en-US"/>
        </w:rPr>
        <w:t xml:space="preserve">’s case law with regard to the </w:t>
      </w:r>
      <w:r w:rsidR="009B068C" w:rsidRPr="007B2402">
        <w:rPr>
          <w:rFonts w:eastAsia="Calibri" w:cs="Times New Roman"/>
          <w:szCs w:val="20"/>
          <w:lang w:val="en-US"/>
        </w:rPr>
        <w:t>non-applicability of statutory limitation to</w:t>
      </w:r>
      <w:r w:rsidRPr="007B2402">
        <w:rPr>
          <w:rFonts w:eastAsia="Calibri" w:cs="Times New Roman"/>
          <w:szCs w:val="20"/>
          <w:lang w:val="en-US"/>
        </w:rPr>
        <w:t xml:space="preserve"> criminal action</w:t>
      </w:r>
      <w:r w:rsidR="009B068C" w:rsidRPr="007B2402">
        <w:rPr>
          <w:rFonts w:eastAsia="Calibri" w:cs="Times New Roman"/>
          <w:szCs w:val="20"/>
          <w:lang w:val="en-US"/>
        </w:rPr>
        <w:t>s</w:t>
      </w:r>
      <w:r w:rsidRPr="007B2402">
        <w:rPr>
          <w:rFonts w:eastAsia="Calibri" w:cs="Times New Roman"/>
          <w:szCs w:val="20"/>
          <w:lang w:val="en-US"/>
        </w:rPr>
        <w:t xml:space="preserve"> in similar cases, and </w:t>
      </w:r>
      <w:r w:rsidR="00121371" w:rsidRPr="007B2402">
        <w:rPr>
          <w:rFonts w:eastAsia="Calibri" w:cs="Times New Roman"/>
          <w:szCs w:val="20"/>
          <w:lang w:val="en-US"/>
        </w:rPr>
        <w:t>argued</w:t>
      </w:r>
      <w:r w:rsidRPr="007B2402">
        <w:rPr>
          <w:rFonts w:eastAsia="Calibri" w:cs="Times New Roman"/>
          <w:szCs w:val="20"/>
          <w:lang w:val="en-US"/>
        </w:rPr>
        <w:t xml:space="preserve"> that requiring a judicial reinterpretation of past rulings based on jurisprudential theses that did not exist at the time would undermine the scope of judicial guarantees.</w:t>
      </w:r>
    </w:p>
    <w:p w14:paraId="45A94048" w14:textId="77777777" w:rsidR="003B5FC8" w:rsidRPr="007B2402" w:rsidRDefault="003B5FC8" w:rsidP="003B5FC8">
      <w:pPr>
        <w:contextualSpacing/>
        <w:rPr>
          <w:rFonts w:eastAsia="Calibri" w:cs="Times New Roman"/>
          <w:szCs w:val="20"/>
          <w:lang w:val="en-US"/>
        </w:rPr>
      </w:pPr>
    </w:p>
    <w:p w14:paraId="0913D384" w14:textId="51C3CC43" w:rsidR="003B5FC8" w:rsidRPr="007B2402" w:rsidRDefault="00963AA2" w:rsidP="00DB1F30">
      <w:pPr>
        <w:numPr>
          <w:ilvl w:val="0"/>
          <w:numId w:val="5"/>
        </w:numPr>
        <w:spacing w:after="0" w:line="240" w:lineRule="auto"/>
        <w:contextualSpacing/>
        <w:jc w:val="both"/>
        <w:rPr>
          <w:rFonts w:eastAsia="Calibri" w:cs="Times New Roman"/>
          <w:b/>
          <w:szCs w:val="20"/>
          <w:lang w:val="en-US"/>
        </w:rPr>
      </w:pPr>
      <w:r w:rsidRPr="007B2402">
        <w:rPr>
          <w:rFonts w:eastAsia="Calibri" w:cs="Times New Roman"/>
          <w:szCs w:val="20"/>
          <w:lang w:val="en-US"/>
        </w:rPr>
        <w:t>Lastly</w:t>
      </w:r>
      <w:r w:rsidR="003B5FC8" w:rsidRPr="007B2402">
        <w:rPr>
          <w:rFonts w:eastAsia="Calibri" w:cs="Times New Roman"/>
          <w:szCs w:val="20"/>
          <w:lang w:val="en-US"/>
        </w:rPr>
        <w:t xml:space="preserve">, </w:t>
      </w:r>
      <w:r w:rsidR="00AF4344" w:rsidRPr="007B2402">
        <w:rPr>
          <w:rFonts w:eastAsia="Calibri" w:cs="Times New Roman"/>
          <w:szCs w:val="20"/>
          <w:lang w:val="en-US"/>
        </w:rPr>
        <w:t>the State</w:t>
      </w:r>
      <w:r w:rsidR="003B5FC8" w:rsidRPr="007B2402">
        <w:rPr>
          <w:rFonts w:eastAsia="Calibri" w:cs="Times New Roman"/>
          <w:szCs w:val="20"/>
          <w:lang w:val="en-US"/>
        </w:rPr>
        <w:t xml:space="preserve"> a</w:t>
      </w:r>
      <w:r w:rsidRPr="007B2402">
        <w:rPr>
          <w:rFonts w:eastAsia="Calibri" w:cs="Times New Roman"/>
          <w:szCs w:val="20"/>
          <w:lang w:val="en-US"/>
        </w:rPr>
        <w:t xml:space="preserve">rgued that, during the judicial investigation that concluded in 1992, in addition to hearing </w:t>
      </w:r>
      <w:r w:rsidR="009B068C" w:rsidRPr="007B2402">
        <w:rPr>
          <w:rFonts w:eastAsia="Calibri" w:cs="Times New Roman"/>
          <w:szCs w:val="20"/>
          <w:lang w:val="en-US"/>
        </w:rPr>
        <w:t>testimony and also the</w:t>
      </w:r>
      <w:r w:rsidRPr="007B2402">
        <w:rPr>
          <w:rFonts w:eastAsia="Calibri" w:cs="Times New Roman"/>
          <w:szCs w:val="20"/>
          <w:lang w:val="en-US"/>
        </w:rPr>
        <w:t xml:space="preserve"> statements </w:t>
      </w:r>
      <w:r w:rsidR="005B1590" w:rsidRPr="007B2402">
        <w:rPr>
          <w:rFonts w:eastAsia="Calibri" w:cs="Times New Roman"/>
          <w:szCs w:val="20"/>
          <w:lang w:val="en-US"/>
        </w:rPr>
        <w:t>of the presumed victims</w:t>
      </w:r>
      <w:r w:rsidR="003B5FC8" w:rsidRPr="007B2402">
        <w:rPr>
          <w:rFonts w:eastAsia="Calibri" w:cs="Times New Roman"/>
          <w:szCs w:val="20"/>
          <w:lang w:val="en-US"/>
        </w:rPr>
        <w:t xml:space="preserve">, </w:t>
      </w:r>
      <w:r w:rsidRPr="007B2402">
        <w:rPr>
          <w:rFonts w:eastAsia="Calibri" w:cs="Times New Roman"/>
          <w:szCs w:val="20"/>
          <w:lang w:val="en-US"/>
        </w:rPr>
        <w:t xml:space="preserve">several procedures were conducted and numerous pieces of evidence were collected. Therefore, even though no criminal conviction resulted, there was no lack of diligence and the investigation </w:t>
      </w:r>
      <w:r w:rsidR="009B068C" w:rsidRPr="007B2402">
        <w:rPr>
          <w:rFonts w:eastAsia="Calibri" w:cs="Times New Roman"/>
          <w:szCs w:val="20"/>
          <w:lang w:val="en-US"/>
        </w:rPr>
        <w:t>was not suspended</w:t>
      </w:r>
      <w:r w:rsidRPr="007B2402">
        <w:rPr>
          <w:rFonts w:eastAsia="Calibri" w:cs="Times New Roman"/>
          <w:szCs w:val="20"/>
          <w:lang w:val="en-US"/>
        </w:rPr>
        <w:t xml:space="preserve"> without evidentiary measures being taken. </w:t>
      </w:r>
      <w:r w:rsidR="009B068C" w:rsidRPr="007B2402">
        <w:rPr>
          <w:rFonts w:eastAsia="Calibri" w:cs="Times New Roman"/>
          <w:szCs w:val="20"/>
          <w:lang w:val="en-US"/>
        </w:rPr>
        <w:t>Moreover</w:t>
      </w:r>
      <w:r w:rsidRPr="007B2402">
        <w:rPr>
          <w:rFonts w:eastAsia="Calibri" w:cs="Times New Roman"/>
          <w:szCs w:val="20"/>
          <w:lang w:val="en-US"/>
        </w:rPr>
        <w:t xml:space="preserve">, pecuniary reparation was </w:t>
      </w:r>
      <w:r w:rsidR="009B068C" w:rsidRPr="007B2402">
        <w:rPr>
          <w:rFonts w:eastAsia="Calibri" w:cs="Times New Roman"/>
          <w:szCs w:val="20"/>
          <w:lang w:val="en-US"/>
        </w:rPr>
        <w:t>awarded</w:t>
      </w:r>
      <w:r w:rsidRPr="007B2402">
        <w:rPr>
          <w:rFonts w:eastAsia="Calibri" w:cs="Times New Roman"/>
          <w:szCs w:val="20"/>
          <w:lang w:val="en-US"/>
        </w:rPr>
        <w:t xml:space="preserve"> in accordance with the Court’s case law in the case of </w:t>
      </w:r>
      <w:r w:rsidR="003B5FC8" w:rsidRPr="007B2402">
        <w:rPr>
          <w:rFonts w:eastAsia="Calibri" w:cs="Times New Roman"/>
          <w:i/>
          <w:szCs w:val="20"/>
          <w:lang w:val="en-US"/>
        </w:rPr>
        <w:t>Gomes Lund</w:t>
      </w:r>
      <w:r w:rsidR="005B1590" w:rsidRPr="007B2402">
        <w:rPr>
          <w:rFonts w:eastAsia="Calibri" w:cs="Times New Roman"/>
          <w:i/>
          <w:szCs w:val="20"/>
          <w:lang w:val="en-US"/>
        </w:rPr>
        <w:t xml:space="preserve"> </w:t>
      </w:r>
      <w:r w:rsidR="00892CA3" w:rsidRPr="007B2402">
        <w:rPr>
          <w:rFonts w:eastAsia="Calibri" w:cs="Times New Roman"/>
          <w:i/>
          <w:szCs w:val="20"/>
          <w:lang w:val="en-US"/>
        </w:rPr>
        <w:t>et al.</w:t>
      </w:r>
    </w:p>
    <w:p w14:paraId="58A61BC2" w14:textId="77777777" w:rsidR="003B5FC8" w:rsidRPr="007B2402" w:rsidRDefault="003B5FC8" w:rsidP="003B5FC8">
      <w:pPr>
        <w:spacing w:after="0" w:line="240" w:lineRule="auto"/>
        <w:jc w:val="both"/>
        <w:rPr>
          <w:rFonts w:eastAsia="Calibri" w:cs="Times New Roman"/>
          <w:szCs w:val="20"/>
          <w:lang w:val="en-US"/>
        </w:rPr>
      </w:pPr>
    </w:p>
    <w:p w14:paraId="7783D324" w14:textId="31C83710" w:rsidR="003B5FC8" w:rsidRPr="007B2402" w:rsidRDefault="00AF4344" w:rsidP="00DB1F30">
      <w:pPr>
        <w:numPr>
          <w:ilvl w:val="0"/>
          <w:numId w:val="5"/>
        </w:numPr>
        <w:spacing w:after="0" w:line="240" w:lineRule="auto"/>
        <w:contextualSpacing/>
        <w:jc w:val="both"/>
        <w:rPr>
          <w:rFonts w:eastAsia="Calibri" w:cs="Times New Roman"/>
          <w:szCs w:val="20"/>
          <w:lang w:val="en-US"/>
        </w:rPr>
      </w:pPr>
      <w:r w:rsidRPr="007B2402">
        <w:rPr>
          <w:rFonts w:eastAsia="Calibri" w:cs="Times New Roman"/>
          <w:szCs w:val="20"/>
          <w:lang w:val="en-US"/>
        </w:rPr>
        <w:t xml:space="preserve">The </w:t>
      </w:r>
      <w:r w:rsidRPr="007B2402">
        <w:rPr>
          <w:rFonts w:eastAsia="Calibri" w:cs="Times New Roman"/>
          <w:b/>
          <w:i/>
          <w:szCs w:val="20"/>
          <w:lang w:val="en-US"/>
        </w:rPr>
        <w:t>Commission</w:t>
      </w:r>
      <w:r w:rsidR="003B5FC8" w:rsidRPr="007B2402">
        <w:rPr>
          <w:rFonts w:eastAsia="Calibri" w:cs="Times New Roman"/>
          <w:szCs w:val="20"/>
          <w:lang w:val="en-US"/>
        </w:rPr>
        <w:t xml:space="preserve"> </w:t>
      </w:r>
      <w:r w:rsidR="00E741A5" w:rsidRPr="007B2402">
        <w:rPr>
          <w:rFonts w:eastAsia="Calibri" w:cs="Times New Roman"/>
          <w:szCs w:val="20"/>
          <w:lang w:val="en-US"/>
        </w:rPr>
        <w:t xml:space="preserve">noted that the State’s argument did not constitute a </w:t>
      </w:r>
      <w:r w:rsidR="006E2CFF" w:rsidRPr="007B2402">
        <w:rPr>
          <w:rFonts w:eastAsia="Calibri" w:cs="Times New Roman"/>
          <w:szCs w:val="20"/>
          <w:lang w:val="en-US"/>
        </w:rPr>
        <w:t>preliminary objection</w:t>
      </w:r>
      <w:r w:rsidR="003B5FC8" w:rsidRPr="007B2402">
        <w:rPr>
          <w:rFonts w:eastAsia="Calibri" w:cs="Times New Roman"/>
          <w:szCs w:val="20"/>
          <w:lang w:val="en-US"/>
        </w:rPr>
        <w:t xml:space="preserve">, </w:t>
      </w:r>
      <w:r w:rsidR="00E741A5" w:rsidRPr="007B2402">
        <w:rPr>
          <w:rFonts w:eastAsia="Calibri" w:cs="Times New Roman"/>
          <w:szCs w:val="20"/>
          <w:lang w:val="en-US"/>
        </w:rPr>
        <w:t xml:space="preserve">because it did not refer to matters of competence or to the admissibility requirements established in </w:t>
      </w:r>
      <w:r w:rsidRPr="007B2402">
        <w:rPr>
          <w:rFonts w:eastAsia="Calibri" w:cs="Times New Roman"/>
          <w:szCs w:val="20"/>
          <w:lang w:val="en-US"/>
        </w:rPr>
        <w:t>the Convention</w:t>
      </w:r>
      <w:r w:rsidR="003B5FC8" w:rsidRPr="007B2402">
        <w:rPr>
          <w:rFonts w:eastAsia="Calibri" w:cs="Times New Roman"/>
          <w:szCs w:val="20"/>
          <w:lang w:val="en-US"/>
        </w:rPr>
        <w:t>.</w:t>
      </w:r>
      <w:r w:rsidR="003B5FC8" w:rsidRPr="007B2402">
        <w:rPr>
          <w:rFonts w:eastAsia="Calibri" w:cs="Times New Roman"/>
          <w:b/>
          <w:szCs w:val="20"/>
          <w:lang w:val="en-US"/>
        </w:rPr>
        <w:t xml:space="preserve"> </w:t>
      </w:r>
      <w:r w:rsidR="00E741A5" w:rsidRPr="007B2402">
        <w:rPr>
          <w:rFonts w:eastAsia="Calibri" w:cs="Times New Roman"/>
          <w:szCs w:val="20"/>
          <w:lang w:val="en-US"/>
        </w:rPr>
        <w:t xml:space="preserve">Therefore, the matter could not be decided as a </w:t>
      </w:r>
      <w:r w:rsidR="006E2CFF" w:rsidRPr="007B2402">
        <w:rPr>
          <w:rFonts w:eastAsia="Calibri" w:cs="Times New Roman"/>
          <w:szCs w:val="20"/>
          <w:lang w:val="en-US"/>
        </w:rPr>
        <w:t>preliminary objection</w:t>
      </w:r>
      <w:r w:rsidR="003B5FC8" w:rsidRPr="007B2402">
        <w:rPr>
          <w:rFonts w:eastAsia="Calibri" w:cs="Times New Roman"/>
          <w:szCs w:val="20"/>
          <w:lang w:val="en-US"/>
        </w:rPr>
        <w:t>,</w:t>
      </w:r>
      <w:r w:rsidR="005B1590" w:rsidRPr="007B2402">
        <w:rPr>
          <w:rFonts w:eastAsia="Calibri" w:cs="Times New Roman"/>
          <w:szCs w:val="20"/>
          <w:lang w:val="en-US"/>
        </w:rPr>
        <w:t xml:space="preserve"> and</w:t>
      </w:r>
      <w:r w:rsidR="00E741A5" w:rsidRPr="007B2402">
        <w:rPr>
          <w:rFonts w:eastAsia="Calibri" w:cs="Times New Roman"/>
          <w:szCs w:val="20"/>
          <w:lang w:val="en-US"/>
        </w:rPr>
        <w:t xml:space="preserve"> this was the same situation in the case of the amount of the reparations,</w:t>
      </w:r>
      <w:r w:rsidR="009B068C" w:rsidRPr="007B2402">
        <w:rPr>
          <w:rFonts w:eastAsia="Calibri" w:cs="Times New Roman"/>
          <w:szCs w:val="20"/>
          <w:lang w:val="en-US"/>
        </w:rPr>
        <w:t xml:space="preserve"> as</w:t>
      </w:r>
      <w:r w:rsidR="00E741A5" w:rsidRPr="007B2402">
        <w:rPr>
          <w:rFonts w:eastAsia="Calibri" w:cs="Times New Roman"/>
          <w:szCs w:val="20"/>
          <w:lang w:val="en-US"/>
        </w:rPr>
        <w:t xml:space="preserve"> they were both matters of substance.</w:t>
      </w:r>
    </w:p>
    <w:p w14:paraId="1747FAFA" w14:textId="77777777" w:rsidR="003B5FC8" w:rsidRPr="007B2402" w:rsidRDefault="003B5FC8" w:rsidP="003B5FC8">
      <w:pPr>
        <w:spacing w:after="0" w:line="240" w:lineRule="auto"/>
        <w:contextualSpacing/>
        <w:jc w:val="both"/>
        <w:rPr>
          <w:rFonts w:eastAsia="Calibri" w:cs="Times New Roman"/>
          <w:szCs w:val="20"/>
          <w:lang w:val="en-US"/>
        </w:rPr>
      </w:pPr>
    </w:p>
    <w:p w14:paraId="3F73F5B4" w14:textId="55E02216" w:rsidR="003B5FC8" w:rsidRPr="007B2402" w:rsidRDefault="00AF4344" w:rsidP="00DB1F30">
      <w:pPr>
        <w:numPr>
          <w:ilvl w:val="0"/>
          <w:numId w:val="5"/>
        </w:numPr>
        <w:spacing w:after="0" w:line="240" w:lineRule="auto"/>
        <w:contextualSpacing/>
        <w:jc w:val="both"/>
        <w:rPr>
          <w:rFonts w:eastAsia="Calibri" w:cs="Times New Roman"/>
          <w:szCs w:val="20"/>
          <w:lang w:val="en-US"/>
        </w:rPr>
      </w:pPr>
      <w:r w:rsidRPr="007B2402">
        <w:rPr>
          <w:rFonts w:eastAsia="Calibri" w:cs="Times New Roman"/>
          <w:szCs w:val="20"/>
          <w:lang w:val="en-US"/>
        </w:rPr>
        <w:t>The Commission</w:t>
      </w:r>
      <w:r w:rsidR="003B5FC8" w:rsidRPr="007B2402">
        <w:rPr>
          <w:rFonts w:eastAsia="Calibri" w:cs="Times New Roman"/>
          <w:szCs w:val="20"/>
          <w:lang w:val="en-US"/>
        </w:rPr>
        <w:t xml:space="preserve"> argu</w:t>
      </w:r>
      <w:r w:rsidR="00E741A5" w:rsidRPr="007B2402">
        <w:rPr>
          <w:rFonts w:eastAsia="Calibri" w:cs="Times New Roman"/>
          <w:szCs w:val="20"/>
          <w:lang w:val="en-US"/>
        </w:rPr>
        <w:t xml:space="preserve">ed that, in this case, the Court was called on to examine, among other </w:t>
      </w:r>
      <w:r w:rsidR="009B068C" w:rsidRPr="007B2402">
        <w:rPr>
          <w:rFonts w:eastAsia="Calibri" w:cs="Times New Roman"/>
          <w:szCs w:val="20"/>
          <w:lang w:val="en-US"/>
        </w:rPr>
        <w:t>matters</w:t>
      </w:r>
      <w:r w:rsidR="00E741A5" w:rsidRPr="007B2402">
        <w:rPr>
          <w:rFonts w:eastAsia="Calibri" w:cs="Times New Roman"/>
          <w:szCs w:val="20"/>
          <w:lang w:val="en-US"/>
        </w:rPr>
        <w:t>, whether the domestic proceedings undertaken for the facts of the case constituted an appropriate and effective m</w:t>
      </w:r>
      <w:r w:rsidR="009B068C" w:rsidRPr="007B2402">
        <w:rPr>
          <w:rFonts w:eastAsia="Calibri" w:cs="Times New Roman"/>
          <w:szCs w:val="20"/>
          <w:lang w:val="en-US"/>
        </w:rPr>
        <w:t>e</w:t>
      </w:r>
      <w:r w:rsidR="00E741A5" w:rsidRPr="007B2402">
        <w:rPr>
          <w:rFonts w:eastAsia="Calibri" w:cs="Times New Roman"/>
          <w:szCs w:val="20"/>
          <w:lang w:val="en-US"/>
        </w:rPr>
        <w:t>ans to achieve judicial protection taking into account the rights that had been violated. Also, the method of reparation and the eventual need for the Court to establish supplementary reparations went beyond a</w:t>
      </w:r>
      <w:r w:rsidR="003B5FC8" w:rsidRPr="007B2402">
        <w:rPr>
          <w:rFonts w:eastAsia="Calibri" w:cs="Times New Roman"/>
          <w:szCs w:val="20"/>
          <w:lang w:val="en-US"/>
        </w:rPr>
        <w:t xml:space="preserve"> </w:t>
      </w:r>
      <w:r w:rsidR="006E2CFF" w:rsidRPr="007B2402">
        <w:rPr>
          <w:rFonts w:eastAsia="Calibri" w:cs="Times New Roman"/>
          <w:szCs w:val="20"/>
          <w:lang w:val="en-US"/>
        </w:rPr>
        <w:t>preliminary objection</w:t>
      </w:r>
      <w:r w:rsidR="005B1590" w:rsidRPr="007B2402">
        <w:rPr>
          <w:rFonts w:eastAsia="Calibri" w:cs="Times New Roman"/>
          <w:szCs w:val="20"/>
          <w:lang w:val="en-US"/>
        </w:rPr>
        <w:t xml:space="preserve"> and </w:t>
      </w:r>
      <w:r w:rsidR="00E741A5" w:rsidRPr="007B2402">
        <w:rPr>
          <w:rFonts w:eastAsia="Calibri" w:cs="Times New Roman"/>
          <w:szCs w:val="20"/>
          <w:lang w:val="en-US"/>
        </w:rPr>
        <w:t>was also a matter of substance.</w:t>
      </w:r>
    </w:p>
    <w:p w14:paraId="5EA5CCA9" w14:textId="77777777" w:rsidR="003B5FC8" w:rsidRPr="007B2402" w:rsidRDefault="003B5FC8" w:rsidP="003B5FC8">
      <w:pPr>
        <w:spacing w:after="0" w:line="240" w:lineRule="auto"/>
        <w:contextualSpacing/>
        <w:jc w:val="both"/>
        <w:rPr>
          <w:rFonts w:eastAsia="Calibri" w:cs="Times New Roman"/>
          <w:szCs w:val="20"/>
          <w:lang w:val="en-US"/>
        </w:rPr>
      </w:pPr>
    </w:p>
    <w:p w14:paraId="19A95A2C" w14:textId="130EC9A9" w:rsidR="003B5FC8" w:rsidRPr="007B2402" w:rsidRDefault="00E741A5" w:rsidP="00DB1F30">
      <w:pPr>
        <w:numPr>
          <w:ilvl w:val="0"/>
          <w:numId w:val="5"/>
        </w:numPr>
        <w:spacing w:after="0" w:line="240" w:lineRule="auto"/>
        <w:contextualSpacing/>
        <w:jc w:val="both"/>
        <w:rPr>
          <w:rFonts w:eastAsia="Calibri" w:cs="Times New Roman"/>
          <w:szCs w:val="20"/>
          <w:lang w:val="en-US"/>
        </w:rPr>
      </w:pPr>
      <w:r w:rsidRPr="007B2402">
        <w:rPr>
          <w:rFonts w:eastAsia="Calibri" w:cs="Times New Roman"/>
          <w:szCs w:val="20"/>
          <w:lang w:val="en-US"/>
        </w:rPr>
        <w:t>Consequently</w:t>
      </w:r>
      <w:r w:rsidR="003B5FC8" w:rsidRPr="007B2402">
        <w:rPr>
          <w:rFonts w:eastAsia="Calibri" w:cs="Times New Roman"/>
          <w:szCs w:val="20"/>
          <w:lang w:val="en-US"/>
        </w:rPr>
        <w:t xml:space="preserve">, </w:t>
      </w:r>
      <w:r w:rsidR="00AF4344" w:rsidRPr="007B2402">
        <w:rPr>
          <w:rFonts w:eastAsia="Calibri" w:cs="Times New Roman"/>
          <w:szCs w:val="20"/>
          <w:lang w:val="en-US"/>
        </w:rPr>
        <w:t>the Commission</w:t>
      </w:r>
      <w:r w:rsidR="003B5FC8" w:rsidRPr="007B2402">
        <w:rPr>
          <w:rFonts w:eastAsia="Calibri" w:cs="Times New Roman"/>
          <w:szCs w:val="20"/>
          <w:lang w:val="en-US"/>
        </w:rPr>
        <w:t xml:space="preserve"> </w:t>
      </w:r>
      <w:r w:rsidRPr="007B2402">
        <w:rPr>
          <w:rFonts w:eastAsia="Calibri" w:cs="Times New Roman"/>
          <w:szCs w:val="20"/>
          <w:lang w:val="en-US"/>
        </w:rPr>
        <w:t>asked</w:t>
      </w:r>
      <w:r w:rsidR="003B5FC8" w:rsidRPr="007B2402">
        <w:rPr>
          <w:rFonts w:eastAsia="Calibri" w:cs="Times New Roman"/>
          <w:szCs w:val="20"/>
          <w:lang w:val="en-US"/>
        </w:rPr>
        <w:t xml:space="preserve"> </w:t>
      </w:r>
      <w:r w:rsidR="00AF4344" w:rsidRPr="007B2402">
        <w:rPr>
          <w:rFonts w:eastAsia="Calibri" w:cs="Times New Roman"/>
          <w:szCs w:val="20"/>
          <w:lang w:val="en-US"/>
        </w:rPr>
        <w:t>the Court</w:t>
      </w:r>
      <w:r w:rsidR="003B5FC8" w:rsidRPr="007B2402">
        <w:rPr>
          <w:rFonts w:eastAsia="Calibri" w:cs="Times New Roman"/>
          <w:szCs w:val="20"/>
          <w:lang w:val="en-US"/>
        </w:rPr>
        <w:t xml:space="preserve"> </w:t>
      </w:r>
      <w:r w:rsidRPr="007B2402">
        <w:rPr>
          <w:rFonts w:eastAsia="Calibri" w:cs="Times New Roman"/>
          <w:szCs w:val="20"/>
          <w:lang w:val="en-US"/>
        </w:rPr>
        <w:t>to establish that the State’s position concerning the lack of competence to review domestic decisions d</w:t>
      </w:r>
      <w:r w:rsidR="009B068C" w:rsidRPr="007B2402">
        <w:rPr>
          <w:rFonts w:eastAsia="Calibri" w:cs="Times New Roman"/>
          <w:szCs w:val="20"/>
          <w:lang w:val="en-US"/>
        </w:rPr>
        <w:t>id</w:t>
      </w:r>
      <w:r w:rsidRPr="007B2402">
        <w:rPr>
          <w:rFonts w:eastAsia="Calibri" w:cs="Times New Roman"/>
          <w:szCs w:val="20"/>
          <w:lang w:val="en-US"/>
        </w:rPr>
        <w:t xml:space="preserve"> not constitute a </w:t>
      </w:r>
      <w:r w:rsidR="006E2CFF" w:rsidRPr="007B2402">
        <w:rPr>
          <w:rFonts w:eastAsia="Calibri" w:cs="Times New Roman"/>
          <w:szCs w:val="20"/>
          <w:lang w:val="en-US"/>
        </w:rPr>
        <w:t>preliminary objection</w:t>
      </w:r>
      <w:r w:rsidR="003B5FC8" w:rsidRPr="007B2402">
        <w:rPr>
          <w:rFonts w:eastAsia="Calibri" w:cs="Times New Roman"/>
          <w:szCs w:val="20"/>
          <w:lang w:val="en-US"/>
        </w:rPr>
        <w:t xml:space="preserve"> </w:t>
      </w:r>
      <w:r w:rsidRPr="007B2402">
        <w:rPr>
          <w:rFonts w:eastAsia="Calibri" w:cs="Times New Roman"/>
          <w:szCs w:val="20"/>
          <w:lang w:val="en-US"/>
        </w:rPr>
        <w:t xml:space="preserve">and, therefore, </w:t>
      </w:r>
      <w:r w:rsidR="009B068C" w:rsidRPr="007B2402">
        <w:rPr>
          <w:rFonts w:eastAsia="Calibri" w:cs="Times New Roman"/>
          <w:szCs w:val="20"/>
          <w:lang w:val="en-US"/>
        </w:rPr>
        <w:t>wa</w:t>
      </w:r>
      <w:r w:rsidRPr="007B2402">
        <w:rPr>
          <w:rFonts w:eastAsia="Calibri" w:cs="Times New Roman"/>
          <w:szCs w:val="20"/>
          <w:lang w:val="en-US"/>
        </w:rPr>
        <w:t>s inadmissible.</w:t>
      </w:r>
    </w:p>
    <w:p w14:paraId="10F4F73F" w14:textId="77777777" w:rsidR="003B5FC8" w:rsidRPr="007B2402" w:rsidRDefault="003B5FC8" w:rsidP="003B5FC8">
      <w:pPr>
        <w:spacing w:after="0" w:line="240" w:lineRule="auto"/>
        <w:jc w:val="both"/>
        <w:rPr>
          <w:rFonts w:eastAsia="Calibri" w:cs="Times New Roman"/>
          <w:szCs w:val="20"/>
          <w:lang w:val="en-US"/>
        </w:rPr>
      </w:pPr>
    </w:p>
    <w:p w14:paraId="20BDD446" w14:textId="41EE9AEF" w:rsidR="003B5FC8" w:rsidRPr="007B2402" w:rsidRDefault="005B1590" w:rsidP="00E741A5">
      <w:pPr>
        <w:numPr>
          <w:ilvl w:val="0"/>
          <w:numId w:val="5"/>
        </w:numPr>
        <w:spacing w:after="0" w:line="240" w:lineRule="auto"/>
        <w:contextualSpacing/>
        <w:jc w:val="both"/>
        <w:rPr>
          <w:rFonts w:eastAsia="Calibri" w:cs="Times New Roman"/>
          <w:b/>
          <w:szCs w:val="20"/>
          <w:lang w:val="en-US"/>
        </w:rPr>
      </w:pPr>
      <w:r w:rsidRPr="007B2402">
        <w:rPr>
          <w:rFonts w:eastAsia="Calibri" w:cs="Times New Roman"/>
          <w:szCs w:val="20"/>
          <w:lang w:val="en-US"/>
        </w:rPr>
        <w:t xml:space="preserve">The </w:t>
      </w:r>
      <w:r w:rsidRPr="007B2402">
        <w:rPr>
          <w:rFonts w:eastAsia="Calibri" w:cs="Times New Roman"/>
          <w:b/>
          <w:i/>
          <w:szCs w:val="20"/>
          <w:lang w:val="en-US"/>
        </w:rPr>
        <w:t>representatives</w:t>
      </w:r>
      <w:r w:rsidR="003B5FC8" w:rsidRPr="007B2402">
        <w:rPr>
          <w:rFonts w:eastAsia="Calibri" w:cs="Times New Roman"/>
          <w:szCs w:val="20"/>
          <w:lang w:val="en-US"/>
        </w:rPr>
        <w:t xml:space="preserve"> c</w:t>
      </w:r>
      <w:r w:rsidR="00E741A5" w:rsidRPr="007B2402">
        <w:rPr>
          <w:rFonts w:eastAsia="Calibri" w:cs="Times New Roman"/>
          <w:szCs w:val="20"/>
          <w:lang w:val="en-US"/>
        </w:rPr>
        <w:t>h</w:t>
      </w:r>
      <w:r w:rsidR="003B5FC8" w:rsidRPr="007B2402">
        <w:rPr>
          <w:rFonts w:eastAsia="Calibri" w:cs="Times New Roman"/>
          <w:szCs w:val="20"/>
          <w:lang w:val="en-US"/>
        </w:rPr>
        <w:t>aracteriz</w:t>
      </w:r>
      <w:r w:rsidR="00E741A5" w:rsidRPr="007B2402">
        <w:rPr>
          <w:rFonts w:eastAsia="Calibri" w:cs="Times New Roman"/>
          <w:szCs w:val="20"/>
          <w:lang w:val="en-US"/>
        </w:rPr>
        <w:t xml:space="preserve">ed the State’s position as a fourth instance objection. In this regard, they argued that, for this to be the case, it would </w:t>
      </w:r>
      <w:r w:rsidR="00DA1D6D" w:rsidRPr="007B2402">
        <w:rPr>
          <w:rFonts w:eastAsia="Calibri" w:cs="Times New Roman"/>
          <w:szCs w:val="20"/>
          <w:lang w:val="en-US"/>
        </w:rPr>
        <w:t>have been</w:t>
      </w:r>
      <w:r w:rsidR="00E741A5" w:rsidRPr="007B2402">
        <w:rPr>
          <w:rFonts w:eastAsia="Calibri" w:cs="Times New Roman"/>
          <w:szCs w:val="20"/>
          <w:lang w:val="en-US"/>
        </w:rPr>
        <w:t xml:space="preserve"> necessary that the Court had been asked to review an internal decision of the State </w:t>
      </w:r>
      <w:r w:rsidR="00DA1D6D" w:rsidRPr="007B2402">
        <w:rPr>
          <w:rFonts w:eastAsia="Calibri" w:cs="Times New Roman"/>
          <w:szCs w:val="20"/>
          <w:lang w:val="en-US"/>
        </w:rPr>
        <w:t>owing</w:t>
      </w:r>
      <w:r w:rsidR="00E741A5" w:rsidRPr="007B2402">
        <w:rPr>
          <w:rFonts w:eastAsia="Calibri" w:cs="Times New Roman"/>
          <w:szCs w:val="20"/>
          <w:lang w:val="en-US"/>
        </w:rPr>
        <w:t xml:space="preserve"> to an incorrect assessment of the evidence, the facts or domestic law. They argued that, in this case, </w:t>
      </w:r>
      <w:r w:rsidR="00DE5AE8" w:rsidRPr="007B2402">
        <w:rPr>
          <w:rFonts w:eastAsia="Calibri" w:cs="Times New Roman"/>
          <w:szCs w:val="20"/>
          <w:lang w:val="en-US"/>
        </w:rPr>
        <w:t xml:space="preserve">the </w:t>
      </w:r>
      <w:r w:rsidR="00DE5AE8" w:rsidRPr="007B2402">
        <w:rPr>
          <w:rFonts w:eastAsia="Calibri" w:cs="Times New Roman"/>
          <w:szCs w:val="20"/>
          <w:lang w:val="en-US"/>
        </w:rPr>
        <w:lastRenderedPageBreak/>
        <w:t xml:space="preserve">Court was not being asked to exercise such functions over internal decisions issued by the State’s judicial organs. To the contrary, in this case, they were </w:t>
      </w:r>
      <w:r w:rsidR="00DA1D6D" w:rsidRPr="007B2402">
        <w:rPr>
          <w:rFonts w:eastAsia="Calibri" w:cs="Times New Roman"/>
          <w:szCs w:val="20"/>
          <w:lang w:val="en-US"/>
        </w:rPr>
        <w:t>as</w:t>
      </w:r>
      <w:r w:rsidR="00DE5AE8" w:rsidRPr="007B2402">
        <w:rPr>
          <w:rFonts w:eastAsia="Calibri" w:cs="Times New Roman"/>
          <w:szCs w:val="20"/>
          <w:lang w:val="en-US"/>
        </w:rPr>
        <w:t xml:space="preserve">king the Court to declare the international responsibility of the Brazilian State for errors and obstructions </w:t>
      </w:r>
      <w:r w:rsidR="00DA1D6D" w:rsidRPr="007B2402">
        <w:rPr>
          <w:rFonts w:eastAsia="Calibri" w:cs="Times New Roman"/>
          <w:szCs w:val="20"/>
          <w:lang w:val="en-US"/>
        </w:rPr>
        <w:t>by</w:t>
      </w:r>
      <w:r w:rsidR="00DE5AE8" w:rsidRPr="007B2402">
        <w:rPr>
          <w:rFonts w:eastAsia="Calibri" w:cs="Times New Roman"/>
          <w:szCs w:val="20"/>
          <w:lang w:val="en-US"/>
        </w:rPr>
        <w:t xml:space="preserve"> different State agents that violated the obligation to guarantee the rights to physical integrity, freedom of expression, access to justice, and judicial guarantees recognized in</w:t>
      </w:r>
      <w:r w:rsidR="00DE5AE8" w:rsidRPr="007B2402">
        <w:rPr>
          <w:rFonts w:eastAsia="Calibri" w:cs="Times New Roman"/>
          <w:b/>
          <w:szCs w:val="20"/>
          <w:lang w:val="en-US"/>
        </w:rPr>
        <w:t xml:space="preserve"> </w:t>
      </w:r>
      <w:r w:rsidR="00AF4344" w:rsidRPr="007B2402">
        <w:rPr>
          <w:rFonts w:eastAsia="Calibri" w:cs="Times New Roman"/>
          <w:szCs w:val="20"/>
          <w:lang w:val="en-US"/>
        </w:rPr>
        <w:t>the American Convention</w:t>
      </w:r>
      <w:r w:rsidR="003B5FC8" w:rsidRPr="007B2402">
        <w:rPr>
          <w:rFonts w:eastAsia="Calibri" w:cs="Times New Roman"/>
          <w:szCs w:val="20"/>
          <w:lang w:val="en-US"/>
        </w:rPr>
        <w:t>.</w:t>
      </w:r>
    </w:p>
    <w:p w14:paraId="2D855799" w14:textId="77777777" w:rsidR="003B5FC8" w:rsidRPr="007B2402" w:rsidRDefault="003B5FC8" w:rsidP="003B5FC8">
      <w:pPr>
        <w:spacing w:after="0" w:line="240" w:lineRule="auto"/>
        <w:contextualSpacing/>
        <w:rPr>
          <w:rFonts w:eastAsia="Calibri" w:cs="Times New Roman"/>
          <w:szCs w:val="20"/>
          <w:lang w:val="en-US"/>
        </w:rPr>
      </w:pPr>
    </w:p>
    <w:p w14:paraId="6F7E5E13" w14:textId="19624A89" w:rsidR="003B5FC8" w:rsidRPr="007B2402" w:rsidRDefault="003B5FC8" w:rsidP="003B5FC8">
      <w:pPr>
        <w:keepNext/>
        <w:keepLines/>
        <w:spacing w:after="0" w:line="240" w:lineRule="auto"/>
        <w:ind w:left="426"/>
        <w:contextualSpacing/>
        <w:jc w:val="both"/>
        <w:outlineLvl w:val="2"/>
        <w:rPr>
          <w:rFonts w:eastAsia="Calibri" w:cs="Times New Roman"/>
          <w:szCs w:val="20"/>
          <w:lang w:val="en-US"/>
        </w:rPr>
      </w:pPr>
      <w:bookmarkStart w:id="89" w:name="_Toc505939127"/>
      <w:bookmarkStart w:id="90" w:name="_Toc506496108"/>
      <w:bookmarkStart w:id="91" w:name="_Toc506984089"/>
      <w:r w:rsidRPr="007B2402">
        <w:rPr>
          <w:rFonts w:eastAsia="Times New Roman" w:cs="Times New Roman"/>
          <w:i/>
          <w:szCs w:val="20"/>
          <w:lang w:val="en-US" w:eastAsia="es-ES" w:bidi="en-US"/>
        </w:rPr>
        <w:t>E.</w:t>
      </w:r>
      <w:r w:rsidRPr="007B2402">
        <w:rPr>
          <w:rFonts w:eastAsia="Calibri" w:cs="Times New Roman"/>
          <w:i/>
          <w:szCs w:val="20"/>
          <w:lang w:val="en-US"/>
        </w:rPr>
        <w:t xml:space="preserve">2. </w:t>
      </w:r>
      <w:r w:rsidR="007A07B8" w:rsidRPr="007B2402">
        <w:rPr>
          <w:rFonts w:eastAsia="Calibri" w:cs="Times New Roman"/>
          <w:i/>
          <w:szCs w:val="20"/>
          <w:lang w:val="en-US"/>
        </w:rPr>
        <w:t>Considerations</w:t>
      </w:r>
      <w:r w:rsidR="00AF4344" w:rsidRPr="007B2402">
        <w:rPr>
          <w:rFonts w:eastAsia="Calibri" w:cs="Times New Roman"/>
          <w:i/>
          <w:szCs w:val="20"/>
          <w:lang w:val="en-US"/>
        </w:rPr>
        <w:t xml:space="preserve"> of the Court</w:t>
      </w:r>
      <w:bookmarkEnd w:id="89"/>
      <w:bookmarkEnd w:id="90"/>
      <w:bookmarkEnd w:id="91"/>
    </w:p>
    <w:p w14:paraId="5DEBE268" w14:textId="77777777" w:rsidR="003B5FC8" w:rsidRPr="007B2402" w:rsidRDefault="003B5FC8" w:rsidP="003B5FC8">
      <w:pPr>
        <w:spacing w:after="0" w:line="240" w:lineRule="auto"/>
        <w:jc w:val="both"/>
        <w:rPr>
          <w:rFonts w:eastAsia="Calibri" w:cs="Times New Roman"/>
          <w:szCs w:val="20"/>
          <w:lang w:val="en-US"/>
        </w:rPr>
      </w:pPr>
    </w:p>
    <w:p w14:paraId="3D599203" w14:textId="531790FA" w:rsidR="003B5FC8" w:rsidRPr="007B2402" w:rsidRDefault="00DE5AE8" w:rsidP="00DE5AE8">
      <w:pPr>
        <w:numPr>
          <w:ilvl w:val="0"/>
          <w:numId w:val="5"/>
        </w:numPr>
        <w:spacing w:after="0" w:line="240" w:lineRule="auto"/>
        <w:contextualSpacing/>
        <w:jc w:val="both"/>
        <w:rPr>
          <w:rFonts w:eastAsia="Calibri" w:cs="Times New Roman"/>
          <w:szCs w:val="20"/>
          <w:lang w:val="en-US"/>
        </w:rPr>
      </w:pPr>
      <w:r w:rsidRPr="007B2402">
        <w:rPr>
          <w:rFonts w:eastAsia="Calibri" w:cs="Times New Roman"/>
          <w:szCs w:val="20"/>
          <w:lang w:val="en-US"/>
        </w:rPr>
        <w:t>First, the Court recalls that, regardless of whether the State defines an assertion as a</w:t>
      </w:r>
      <w:r w:rsidR="003B5FC8" w:rsidRPr="007B2402">
        <w:rPr>
          <w:rFonts w:eastAsia="Calibri" w:cs="Times New Roman"/>
          <w:szCs w:val="20"/>
          <w:lang w:val="en-US"/>
        </w:rPr>
        <w:t xml:space="preserve"> “</w:t>
      </w:r>
      <w:r w:rsidR="006E2CFF" w:rsidRPr="007B2402">
        <w:rPr>
          <w:rFonts w:eastAsia="Calibri" w:cs="Times New Roman"/>
          <w:szCs w:val="20"/>
          <w:lang w:val="en-US"/>
        </w:rPr>
        <w:t>preliminary objection</w:t>
      </w:r>
      <w:r w:rsidRPr="007B2402">
        <w:rPr>
          <w:rFonts w:eastAsia="Calibri" w:cs="Times New Roman"/>
          <w:szCs w:val="20"/>
          <w:lang w:val="en-US"/>
        </w:rPr>
        <w:t>,</w:t>
      </w:r>
      <w:r w:rsidR="003B5FC8" w:rsidRPr="007B2402">
        <w:rPr>
          <w:rFonts w:eastAsia="Calibri" w:cs="Times New Roman"/>
          <w:szCs w:val="20"/>
          <w:lang w:val="en-US"/>
        </w:rPr>
        <w:t>”</w:t>
      </w:r>
      <w:r w:rsidRPr="007B2402">
        <w:rPr>
          <w:rFonts w:eastAsia="Calibri" w:cs="Times New Roman"/>
          <w:szCs w:val="20"/>
          <w:lang w:val="en-US"/>
        </w:rPr>
        <w:t xml:space="preserve"> if </w:t>
      </w:r>
      <w:r w:rsidR="00DA1D6D" w:rsidRPr="007B2402">
        <w:rPr>
          <w:rFonts w:eastAsia="Calibri" w:cs="Times New Roman"/>
          <w:szCs w:val="20"/>
          <w:lang w:val="en-US"/>
        </w:rPr>
        <w:t>the Court must</w:t>
      </w:r>
      <w:r w:rsidRPr="007B2402">
        <w:rPr>
          <w:rFonts w:eastAsia="Calibri" w:cs="Times New Roman"/>
          <w:szCs w:val="20"/>
          <w:lang w:val="en-US"/>
        </w:rPr>
        <w:t xml:space="preserve"> begin to consider the merits of the case when analyzing it, it is no longer preliminary in nature and cannot be analyzed as such.</w:t>
      </w:r>
      <w:r w:rsidR="003B5FC8" w:rsidRPr="007B2402">
        <w:rPr>
          <w:rFonts w:eastAsia="Calibri" w:cs="Times New Roman"/>
          <w:szCs w:val="20"/>
          <w:vertAlign w:val="superscript"/>
          <w:lang w:val="en-US"/>
        </w:rPr>
        <w:footnoteReference w:id="35"/>
      </w:r>
    </w:p>
    <w:p w14:paraId="30435BF3" w14:textId="77777777" w:rsidR="003B5FC8" w:rsidRPr="007B2402" w:rsidRDefault="003B5FC8" w:rsidP="003B5FC8">
      <w:pPr>
        <w:spacing w:after="0" w:line="240" w:lineRule="auto"/>
        <w:contextualSpacing/>
        <w:jc w:val="both"/>
        <w:rPr>
          <w:rFonts w:eastAsia="Calibri" w:cs="Times New Roman"/>
          <w:szCs w:val="20"/>
          <w:lang w:val="en-US"/>
        </w:rPr>
      </w:pPr>
    </w:p>
    <w:p w14:paraId="232B5178" w14:textId="4A21A78D" w:rsidR="003B5FC8" w:rsidRPr="007B2402" w:rsidRDefault="00AF4344" w:rsidP="00DB1F30">
      <w:pPr>
        <w:numPr>
          <w:ilvl w:val="0"/>
          <w:numId w:val="5"/>
        </w:numPr>
        <w:spacing w:after="0" w:line="240" w:lineRule="auto"/>
        <w:contextualSpacing/>
        <w:jc w:val="both"/>
        <w:rPr>
          <w:rFonts w:eastAsia="Calibri" w:cs="Times New Roman"/>
          <w:szCs w:val="20"/>
          <w:lang w:val="en-US"/>
        </w:rPr>
      </w:pPr>
      <w:r w:rsidRPr="007B2402">
        <w:rPr>
          <w:rFonts w:eastAsia="Calibri" w:cs="Times New Roman"/>
          <w:szCs w:val="20"/>
          <w:lang w:val="en-US"/>
        </w:rPr>
        <w:t>The Court</w:t>
      </w:r>
      <w:r w:rsidR="003B5FC8" w:rsidRPr="007B2402">
        <w:rPr>
          <w:rFonts w:eastAsia="Calibri" w:cs="Times New Roman"/>
          <w:szCs w:val="20"/>
          <w:lang w:val="en-US"/>
        </w:rPr>
        <w:t xml:space="preserve"> </w:t>
      </w:r>
      <w:r w:rsidR="00DE5AE8" w:rsidRPr="007B2402">
        <w:rPr>
          <w:rFonts w:eastAsia="Calibri" w:cs="Times New Roman"/>
          <w:szCs w:val="20"/>
          <w:lang w:val="en-US"/>
        </w:rPr>
        <w:t xml:space="preserve">also reiterates that the international jurisdiction </w:t>
      </w:r>
      <w:r w:rsidR="00DE5AE8" w:rsidRPr="007B2402">
        <w:rPr>
          <w:rFonts w:eastAsia="Batang" w:cs="Times"/>
          <w:noProof/>
          <w:szCs w:val="24"/>
          <w:lang w:val="en-US" w:eastAsia="es-ES"/>
        </w:rPr>
        <w:t>is of a subsidiary and complementary nature</w:t>
      </w:r>
      <w:r w:rsidR="003B5FC8" w:rsidRPr="007B2402">
        <w:rPr>
          <w:rFonts w:eastAsia="Calibri" w:cs="Times New Roman"/>
          <w:szCs w:val="20"/>
          <w:vertAlign w:val="superscript"/>
          <w:lang w:val="en-US"/>
        </w:rPr>
        <w:footnoteReference w:id="36"/>
      </w:r>
      <w:r w:rsidR="00DE5AE8" w:rsidRPr="007B2402">
        <w:rPr>
          <w:rFonts w:eastAsia="Calibri" w:cs="Times New Roman"/>
          <w:szCs w:val="20"/>
          <w:lang w:val="en-US"/>
        </w:rPr>
        <w:t xml:space="preserve"> </w:t>
      </w:r>
      <w:r w:rsidR="00DE5AE8" w:rsidRPr="007B2402">
        <w:rPr>
          <w:rFonts w:eastAsia="Batang" w:cs="Times"/>
          <w:noProof/>
          <w:szCs w:val="24"/>
          <w:lang w:val="en-US" w:eastAsia="es-ES"/>
        </w:rPr>
        <w:t>and, therefore, it does not perform the functions of a court of “fourth instance.”</w:t>
      </w:r>
      <w:r w:rsidR="003B5FC8" w:rsidRPr="007B2402">
        <w:rPr>
          <w:rFonts w:eastAsia="Calibri" w:cs="Times New Roman"/>
          <w:szCs w:val="20"/>
          <w:lang w:val="en-US"/>
        </w:rPr>
        <w:t xml:space="preserve"> </w:t>
      </w:r>
      <w:r w:rsidR="00DE5AE8" w:rsidRPr="007B2402">
        <w:rPr>
          <w:rFonts w:eastAsia="Batang" w:cs="Times"/>
          <w:noProof/>
          <w:szCs w:val="24"/>
          <w:lang w:val="en-US" w:eastAsia="es-ES"/>
        </w:rPr>
        <w:t>Moreover, it is not a high court or court of appeal to decide any disagreements between the parties on elements concerning the evaluation of the evidence or the application of domestic law in relation to aspects that do not directly concern compliance with international human rights obligations.</w:t>
      </w:r>
      <w:r w:rsidR="003B5FC8" w:rsidRPr="007B2402">
        <w:rPr>
          <w:rFonts w:eastAsia="Calibri" w:cs="Times New Roman"/>
          <w:szCs w:val="20"/>
          <w:vertAlign w:val="superscript"/>
          <w:lang w:val="en-US"/>
        </w:rPr>
        <w:footnoteReference w:id="37"/>
      </w:r>
    </w:p>
    <w:p w14:paraId="4FE13A6A" w14:textId="77777777" w:rsidR="003B5FC8" w:rsidRPr="007B2402" w:rsidRDefault="003B5FC8" w:rsidP="003B5FC8">
      <w:pPr>
        <w:spacing w:after="0" w:line="240" w:lineRule="auto"/>
        <w:jc w:val="both"/>
        <w:rPr>
          <w:rFonts w:eastAsia="Calibri" w:cs="Times New Roman"/>
          <w:szCs w:val="20"/>
          <w:lang w:val="en-US"/>
        </w:rPr>
      </w:pPr>
    </w:p>
    <w:p w14:paraId="0E8ADBD6" w14:textId="5FA95C21" w:rsidR="003B5FC8" w:rsidRPr="007B2402" w:rsidRDefault="00AF4344" w:rsidP="00BE3442">
      <w:pPr>
        <w:numPr>
          <w:ilvl w:val="0"/>
          <w:numId w:val="5"/>
        </w:numPr>
        <w:spacing w:after="0" w:line="240" w:lineRule="auto"/>
        <w:contextualSpacing/>
        <w:jc w:val="both"/>
        <w:rPr>
          <w:rFonts w:eastAsia="Calibri" w:cs="Times New Roman"/>
          <w:szCs w:val="20"/>
          <w:lang w:val="en-US"/>
        </w:rPr>
      </w:pPr>
      <w:r w:rsidRPr="007B2402">
        <w:rPr>
          <w:rFonts w:eastAsia="Calibri" w:cs="Times New Roman"/>
          <w:szCs w:val="20"/>
          <w:lang w:val="en-US"/>
        </w:rPr>
        <w:t>The Court</w:t>
      </w:r>
      <w:r w:rsidR="003B5FC8" w:rsidRPr="007B2402">
        <w:rPr>
          <w:rFonts w:eastAsia="Calibri" w:cs="Times New Roman"/>
          <w:szCs w:val="20"/>
          <w:lang w:val="en-US"/>
        </w:rPr>
        <w:t xml:space="preserve"> </w:t>
      </w:r>
      <w:r w:rsidR="00BE3442" w:rsidRPr="007B2402">
        <w:rPr>
          <w:rFonts w:eastAsia="Calibri" w:cs="Times New Roman"/>
          <w:szCs w:val="20"/>
          <w:lang w:val="en-US"/>
        </w:rPr>
        <w:t xml:space="preserve">finds that the State’s arguments could be considered a fourth instance objection; however, </w:t>
      </w:r>
      <w:r w:rsidR="00BE3442" w:rsidRPr="007B2402">
        <w:rPr>
          <w:rFonts w:eastAsia="Batang" w:cs="Times"/>
          <w:noProof/>
          <w:szCs w:val="24"/>
          <w:lang w:val="en-US" w:eastAsia="es-ES"/>
        </w:rPr>
        <w:t>for this</w:t>
      </w:r>
      <w:r w:rsidR="00DA1D6D" w:rsidRPr="007B2402">
        <w:rPr>
          <w:rFonts w:eastAsia="Batang" w:cs="Times"/>
          <w:noProof/>
          <w:szCs w:val="24"/>
          <w:lang w:val="en-US" w:eastAsia="es-ES"/>
        </w:rPr>
        <w:t xml:space="preserve"> </w:t>
      </w:r>
      <w:r w:rsidR="00BE3442" w:rsidRPr="007B2402">
        <w:rPr>
          <w:rFonts w:eastAsia="Batang" w:cs="Times"/>
          <w:noProof/>
          <w:szCs w:val="24"/>
          <w:lang w:val="en-US" w:eastAsia="es-ES"/>
        </w:rPr>
        <w:t xml:space="preserve">objection to be admissible, “the </w:t>
      </w:r>
      <w:r w:rsidR="00DA1D6D" w:rsidRPr="007B2402">
        <w:rPr>
          <w:rFonts w:eastAsia="Batang" w:cs="Times"/>
          <w:noProof/>
          <w:szCs w:val="24"/>
          <w:lang w:val="en-US" w:eastAsia="es-ES"/>
        </w:rPr>
        <w:t>applicant</w:t>
      </w:r>
      <w:r w:rsidR="00BE3442" w:rsidRPr="007B2402">
        <w:rPr>
          <w:rFonts w:eastAsia="Batang" w:cs="Times"/>
          <w:noProof/>
          <w:szCs w:val="24"/>
          <w:lang w:val="en-US" w:eastAsia="es-ES"/>
        </w:rPr>
        <w:t xml:space="preserve"> must require the Court to review the ruling of a domestic court owing to an incorrect evaluation of the evidence, the facts or domestic law</w:t>
      </w:r>
      <w:r w:rsidR="003B5FC8" w:rsidRPr="007B2402">
        <w:rPr>
          <w:rFonts w:eastAsia="Calibri" w:cs="Times New Roman"/>
          <w:szCs w:val="20"/>
          <w:lang w:val="en-US"/>
        </w:rPr>
        <w:t>,</w:t>
      </w:r>
      <w:r w:rsidR="00BE3442" w:rsidRPr="007B2402">
        <w:rPr>
          <w:rFonts w:eastAsia="Calibri" w:cs="Times New Roman"/>
          <w:szCs w:val="20"/>
          <w:lang w:val="en-US"/>
        </w:rPr>
        <w:t xml:space="preserve"> </w:t>
      </w:r>
      <w:r w:rsidR="00BE3442" w:rsidRPr="007B2402">
        <w:rPr>
          <w:rFonts w:eastAsia="Batang" w:cs="Times"/>
          <w:noProof/>
          <w:szCs w:val="24"/>
          <w:lang w:val="en-US" w:eastAsia="es-ES"/>
        </w:rPr>
        <w:t>without, at the same time, alleging that the said ruling violat</w:t>
      </w:r>
      <w:r w:rsidR="00DA1D6D" w:rsidRPr="007B2402">
        <w:rPr>
          <w:rFonts w:eastAsia="Batang" w:cs="Times"/>
          <w:noProof/>
          <w:szCs w:val="24"/>
          <w:lang w:val="en-US" w:eastAsia="es-ES"/>
        </w:rPr>
        <w:t>ed</w:t>
      </w:r>
      <w:r w:rsidR="00BE3442" w:rsidRPr="007B2402">
        <w:rPr>
          <w:rFonts w:eastAsia="Batang" w:cs="Times"/>
          <w:noProof/>
          <w:szCs w:val="24"/>
          <w:lang w:val="en-US" w:eastAsia="es-ES"/>
        </w:rPr>
        <w:t xml:space="preserve"> international treaties </w:t>
      </w:r>
      <w:r w:rsidR="00DA1D6D" w:rsidRPr="007B2402">
        <w:rPr>
          <w:rFonts w:eastAsia="Batang" w:cs="Times"/>
          <w:noProof/>
          <w:szCs w:val="24"/>
          <w:lang w:val="en-US" w:eastAsia="es-ES"/>
        </w:rPr>
        <w:t>for</w:t>
      </w:r>
      <w:r w:rsidR="00BE3442" w:rsidRPr="007B2402">
        <w:rPr>
          <w:rFonts w:eastAsia="Batang" w:cs="Times"/>
          <w:noProof/>
          <w:szCs w:val="24"/>
          <w:lang w:val="en-US" w:eastAsia="es-ES"/>
        </w:rPr>
        <w:t xml:space="preserve"> which the Court has competence.”</w:t>
      </w:r>
      <w:r w:rsidR="003B5FC8" w:rsidRPr="007B2402">
        <w:rPr>
          <w:rFonts w:eastAsia="Calibri" w:cs="Times New Roman"/>
          <w:szCs w:val="20"/>
          <w:vertAlign w:val="superscript"/>
          <w:lang w:val="en-US"/>
        </w:rPr>
        <w:footnoteReference w:id="38"/>
      </w:r>
      <w:r w:rsidR="00BE3442" w:rsidRPr="007B2402">
        <w:rPr>
          <w:rFonts w:eastAsia="Batang" w:cs="Times"/>
          <w:noProof/>
          <w:szCs w:val="24"/>
          <w:lang w:val="en-US" w:eastAsia="es-ES"/>
        </w:rPr>
        <w:t xml:space="preserve"> </w:t>
      </w:r>
      <w:r w:rsidR="00DA1D6D" w:rsidRPr="007B2402">
        <w:rPr>
          <w:rFonts w:eastAsia="Batang" w:cs="Times"/>
          <w:noProof/>
          <w:szCs w:val="24"/>
          <w:lang w:val="en-US" w:eastAsia="es-ES"/>
        </w:rPr>
        <w:t>The</w:t>
      </w:r>
      <w:r w:rsidR="00BE3442" w:rsidRPr="007B2402">
        <w:rPr>
          <w:rFonts w:eastAsia="Batang" w:cs="Times"/>
          <w:noProof/>
          <w:szCs w:val="24"/>
          <w:lang w:val="en-US" w:eastAsia="es-ES"/>
        </w:rPr>
        <w:t xml:space="preserve"> Court has </w:t>
      </w:r>
      <w:r w:rsidR="00DA1D6D" w:rsidRPr="007B2402">
        <w:rPr>
          <w:rFonts w:eastAsia="Batang" w:cs="Times"/>
          <w:noProof/>
          <w:szCs w:val="24"/>
          <w:lang w:val="en-US" w:eastAsia="es-ES"/>
        </w:rPr>
        <w:t xml:space="preserve">also </w:t>
      </w:r>
      <w:r w:rsidR="00BE3442" w:rsidRPr="007B2402">
        <w:rPr>
          <w:rFonts w:eastAsia="Batang" w:cs="Times"/>
          <w:noProof/>
          <w:szCs w:val="24"/>
          <w:lang w:val="en-US" w:eastAsia="es-ES"/>
        </w:rPr>
        <w:t xml:space="preserve">considered that, when assessing compliance with certain international obligations, </w:t>
      </w:r>
      <w:r w:rsidR="00DA1D6D" w:rsidRPr="007B2402">
        <w:rPr>
          <w:rFonts w:eastAsia="Batang" w:cs="Times"/>
          <w:noProof/>
          <w:szCs w:val="24"/>
          <w:lang w:val="en-US" w:eastAsia="es-ES"/>
        </w:rPr>
        <w:t xml:space="preserve">there may be </w:t>
      </w:r>
      <w:r w:rsidR="00BE3442" w:rsidRPr="007B2402">
        <w:rPr>
          <w:rFonts w:eastAsia="Batang" w:cs="Times"/>
          <w:noProof/>
          <w:szCs w:val="24"/>
          <w:lang w:val="en-US" w:eastAsia="es-ES"/>
        </w:rPr>
        <w:t>an intrinsic interrelationship between the analysis of international law and domestic law. Consequently, determination of whether the actions of the State’s judicial organs constitute a violation of its international obligations may result in the Court having to examine the respective domestic proceedings to establish their compatibility with the American Convention.</w:t>
      </w:r>
      <w:r w:rsidR="003B5FC8" w:rsidRPr="007B2402">
        <w:rPr>
          <w:rFonts w:eastAsia="Calibri" w:cs="Times New Roman"/>
          <w:szCs w:val="20"/>
          <w:vertAlign w:val="superscript"/>
          <w:lang w:val="en-US"/>
        </w:rPr>
        <w:footnoteReference w:id="39"/>
      </w:r>
    </w:p>
    <w:p w14:paraId="002066BB" w14:textId="77777777" w:rsidR="003B5FC8" w:rsidRPr="007B2402" w:rsidRDefault="003B5FC8" w:rsidP="003B5FC8">
      <w:pPr>
        <w:spacing w:after="0" w:line="240" w:lineRule="auto"/>
        <w:contextualSpacing/>
        <w:jc w:val="both"/>
        <w:rPr>
          <w:rFonts w:eastAsia="Calibri" w:cs="Times New Roman"/>
          <w:szCs w:val="20"/>
          <w:lang w:val="en-US"/>
        </w:rPr>
      </w:pPr>
    </w:p>
    <w:p w14:paraId="7611BA12" w14:textId="50635B5B" w:rsidR="003B5FC8" w:rsidRPr="007B2402" w:rsidRDefault="00BE3442" w:rsidP="00BE3442">
      <w:pPr>
        <w:numPr>
          <w:ilvl w:val="0"/>
          <w:numId w:val="5"/>
        </w:numPr>
        <w:spacing w:after="0" w:line="240" w:lineRule="auto"/>
        <w:contextualSpacing/>
        <w:jc w:val="both"/>
        <w:rPr>
          <w:rFonts w:eastAsia="Calibri" w:cs="Times New Roman"/>
          <w:szCs w:val="20"/>
          <w:lang w:val="en-US"/>
        </w:rPr>
      </w:pPr>
      <w:r w:rsidRPr="007B2402">
        <w:rPr>
          <w:rFonts w:eastAsia="Batang" w:cs="Times"/>
          <w:noProof/>
          <w:szCs w:val="24"/>
          <w:lang w:val="en-US" w:eastAsia="es-ES"/>
        </w:rPr>
        <w:t>In this case, neither the Commission nor the representatives have requested a review of domestic decisions in relation to the evaluation of evidence or facts or the application of domestic law. The Court considers that</w:t>
      </w:r>
      <w:r w:rsidR="004B5D69" w:rsidRPr="007B2402">
        <w:rPr>
          <w:rFonts w:eastAsia="Batang" w:cs="Times"/>
          <w:noProof/>
          <w:szCs w:val="24"/>
          <w:lang w:val="en-US" w:eastAsia="es-ES"/>
        </w:rPr>
        <w:t xml:space="preserve"> the analysis, pursuant to the American Convention and international law, of</w:t>
      </w:r>
      <w:r w:rsidRPr="007B2402">
        <w:rPr>
          <w:rFonts w:eastAsia="Batang" w:cs="Times"/>
          <w:noProof/>
          <w:szCs w:val="24"/>
          <w:lang w:val="en-US" w:eastAsia="es-ES"/>
        </w:rPr>
        <w:t xml:space="preserve"> the arguments of the parties with regard to wheth</w:t>
      </w:r>
      <w:r w:rsidR="004B5D69" w:rsidRPr="007B2402">
        <w:rPr>
          <w:rFonts w:eastAsia="Batang" w:cs="Times"/>
          <w:noProof/>
          <w:szCs w:val="24"/>
          <w:lang w:val="en-US" w:eastAsia="es-ES"/>
        </w:rPr>
        <w:t>e</w:t>
      </w:r>
      <w:r w:rsidRPr="007B2402">
        <w:rPr>
          <w:rFonts w:eastAsia="Batang" w:cs="Times"/>
          <w:noProof/>
          <w:szCs w:val="24"/>
          <w:lang w:val="en-US" w:eastAsia="es-ES"/>
        </w:rPr>
        <w:t>r the domestic judicial proceedings were appropriate and effective and whether the appeals were processe</w:t>
      </w:r>
      <w:r w:rsidR="004B5D69" w:rsidRPr="007B2402">
        <w:rPr>
          <w:rFonts w:eastAsia="Batang" w:cs="Times"/>
          <w:noProof/>
          <w:szCs w:val="24"/>
          <w:lang w:val="en-US" w:eastAsia="es-ES"/>
        </w:rPr>
        <w:t>d</w:t>
      </w:r>
      <w:r w:rsidRPr="007B2402">
        <w:rPr>
          <w:rFonts w:eastAsia="Batang" w:cs="Times"/>
          <w:noProof/>
          <w:szCs w:val="24"/>
          <w:lang w:val="en-US" w:eastAsia="es-ES"/>
        </w:rPr>
        <w:t xml:space="preserve"> and decided</w:t>
      </w:r>
      <w:r w:rsidR="004B5D69" w:rsidRPr="007B2402">
        <w:rPr>
          <w:rFonts w:eastAsia="Batang" w:cs="Times"/>
          <w:noProof/>
          <w:szCs w:val="24"/>
          <w:lang w:val="en-US" w:eastAsia="es-ES"/>
        </w:rPr>
        <w:t xml:space="preserve"> correctly</w:t>
      </w:r>
      <w:r w:rsidRPr="007B2402">
        <w:rPr>
          <w:rFonts w:eastAsia="Batang" w:cs="Times"/>
          <w:noProof/>
          <w:szCs w:val="24"/>
          <w:lang w:val="en-US" w:eastAsia="es-ES"/>
        </w:rPr>
        <w:t xml:space="preserve"> </w:t>
      </w:r>
      <w:r w:rsidR="004B5D69" w:rsidRPr="007B2402">
        <w:rPr>
          <w:rFonts w:eastAsia="Batang" w:cs="Times"/>
          <w:noProof/>
          <w:szCs w:val="24"/>
          <w:lang w:val="en-US" w:eastAsia="es-ES"/>
        </w:rPr>
        <w:t>is a matter to be examined at the merits stage. In addition, at that stage, it will be necessary to an</w:t>
      </w:r>
      <w:r w:rsidR="00DA1D6D" w:rsidRPr="007B2402">
        <w:rPr>
          <w:rFonts w:eastAsia="Batang" w:cs="Times"/>
          <w:noProof/>
          <w:szCs w:val="24"/>
          <w:lang w:val="en-US" w:eastAsia="es-ES"/>
        </w:rPr>
        <w:t>a</w:t>
      </w:r>
      <w:r w:rsidR="004B5D69" w:rsidRPr="007B2402">
        <w:rPr>
          <w:rFonts w:eastAsia="Batang" w:cs="Times"/>
          <w:noProof/>
          <w:szCs w:val="24"/>
          <w:lang w:val="en-US" w:eastAsia="es-ES"/>
        </w:rPr>
        <w:t xml:space="preserve">lyze whether the payment made to repair the pecuniary </w:t>
      </w:r>
      <w:r w:rsidR="004B5D69" w:rsidRPr="007B2402">
        <w:rPr>
          <w:rFonts w:eastAsia="Batang" w:cs="Times"/>
          <w:noProof/>
          <w:szCs w:val="24"/>
          <w:lang w:val="en-US" w:eastAsia="es-ES"/>
        </w:rPr>
        <w:lastRenderedPageBreak/>
        <w:t>damage was sufficient and whether any acts or omissions</w:t>
      </w:r>
      <w:r w:rsidR="00DA1D6D" w:rsidRPr="007B2402">
        <w:rPr>
          <w:rFonts w:eastAsia="Batang" w:cs="Times"/>
          <w:noProof/>
          <w:szCs w:val="24"/>
          <w:lang w:val="en-US" w:eastAsia="es-ES"/>
        </w:rPr>
        <w:t xml:space="preserve"> occurred</w:t>
      </w:r>
      <w:r w:rsidR="004B5D69" w:rsidRPr="007B2402">
        <w:rPr>
          <w:rFonts w:eastAsia="Batang" w:cs="Times"/>
          <w:noProof/>
          <w:szCs w:val="24"/>
          <w:lang w:val="en-US" w:eastAsia="es-ES"/>
        </w:rPr>
        <w:t xml:space="preserve"> that violated the guarantees of access to justice</w:t>
      </w:r>
      <w:r w:rsidR="00DA1D6D" w:rsidRPr="007B2402">
        <w:rPr>
          <w:rFonts w:eastAsia="Batang" w:cs="Times"/>
          <w:noProof/>
          <w:szCs w:val="24"/>
          <w:lang w:val="en-US" w:eastAsia="es-ES"/>
        </w:rPr>
        <w:t xml:space="preserve"> and</w:t>
      </w:r>
      <w:r w:rsidR="004B5D69" w:rsidRPr="007B2402">
        <w:rPr>
          <w:rFonts w:eastAsia="Batang" w:cs="Times"/>
          <w:noProof/>
          <w:szCs w:val="24"/>
          <w:lang w:val="en-US" w:eastAsia="es-ES"/>
        </w:rPr>
        <w:t xml:space="preserve"> that could generate the State’s international responsibility. On this basis, the Court rejects this</w:t>
      </w:r>
      <w:r w:rsidR="004B5D69" w:rsidRPr="007B2402">
        <w:rPr>
          <w:rFonts w:eastAsia="Calibri" w:cs="Times New Roman"/>
          <w:szCs w:val="20"/>
          <w:lang w:val="en-US"/>
        </w:rPr>
        <w:t xml:space="preserve"> </w:t>
      </w:r>
      <w:r w:rsidR="006E2CFF" w:rsidRPr="007B2402">
        <w:rPr>
          <w:rFonts w:eastAsia="Calibri" w:cs="Times New Roman"/>
          <w:szCs w:val="20"/>
          <w:lang w:val="en-US"/>
        </w:rPr>
        <w:t>preliminary objection</w:t>
      </w:r>
      <w:r w:rsidR="003B5FC8" w:rsidRPr="007B2402">
        <w:rPr>
          <w:rFonts w:eastAsia="Calibri" w:cs="Times New Roman"/>
          <w:szCs w:val="20"/>
          <w:lang w:val="en-US"/>
        </w:rPr>
        <w:t>.</w:t>
      </w:r>
    </w:p>
    <w:p w14:paraId="211C2FD7" w14:textId="77777777" w:rsidR="003B5FC8" w:rsidRPr="007B2402" w:rsidRDefault="003B5FC8" w:rsidP="003B5FC8">
      <w:pPr>
        <w:spacing w:after="0" w:line="240" w:lineRule="auto"/>
        <w:rPr>
          <w:rFonts w:eastAsia="Calibri" w:cs="Times New Roman"/>
          <w:szCs w:val="20"/>
          <w:lang w:val="en-US"/>
        </w:rPr>
      </w:pPr>
    </w:p>
    <w:p w14:paraId="5164112A" w14:textId="6509843A" w:rsidR="003B5FC8" w:rsidRPr="007B2402" w:rsidRDefault="00834C56" w:rsidP="00DB1F30">
      <w:pPr>
        <w:keepNext/>
        <w:keepLines/>
        <w:numPr>
          <w:ilvl w:val="0"/>
          <w:numId w:val="9"/>
        </w:numPr>
        <w:spacing w:after="0" w:line="240" w:lineRule="auto"/>
        <w:ind w:left="0" w:firstLine="0"/>
        <w:contextualSpacing/>
        <w:jc w:val="both"/>
        <w:outlineLvl w:val="1"/>
        <w:rPr>
          <w:rFonts w:eastAsia="Calibri" w:cs="Times New Roman"/>
          <w:b/>
          <w:i/>
          <w:szCs w:val="20"/>
          <w:lang w:val="en-US"/>
        </w:rPr>
      </w:pPr>
      <w:bookmarkStart w:id="92" w:name="_Toc506984090"/>
      <w:r w:rsidRPr="007B2402">
        <w:rPr>
          <w:rFonts w:eastAsia="Calibri" w:cs="Times New Roman"/>
          <w:b/>
          <w:i/>
          <w:szCs w:val="20"/>
          <w:lang w:val="en-US"/>
        </w:rPr>
        <w:t>Al</w:t>
      </w:r>
      <w:r w:rsidR="00937611" w:rsidRPr="007B2402">
        <w:rPr>
          <w:rFonts w:eastAsia="Calibri" w:cs="Times New Roman"/>
          <w:b/>
          <w:i/>
          <w:szCs w:val="20"/>
          <w:lang w:val="en-US"/>
        </w:rPr>
        <w:t>leged failure to abide by the Convention owing to</w:t>
      </w:r>
      <w:r w:rsidR="005B1590" w:rsidRPr="007B2402">
        <w:rPr>
          <w:rFonts w:eastAsia="Calibri" w:cs="Times New Roman"/>
          <w:b/>
          <w:i/>
          <w:szCs w:val="20"/>
          <w:lang w:val="en-US"/>
        </w:rPr>
        <w:t xml:space="preserve"> the </w:t>
      </w:r>
      <w:r w:rsidR="00AF4344" w:rsidRPr="007B2402">
        <w:rPr>
          <w:rFonts w:eastAsia="Calibri" w:cs="Times New Roman"/>
          <w:b/>
          <w:i/>
          <w:szCs w:val="20"/>
          <w:lang w:val="en-US"/>
        </w:rPr>
        <w:t>Inter-American Commission</w:t>
      </w:r>
      <w:bookmarkEnd w:id="92"/>
      <w:r w:rsidR="00937611" w:rsidRPr="007B2402">
        <w:rPr>
          <w:rFonts w:eastAsia="Calibri" w:cs="Times New Roman"/>
          <w:b/>
          <w:i/>
          <w:szCs w:val="20"/>
          <w:lang w:val="en-US"/>
        </w:rPr>
        <w:t>’s publication of the Merits Report</w:t>
      </w:r>
    </w:p>
    <w:p w14:paraId="06F34BBB" w14:textId="77777777" w:rsidR="003B5FC8" w:rsidRPr="007B2402" w:rsidRDefault="003B5FC8" w:rsidP="00E966C4">
      <w:pPr>
        <w:pStyle w:val="Textocomentario"/>
        <w:contextualSpacing/>
        <w:rPr>
          <w:rFonts w:eastAsia="Calibri" w:cs="Times New Roman"/>
          <w:noProof w:val="0"/>
          <w:lang w:val="en-US"/>
        </w:rPr>
      </w:pPr>
    </w:p>
    <w:p w14:paraId="3EAD05BF" w14:textId="56896755" w:rsidR="003B5FC8" w:rsidRPr="007B2402" w:rsidRDefault="00A66030" w:rsidP="003B5FC8">
      <w:pPr>
        <w:keepNext/>
        <w:keepLines/>
        <w:spacing w:after="0" w:line="240" w:lineRule="auto"/>
        <w:ind w:left="426"/>
        <w:contextualSpacing/>
        <w:jc w:val="both"/>
        <w:outlineLvl w:val="2"/>
        <w:rPr>
          <w:rFonts w:eastAsia="Calibri" w:cs="Times New Roman"/>
          <w:szCs w:val="20"/>
          <w:lang w:val="en-US"/>
        </w:rPr>
      </w:pPr>
      <w:bookmarkStart w:id="93" w:name="_Toc505939129"/>
      <w:bookmarkStart w:id="94" w:name="_Toc506496110"/>
      <w:bookmarkStart w:id="95" w:name="_Toc506984091"/>
      <w:r w:rsidRPr="007B2402">
        <w:rPr>
          <w:rFonts w:eastAsia="Calibri" w:cs="Times New Roman"/>
          <w:i/>
          <w:szCs w:val="20"/>
          <w:lang w:val="en-US"/>
        </w:rPr>
        <w:t>F</w:t>
      </w:r>
      <w:r w:rsidR="003B5FC8" w:rsidRPr="007B2402">
        <w:rPr>
          <w:rFonts w:eastAsia="Calibri" w:cs="Times New Roman"/>
          <w:i/>
          <w:szCs w:val="20"/>
          <w:lang w:val="en-US"/>
        </w:rPr>
        <w:t xml:space="preserve">.1. </w:t>
      </w:r>
      <w:r w:rsidR="002761AC" w:rsidRPr="007B2402">
        <w:rPr>
          <w:rFonts w:eastAsia="Calibri" w:cs="Times New Roman"/>
          <w:i/>
          <w:szCs w:val="20"/>
          <w:lang w:val="en-US"/>
        </w:rPr>
        <w:t>Arguments</w:t>
      </w:r>
      <w:r w:rsidR="006E2CFF" w:rsidRPr="007B2402">
        <w:rPr>
          <w:rFonts w:eastAsia="Calibri" w:cs="Times New Roman"/>
          <w:i/>
          <w:szCs w:val="20"/>
          <w:lang w:val="en-US"/>
        </w:rPr>
        <w:t xml:space="preserve"> of the </w:t>
      </w:r>
      <w:r w:rsidR="00AF4344" w:rsidRPr="007B2402">
        <w:rPr>
          <w:rFonts w:eastAsia="Calibri" w:cs="Times New Roman"/>
          <w:i/>
          <w:szCs w:val="20"/>
          <w:lang w:val="en-US"/>
        </w:rPr>
        <w:t>State</w:t>
      </w:r>
      <w:r w:rsidR="003B5FC8" w:rsidRPr="007B2402">
        <w:rPr>
          <w:rFonts w:eastAsia="Calibri" w:cs="Times New Roman"/>
          <w:i/>
          <w:szCs w:val="20"/>
          <w:lang w:val="en-US"/>
        </w:rPr>
        <w:t xml:space="preserve">, </w:t>
      </w:r>
      <w:r w:rsidR="002761AC" w:rsidRPr="007B2402">
        <w:rPr>
          <w:rFonts w:eastAsia="Calibri" w:cs="Times New Roman"/>
          <w:i/>
          <w:szCs w:val="20"/>
          <w:lang w:val="en-US"/>
        </w:rPr>
        <w:t>observations</w:t>
      </w:r>
      <w:r w:rsidR="005B1590" w:rsidRPr="007B2402">
        <w:rPr>
          <w:rFonts w:eastAsia="Calibri" w:cs="Times New Roman"/>
          <w:i/>
          <w:szCs w:val="20"/>
          <w:lang w:val="en-US"/>
        </w:rPr>
        <w:t xml:space="preserve"> of the </w:t>
      </w:r>
      <w:r w:rsidR="00AF4344" w:rsidRPr="007B2402">
        <w:rPr>
          <w:rFonts w:eastAsia="Calibri" w:cs="Times New Roman"/>
          <w:i/>
          <w:szCs w:val="20"/>
          <w:lang w:val="en-US"/>
        </w:rPr>
        <w:t>Commission</w:t>
      </w:r>
      <w:r w:rsidR="005B1590" w:rsidRPr="007B2402">
        <w:rPr>
          <w:rFonts w:eastAsia="Calibri" w:cs="Times New Roman"/>
          <w:i/>
          <w:szCs w:val="20"/>
          <w:lang w:val="en-US"/>
        </w:rPr>
        <w:t xml:space="preserve"> and of the representatives</w:t>
      </w:r>
      <w:bookmarkEnd w:id="93"/>
      <w:bookmarkEnd w:id="94"/>
      <w:bookmarkEnd w:id="95"/>
    </w:p>
    <w:p w14:paraId="0EC24ECD" w14:textId="77777777" w:rsidR="003B5FC8" w:rsidRPr="007B2402" w:rsidRDefault="003B5FC8" w:rsidP="003B5FC8">
      <w:pPr>
        <w:spacing w:after="0" w:line="240" w:lineRule="auto"/>
        <w:jc w:val="both"/>
        <w:rPr>
          <w:rFonts w:eastAsia="Calibri" w:cs="Times New Roman"/>
          <w:szCs w:val="20"/>
          <w:lang w:val="en-US"/>
        </w:rPr>
      </w:pPr>
    </w:p>
    <w:p w14:paraId="4F55BCDA" w14:textId="2C4AFF89" w:rsidR="003B5FC8" w:rsidRPr="007B2402" w:rsidRDefault="00AF4344" w:rsidP="00D228FE">
      <w:pPr>
        <w:numPr>
          <w:ilvl w:val="0"/>
          <w:numId w:val="5"/>
        </w:numPr>
        <w:spacing w:after="0" w:line="240" w:lineRule="auto"/>
        <w:contextualSpacing/>
        <w:jc w:val="both"/>
        <w:rPr>
          <w:rFonts w:eastAsia="Batang" w:cs="Times"/>
          <w:szCs w:val="20"/>
          <w:lang w:val="en-US" w:eastAsia="es-ES"/>
        </w:rPr>
      </w:pPr>
      <w:r w:rsidRPr="007B2402">
        <w:rPr>
          <w:rFonts w:eastAsia="Calibri" w:cs="Times New Roman"/>
          <w:szCs w:val="20"/>
          <w:lang w:val="en-US"/>
        </w:rPr>
        <w:t xml:space="preserve">The </w:t>
      </w:r>
      <w:r w:rsidRPr="007B2402">
        <w:rPr>
          <w:rFonts w:eastAsia="Calibri" w:cs="Times New Roman"/>
          <w:b/>
          <w:i/>
          <w:szCs w:val="20"/>
          <w:lang w:val="en-US"/>
        </w:rPr>
        <w:t>State</w:t>
      </w:r>
      <w:r w:rsidR="003B5FC8" w:rsidRPr="007B2402">
        <w:rPr>
          <w:rFonts w:eastAsia="Calibri" w:cs="Times New Roman"/>
          <w:szCs w:val="20"/>
          <w:lang w:val="en-US"/>
        </w:rPr>
        <w:t xml:space="preserve"> </w:t>
      </w:r>
      <w:r w:rsidR="003B5FC8" w:rsidRPr="007B2402">
        <w:rPr>
          <w:rFonts w:eastAsia="Batang" w:cs="Times"/>
          <w:szCs w:val="20"/>
          <w:lang w:val="en-US" w:eastAsia="es-ES"/>
        </w:rPr>
        <w:t>indic</w:t>
      </w:r>
      <w:r w:rsidR="00E427E7" w:rsidRPr="007B2402">
        <w:rPr>
          <w:rFonts w:eastAsia="Batang" w:cs="Times"/>
          <w:szCs w:val="20"/>
          <w:lang w:val="en-US" w:eastAsia="es-ES"/>
        </w:rPr>
        <w:t>ated that</w:t>
      </w:r>
      <w:r w:rsidR="003B5FC8" w:rsidRPr="007B2402">
        <w:rPr>
          <w:rFonts w:eastAsia="Calibri" w:cs="Times New Roman"/>
          <w:szCs w:val="20"/>
          <w:lang w:val="en-US"/>
        </w:rPr>
        <w:t xml:space="preserve"> </w:t>
      </w:r>
      <w:r w:rsidRPr="007B2402">
        <w:rPr>
          <w:rFonts w:eastAsia="Calibri" w:cs="Times New Roman"/>
          <w:szCs w:val="20"/>
          <w:lang w:val="en-US"/>
        </w:rPr>
        <w:t>the Commission</w:t>
      </w:r>
      <w:r w:rsidR="003B5FC8" w:rsidRPr="007B2402">
        <w:rPr>
          <w:rFonts w:eastAsia="Calibri" w:cs="Times New Roman"/>
          <w:szCs w:val="20"/>
          <w:lang w:val="en-US"/>
        </w:rPr>
        <w:t xml:space="preserve"> ha</w:t>
      </w:r>
      <w:r w:rsidR="00E427E7" w:rsidRPr="007B2402">
        <w:rPr>
          <w:rFonts w:eastAsia="Calibri" w:cs="Times New Roman"/>
          <w:szCs w:val="20"/>
          <w:lang w:val="en-US"/>
        </w:rPr>
        <w:t>d</w:t>
      </w:r>
      <w:r w:rsidR="003B5FC8" w:rsidRPr="007B2402">
        <w:rPr>
          <w:rFonts w:eastAsia="Calibri" w:cs="Times New Roman"/>
          <w:szCs w:val="20"/>
          <w:lang w:val="en-US"/>
        </w:rPr>
        <w:t xml:space="preserve"> </w:t>
      </w:r>
      <w:r w:rsidR="00E427E7" w:rsidRPr="007B2402">
        <w:rPr>
          <w:rFonts w:eastAsia="Calibri" w:cs="Times New Roman"/>
          <w:szCs w:val="20"/>
          <w:lang w:val="en-US"/>
        </w:rPr>
        <w:t xml:space="preserve">published the complete text of preliminary Merits Report </w:t>
      </w:r>
      <w:r w:rsidR="003B5FC8" w:rsidRPr="007B2402">
        <w:rPr>
          <w:rFonts w:eastAsia="Calibri" w:cs="Times New Roman"/>
          <w:szCs w:val="20"/>
          <w:lang w:val="en-US"/>
        </w:rPr>
        <w:t xml:space="preserve">No. 71/2015 </w:t>
      </w:r>
      <w:r w:rsidR="00E427E7" w:rsidRPr="007B2402">
        <w:rPr>
          <w:rFonts w:eastAsia="Calibri" w:cs="Times New Roman"/>
          <w:szCs w:val="20"/>
          <w:lang w:val="en-US"/>
        </w:rPr>
        <w:t>of</w:t>
      </w:r>
      <w:r w:rsidR="003B5FC8" w:rsidRPr="007B2402">
        <w:rPr>
          <w:rFonts w:eastAsia="Calibri" w:cs="Times New Roman"/>
          <w:szCs w:val="20"/>
          <w:lang w:val="en-US"/>
        </w:rPr>
        <w:t xml:space="preserve"> </w:t>
      </w:r>
      <w:r w:rsidR="00375567" w:rsidRPr="007B2402">
        <w:rPr>
          <w:rFonts w:eastAsia="Calibri" w:cs="Times New Roman"/>
          <w:szCs w:val="20"/>
          <w:lang w:val="en-US"/>
        </w:rPr>
        <w:t>October 28,</w:t>
      </w:r>
      <w:r w:rsidR="003B5FC8" w:rsidRPr="007B2402">
        <w:rPr>
          <w:rFonts w:eastAsia="Calibri" w:cs="Times New Roman"/>
          <w:szCs w:val="20"/>
          <w:lang w:val="en-US"/>
        </w:rPr>
        <w:t xml:space="preserve"> 2015, </w:t>
      </w:r>
      <w:r w:rsidR="00E427E7" w:rsidRPr="007B2402">
        <w:rPr>
          <w:rFonts w:eastAsia="Calibri" w:cs="Times New Roman"/>
          <w:szCs w:val="20"/>
          <w:lang w:val="en-US"/>
        </w:rPr>
        <w:t xml:space="preserve">on its website before </w:t>
      </w:r>
      <w:r w:rsidR="00D228FE" w:rsidRPr="007B2402">
        <w:rPr>
          <w:rFonts w:eastAsia="Calibri" w:cs="Times New Roman"/>
          <w:szCs w:val="20"/>
          <w:lang w:val="en-US"/>
        </w:rPr>
        <w:t xml:space="preserve">submitting the case to the Court. The State considered that this circumstances violated </w:t>
      </w:r>
      <w:r w:rsidR="006E2CFF" w:rsidRPr="007B2402">
        <w:rPr>
          <w:rFonts w:eastAsia="Calibri" w:cs="Times New Roman"/>
          <w:szCs w:val="20"/>
          <w:lang w:val="en-US"/>
        </w:rPr>
        <w:t>Article</w:t>
      </w:r>
      <w:r w:rsidR="003B5FC8" w:rsidRPr="007B2402">
        <w:rPr>
          <w:rFonts w:eastAsia="Calibri" w:cs="Times New Roman"/>
          <w:szCs w:val="20"/>
          <w:lang w:val="en-US"/>
        </w:rPr>
        <w:t xml:space="preserve"> 51</w:t>
      </w:r>
      <w:r w:rsidRPr="007B2402">
        <w:rPr>
          <w:rFonts w:eastAsia="Calibri" w:cs="Times New Roman"/>
          <w:szCs w:val="20"/>
          <w:lang w:val="en-US"/>
        </w:rPr>
        <w:t xml:space="preserve"> of the Convention</w:t>
      </w:r>
      <w:r w:rsidR="003B5FC8" w:rsidRPr="007B2402">
        <w:rPr>
          <w:rFonts w:eastAsia="Calibri" w:cs="Times New Roman"/>
          <w:szCs w:val="20"/>
          <w:lang w:val="en-US"/>
        </w:rPr>
        <w:t xml:space="preserve">, </w:t>
      </w:r>
      <w:r w:rsidR="00D228FE" w:rsidRPr="007B2402">
        <w:rPr>
          <w:rFonts w:eastAsia="Calibri" w:cs="Times New Roman"/>
          <w:szCs w:val="20"/>
          <w:lang w:val="en-US"/>
        </w:rPr>
        <w:t>because the Convention authorize</w:t>
      </w:r>
      <w:r w:rsidR="002C1D89" w:rsidRPr="007B2402">
        <w:rPr>
          <w:rFonts w:eastAsia="Calibri" w:cs="Times New Roman"/>
          <w:szCs w:val="20"/>
          <w:lang w:val="en-US"/>
        </w:rPr>
        <w:t>d</w:t>
      </w:r>
      <w:r w:rsidR="00D228FE" w:rsidRPr="007B2402">
        <w:rPr>
          <w:rFonts w:eastAsia="Calibri" w:cs="Times New Roman"/>
          <w:szCs w:val="20"/>
          <w:lang w:val="en-US"/>
        </w:rPr>
        <w:t xml:space="preserve"> </w:t>
      </w:r>
      <w:r w:rsidRPr="007B2402">
        <w:rPr>
          <w:rFonts w:eastAsia="Calibri" w:cs="Times New Roman"/>
          <w:szCs w:val="20"/>
          <w:lang w:val="en-US"/>
        </w:rPr>
        <w:t>the Commission</w:t>
      </w:r>
      <w:r w:rsidR="003B5FC8" w:rsidRPr="007B2402">
        <w:rPr>
          <w:rFonts w:eastAsia="Calibri" w:cs="Times New Roman"/>
          <w:szCs w:val="20"/>
          <w:lang w:val="en-US"/>
        </w:rPr>
        <w:t xml:space="preserve"> </w:t>
      </w:r>
      <w:r w:rsidR="00D228FE" w:rsidRPr="007B2402">
        <w:rPr>
          <w:rFonts w:eastAsia="Calibri" w:cs="Times New Roman"/>
          <w:szCs w:val="20"/>
          <w:lang w:val="en-US"/>
        </w:rPr>
        <w:t>to issue a final report and eventually publish this, or to submit a case to the Court’s jurisdiction. It also indicated that the Commission was not authorized to publish this report before submitting the case to the Court. Therefore, the State asked that the Court declare that the Commission had violated</w:t>
      </w:r>
      <w:r w:rsidR="00D228FE" w:rsidRPr="007B2402">
        <w:rPr>
          <w:rFonts w:eastAsia="Batang" w:cs="Times"/>
          <w:szCs w:val="20"/>
          <w:lang w:val="en-US" w:eastAsia="es-ES"/>
        </w:rPr>
        <w:t xml:space="preserve"> Articles </w:t>
      </w:r>
      <w:r w:rsidR="003B5FC8" w:rsidRPr="007B2402">
        <w:rPr>
          <w:rFonts w:eastAsia="Calibri" w:cs="Verdana Bold"/>
          <w:bCs/>
          <w:szCs w:val="20"/>
          <w:lang w:val="en-US"/>
        </w:rPr>
        <w:t>50</w:t>
      </w:r>
      <w:r w:rsidR="005B1590" w:rsidRPr="007B2402">
        <w:rPr>
          <w:rFonts w:eastAsia="Calibri" w:cs="Verdana Bold"/>
          <w:bCs/>
          <w:szCs w:val="20"/>
          <w:lang w:val="en-US"/>
        </w:rPr>
        <w:t xml:space="preserve"> and </w:t>
      </w:r>
      <w:r w:rsidR="003B5FC8" w:rsidRPr="007B2402">
        <w:rPr>
          <w:rFonts w:eastAsia="Calibri" w:cs="Verdana Bold"/>
          <w:bCs/>
          <w:szCs w:val="20"/>
          <w:lang w:val="en-US"/>
        </w:rPr>
        <w:t>51</w:t>
      </w:r>
      <w:r w:rsidRPr="007B2402">
        <w:rPr>
          <w:rFonts w:eastAsia="Calibri" w:cs="Verdana Bold"/>
          <w:bCs/>
          <w:szCs w:val="20"/>
          <w:lang w:val="en-US"/>
        </w:rPr>
        <w:t xml:space="preserve"> of the Convention</w:t>
      </w:r>
      <w:r w:rsidR="005B1590" w:rsidRPr="007B2402">
        <w:rPr>
          <w:rFonts w:eastAsia="Calibri" w:cs="Verdana Bold"/>
          <w:bCs/>
          <w:szCs w:val="20"/>
          <w:lang w:val="en-US"/>
        </w:rPr>
        <w:t xml:space="preserve"> and </w:t>
      </w:r>
      <w:r w:rsidR="00D228FE" w:rsidRPr="007B2402">
        <w:rPr>
          <w:rFonts w:eastAsia="Calibri" w:cs="Verdana Bold"/>
          <w:bCs/>
          <w:szCs w:val="20"/>
          <w:lang w:val="en-US"/>
        </w:rPr>
        <w:t>that it should remove the said report from its website.</w:t>
      </w:r>
    </w:p>
    <w:p w14:paraId="273AE1BF" w14:textId="77777777" w:rsidR="003B5FC8" w:rsidRPr="007B2402" w:rsidRDefault="003B5FC8" w:rsidP="003B5FC8">
      <w:pPr>
        <w:spacing w:after="0" w:line="240" w:lineRule="auto"/>
        <w:contextualSpacing/>
        <w:jc w:val="both"/>
        <w:rPr>
          <w:rFonts w:eastAsia="Batang" w:cs="Times"/>
          <w:szCs w:val="20"/>
          <w:lang w:val="en-US" w:eastAsia="es-ES"/>
        </w:rPr>
      </w:pPr>
    </w:p>
    <w:p w14:paraId="18F31B1B" w14:textId="6C92F5CB" w:rsidR="003B5FC8" w:rsidRPr="007B2402" w:rsidRDefault="00AF4344" w:rsidP="00DB1F30">
      <w:pPr>
        <w:numPr>
          <w:ilvl w:val="0"/>
          <w:numId w:val="5"/>
        </w:numPr>
        <w:spacing w:after="0" w:line="240" w:lineRule="auto"/>
        <w:contextualSpacing/>
        <w:jc w:val="both"/>
        <w:rPr>
          <w:rFonts w:eastAsia="Batang" w:cs="Times"/>
          <w:szCs w:val="20"/>
          <w:lang w:val="en-US" w:eastAsia="es-ES"/>
        </w:rPr>
      </w:pPr>
      <w:r w:rsidRPr="007B2402">
        <w:rPr>
          <w:rFonts w:eastAsia="Calibri" w:cs="Times New Roman"/>
          <w:szCs w:val="20"/>
          <w:lang w:val="en-US"/>
        </w:rPr>
        <w:t xml:space="preserve">The </w:t>
      </w:r>
      <w:r w:rsidRPr="007B2402">
        <w:rPr>
          <w:rFonts w:eastAsia="Calibri" w:cs="Times New Roman"/>
          <w:b/>
          <w:i/>
          <w:szCs w:val="20"/>
          <w:lang w:val="en-US"/>
        </w:rPr>
        <w:t>Commission</w:t>
      </w:r>
      <w:r w:rsidR="003B5FC8" w:rsidRPr="007B2402">
        <w:rPr>
          <w:rFonts w:eastAsia="Calibri" w:cs="Times New Roman"/>
          <w:szCs w:val="20"/>
          <w:lang w:val="en-US"/>
        </w:rPr>
        <w:t xml:space="preserve"> </w:t>
      </w:r>
      <w:r w:rsidR="00DF6F2D" w:rsidRPr="007B2402">
        <w:rPr>
          <w:rFonts w:eastAsia="Calibri" w:cs="Times New Roman"/>
          <w:szCs w:val="20"/>
          <w:lang w:val="en-US"/>
        </w:rPr>
        <w:t xml:space="preserve">noted that the State’s allegation did not constitute </w:t>
      </w:r>
      <w:r w:rsidR="003B5FC8" w:rsidRPr="007B2402">
        <w:rPr>
          <w:rFonts w:eastAsia="Calibri" w:cs="Times New Roman"/>
          <w:szCs w:val="20"/>
          <w:lang w:val="en-US"/>
        </w:rPr>
        <w:t xml:space="preserve">a </w:t>
      </w:r>
      <w:r w:rsidR="006E2CFF" w:rsidRPr="007B2402">
        <w:rPr>
          <w:rFonts w:eastAsia="Calibri" w:cs="Times New Roman"/>
          <w:szCs w:val="20"/>
          <w:lang w:val="en-US"/>
        </w:rPr>
        <w:t>preliminary objection</w:t>
      </w:r>
      <w:r w:rsidR="003B5FC8" w:rsidRPr="007B2402">
        <w:rPr>
          <w:rFonts w:eastAsia="Calibri" w:cs="Times New Roman"/>
          <w:szCs w:val="20"/>
          <w:lang w:val="en-US"/>
        </w:rPr>
        <w:t xml:space="preserve"> </w:t>
      </w:r>
      <w:r w:rsidR="00DF6F2D" w:rsidRPr="007B2402">
        <w:rPr>
          <w:rFonts w:eastAsia="Calibri" w:cs="Times New Roman"/>
          <w:szCs w:val="20"/>
          <w:lang w:val="en-US"/>
        </w:rPr>
        <w:t xml:space="preserve">because it did not refer to matters of competence, or to the admissibility requirements established in </w:t>
      </w:r>
      <w:r w:rsidRPr="007B2402">
        <w:rPr>
          <w:rFonts w:eastAsia="Calibri" w:cs="Times New Roman"/>
          <w:szCs w:val="20"/>
          <w:lang w:val="en-US"/>
        </w:rPr>
        <w:t>the Convention</w:t>
      </w:r>
      <w:r w:rsidR="003B5FC8" w:rsidRPr="007B2402">
        <w:rPr>
          <w:rFonts w:eastAsia="Calibri" w:cs="Times New Roman"/>
          <w:szCs w:val="20"/>
          <w:lang w:val="en-US"/>
        </w:rPr>
        <w:t>.</w:t>
      </w:r>
      <w:r w:rsidR="0054761C" w:rsidRPr="007B2402">
        <w:rPr>
          <w:rFonts w:eastAsia="Calibri" w:cs="Times New Roman"/>
          <w:b/>
          <w:szCs w:val="20"/>
          <w:lang w:val="en-US"/>
        </w:rPr>
        <w:t xml:space="preserve"> </w:t>
      </w:r>
      <w:r w:rsidR="002C1D89" w:rsidRPr="007B2402">
        <w:rPr>
          <w:rFonts w:eastAsia="Calibri" w:cs="Times New Roman"/>
          <w:szCs w:val="20"/>
          <w:lang w:val="en-US"/>
        </w:rPr>
        <w:t>It also</w:t>
      </w:r>
      <w:r w:rsidR="00DF6F2D" w:rsidRPr="007B2402">
        <w:rPr>
          <w:rFonts w:eastAsia="Calibri" w:cs="Times New Roman"/>
          <w:szCs w:val="20"/>
          <w:lang w:val="en-US"/>
        </w:rPr>
        <w:t xml:space="preserve"> </w:t>
      </w:r>
      <w:r w:rsidR="002C1D89" w:rsidRPr="007B2402">
        <w:rPr>
          <w:rFonts w:eastAsia="Calibri" w:cs="Times New Roman"/>
          <w:szCs w:val="20"/>
          <w:lang w:val="en-US"/>
        </w:rPr>
        <w:t>argued</w:t>
      </w:r>
      <w:r w:rsidR="00DF6F2D" w:rsidRPr="007B2402">
        <w:rPr>
          <w:rFonts w:eastAsia="Calibri" w:cs="Times New Roman"/>
          <w:szCs w:val="20"/>
          <w:lang w:val="en-US"/>
        </w:rPr>
        <w:t xml:space="preserve"> that the Merits Report issue under</w:t>
      </w:r>
      <w:r w:rsidR="003B5FC8" w:rsidRPr="007B2402">
        <w:rPr>
          <w:rFonts w:eastAsia="Calibri" w:cs="Times New Roman"/>
          <w:szCs w:val="20"/>
          <w:lang w:val="en-US"/>
        </w:rPr>
        <w:t xml:space="preserve"> </w:t>
      </w:r>
      <w:r w:rsidRPr="007B2402">
        <w:rPr>
          <w:rFonts w:eastAsia="Calibri" w:cs="Times New Roman"/>
          <w:szCs w:val="20"/>
          <w:lang w:val="en-US"/>
        </w:rPr>
        <w:t>Article</w:t>
      </w:r>
      <w:r w:rsidR="003B5FC8" w:rsidRPr="007B2402">
        <w:rPr>
          <w:rFonts w:eastAsia="Calibri" w:cs="Times New Roman"/>
          <w:szCs w:val="20"/>
          <w:lang w:val="en-US"/>
        </w:rPr>
        <w:t xml:space="preserve"> 50</w:t>
      </w:r>
      <w:r w:rsidRPr="007B2402">
        <w:rPr>
          <w:rFonts w:eastAsia="Calibri" w:cs="Times New Roman"/>
          <w:szCs w:val="20"/>
          <w:lang w:val="en-US"/>
        </w:rPr>
        <w:t xml:space="preserve"> of the American Convention</w:t>
      </w:r>
      <w:r w:rsidR="003B5FC8" w:rsidRPr="007B2402">
        <w:rPr>
          <w:rFonts w:eastAsia="Calibri" w:cs="Times New Roman"/>
          <w:szCs w:val="20"/>
          <w:lang w:val="en-US"/>
        </w:rPr>
        <w:t xml:space="preserve"> </w:t>
      </w:r>
      <w:r w:rsidR="002C1D89" w:rsidRPr="007B2402">
        <w:rPr>
          <w:rFonts w:eastAsia="Calibri" w:cs="Times New Roman"/>
          <w:szCs w:val="20"/>
          <w:lang w:val="en-US"/>
        </w:rPr>
        <w:t>wa</w:t>
      </w:r>
      <w:r w:rsidR="003B5FC8" w:rsidRPr="007B2402">
        <w:rPr>
          <w:rFonts w:eastAsia="Calibri" w:cs="Times New Roman"/>
          <w:szCs w:val="20"/>
          <w:lang w:val="en-US"/>
        </w:rPr>
        <w:t>s preliminar</w:t>
      </w:r>
      <w:r w:rsidR="00DF6F2D" w:rsidRPr="007B2402">
        <w:rPr>
          <w:rFonts w:eastAsia="Calibri" w:cs="Times New Roman"/>
          <w:szCs w:val="20"/>
          <w:lang w:val="en-US"/>
        </w:rPr>
        <w:t xml:space="preserve">y and confidential in </w:t>
      </w:r>
      <w:r w:rsidR="00B0525F" w:rsidRPr="007B2402">
        <w:rPr>
          <w:rFonts w:eastAsia="Calibri" w:cs="Times New Roman"/>
          <w:szCs w:val="20"/>
          <w:lang w:val="en-US"/>
        </w:rPr>
        <w:t>nature</w:t>
      </w:r>
      <w:r w:rsidR="00DF6F2D" w:rsidRPr="007B2402">
        <w:rPr>
          <w:rFonts w:eastAsia="Calibri" w:cs="Times New Roman"/>
          <w:szCs w:val="20"/>
          <w:lang w:val="en-US"/>
        </w:rPr>
        <w:t xml:space="preserve">. When </w:t>
      </w:r>
      <w:r w:rsidRPr="007B2402">
        <w:rPr>
          <w:rFonts w:eastAsia="Calibri" w:cs="Times New Roman"/>
          <w:szCs w:val="20"/>
          <w:lang w:val="en-US"/>
        </w:rPr>
        <w:t>the Commission</w:t>
      </w:r>
      <w:r w:rsidR="003B5FC8" w:rsidRPr="007B2402">
        <w:rPr>
          <w:rFonts w:eastAsia="Calibri" w:cs="Times New Roman"/>
          <w:szCs w:val="20"/>
          <w:lang w:val="en-US"/>
        </w:rPr>
        <w:t xml:space="preserve"> </w:t>
      </w:r>
      <w:r w:rsidR="002C1D89" w:rsidRPr="007B2402">
        <w:rPr>
          <w:rFonts w:eastAsia="Calibri" w:cs="Times New Roman"/>
          <w:szCs w:val="20"/>
          <w:lang w:val="en-US"/>
        </w:rPr>
        <w:t>opted for</w:t>
      </w:r>
      <w:r w:rsidR="00DF6F2D" w:rsidRPr="007B2402">
        <w:rPr>
          <w:rFonts w:eastAsia="Calibri" w:cs="Times New Roman"/>
          <w:szCs w:val="20"/>
          <w:lang w:val="en-US"/>
        </w:rPr>
        <w:t xml:space="preserve"> one of the options indicated in </w:t>
      </w:r>
      <w:r w:rsidRPr="007B2402">
        <w:rPr>
          <w:rFonts w:eastAsia="Calibri" w:cs="Times New Roman"/>
          <w:szCs w:val="20"/>
          <w:lang w:val="en-US"/>
        </w:rPr>
        <w:t>Article</w:t>
      </w:r>
      <w:r w:rsidR="003B5FC8" w:rsidRPr="007B2402">
        <w:rPr>
          <w:rFonts w:eastAsia="Calibri" w:cs="Times New Roman"/>
          <w:szCs w:val="20"/>
          <w:lang w:val="en-US"/>
        </w:rPr>
        <w:t xml:space="preserve"> 51, </w:t>
      </w:r>
      <w:r w:rsidR="00DF6F2D" w:rsidRPr="007B2402">
        <w:rPr>
          <w:rFonts w:eastAsia="Calibri" w:cs="Times New Roman"/>
          <w:szCs w:val="20"/>
          <w:lang w:val="en-US"/>
        </w:rPr>
        <w:t xml:space="preserve">the report </w:t>
      </w:r>
      <w:r w:rsidR="002C1D89" w:rsidRPr="007B2402">
        <w:rPr>
          <w:rFonts w:eastAsia="Calibri" w:cs="Times New Roman"/>
          <w:szCs w:val="20"/>
          <w:lang w:val="en-US"/>
        </w:rPr>
        <w:t>was no longer</w:t>
      </w:r>
      <w:r w:rsidR="00DF6F2D" w:rsidRPr="007B2402">
        <w:rPr>
          <w:rFonts w:eastAsia="Calibri" w:cs="Times New Roman"/>
          <w:szCs w:val="20"/>
          <w:lang w:val="en-US"/>
        </w:rPr>
        <w:t xml:space="preserve"> preliminary and confidential. In addition, </w:t>
      </w:r>
      <w:r w:rsidR="002C1D89" w:rsidRPr="007B2402">
        <w:rPr>
          <w:rFonts w:eastAsia="Calibri" w:cs="Times New Roman"/>
          <w:szCs w:val="20"/>
          <w:lang w:val="en-US"/>
        </w:rPr>
        <w:t xml:space="preserve">the </w:t>
      </w:r>
      <w:r w:rsidR="00DF6F2D" w:rsidRPr="007B2402">
        <w:rPr>
          <w:rFonts w:eastAsia="Calibri" w:cs="Times New Roman"/>
          <w:szCs w:val="20"/>
          <w:lang w:val="en-US"/>
        </w:rPr>
        <w:t xml:space="preserve">publication of the report on its website </w:t>
      </w:r>
      <w:r w:rsidR="002C1D89" w:rsidRPr="007B2402">
        <w:rPr>
          <w:rFonts w:eastAsia="Calibri" w:cs="Times New Roman"/>
          <w:szCs w:val="20"/>
          <w:lang w:val="en-US"/>
        </w:rPr>
        <w:t>wa</w:t>
      </w:r>
      <w:r w:rsidR="00DF6F2D" w:rsidRPr="007B2402">
        <w:rPr>
          <w:rFonts w:eastAsia="Calibri" w:cs="Times New Roman"/>
          <w:szCs w:val="20"/>
          <w:lang w:val="en-US"/>
        </w:rPr>
        <w:t>s the Commission’s consistent practice and d</w:t>
      </w:r>
      <w:r w:rsidR="002C1D89" w:rsidRPr="007B2402">
        <w:rPr>
          <w:rFonts w:eastAsia="Calibri" w:cs="Times New Roman"/>
          <w:szCs w:val="20"/>
          <w:lang w:val="en-US"/>
        </w:rPr>
        <w:t>id</w:t>
      </w:r>
      <w:r w:rsidR="00DF6F2D" w:rsidRPr="007B2402">
        <w:rPr>
          <w:rFonts w:eastAsia="Calibri" w:cs="Times New Roman"/>
          <w:szCs w:val="20"/>
          <w:lang w:val="en-US"/>
        </w:rPr>
        <w:t xml:space="preserve"> not infringe any provision of the Convention or the Rules of Procedure, as </w:t>
      </w:r>
      <w:r w:rsidR="002C1D89" w:rsidRPr="007B2402">
        <w:rPr>
          <w:rFonts w:eastAsia="Calibri" w:cs="Times New Roman"/>
          <w:szCs w:val="20"/>
          <w:lang w:val="en-US"/>
        </w:rPr>
        <w:t>declared</w:t>
      </w:r>
      <w:r w:rsidR="00DF6F2D" w:rsidRPr="007B2402">
        <w:rPr>
          <w:rFonts w:eastAsia="Calibri" w:cs="Times New Roman"/>
          <w:szCs w:val="20"/>
          <w:lang w:val="en-US"/>
        </w:rPr>
        <w:t xml:space="preserve"> in recent judgments with regard to </w:t>
      </w:r>
      <w:r w:rsidRPr="007B2402">
        <w:rPr>
          <w:rFonts w:eastAsia="Calibri" w:cs="Times New Roman"/>
          <w:szCs w:val="20"/>
          <w:lang w:val="en-US"/>
        </w:rPr>
        <w:t>Brazil</w:t>
      </w:r>
      <w:r w:rsidR="003B5FC8" w:rsidRPr="007B2402">
        <w:rPr>
          <w:rFonts w:eastAsia="Calibri" w:cs="Times New Roman"/>
          <w:szCs w:val="20"/>
          <w:lang w:val="en-US"/>
        </w:rPr>
        <w:t>.</w:t>
      </w:r>
      <w:r w:rsidR="003B5FC8" w:rsidRPr="007B2402">
        <w:rPr>
          <w:rFonts w:eastAsia="Calibri" w:cs="Times New Roman"/>
          <w:b/>
          <w:szCs w:val="20"/>
          <w:lang w:val="en-US"/>
        </w:rPr>
        <w:t xml:space="preserve"> </w:t>
      </w:r>
      <w:r w:rsidR="00DF6F2D" w:rsidRPr="007B2402">
        <w:rPr>
          <w:rFonts w:eastAsia="Calibri" w:cs="Times New Roman"/>
          <w:szCs w:val="20"/>
          <w:lang w:val="en-US"/>
        </w:rPr>
        <w:t xml:space="preserve">Consequently, </w:t>
      </w:r>
      <w:r w:rsidRPr="007B2402">
        <w:rPr>
          <w:rFonts w:eastAsia="Calibri" w:cs="Times New Roman"/>
          <w:szCs w:val="20"/>
          <w:lang w:val="en-US"/>
        </w:rPr>
        <w:t>the Commission</w:t>
      </w:r>
      <w:r w:rsidR="003B5FC8" w:rsidRPr="007B2402">
        <w:rPr>
          <w:rFonts w:eastAsia="Calibri" w:cs="Times New Roman"/>
          <w:szCs w:val="20"/>
          <w:lang w:val="en-US"/>
        </w:rPr>
        <w:t xml:space="preserve"> </w:t>
      </w:r>
      <w:r w:rsidR="00DF6F2D" w:rsidRPr="007B2402">
        <w:rPr>
          <w:rFonts w:eastAsia="Calibri" w:cs="Times New Roman"/>
          <w:szCs w:val="20"/>
          <w:lang w:val="en-US"/>
        </w:rPr>
        <w:t>asked</w:t>
      </w:r>
      <w:r w:rsidR="003B5FC8" w:rsidRPr="007B2402">
        <w:rPr>
          <w:rFonts w:eastAsia="Calibri" w:cs="Times New Roman"/>
          <w:szCs w:val="20"/>
          <w:lang w:val="en-US"/>
        </w:rPr>
        <w:t xml:space="preserve"> </w:t>
      </w:r>
      <w:r w:rsidRPr="007B2402">
        <w:rPr>
          <w:rFonts w:eastAsia="Calibri" w:cs="Times New Roman"/>
          <w:szCs w:val="20"/>
          <w:lang w:val="en-US"/>
        </w:rPr>
        <w:t>the Court</w:t>
      </w:r>
      <w:r w:rsidR="003B5FC8" w:rsidRPr="007B2402">
        <w:rPr>
          <w:rFonts w:eastAsia="Calibri" w:cs="Times New Roman"/>
          <w:szCs w:val="20"/>
          <w:lang w:val="en-US"/>
        </w:rPr>
        <w:t xml:space="preserve"> </w:t>
      </w:r>
      <w:r w:rsidR="00DF6F2D" w:rsidRPr="007B2402">
        <w:rPr>
          <w:rFonts w:eastAsia="Calibri" w:cs="Times New Roman"/>
          <w:szCs w:val="20"/>
          <w:lang w:val="en-US"/>
        </w:rPr>
        <w:t xml:space="preserve">to reiterate its considerations on this point </w:t>
      </w:r>
      <w:r w:rsidR="002C1D89" w:rsidRPr="007B2402">
        <w:rPr>
          <w:rFonts w:eastAsia="Calibri" w:cs="Times New Roman"/>
          <w:szCs w:val="20"/>
          <w:lang w:val="en-US"/>
        </w:rPr>
        <w:t xml:space="preserve">in previous cases </w:t>
      </w:r>
      <w:r w:rsidR="00DF6F2D" w:rsidRPr="007B2402">
        <w:rPr>
          <w:rFonts w:eastAsia="Calibri" w:cs="Times New Roman"/>
          <w:szCs w:val="20"/>
          <w:lang w:val="en-US"/>
        </w:rPr>
        <w:t xml:space="preserve">and to reject this </w:t>
      </w:r>
      <w:r w:rsidR="006E2CFF" w:rsidRPr="007B2402">
        <w:rPr>
          <w:rFonts w:eastAsia="Calibri" w:cs="Times New Roman"/>
          <w:szCs w:val="20"/>
          <w:lang w:val="en-US"/>
        </w:rPr>
        <w:t>preliminary objection</w:t>
      </w:r>
      <w:r w:rsidR="003B5FC8" w:rsidRPr="007B2402">
        <w:rPr>
          <w:rFonts w:eastAsia="Calibri" w:cs="Times New Roman"/>
          <w:szCs w:val="20"/>
          <w:lang w:val="en-US"/>
        </w:rPr>
        <w:t>.</w:t>
      </w:r>
    </w:p>
    <w:p w14:paraId="41638F8F" w14:textId="77777777" w:rsidR="003B5FC8" w:rsidRPr="007B2402" w:rsidRDefault="003B5FC8" w:rsidP="003B5FC8">
      <w:pPr>
        <w:spacing w:after="0" w:line="240" w:lineRule="auto"/>
        <w:contextualSpacing/>
        <w:jc w:val="both"/>
        <w:rPr>
          <w:rFonts w:eastAsia="Calibri" w:cs="Times New Roman"/>
          <w:szCs w:val="20"/>
          <w:lang w:val="en-US"/>
        </w:rPr>
      </w:pPr>
    </w:p>
    <w:p w14:paraId="238735FF" w14:textId="56F44634" w:rsidR="003B5FC8" w:rsidRPr="007B2402" w:rsidRDefault="005B1590" w:rsidP="00DB1F30">
      <w:pPr>
        <w:numPr>
          <w:ilvl w:val="0"/>
          <w:numId w:val="5"/>
        </w:numPr>
        <w:spacing w:after="0" w:line="240" w:lineRule="auto"/>
        <w:contextualSpacing/>
        <w:jc w:val="both"/>
        <w:rPr>
          <w:rFonts w:eastAsia="Calibri" w:cs="Times New Roman"/>
          <w:szCs w:val="20"/>
          <w:lang w:val="en-US"/>
        </w:rPr>
      </w:pPr>
      <w:r w:rsidRPr="007B2402">
        <w:rPr>
          <w:rFonts w:eastAsia="Calibri" w:cs="Times New Roman"/>
          <w:szCs w:val="20"/>
          <w:lang w:val="en-US"/>
        </w:rPr>
        <w:t xml:space="preserve">The </w:t>
      </w:r>
      <w:r w:rsidRPr="007B2402">
        <w:rPr>
          <w:rFonts w:eastAsia="Calibri" w:cs="Times New Roman"/>
          <w:b/>
          <w:i/>
          <w:szCs w:val="20"/>
          <w:lang w:val="en-US"/>
        </w:rPr>
        <w:t>representatives</w:t>
      </w:r>
      <w:r w:rsidR="003B5FC8" w:rsidRPr="007B2402">
        <w:rPr>
          <w:rFonts w:eastAsia="Calibri" w:cs="Times New Roman"/>
          <w:szCs w:val="20"/>
          <w:lang w:val="en-US"/>
        </w:rPr>
        <w:t xml:space="preserve"> </w:t>
      </w:r>
      <w:r w:rsidR="00DF6F2D" w:rsidRPr="007B2402">
        <w:rPr>
          <w:rFonts w:eastAsia="Calibri" w:cs="Times New Roman"/>
          <w:szCs w:val="20"/>
          <w:lang w:val="en-US"/>
        </w:rPr>
        <w:t>indicated that the</w:t>
      </w:r>
      <w:r w:rsidR="003B5FC8" w:rsidRPr="007B2402">
        <w:rPr>
          <w:rFonts w:eastAsia="Calibri" w:cs="Times New Roman"/>
          <w:szCs w:val="20"/>
          <w:lang w:val="en-US"/>
        </w:rPr>
        <w:t xml:space="preserve"> </w:t>
      </w:r>
      <w:r w:rsidR="006E2CFF" w:rsidRPr="007B2402">
        <w:rPr>
          <w:rFonts w:eastAsia="Calibri" w:cs="Times New Roman"/>
          <w:szCs w:val="20"/>
          <w:lang w:val="en-US"/>
        </w:rPr>
        <w:t>preliminary objection</w:t>
      </w:r>
      <w:r w:rsidR="003B5FC8" w:rsidRPr="007B2402">
        <w:rPr>
          <w:rFonts w:eastAsia="Calibri" w:cs="Times New Roman"/>
          <w:szCs w:val="20"/>
          <w:lang w:val="en-US"/>
        </w:rPr>
        <w:t xml:space="preserve"> </w:t>
      </w:r>
      <w:r w:rsidR="00DF6F2D" w:rsidRPr="007B2402">
        <w:rPr>
          <w:rFonts w:eastAsia="Calibri" w:cs="Times New Roman"/>
          <w:szCs w:val="20"/>
          <w:lang w:val="en-US"/>
        </w:rPr>
        <w:t xml:space="preserve">filed by the State was contradictory </w:t>
      </w:r>
      <w:r w:rsidR="002C1D89" w:rsidRPr="007B2402">
        <w:rPr>
          <w:rFonts w:eastAsia="Calibri" w:cs="Times New Roman"/>
          <w:szCs w:val="20"/>
          <w:lang w:val="en-US"/>
        </w:rPr>
        <w:t>because it required</w:t>
      </w:r>
      <w:r w:rsidR="00DF6F2D" w:rsidRPr="007B2402">
        <w:rPr>
          <w:rFonts w:eastAsia="Calibri" w:cs="Times New Roman"/>
          <w:szCs w:val="20"/>
          <w:lang w:val="en-US"/>
        </w:rPr>
        <w:t xml:space="preserve"> the Court</w:t>
      </w:r>
      <w:r w:rsidR="002C1D89" w:rsidRPr="007B2402">
        <w:rPr>
          <w:rFonts w:eastAsia="Calibri" w:cs="Times New Roman"/>
          <w:szCs w:val="20"/>
          <w:lang w:val="en-US"/>
        </w:rPr>
        <w:t xml:space="preserve"> to </w:t>
      </w:r>
      <w:r w:rsidR="00DF6F2D" w:rsidRPr="007B2402">
        <w:rPr>
          <w:rFonts w:eastAsia="Calibri" w:cs="Times New Roman"/>
          <w:szCs w:val="20"/>
          <w:lang w:val="en-US"/>
        </w:rPr>
        <w:t xml:space="preserve">determine a violation of </w:t>
      </w:r>
      <w:r w:rsidR="00DF1102" w:rsidRPr="007B2402">
        <w:rPr>
          <w:rFonts w:eastAsia="Calibri" w:cs="Times New Roman"/>
          <w:szCs w:val="20"/>
          <w:lang w:val="en-US"/>
        </w:rPr>
        <w:t>an</w:t>
      </w:r>
      <w:r w:rsidR="00DF6F2D" w:rsidRPr="007B2402">
        <w:rPr>
          <w:rFonts w:eastAsia="Calibri" w:cs="Times New Roman"/>
          <w:szCs w:val="20"/>
          <w:lang w:val="en-US"/>
        </w:rPr>
        <w:t xml:space="preserve"> international human rights treaty</w:t>
      </w:r>
      <w:r w:rsidR="002C1D89" w:rsidRPr="007B2402">
        <w:rPr>
          <w:rFonts w:eastAsia="Calibri" w:cs="Times New Roman"/>
          <w:szCs w:val="20"/>
          <w:lang w:val="en-US"/>
        </w:rPr>
        <w:t xml:space="preserve"> that prejudiced it</w:t>
      </w:r>
      <w:r w:rsidR="00DF6F2D" w:rsidRPr="007B2402">
        <w:rPr>
          <w:rFonts w:eastAsia="Calibri" w:cs="Times New Roman"/>
          <w:szCs w:val="20"/>
          <w:lang w:val="en-US"/>
        </w:rPr>
        <w:t xml:space="preserve">, disregarding the fact that it </w:t>
      </w:r>
      <w:r w:rsidR="002C1D89" w:rsidRPr="007B2402">
        <w:rPr>
          <w:rFonts w:eastAsia="Calibri" w:cs="Times New Roman"/>
          <w:szCs w:val="20"/>
          <w:lang w:val="en-US"/>
        </w:rPr>
        <w:t>wa</w:t>
      </w:r>
      <w:r w:rsidR="00DF6F2D" w:rsidRPr="007B2402">
        <w:rPr>
          <w:rFonts w:eastAsia="Calibri" w:cs="Times New Roman"/>
          <w:szCs w:val="20"/>
          <w:lang w:val="en-US"/>
        </w:rPr>
        <w:t>s the State itself that sign</w:t>
      </w:r>
      <w:r w:rsidR="002C1D89" w:rsidRPr="007B2402">
        <w:rPr>
          <w:rFonts w:eastAsia="Calibri" w:cs="Times New Roman"/>
          <w:szCs w:val="20"/>
          <w:lang w:val="en-US"/>
        </w:rPr>
        <w:t>ed</w:t>
      </w:r>
      <w:r w:rsidR="00DF6F2D" w:rsidRPr="007B2402">
        <w:rPr>
          <w:rFonts w:eastAsia="Calibri" w:cs="Times New Roman"/>
          <w:szCs w:val="20"/>
          <w:lang w:val="en-US"/>
        </w:rPr>
        <w:t xml:space="preserve"> international human rights treaties, thereby acquiring the obligation to ensure the enjoyment of the rights and freedoms to every person subject to </w:t>
      </w:r>
      <w:r w:rsidR="002C1D89" w:rsidRPr="007B2402">
        <w:rPr>
          <w:rFonts w:eastAsia="Calibri" w:cs="Times New Roman"/>
          <w:szCs w:val="20"/>
          <w:lang w:val="en-US"/>
        </w:rPr>
        <w:t>its</w:t>
      </w:r>
      <w:r w:rsidR="00DF6F2D" w:rsidRPr="007B2402">
        <w:rPr>
          <w:rFonts w:eastAsia="Calibri" w:cs="Times New Roman"/>
          <w:szCs w:val="20"/>
          <w:lang w:val="en-US"/>
        </w:rPr>
        <w:t xml:space="preserve"> jurisdiction. They also asserted that the argument submitted did not constitute a</w:t>
      </w:r>
      <w:r w:rsidR="003B5FC8" w:rsidRPr="007B2402">
        <w:rPr>
          <w:rFonts w:eastAsia="Calibri" w:cs="Times New Roman"/>
          <w:szCs w:val="20"/>
          <w:lang w:val="en-US"/>
        </w:rPr>
        <w:t xml:space="preserve"> </w:t>
      </w:r>
      <w:r w:rsidR="006E2CFF" w:rsidRPr="007B2402">
        <w:rPr>
          <w:rFonts w:eastAsia="Calibri" w:cs="Times New Roman"/>
          <w:szCs w:val="20"/>
          <w:lang w:val="en-US"/>
        </w:rPr>
        <w:t>preliminary objection</w:t>
      </w:r>
      <w:r w:rsidR="00DF6F2D" w:rsidRPr="007B2402">
        <w:rPr>
          <w:rFonts w:eastAsia="Calibri" w:cs="Times New Roman"/>
          <w:szCs w:val="20"/>
          <w:lang w:val="en-US"/>
        </w:rPr>
        <w:t xml:space="preserve"> and should therefore be rejected.</w:t>
      </w:r>
    </w:p>
    <w:p w14:paraId="152F3156" w14:textId="77777777" w:rsidR="003B5FC8" w:rsidRPr="007B2402" w:rsidRDefault="003B5FC8" w:rsidP="003B5FC8">
      <w:pPr>
        <w:spacing w:after="0" w:line="240" w:lineRule="auto"/>
        <w:contextualSpacing/>
        <w:jc w:val="both"/>
        <w:rPr>
          <w:rFonts w:eastAsia="Calibri" w:cs="Times New Roman"/>
          <w:b/>
          <w:szCs w:val="20"/>
          <w:lang w:val="en-US"/>
        </w:rPr>
      </w:pPr>
    </w:p>
    <w:p w14:paraId="61C7AC56" w14:textId="29F4CA44" w:rsidR="00A62446" w:rsidRPr="007B2402" w:rsidRDefault="00AC0222" w:rsidP="00A62446">
      <w:pPr>
        <w:numPr>
          <w:ilvl w:val="0"/>
          <w:numId w:val="5"/>
        </w:numPr>
        <w:spacing w:after="0" w:line="240" w:lineRule="auto"/>
        <w:contextualSpacing/>
        <w:jc w:val="both"/>
        <w:rPr>
          <w:rFonts w:eastAsia="Calibri" w:cs="Times New Roman"/>
          <w:i/>
          <w:szCs w:val="20"/>
          <w:lang w:val="en-US"/>
        </w:rPr>
      </w:pPr>
      <w:r w:rsidRPr="007B2402">
        <w:rPr>
          <w:rFonts w:eastAsia="Calibri" w:cs="Times New Roman"/>
          <w:szCs w:val="20"/>
          <w:lang w:val="en-US"/>
        </w:rPr>
        <w:t>Notwithstanding the foregoing</w:t>
      </w:r>
      <w:r w:rsidR="00406FE6" w:rsidRPr="007B2402">
        <w:rPr>
          <w:rFonts w:eastAsia="Calibri" w:cs="Times New Roman"/>
          <w:szCs w:val="20"/>
          <w:lang w:val="en-US"/>
        </w:rPr>
        <w:t>, they argued that</w:t>
      </w:r>
      <w:r w:rsidRPr="007B2402">
        <w:rPr>
          <w:rFonts w:eastAsia="Calibri" w:cs="Times New Roman"/>
          <w:szCs w:val="20"/>
          <w:lang w:val="en-US"/>
        </w:rPr>
        <w:t xml:space="preserve"> it was necessary that</w:t>
      </w:r>
      <w:r w:rsidR="00406FE6" w:rsidRPr="007B2402">
        <w:rPr>
          <w:rFonts w:eastAsia="Calibri" w:cs="Times New Roman"/>
          <w:szCs w:val="20"/>
          <w:lang w:val="en-US"/>
        </w:rPr>
        <w:t xml:space="preserve"> the State substantiate that the Commission’s action constitute</w:t>
      </w:r>
      <w:r w:rsidRPr="007B2402">
        <w:rPr>
          <w:rFonts w:eastAsia="Calibri" w:cs="Times New Roman"/>
          <w:szCs w:val="20"/>
          <w:lang w:val="en-US"/>
        </w:rPr>
        <w:t>d</w:t>
      </w:r>
      <w:r w:rsidR="00406FE6" w:rsidRPr="007B2402">
        <w:rPr>
          <w:rFonts w:eastAsia="Calibri" w:cs="Times New Roman"/>
          <w:szCs w:val="20"/>
          <w:lang w:val="en-US"/>
        </w:rPr>
        <w:t xml:space="preserve"> a grave error and prejudiced its right of defe</w:t>
      </w:r>
      <w:bookmarkStart w:id="96" w:name="_Toc505939130"/>
      <w:bookmarkStart w:id="97" w:name="_Toc506496111"/>
      <w:r w:rsidR="00406FE6" w:rsidRPr="007B2402">
        <w:rPr>
          <w:rFonts w:eastAsia="Calibri" w:cs="Times New Roman"/>
          <w:szCs w:val="20"/>
          <w:lang w:val="en-US"/>
        </w:rPr>
        <w:t>nse</w:t>
      </w:r>
      <w:r w:rsidR="0054761C" w:rsidRPr="007B2402">
        <w:rPr>
          <w:rFonts w:eastAsia="Calibri" w:cs="Times New Roman"/>
          <w:szCs w:val="20"/>
          <w:lang w:val="en-US"/>
        </w:rPr>
        <w:t>.</w:t>
      </w:r>
    </w:p>
    <w:p w14:paraId="3DFBEF51" w14:textId="77777777" w:rsidR="00A62446" w:rsidRPr="007B2402" w:rsidRDefault="00A62446" w:rsidP="00A62446">
      <w:pPr>
        <w:spacing w:after="0" w:line="240" w:lineRule="auto"/>
        <w:contextualSpacing/>
        <w:jc w:val="both"/>
        <w:rPr>
          <w:rFonts w:eastAsia="Calibri" w:cs="Times New Roman"/>
          <w:szCs w:val="20"/>
          <w:lang w:val="en-US"/>
        </w:rPr>
      </w:pPr>
    </w:p>
    <w:p w14:paraId="106CBC00" w14:textId="078A5428" w:rsidR="003B5FC8" w:rsidRPr="007B2402" w:rsidRDefault="00A66030" w:rsidP="003B5FC8">
      <w:pPr>
        <w:keepNext/>
        <w:keepLines/>
        <w:spacing w:after="0" w:line="240" w:lineRule="auto"/>
        <w:ind w:left="426"/>
        <w:contextualSpacing/>
        <w:jc w:val="both"/>
        <w:outlineLvl w:val="2"/>
        <w:rPr>
          <w:rFonts w:eastAsia="Calibri" w:cs="Times New Roman"/>
          <w:i/>
          <w:szCs w:val="20"/>
          <w:lang w:val="en-US"/>
        </w:rPr>
      </w:pPr>
      <w:bookmarkStart w:id="98" w:name="_Toc506984092"/>
      <w:r w:rsidRPr="007B2402">
        <w:rPr>
          <w:rFonts w:eastAsia="Calibri" w:cs="Times New Roman"/>
          <w:i/>
          <w:szCs w:val="20"/>
          <w:lang w:val="en-US"/>
        </w:rPr>
        <w:t>F</w:t>
      </w:r>
      <w:r w:rsidR="003B5FC8" w:rsidRPr="007B2402">
        <w:rPr>
          <w:rFonts w:eastAsia="Calibri" w:cs="Times New Roman"/>
          <w:i/>
          <w:szCs w:val="20"/>
          <w:lang w:val="en-US"/>
        </w:rPr>
        <w:t xml:space="preserve">.2. </w:t>
      </w:r>
      <w:r w:rsidR="007A07B8" w:rsidRPr="007B2402">
        <w:rPr>
          <w:rFonts w:eastAsia="Calibri" w:cs="Times New Roman"/>
          <w:i/>
          <w:szCs w:val="20"/>
          <w:lang w:val="en-US"/>
        </w:rPr>
        <w:t>Considerations</w:t>
      </w:r>
      <w:r w:rsidR="00AF4344" w:rsidRPr="007B2402">
        <w:rPr>
          <w:rFonts w:eastAsia="Calibri" w:cs="Times New Roman"/>
          <w:i/>
          <w:szCs w:val="20"/>
          <w:lang w:val="en-US"/>
        </w:rPr>
        <w:t xml:space="preserve"> of the Court</w:t>
      </w:r>
      <w:bookmarkEnd w:id="96"/>
      <w:bookmarkEnd w:id="97"/>
      <w:bookmarkEnd w:id="98"/>
    </w:p>
    <w:p w14:paraId="36750000" w14:textId="77777777" w:rsidR="003B5FC8" w:rsidRPr="007B2402" w:rsidRDefault="003B5FC8" w:rsidP="003B5FC8">
      <w:pPr>
        <w:spacing w:after="0" w:line="240" w:lineRule="auto"/>
        <w:jc w:val="both"/>
        <w:rPr>
          <w:rFonts w:eastAsia="Calibri" w:cs="Times New Roman"/>
          <w:b/>
          <w:szCs w:val="20"/>
          <w:lang w:val="en-US"/>
        </w:rPr>
      </w:pPr>
    </w:p>
    <w:p w14:paraId="418DDC16" w14:textId="10196631" w:rsidR="00EF60AA" w:rsidRPr="007B2402" w:rsidRDefault="00AF4344" w:rsidP="00EF60AA">
      <w:pPr>
        <w:numPr>
          <w:ilvl w:val="0"/>
          <w:numId w:val="5"/>
        </w:numPr>
        <w:autoSpaceDE w:val="0"/>
        <w:autoSpaceDN w:val="0"/>
        <w:adjustRightInd w:val="0"/>
        <w:spacing w:after="0" w:line="240" w:lineRule="auto"/>
        <w:ind w:right="6"/>
        <w:jc w:val="both"/>
        <w:rPr>
          <w:szCs w:val="20"/>
          <w:lang w:val="en-US" w:eastAsia="es-ES"/>
        </w:rPr>
      </w:pPr>
      <w:r w:rsidRPr="007B2402">
        <w:rPr>
          <w:szCs w:val="20"/>
          <w:lang w:val="en-US" w:eastAsia="es-ES"/>
        </w:rPr>
        <w:t>The Court</w:t>
      </w:r>
      <w:r w:rsidR="00EF60AA" w:rsidRPr="007B2402">
        <w:rPr>
          <w:szCs w:val="20"/>
          <w:lang w:val="en-US" w:eastAsia="es-ES"/>
        </w:rPr>
        <w:t xml:space="preserve"> not</w:t>
      </w:r>
      <w:r w:rsidR="00406FE6" w:rsidRPr="007B2402">
        <w:rPr>
          <w:szCs w:val="20"/>
          <w:lang w:val="en-US" w:eastAsia="es-ES"/>
        </w:rPr>
        <w:t xml:space="preserve">es that the State’s arguments are identical to those presented in its </w:t>
      </w:r>
      <w:r w:rsidR="00EF60AA" w:rsidRPr="007B2402">
        <w:rPr>
          <w:szCs w:val="20"/>
          <w:lang w:val="en-US" w:eastAsia="es-ES"/>
        </w:rPr>
        <w:t xml:space="preserve"> </w:t>
      </w:r>
      <w:r w:rsidR="006E2CFF" w:rsidRPr="007B2402">
        <w:rPr>
          <w:szCs w:val="20"/>
          <w:lang w:val="en-US" w:eastAsia="es-ES"/>
        </w:rPr>
        <w:t>preliminary objection</w:t>
      </w:r>
      <w:r w:rsidR="00EF60AA" w:rsidRPr="007B2402">
        <w:rPr>
          <w:szCs w:val="20"/>
          <w:lang w:val="en-US" w:eastAsia="es-ES"/>
        </w:rPr>
        <w:t xml:space="preserve"> </w:t>
      </w:r>
      <w:r w:rsidR="00406FE6" w:rsidRPr="007B2402">
        <w:rPr>
          <w:szCs w:val="20"/>
          <w:lang w:val="en-US" w:eastAsia="es-ES"/>
        </w:rPr>
        <w:t xml:space="preserve">in the cases of the </w:t>
      </w:r>
      <w:r w:rsidR="00EF60AA" w:rsidRPr="007B2402">
        <w:rPr>
          <w:szCs w:val="20"/>
          <w:lang w:val="en-US" w:eastAsia="es-ES"/>
        </w:rPr>
        <w:t xml:space="preserve">Hacienda </w:t>
      </w:r>
      <w:r w:rsidR="00D05845" w:rsidRPr="007B2402">
        <w:rPr>
          <w:szCs w:val="20"/>
          <w:lang w:val="en-US" w:eastAsia="es-ES"/>
        </w:rPr>
        <w:t>Brasil Verde</w:t>
      </w:r>
      <w:r w:rsidR="00406FE6" w:rsidRPr="007B2402">
        <w:rPr>
          <w:szCs w:val="20"/>
          <w:lang w:val="en-US" w:eastAsia="es-ES"/>
        </w:rPr>
        <w:t xml:space="preserve"> Workers</w:t>
      </w:r>
      <w:r w:rsidR="0088735B" w:rsidRPr="007B2402">
        <w:rPr>
          <w:szCs w:val="20"/>
          <w:lang w:val="en-US" w:eastAsia="es-ES"/>
        </w:rPr>
        <w:t>,</w:t>
      </w:r>
      <w:r w:rsidR="00EF60AA" w:rsidRPr="007B2402">
        <w:rPr>
          <w:szCs w:val="20"/>
          <w:lang w:val="en-US" w:eastAsia="es-ES"/>
        </w:rPr>
        <w:t xml:space="preserve"> Favela Nova </w:t>
      </w:r>
      <w:r w:rsidRPr="007B2402">
        <w:rPr>
          <w:szCs w:val="20"/>
          <w:lang w:val="en-US" w:eastAsia="es-ES"/>
        </w:rPr>
        <w:t>Bra</w:t>
      </w:r>
      <w:r w:rsidR="00406FE6" w:rsidRPr="007B2402">
        <w:rPr>
          <w:szCs w:val="20"/>
          <w:lang w:val="en-US" w:eastAsia="es-ES"/>
        </w:rPr>
        <w:t>s</w:t>
      </w:r>
      <w:r w:rsidRPr="007B2402">
        <w:rPr>
          <w:szCs w:val="20"/>
          <w:lang w:val="en-US" w:eastAsia="es-ES"/>
        </w:rPr>
        <w:t>il</w:t>
      </w:r>
      <w:r w:rsidR="00EF60AA" w:rsidRPr="007B2402">
        <w:rPr>
          <w:szCs w:val="20"/>
          <w:lang w:val="en-US" w:eastAsia="es-ES"/>
        </w:rPr>
        <w:t>ia</w:t>
      </w:r>
      <w:r w:rsidR="005B1590" w:rsidRPr="007B2402">
        <w:rPr>
          <w:szCs w:val="20"/>
          <w:lang w:val="en-US" w:eastAsia="es-ES"/>
        </w:rPr>
        <w:t xml:space="preserve"> and </w:t>
      </w:r>
      <w:r w:rsidR="00406FE6" w:rsidRPr="007B2402">
        <w:rPr>
          <w:szCs w:val="20"/>
          <w:lang w:val="en-US" w:eastAsia="es-ES"/>
        </w:rPr>
        <w:t>the</w:t>
      </w:r>
      <w:r w:rsidR="0088735B" w:rsidRPr="007B2402">
        <w:rPr>
          <w:szCs w:val="20"/>
          <w:lang w:val="en-US" w:eastAsia="es-ES"/>
        </w:rPr>
        <w:t xml:space="preserve"> Xucuru</w:t>
      </w:r>
      <w:r w:rsidR="00406FE6" w:rsidRPr="007B2402">
        <w:rPr>
          <w:szCs w:val="20"/>
          <w:lang w:val="en-US" w:eastAsia="es-ES"/>
        </w:rPr>
        <w:t xml:space="preserve"> Indigenous People.</w:t>
      </w:r>
      <w:r w:rsidR="00EF60AA" w:rsidRPr="007B2402">
        <w:rPr>
          <w:szCs w:val="20"/>
          <w:vertAlign w:val="superscript"/>
          <w:lang w:val="en-US" w:eastAsia="es-ES"/>
        </w:rPr>
        <w:footnoteReference w:id="40"/>
      </w:r>
      <w:r w:rsidR="00406FE6" w:rsidRPr="007B2402">
        <w:rPr>
          <w:szCs w:val="20"/>
          <w:lang w:val="en-US" w:eastAsia="es-ES"/>
        </w:rPr>
        <w:t xml:space="preserve"> In the judgments in these cases, the Court made a detailed analysis of the State’s a</w:t>
      </w:r>
      <w:r w:rsidR="00AC0222" w:rsidRPr="007B2402">
        <w:rPr>
          <w:szCs w:val="20"/>
          <w:lang w:val="en-US" w:eastAsia="es-ES"/>
        </w:rPr>
        <w:t>rguments</w:t>
      </w:r>
      <w:r w:rsidR="00406FE6" w:rsidRPr="007B2402">
        <w:rPr>
          <w:szCs w:val="20"/>
          <w:lang w:val="en-US" w:eastAsia="es-ES"/>
        </w:rPr>
        <w:t xml:space="preserve"> and concluded that the State had not proved its a</w:t>
      </w:r>
      <w:r w:rsidR="00AC0222" w:rsidRPr="007B2402">
        <w:rPr>
          <w:szCs w:val="20"/>
          <w:lang w:val="en-US" w:eastAsia="es-ES"/>
        </w:rPr>
        <w:t>llegation</w:t>
      </w:r>
      <w:r w:rsidR="00406FE6" w:rsidRPr="007B2402">
        <w:rPr>
          <w:szCs w:val="20"/>
          <w:lang w:val="en-US" w:eastAsia="es-ES"/>
        </w:rPr>
        <w:t xml:space="preserve"> that the respective </w:t>
      </w:r>
      <w:r w:rsidR="00375567" w:rsidRPr="007B2402">
        <w:rPr>
          <w:szCs w:val="20"/>
          <w:lang w:val="en-US" w:eastAsia="es-ES"/>
        </w:rPr>
        <w:t>Merits Report</w:t>
      </w:r>
      <w:r w:rsidR="00EF60AA" w:rsidRPr="007B2402">
        <w:rPr>
          <w:szCs w:val="20"/>
          <w:lang w:val="en-US" w:eastAsia="es-ES"/>
        </w:rPr>
        <w:t xml:space="preserve"> </w:t>
      </w:r>
      <w:r w:rsidR="00406FE6" w:rsidRPr="007B2402">
        <w:rPr>
          <w:szCs w:val="20"/>
          <w:lang w:val="en-US" w:eastAsia="es-ES"/>
        </w:rPr>
        <w:t xml:space="preserve">had been </w:t>
      </w:r>
      <w:r w:rsidR="00AC0222" w:rsidRPr="007B2402">
        <w:rPr>
          <w:szCs w:val="20"/>
          <w:lang w:val="en-US" w:eastAsia="es-ES"/>
        </w:rPr>
        <w:t>published</w:t>
      </w:r>
      <w:r w:rsidR="00406FE6" w:rsidRPr="007B2402">
        <w:rPr>
          <w:szCs w:val="20"/>
          <w:lang w:val="en-US" w:eastAsia="es-ES"/>
        </w:rPr>
        <w:t xml:space="preserve"> in a</w:t>
      </w:r>
      <w:r w:rsidR="00AC0222" w:rsidRPr="007B2402">
        <w:rPr>
          <w:szCs w:val="20"/>
          <w:lang w:val="en-US" w:eastAsia="es-ES"/>
        </w:rPr>
        <w:t xml:space="preserve"> way that</w:t>
      </w:r>
      <w:r w:rsidR="00406FE6" w:rsidRPr="007B2402">
        <w:rPr>
          <w:szCs w:val="20"/>
          <w:lang w:val="en-US" w:eastAsia="es-ES"/>
        </w:rPr>
        <w:t xml:space="preserve"> differe</w:t>
      </w:r>
      <w:r w:rsidR="00AC0222" w:rsidRPr="007B2402">
        <w:rPr>
          <w:szCs w:val="20"/>
          <w:lang w:val="en-US" w:eastAsia="es-ES"/>
        </w:rPr>
        <w:t>d from</w:t>
      </w:r>
      <w:r w:rsidR="00406FE6" w:rsidRPr="007B2402">
        <w:rPr>
          <w:szCs w:val="20"/>
          <w:lang w:val="en-US" w:eastAsia="es-ES"/>
        </w:rPr>
        <w:t xml:space="preserve"> th</w:t>
      </w:r>
      <w:r w:rsidR="00AC0222" w:rsidRPr="007B2402">
        <w:rPr>
          <w:szCs w:val="20"/>
          <w:lang w:val="en-US" w:eastAsia="es-ES"/>
        </w:rPr>
        <w:t>e way</w:t>
      </w:r>
      <w:r w:rsidR="00406FE6" w:rsidRPr="007B2402">
        <w:rPr>
          <w:szCs w:val="20"/>
          <w:lang w:val="en-US" w:eastAsia="es-ES"/>
        </w:rPr>
        <w:t xml:space="preserve"> described by </w:t>
      </w:r>
      <w:r w:rsidRPr="007B2402">
        <w:rPr>
          <w:szCs w:val="20"/>
          <w:lang w:val="en-US" w:eastAsia="es-ES"/>
        </w:rPr>
        <w:t>the Commission</w:t>
      </w:r>
      <w:r w:rsidR="00EF60AA" w:rsidRPr="007B2402">
        <w:rPr>
          <w:szCs w:val="20"/>
          <w:lang w:val="en-US" w:eastAsia="es-ES"/>
        </w:rPr>
        <w:t xml:space="preserve"> o</w:t>
      </w:r>
      <w:r w:rsidR="00406FE6" w:rsidRPr="007B2402">
        <w:rPr>
          <w:szCs w:val="20"/>
          <w:lang w:val="en-US" w:eastAsia="es-ES"/>
        </w:rPr>
        <w:t xml:space="preserve">r contrary to the provisions of </w:t>
      </w:r>
      <w:r w:rsidRPr="007B2402">
        <w:rPr>
          <w:szCs w:val="20"/>
          <w:lang w:val="en-US" w:eastAsia="es-ES"/>
        </w:rPr>
        <w:t xml:space="preserve">the American </w:t>
      </w:r>
      <w:r w:rsidRPr="007B2402">
        <w:rPr>
          <w:szCs w:val="20"/>
          <w:lang w:val="en-US" w:eastAsia="es-ES"/>
        </w:rPr>
        <w:lastRenderedPageBreak/>
        <w:t>Convention</w:t>
      </w:r>
      <w:r w:rsidR="00EF60AA" w:rsidRPr="007B2402">
        <w:rPr>
          <w:szCs w:val="20"/>
          <w:lang w:val="en-US" w:eastAsia="es-ES"/>
        </w:rPr>
        <w:t xml:space="preserve">. </w:t>
      </w:r>
      <w:r w:rsidR="00406FE6" w:rsidRPr="007B2402">
        <w:rPr>
          <w:szCs w:val="20"/>
          <w:lang w:val="en-US" w:eastAsia="es-ES"/>
        </w:rPr>
        <w:t>The Court’s considerations in those cases also appl</w:t>
      </w:r>
      <w:r w:rsidR="00AC0222" w:rsidRPr="007B2402">
        <w:rPr>
          <w:szCs w:val="20"/>
          <w:lang w:val="en-US" w:eastAsia="es-ES"/>
        </w:rPr>
        <w:t>y</w:t>
      </w:r>
      <w:r w:rsidR="00406FE6" w:rsidRPr="007B2402">
        <w:rPr>
          <w:szCs w:val="20"/>
          <w:lang w:val="en-US" w:eastAsia="es-ES"/>
        </w:rPr>
        <w:t xml:space="preserve"> to the instant case because, once again, the State</w:t>
      </w:r>
      <w:r w:rsidR="00AC0222" w:rsidRPr="007B2402">
        <w:rPr>
          <w:szCs w:val="20"/>
          <w:lang w:val="en-US" w:eastAsia="es-ES"/>
        </w:rPr>
        <w:t xml:space="preserve"> has</w:t>
      </w:r>
      <w:r w:rsidR="00406FE6" w:rsidRPr="007B2402">
        <w:rPr>
          <w:szCs w:val="20"/>
          <w:lang w:val="en-US" w:eastAsia="es-ES"/>
        </w:rPr>
        <w:t xml:space="preserve"> failed to prove that the </w:t>
      </w:r>
      <w:r w:rsidR="00375567" w:rsidRPr="007B2402">
        <w:rPr>
          <w:szCs w:val="20"/>
          <w:lang w:val="en-US" w:eastAsia="es-ES"/>
        </w:rPr>
        <w:t>Merits Report</w:t>
      </w:r>
      <w:r w:rsidR="00EF60AA" w:rsidRPr="007B2402">
        <w:rPr>
          <w:szCs w:val="20"/>
          <w:lang w:val="en-US" w:eastAsia="es-ES"/>
        </w:rPr>
        <w:t xml:space="preserve"> </w:t>
      </w:r>
      <w:r w:rsidR="00406FE6" w:rsidRPr="007B2402">
        <w:rPr>
          <w:szCs w:val="20"/>
          <w:lang w:val="en-US" w:eastAsia="es-ES"/>
        </w:rPr>
        <w:t xml:space="preserve">was published in a way that differed from that described by </w:t>
      </w:r>
      <w:r w:rsidRPr="007B2402">
        <w:rPr>
          <w:szCs w:val="20"/>
          <w:lang w:val="en-US" w:eastAsia="es-ES"/>
        </w:rPr>
        <w:t>the Commission</w:t>
      </w:r>
      <w:r w:rsidR="00EF60AA" w:rsidRPr="007B2402">
        <w:rPr>
          <w:szCs w:val="20"/>
          <w:lang w:val="en-US" w:eastAsia="es-ES"/>
        </w:rPr>
        <w:t xml:space="preserve"> o</w:t>
      </w:r>
      <w:r w:rsidR="00406FE6" w:rsidRPr="007B2402">
        <w:rPr>
          <w:szCs w:val="20"/>
          <w:lang w:val="en-US" w:eastAsia="es-ES"/>
        </w:rPr>
        <w:t xml:space="preserve">r contrary to the provisions of </w:t>
      </w:r>
      <w:r w:rsidRPr="007B2402">
        <w:rPr>
          <w:szCs w:val="20"/>
          <w:lang w:val="en-US" w:eastAsia="es-ES"/>
        </w:rPr>
        <w:t>the American Convention</w:t>
      </w:r>
      <w:r w:rsidR="00406FE6" w:rsidRPr="007B2402">
        <w:rPr>
          <w:szCs w:val="20"/>
          <w:lang w:val="en-US" w:eastAsia="es-ES"/>
        </w:rPr>
        <w:t xml:space="preserve">. Consequently, the Court </w:t>
      </w:r>
      <w:r w:rsidR="00AC0222" w:rsidRPr="007B2402">
        <w:rPr>
          <w:szCs w:val="20"/>
          <w:lang w:val="en-US" w:eastAsia="es-ES"/>
        </w:rPr>
        <w:t>finds</w:t>
      </w:r>
      <w:r w:rsidR="00406FE6" w:rsidRPr="007B2402">
        <w:rPr>
          <w:szCs w:val="20"/>
          <w:lang w:val="en-US" w:eastAsia="es-ES"/>
        </w:rPr>
        <w:t xml:space="preserve"> that Brazil’s allegation is inadmissible.</w:t>
      </w:r>
    </w:p>
    <w:p w14:paraId="7A411AE5" w14:textId="77777777" w:rsidR="00506BC0" w:rsidRPr="007B2402" w:rsidRDefault="00506BC0" w:rsidP="00506BC0">
      <w:pPr>
        <w:autoSpaceDE w:val="0"/>
        <w:autoSpaceDN w:val="0"/>
        <w:adjustRightInd w:val="0"/>
        <w:spacing w:after="0" w:line="240" w:lineRule="auto"/>
        <w:ind w:right="6"/>
        <w:jc w:val="both"/>
        <w:rPr>
          <w:szCs w:val="20"/>
          <w:lang w:val="en-US" w:eastAsia="es-ES"/>
        </w:rPr>
      </w:pPr>
    </w:p>
    <w:p w14:paraId="2EB1BA67" w14:textId="1C26C9E0" w:rsidR="00CB631F" w:rsidRPr="007B2402" w:rsidRDefault="007E42A8" w:rsidP="00506BC0">
      <w:pPr>
        <w:pStyle w:val="Ttulo2"/>
        <w:rPr>
          <w:b/>
          <w:noProof/>
          <w:lang w:val="en-US" w:eastAsia="es-ES"/>
        </w:rPr>
      </w:pPr>
      <w:bookmarkStart w:id="99" w:name="_Toc506984093"/>
      <w:r w:rsidRPr="007B2402">
        <w:rPr>
          <w:b/>
          <w:noProof/>
          <w:lang w:val="en-US" w:eastAsia="es-ES"/>
        </w:rPr>
        <w:t>Lack of jurisdiction</w:t>
      </w:r>
      <w:r w:rsidR="00AF4344" w:rsidRPr="007B2402">
        <w:rPr>
          <w:b/>
          <w:noProof/>
          <w:lang w:val="en-US" w:eastAsia="es-ES"/>
        </w:rPr>
        <w:t xml:space="preserve"> of the Court</w:t>
      </w:r>
      <w:r w:rsidR="00CB631F" w:rsidRPr="007B2402">
        <w:rPr>
          <w:b/>
          <w:noProof/>
          <w:lang w:val="en-US" w:eastAsia="es-ES"/>
        </w:rPr>
        <w:t xml:space="preserve"> </w:t>
      </w:r>
      <w:r w:rsidR="00406FE6" w:rsidRPr="007B2402">
        <w:rPr>
          <w:b/>
          <w:noProof/>
          <w:lang w:val="en-US" w:eastAsia="es-ES"/>
        </w:rPr>
        <w:t>to examine facts</w:t>
      </w:r>
      <w:r w:rsidR="00744618" w:rsidRPr="007B2402">
        <w:rPr>
          <w:b/>
          <w:noProof/>
          <w:lang w:val="en-US" w:eastAsia="es-ES"/>
        </w:rPr>
        <w:t xml:space="preserve"> introduced</w:t>
      </w:r>
      <w:r w:rsidR="00406FE6" w:rsidRPr="007B2402">
        <w:rPr>
          <w:b/>
          <w:noProof/>
          <w:lang w:val="en-US" w:eastAsia="es-ES"/>
        </w:rPr>
        <w:t xml:space="preserve"> by </w:t>
      </w:r>
      <w:r w:rsidR="005B1590" w:rsidRPr="007B2402">
        <w:rPr>
          <w:b/>
          <w:noProof/>
          <w:lang w:val="en-US" w:eastAsia="es-ES"/>
        </w:rPr>
        <w:t>the representatives</w:t>
      </w:r>
      <w:bookmarkEnd w:id="99"/>
    </w:p>
    <w:p w14:paraId="7348DAF4" w14:textId="77777777" w:rsidR="00A66030" w:rsidRPr="007B2402" w:rsidRDefault="00A66030" w:rsidP="00A66030">
      <w:pPr>
        <w:spacing w:after="0" w:line="240" w:lineRule="auto"/>
        <w:contextualSpacing/>
        <w:jc w:val="both"/>
        <w:rPr>
          <w:rFonts w:eastAsia="Calibri" w:cs="Times New Roman"/>
          <w:b/>
          <w:i/>
          <w:szCs w:val="20"/>
          <w:lang w:val="en-US"/>
        </w:rPr>
      </w:pPr>
    </w:p>
    <w:p w14:paraId="4D04C52A" w14:textId="464182A2" w:rsidR="00506BC0" w:rsidRPr="007B2402" w:rsidRDefault="00506BC0" w:rsidP="00506BC0">
      <w:pPr>
        <w:keepNext/>
        <w:keepLines/>
        <w:spacing w:after="0" w:line="240" w:lineRule="auto"/>
        <w:ind w:left="426"/>
        <w:contextualSpacing/>
        <w:jc w:val="both"/>
        <w:outlineLvl w:val="2"/>
        <w:rPr>
          <w:rFonts w:eastAsia="Calibri" w:cs="Times New Roman"/>
          <w:i/>
          <w:szCs w:val="20"/>
          <w:lang w:val="en-US"/>
        </w:rPr>
      </w:pPr>
      <w:bookmarkStart w:id="100" w:name="_Toc506496113"/>
      <w:bookmarkStart w:id="101" w:name="_Toc506984094"/>
      <w:r w:rsidRPr="007B2402">
        <w:rPr>
          <w:rFonts w:eastAsia="Calibri" w:cs="Times New Roman"/>
          <w:i/>
          <w:szCs w:val="20"/>
          <w:lang w:val="en-US"/>
        </w:rPr>
        <w:t xml:space="preserve">G.1. </w:t>
      </w:r>
      <w:r w:rsidR="002761AC" w:rsidRPr="007B2402">
        <w:rPr>
          <w:rFonts w:eastAsia="Calibri" w:cs="Times New Roman"/>
          <w:i/>
          <w:szCs w:val="20"/>
          <w:lang w:val="en-US"/>
        </w:rPr>
        <w:t>Arguments</w:t>
      </w:r>
      <w:r w:rsidR="006E2CFF" w:rsidRPr="007B2402">
        <w:rPr>
          <w:rFonts w:eastAsia="Calibri" w:cs="Times New Roman"/>
          <w:i/>
          <w:szCs w:val="20"/>
          <w:lang w:val="en-US"/>
        </w:rPr>
        <w:t xml:space="preserve"> of the </w:t>
      </w:r>
      <w:r w:rsidR="00AF4344" w:rsidRPr="007B2402">
        <w:rPr>
          <w:rFonts w:eastAsia="Calibri" w:cs="Times New Roman"/>
          <w:i/>
          <w:szCs w:val="20"/>
          <w:lang w:val="en-US"/>
        </w:rPr>
        <w:t>State</w:t>
      </w:r>
      <w:r w:rsidRPr="007B2402">
        <w:rPr>
          <w:rFonts w:eastAsia="Calibri" w:cs="Times New Roman"/>
          <w:i/>
          <w:szCs w:val="20"/>
          <w:lang w:val="en-US"/>
        </w:rPr>
        <w:t xml:space="preserve">, </w:t>
      </w:r>
      <w:r w:rsidR="002761AC" w:rsidRPr="007B2402">
        <w:rPr>
          <w:rFonts w:eastAsia="Calibri" w:cs="Times New Roman"/>
          <w:i/>
          <w:szCs w:val="20"/>
          <w:lang w:val="en-US"/>
        </w:rPr>
        <w:t>observations</w:t>
      </w:r>
      <w:r w:rsidR="005B1590" w:rsidRPr="007B2402">
        <w:rPr>
          <w:rFonts w:eastAsia="Calibri" w:cs="Times New Roman"/>
          <w:i/>
          <w:szCs w:val="20"/>
          <w:lang w:val="en-US"/>
        </w:rPr>
        <w:t xml:space="preserve"> of the </w:t>
      </w:r>
      <w:r w:rsidR="00AF4344" w:rsidRPr="007B2402">
        <w:rPr>
          <w:rFonts w:eastAsia="Calibri" w:cs="Times New Roman"/>
          <w:i/>
          <w:szCs w:val="20"/>
          <w:lang w:val="en-US"/>
        </w:rPr>
        <w:t>Commission</w:t>
      </w:r>
      <w:r w:rsidR="005B1590" w:rsidRPr="007B2402">
        <w:rPr>
          <w:rFonts w:eastAsia="Calibri" w:cs="Times New Roman"/>
          <w:i/>
          <w:szCs w:val="20"/>
          <w:lang w:val="en-US"/>
        </w:rPr>
        <w:t xml:space="preserve"> and of the representatives</w:t>
      </w:r>
      <w:bookmarkEnd w:id="100"/>
      <w:bookmarkEnd w:id="101"/>
      <w:r w:rsidRPr="007B2402">
        <w:rPr>
          <w:rFonts w:eastAsia="Calibri" w:cs="Times New Roman"/>
          <w:i/>
          <w:szCs w:val="20"/>
          <w:lang w:val="en-US"/>
        </w:rPr>
        <w:t xml:space="preserve"> </w:t>
      </w:r>
    </w:p>
    <w:p w14:paraId="4B0CC648" w14:textId="77777777" w:rsidR="00506BC0" w:rsidRPr="007B2402" w:rsidRDefault="00506BC0" w:rsidP="00A66030">
      <w:pPr>
        <w:spacing w:after="0" w:line="240" w:lineRule="auto"/>
        <w:contextualSpacing/>
        <w:jc w:val="both"/>
        <w:rPr>
          <w:rFonts w:eastAsia="Calibri" w:cs="Times New Roman"/>
          <w:b/>
          <w:i/>
          <w:szCs w:val="20"/>
          <w:lang w:val="en-US"/>
        </w:rPr>
      </w:pPr>
    </w:p>
    <w:p w14:paraId="441F92D2" w14:textId="76B93E53" w:rsidR="00A66030" w:rsidRPr="007B2402" w:rsidRDefault="00AF4344" w:rsidP="00DB1F30">
      <w:pPr>
        <w:numPr>
          <w:ilvl w:val="0"/>
          <w:numId w:val="5"/>
        </w:numPr>
        <w:spacing w:after="0" w:line="240" w:lineRule="auto"/>
        <w:contextualSpacing/>
        <w:jc w:val="both"/>
        <w:rPr>
          <w:rFonts w:eastAsia="Batang" w:cs="Times"/>
          <w:szCs w:val="20"/>
          <w:lang w:val="en-US" w:eastAsia="es-ES"/>
        </w:rPr>
      </w:pPr>
      <w:r w:rsidRPr="007B2402">
        <w:rPr>
          <w:rFonts w:eastAsia="Calibri" w:cs="Times New Roman"/>
          <w:szCs w:val="20"/>
          <w:lang w:val="en-US"/>
        </w:rPr>
        <w:t xml:space="preserve">The </w:t>
      </w:r>
      <w:r w:rsidRPr="007B2402">
        <w:rPr>
          <w:rFonts w:eastAsia="Calibri" w:cs="Times New Roman"/>
          <w:b/>
          <w:i/>
          <w:szCs w:val="20"/>
          <w:lang w:val="en-US"/>
        </w:rPr>
        <w:t>State</w:t>
      </w:r>
      <w:r w:rsidR="00A66030" w:rsidRPr="007B2402">
        <w:rPr>
          <w:rFonts w:eastAsia="Calibri" w:cs="Times New Roman"/>
          <w:szCs w:val="20"/>
          <w:lang w:val="en-US"/>
        </w:rPr>
        <w:t xml:space="preserve"> </w:t>
      </w:r>
      <w:r w:rsidR="00406FE6" w:rsidRPr="007B2402">
        <w:rPr>
          <w:rFonts w:eastAsia="Calibri" w:cs="Times New Roman"/>
          <w:szCs w:val="20"/>
          <w:lang w:val="en-US"/>
        </w:rPr>
        <w:t>file</w:t>
      </w:r>
      <w:r w:rsidR="00744618" w:rsidRPr="007B2402">
        <w:rPr>
          <w:rFonts w:eastAsia="Calibri" w:cs="Times New Roman"/>
          <w:szCs w:val="20"/>
          <w:lang w:val="en-US"/>
        </w:rPr>
        <w:t>d</w:t>
      </w:r>
      <w:r w:rsidR="00406FE6" w:rsidRPr="007B2402">
        <w:rPr>
          <w:rFonts w:eastAsia="Calibri" w:cs="Times New Roman"/>
          <w:szCs w:val="20"/>
          <w:lang w:val="en-US"/>
        </w:rPr>
        <w:t xml:space="preserve"> a</w:t>
      </w:r>
      <w:r w:rsidR="00F071E1" w:rsidRPr="007B2402">
        <w:rPr>
          <w:rFonts w:eastAsia="Calibri" w:cs="Times New Roman"/>
          <w:szCs w:val="20"/>
          <w:lang w:val="en-US"/>
        </w:rPr>
        <w:t xml:space="preserve"> </w:t>
      </w:r>
      <w:r w:rsidR="006E2CFF" w:rsidRPr="007B2402">
        <w:rPr>
          <w:rFonts w:eastAsia="Calibri" w:cs="Times New Roman"/>
          <w:szCs w:val="20"/>
          <w:lang w:val="en-US"/>
        </w:rPr>
        <w:t>preliminary objection</w:t>
      </w:r>
      <w:r w:rsidR="00F071E1" w:rsidRPr="007B2402">
        <w:rPr>
          <w:rFonts w:eastAsia="Calibri" w:cs="Times New Roman"/>
          <w:szCs w:val="20"/>
          <w:lang w:val="en-US"/>
        </w:rPr>
        <w:t xml:space="preserve"> </w:t>
      </w:r>
      <w:r w:rsidR="00406FE6" w:rsidRPr="007B2402">
        <w:rPr>
          <w:rFonts w:eastAsia="Calibri" w:cs="Times New Roman"/>
          <w:szCs w:val="20"/>
          <w:lang w:val="en-US"/>
        </w:rPr>
        <w:t xml:space="preserve">in which it indicated that </w:t>
      </w:r>
      <w:r w:rsidR="005B1590" w:rsidRPr="007B2402">
        <w:rPr>
          <w:rFonts w:eastAsia="Batang" w:cs="Times"/>
          <w:szCs w:val="20"/>
          <w:lang w:val="en-US" w:eastAsia="es-ES"/>
        </w:rPr>
        <w:t>the representatives of the presumed victims</w:t>
      </w:r>
      <w:r w:rsidR="00A66030" w:rsidRPr="007B2402">
        <w:rPr>
          <w:rFonts w:eastAsia="Batang" w:cs="Times"/>
          <w:szCs w:val="20"/>
          <w:lang w:val="en-US" w:eastAsia="es-ES"/>
        </w:rPr>
        <w:t xml:space="preserve"> </w:t>
      </w:r>
      <w:r w:rsidR="00744618" w:rsidRPr="007B2402">
        <w:rPr>
          <w:rFonts w:eastAsia="Batang" w:cs="Times"/>
          <w:szCs w:val="20"/>
          <w:lang w:val="en-US" w:eastAsia="es-ES"/>
        </w:rPr>
        <w:t>were not permitted to introduce new facts that differed from those presented by</w:t>
      </w:r>
      <w:r w:rsidR="00A66030" w:rsidRPr="007B2402">
        <w:rPr>
          <w:rFonts w:eastAsia="Batang" w:cs="Times"/>
          <w:szCs w:val="20"/>
          <w:lang w:val="en-US" w:eastAsia="es-ES"/>
        </w:rPr>
        <w:t xml:space="preserve"> </w:t>
      </w:r>
      <w:r w:rsidRPr="007B2402">
        <w:rPr>
          <w:rFonts w:eastAsia="Batang" w:cs="Times"/>
          <w:szCs w:val="20"/>
          <w:lang w:val="en-US" w:eastAsia="es-ES"/>
        </w:rPr>
        <w:t>the Commission</w:t>
      </w:r>
      <w:r w:rsidR="00A66030" w:rsidRPr="007B2402">
        <w:rPr>
          <w:rFonts w:eastAsia="Batang" w:cs="Times"/>
          <w:szCs w:val="20"/>
          <w:lang w:val="en-US" w:eastAsia="es-ES"/>
        </w:rPr>
        <w:t xml:space="preserve"> </w:t>
      </w:r>
      <w:r w:rsidR="00744618" w:rsidRPr="007B2402">
        <w:rPr>
          <w:rFonts w:eastAsia="Batang" w:cs="Times"/>
          <w:szCs w:val="20"/>
          <w:lang w:val="en-US" w:eastAsia="es-ES"/>
        </w:rPr>
        <w:t>in its</w:t>
      </w:r>
      <w:r w:rsidR="00A66030" w:rsidRPr="007B2402">
        <w:rPr>
          <w:rFonts w:eastAsia="Batang" w:cs="Times"/>
          <w:szCs w:val="20"/>
          <w:lang w:val="en-US" w:eastAsia="es-ES"/>
        </w:rPr>
        <w:t xml:space="preserve"> </w:t>
      </w:r>
      <w:r w:rsidR="00375567" w:rsidRPr="007B2402">
        <w:rPr>
          <w:rFonts w:eastAsia="Batang" w:cs="Times"/>
          <w:szCs w:val="20"/>
          <w:lang w:val="en-US" w:eastAsia="es-ES"/>
        </w:rPr>
        <w:t>Merits Report</w:t>
      </w:r>
      <w:r w:rsidR="00A66030" w:rsidRPr="007B2402">
        <w:rPr>
          <w:rFonts w:eastAsia="Batang" w:cs="Times"/>
          <w:szCs w:val="20"/>
          <w:lang w:val="en-US" w:eastAsia="es-ES"/>
        </w:rPr>
        <w:t xml:space="preserve">, </w:t>
      </w:r>
      <w:r w:rsidR="00744618" w:rsidRPr="007B2402">
        <w:rPr>
          <w:rFonts w:eastAsia="Batang" w:cs="Times"/>
          <w:szCs w:val="20"/>
          <w:lang w:val="en-US" w:eastAsia="es-ES"/>
        </w:rPr>
        <w:t xml:space="preserve">even though they could present legal claims distinct from those presented by </w:t>
      </w:r>
      <w:r w:rsidRPr="007B2402">
        <w:rPr>
          <w:rFonts w:eastAsia="Batang" w:cs="Times"/>
          <w:szCs w:val="20"/>
          <w:lang w:val="en-US" w:eastAsia="es-ES"/>
        </w:rPr>
        <w:t>the Commission</w:t>
      </w:r>
      <w:r w:rsidR="00A66030" w:rsidRPr="007B2402">
        <w:rPr>
          <w:rFonts w:eastAsia="Batang" w:cs="Times"/>
          <w:szCs w:val="20"/>
          <w:lang w:val="en-US" w:eastAsia="es-ES"/>
        </w:rPr>
        <w:t>. I</w:t>
      </w:r>
      <w:r w:rsidR="00744618" w:rsidRPr="007B2402">
        <w:rPr>
          <w:rFonts w:eastAsia="Batang" w:cs="Times"/>
          <w:szCs w:val="20"/>
          <w:lang w:val="en-US" w:eastAsia="es-ES"/>
        </w:rPr>
        <w:t xml:space="preserve">t indicated that, in this case, the concealment of the military </w:t>
      </w:r>
      <w:r w:rsidR="00AC0222" w:rsidRPr="007B2402">
        <w:rPr>
          <w:rFonts w:eastAsia="Batang" w:cs="Times"/>
          <w:szCs w:val="20"/>
          <w:lang w:val="en-US" w:eastAsia="es-ES"/>
        </w:rPr>
        <w:t>fil</w:t>
      </w:r>
      <w:r w:rsidR="00744618" w:rsidRPr="007B2402">
        <w:rPr>
          <w:rFonts w:eastAsia="Batang" w:cs="Times"/>
          <w:szCs w:val="20"/>
          <w:lang w:val="en-US" w:eastAsia="es-ES"/>
        </w:rPr>
        <w:t xml:space="preserve">es and the denial of access to those documents </w:t>
      </w:r>
      <w:r w:rsidR="00AC0222" w:rsidRPr="007B2402">
        <w:rPr>
          <w:rFonts w:eastAsia="Batang" w:cs="Times"/>
          <w:szCs w:val="20"/>
          <w:lang w:val="en-US" w:eastAsia="es-ES"/>
        </w:rPr>
        <w:t>had</w:t>
      </w:r>
      <w:r w:rsidR="00744618" w:rsidRPr="007B2402">
        <w:rPr>
          <w:rFonts w:eastAsia="Batang" w:cs="Times"/>
          <w:szCs w:val="20"/>
          <w:lang w:val="en-US" w:eastAsia="es-ES"/>
        </w:rPr>
        <w:t xml:space="preserve"> not </w:t>
      </w:r>
      <w:r w:rsidR="00AC0222" w:rsidRPr="007B2402">
        <w:rPr>
          <w:rFonts w:eastAsia="Batang" w:cs="Times"/>
          <w:szCs w:val="20"/>
          <w:lang w:val="en-US" w:eastAsia="es-ES"/>
        </w:rPr>
        <w:t xml:space="preserve">been </w:t>
      </w:r>
      <w:r w:rsidR="00744618" w:rsidRPr="007B2402">
        <w:rPr>
          <w:rFonts w:eastAsia="Batang" w:cs="Times"/>
          <w:szCs w:val="20"/>
          <w:lang w:val="en-US" w:eastAsia="es-ES"/>
        </w:rPr>
        <w:t>included in the Commission’s</w:t>
      </w:r>
      <w:r w:rsidR="00A66030" w:rsidRPr="007B2402">
        <w:rPr>
          <w:rFonts w:eastAsia="Batang" w:cs="Times"/>
          <w:szCs w:val="20"/>
          <w:lang w:val="en-US" w:eastAsia="es-ES"/>
        </w:rPr>
        <w:t xml:space="preserve"> </w:t>
      </w:r>
      <w:r w:rsidR="00375567" w:rsidRPr="007B2402">
        <w:rPr>
          <w:rFonts w:eastAsia="Batang" w:cs="Times"/>
          <w:szCs w:val="20"/>
          <w:lang w:val="en-US" w:eastAsia="es-ES"/>
        </w:rPr>
        <w:t>Merits Report</w:t>
      </w:r>
      <w:r w:rsidR="00744618" w:rsidRPr="007B2402">
        <w:rPr>
          <w:rFonts w:eastAsia="Batang" w:cs="Times"/>
          <w:szCs w:val="20"/>
          <w:lang w:val="en-US" w:eastAsia="es-ES"/>
        </w:rPr>
        <w:t xml:space="preserve"> and, therefore,</w:t>
      </w:r>
      <w:r w:rsidR="005B1590" w:rsidRPr="007B2402">
        <w:rPr>
          <w:rFonts w:eastAsia="Batang" w:cs="Times"/>
          <w:szCs w:val="20"/>
          <w:lang w:val="en-US" w:eastAsia="es-ES"/>
        </w:rPr>
        <w:t xml:space="preserve"> the representatives</w:t>
      </w:r>
      <w:r w:rsidR="00744618" w:rsidRPr="007B2402">
        <w:rPr>
          <w:rFonts w:eastAsia="Batang" w:cs="Times"/>
          <w:szCs w:val="20"/>
          <w:lang w:val="en-US" w:eastAsia="es-ES"/>
        </w:rPr>
        <w:t>’ request that the Court declare the violation of the right to the truth had no factual basis.</w:t>
      </w:r>
    </w:p>
    <w:p w14:paraId="0A5053E4" w14:textId="77777777" w:rsidR="00A66030" w:rsidRPr="007B2402" w:rsidRDefault="00A66030" w:rsidP="00A66030">
      <w:pPr>
        <w:spacing w:after="0" w:line="240" w:lineRule="auto"/>
        <w:contextualSpacing/>
        <w:jc w:val="both"/>
        <w:rPr>
          <w:rFonts w:eastAsia="Batang" w:cs="Times"/>
          <w:szCs w:val="20"/>
          <w:lang w:val="en-US" w:eastAsia="es-ES"/>
        </w:rPr>
      </w:pPr>
    </w:p>
    <w:p w14:paraId="46AEFDE3" w14:textId="719727F7" w:rsidR="00A66030" w:rsidRPr="007B2402" w:rsidRDefault="00744618" w:rsidP="00DB1F30">
      <w:pPr>
        <w:numPr>
          <w:ilvl w:val="0"/>
          <w:numId w:val="5"/>
        </w:numPr>
        <w:spacing w:after="0" w:line="240" w:lineRule="auto"/>
        <w:contextualSpacing/>
        <w:jc w:val="both"/>
        <w:rPr>
          <w:rFonts w:eastAsia="Calibri" w:cs="Times New Roman"/>
          <w:szCs w:val="20"/>
          <w:lang w:val="en-US"/>
        </w:rPr>
      </w:pPr>
      <w:r w:rsidRPr="007B2402">
        <w:rPr>
          <w:rFonts w:eastAsia="Batang" w:cs="Times"/>
          <w:szCs w:val="20"/>
          <w:lang w:val="en-US" w:eastAsia="es-ES"/>
        </w:rPr>
        <w:t xml:space="preserve">The State also </w:t>
      </w:r>
      <w:r w:rsidR="00121371" w:rsidRPr="007B2402">
        <w:rPr>
          <w:rFonts w:eastAsia="Batang" w:cs="Times"/>
          <w:szCs w:val="20"/>
          <w:lang w:val="en-US" w:eastAsia="es-ES"/>
        </w:rPr>
        <w:t>argued</w:t>
      </w:r>
      <w:r w:rsidRPr="007B2402">
        <w:rPr>
          <w:rFonts w:eastAsia="Batang" w:cs="Times"/>
          <w:szCs w:val="20"/>
          <w:lang w:val="en-US" w:eastAsia="es-ES"/>
        </w:rPr>
        <w:t xml:space="preserve"> that </w:t>
      </w:r>
      <w:r w:rsidR="00AC0222" w:rsidRPr="007B2402">
        <w:rPr>
          <w:rFonts w:eastAsia="Batang" w:cs="Times"/>
          <w:szCs w:val="20"/>
          <w:lang w:val="en-US" w:eastAsia="es-ES"/>
        </w:rPr>
        <w:t xml:space="preserve">the Commission’s Merits Report had made no mention </w:t>
      </w:r>
      <w:r w:rsidRPr="007B2402">
        <w:rPr>
          <w:rFonts w:eastAsia="Batang" w:cs="Times"/>
          <w:szCs w:val="20"/>
          <w:lang w:val="en-US" w:eastAsia="es-ES"/>
        </w:rPr>
        <w:t>of the supposed violation of the right to the truth or to the public civil action that was being processed at this time</w:t>
      </w:r>
      <w:r w:rsidR="00A66030" w:rsidRPr="007B2402">
        <w:rPr>
          <w:rFonts w:eastAsia="Batang" w:cs="Times"/>
          <w:szCs w:val="20"/>
          <w:lang w:val="en-US" w:eastAsia="es-ES"/>
        </w:rPr>
        <w:t xml:space="preserve">. </w:t>
      </w:r>
      <w:r w:rsidRPr="007B2402">
        <w:rPr>
          <w:rFonts w:eastAsia="Calibri" w:cs="Times New Roman"/>
          <w:szCs w:val="20"/>
          <w:lang w:val="en-US"/>
        </w:rPr>
        <w:t>Consequently</w:t>
      </w:r>
      <w:r w:rsidR="00A66030" w:rsidRPr="007B2402">
        <w:rPr>
          <w:rFonts w:eastAsia="Calibri" w:cs="Times New Roman"/>
          <w:szCs w:val="20"/>
          <w:lang w:val="en-US"/>
        </w:rPr>
        <w:t xml:space="preserve">, </w:t>
      </w:r>
      <w:r w:rsidR="00AF4344" w:rsidRPr="007B2402">
        <w:rPr>
          <w:rFonts w:eastAsia="Calibri" w:cs="Times New Roman"/>
          <w:szCs w:val="20"/>
          <w:lang w:val="en-US"/>
        </w:rPr>
        <w:t>the State</w:t>
      </w:r>
      <w:r w:rsidR="00A66030" w:rsidRPr="007B2402">
        <w:rPr>
          <w:rFonts w:eastAsia="Calibri" w:cs="Times New Roman"/>
          <w:szCs w:val="20"/>
          <w:lang w:val="en-US"/>
        </w:rPr>
        <w:t xml:space="preserve"> consider</w:t>
      </w:r>
      <w:r w:rsidRPr="007B2402">
        <w:rPr>
          <w:rFonts w:eastAsia="Calibri" w:cs="Times New Roman"/>
          <w:szCs w:val="20"/>
          <w:lang w:val="en-US"/>
        </w:rPr>
        <w:t xml:space="preserve">ed that, in this case, the Court </w:t>
      </w:r>
      <w:r w:rsidR="00AC0222" w:rsidRPr="007B2402">
        <w:rPr>
          <w:rFonts w:eastAsia="Calibri" w:cs="Times New Roman"/>
          <w:szCs w:val="20"/>
          <w:lang w:val="en-US"/>
        </w:rPr>
        <w:t xml:space="preserve">should </w:t>
      </w:r>
      <w:r w:rsidRPr="007B2402">
        <w:rPr>
          <w:rFonts w:eastAsia="Calibri" w:cs="Times New Roman"/>
          <w:szCs w:val="20"/>
          <w:lang w:val="en-US"/>
        </w:rPr>
        <w:t>recognize its lack of competence</w:t>
      </w:r>
      <w:r w:rsidR="00A66030" w:rsidRPr="007B2402">
        <w:rPr>
          <w:rFonts w:eastAsia="Calibri" w:cs="Times New Roman"/>
          <w:szCs w:val="20"/>
          <w:lang w:val="en-US"/>
        </w:rPr>
        <w:t xml:space="preserve"> </w:t>
      </w:r>
      <w:r w:rsidR="00A66030" w:rsidRPr="007B2402">
        <w:rPr>
          <w:rFonts w:eastAsia="Calibri" w:cs="Times New Roman"/>
          <w:i/>
          <w:szCs w:val="20"/>
          <w:lang w:val="en-US"/>
        </w:rPr>
        <w:t>ratione materiae</w:t>
      </w:r>
      <w:r w:rsidR="00A66030" w:rsidRPr="007B2402">
        <w:rPr>
          <w:rFonts w:eastAsia="Calibri" w:cs="Times New Roman"/>
          <w:szCs w:val="20"/>
          <w:lang w:val="en-US"/>
        </w:rPr>
        <w:t xml:space="preserve"> </w:t>
      </w:r>
      <w:r w:rsidRPr="007B2402">
        <w:rPr>
          <w:rFonts w:eastAsia="Calibri" w:cs="Times New Roman"/>
          <w:szCs w:val="20"/>
          <w:lang w:val="en-US"/>
        </w:rPr>
        <w:t xml:space="preserve">to examine facts that </w:t>
      </w:r>
      <w:r w:rsidR="008625F1" w:rsidRPr="007B2402">
        <w:rPr>
          <w:rFonts w:eastAsia="Calibri" w:cs="Times New Roman"/>
          <w:szCs w:val="20"/>
          <w:lang w:val="en-US"/>
        </w:rPr>
        <w:t xml:space="preserve">are not included in the </w:t>
      </w:r>
      <w:r w:rsidR="00375567" w:rsidRPr="007B2402">
        <w:rPr>
          <w:rFonts w:eastAsia="Calibri" w:cs="Times New Roman"/>
          <w:szCs w:val="20"/>
          <w:lang w:val="en-US"/>
        </w:rPr>
        <w:t>Admissibility Report</w:t>
      </w:r>
      <w:r w:rsidR="005B1590" w:rsidRPr="007B2402">
        <w:rPr>
          <w:rFonts w:eastAsia="Calibri" w:cs="Times New Roman"/>
          <w:szCs w:val="20"/>
          <w:lang w:val="en-US"/>
        </w:rPr>
        <w:t xml:space="preserve"> </w:t>
      </w:r>
      <w:r w:rsidR="008625F1" w:rsidRPr="007B2402">
        <w:rPr>
          <w:rFonts w:eastAsia="Calibri" w:cs="Times New Roman"/>
          <w:szCs w:val="20"/>
          <w:lang w:val="en-US"/>
        </w:rPr>
        <w:t>or in the brief submitting the case to</w:t>
      </w:r>
      <w:r w:rsidR="005B1590" w:rsidRPr="007B2402">
        <w:rPr>
          <w:rFonts w:eastAsia="Calibri" w:cs="Times New Roman"/>
          <w:szCs w:val="20"/>
          <w:lang w:val="en-US"/>
        </w:rPr>
        <w:t xml:space="preserve"> </w:t>
      </w:r>
      <w:r w:rsidR="00AF4344" w:rsidRPr="007B2402">
        <w:rPr>
          <w:rFonts w:eastAsia="Calibri" w:cs="Times New Roman"/>
          <w:szCs w:val="20"/>
          <w:lang w:val="en-US"/>
        </w:rPr>
        <w:t>the Court</w:t>
      </w:r>
      <w:r w:rsidR="00A66030" w:rsidRPr="007B2402">
        <w:rPr>
          <w:rFonts w:eastAsia="Calibri" w:cs="Times New Roman"/>
          <w:szCs w:val="20"/>
          <w:lang w:val="en-US"/>
        </w:rPr>
        <w:t>.</w:t>
      </w:r>
    </w:p>
    <w:p w14:paraId="424EBFD0" w14:textId="77777777" w:rsidR="00A66030" w:rsidRPr="007B2402" w:rsidRDefault="00A66030" w:rsidP="00A66030">
      <w:pPr>
        <w:spacing w:after="0" w:line="240" w:lineRule="auto"/>
        <w:contextualSpacing/>
        <w:jc w:val="both"/>
        <w:rPr>
          <w:rFonts w:eastAsia="Calibri" w:cs="Times New Roman"/>
          <w:szCs w:val="20"/>
          <w:lang w:val="en-US"/>
        </w:rPr>
      </w:pPr>
    </w:p>
    <w:p w14:paraId="622159F0" w14:textId="6E63EBCA" w:rsidR="00A66030" w:rsidRPr="007B2402" w:rsidRDefault="008625F1" w:rsidP="00DB1F30">
      <w:pPr>
        <w:numPr>
          <w:ilvl w:val="0"/>
          <w:numId w:val="5"/>
        </w:numPr>
        <w:spacing w:after="0" w:line="240" w:lineRule="auto"/>
        <w:contextualSpacing/>
        <w:jc w:val="both"/>
        <w:rPr>
          <w:rFonts w:eastAsia="Calibri" w:cs="Times New Roman"/>
          <w:szCs w:val="20"/>
          <w:lang w:val="en-US"/>
        </w:rPr>
      </w:pPr>
      <w:r w:rsidRPr="007B2402">
        <w:rPr>
          <w:rFonts w:eastAsia="Calibri" w:cs="Times New Roman"/>
          <w:szCs w:val="20"/>
          <w:lang w:val="en-US"/>
        </w:rPr>
        <w:t>In this regard</w:t>
      </w:r>
      <w:r w:rsidR="00F071E1" w:rsidRPr="007B2402">
        <w:rPr>
          <w:rFonts w:eastAsia="Calibri" w:cs="Times New Roman"/>
          <w:szCs w:val="20"/>
          <w:lang w:val="en-US"/>
        </w:rPr>
        <w:t xml:space="preserve">, </w:t>
      </w:r>
      <w:r w:rsidR="00AF4344" w:rsidRPr="007B2402">
        <w:rPr>
          <w:rFonts w:eastAsia="Calibri" w:cs="Times New Roman"/>
          <w:b/>
          <w:i/>
          <w:szCs w:val="20"/>
          <w:lang w:val="en-US"/>
        </w:rPr>
        <w:t>the Commission</w:t>
      </w:r>
      <w:r w:rsidR="00A66030" w:rsidRPr="007B2402">
        <w:rPr>
          <w:rFonts w:eastAsia="Calibri" w:cs="Times New Roman"/>
          <w:szCs w:val="20"/>
          <w:lang w:val="en-US"/>
        </w:rPr>
        <w:t xml:space="preserve"> </w:t>
      </w:r>
      <w:r w:rsidR="00AC0222" w:rsidRPr="007B2402">
        <w:rPr>
          <w:rFonts w:eastAsia="Calibri" w:cs="Times New Roman"/>
          <w:szCs w:val="20"/>
          <w:lang w:val="en-US"/>
        </w:rPr>
        <w:t>not</w:t>
      </w:r>
      <w:r w:rsidRPr="007B2402">
        <w:rPr>
          <w:rFonts w:eastAsia="Calibri" w:cs="Times New Roman"/>
          <w:szCs w:val="20"/>
          <w:lang w:val="en-US"/>
        </w:rPr>
        <w:t>ed that the State’s allegations d</w:t>
      </w:r>
      <w:r w:rsidR="00AC0222" w:rsidRPr="007B2402">
        <w:rPr>
          <w:rFonts w:eastAsia="Calibri" w:cs="Times New Roman"/>
          <w:szCs w:val="20"/>
          <w:lang w:val="en-US"/>
        </w:rPr>
        <w:t>id</w:t>
      </w:r>
      <w:r w:rsidRPr="007B2402">
        <w:rPr>
          <w:rFonts w:eastAsia="Calibri" w:cs="Times New Roman"/>
          <w:szCs w:val="20"/>
          <w:lang w:val="en-US"/>
        </w:rPr>
        <w:t xml:space="preserve"> not constitute a </w:t>
      </w:r>
      <w:r w:rsidR="006E2CFF" w:rsidRPr="007B2402">
        <w:rPr>
          <w:rFonts w:eastAsia="Calibri" w:cs="Times New Roman"/>
          <w:szCs w:val="20"/>
          <w:lang w:val="en-US"/>
        </w:rPr>
        <w:t>preliminary objection</w:t>
      </w:r>
      <w:r w:rsidRPr="007B2402">
        <w:rPr>
          <w:rFonts w:eastAsia="Calibri" w:cs="Times New Roman"/>
          <w:szCs w:val="20"/>
          <w:lang w:val="en-US"/>
        </w:rPr>
        <w:t>; rather they dispute</w:t>
      </w:r>
      <w:r w:rsidR="00AC0222" w:rsidRPr="007B2402">
        <w:rPr>
          <w:rFonts w:eastAsia="Calibri" w:cs="Times New Roman"/>
          <w:szCs w:val="20"/>
          <w:lang w:val="en-US"/>
        </w:rPr>
        <w:t>d</w:t>
      </w:r>
      <w:r w:rsidRPr="007B2402">
        <w:rPr>
          <w:rFonts w:eastAsia="Calibri" w:cs="Times New Roman"/>
          <w:szCs w:val="20"/>
          <w:lang w:val="en-US"/>
        </w:rPr>
        <w:t xml:space="preserve"> matters of substance. It added that the State</w:t>
      </w:r>
      <w:r w:rsidR="00AC0222" w:rsidRPr="007B2402">
        <w:rPr>
          <w:rFonts w:eastAsia="Calibri" w:cs="Times New Roman"/>
          <w:szCs w:val="20"/>
          <w:lang w:val="en-US"/>
        </w:rPr>
        <w:t>’s arguments</w:t>
      </w:r>
      <w:r w:rsidRPr="007B2402">
        <w:rPr>
          <w:rFonts w:eastAsia="Calibri" w:cs="Times New Roman"/>
          <w:szCs w:val="20"/>
          <w:lang w:val="en-US"/>
        </w:rPr>
        <w:t xml:space="preserve"> did not seek to contest the Court’s competence owing to time, matter, or place, and </w:t>
      </w:r>
      <w:r w:rsidR="00AC0222" w:rsidRPr="007B2402">
        <w:rPr>
          <w:rFonts w:eastAsia="Calibri" w:cs="Times New Roman"/>
          <w:szCs w:val="20"/>
          <w:lang w:val="en-US"/>
        </w:rPr>
        <w:t>we</w:t>
      </w:r>
      <w:r w:rsidRPr="007B2402">
        <w:rPr>
          <w:rFonts w:eastAsia="Calibri" w:cs="Times New Roman"/>
          <w:szCs w:val="20"/>
          <w:lang w:val="en-US"/>
        </w:rPr>
        <w:t>re not of a preliminary nature; to the contrary, they refer</w:t>
      </w:r>
      <w:r w:rsidR="00AC0222" w:rsidRPr="007B2402">
        <w:rPr>
          <w:rFonts w:eastAsia="Calibri" w:cs="Times New Roman"/>
          <w:szCs w:val="20"/>
          <w:lang w:val="en-US"/>
        </w:rPr>
        <w:t>red</w:t>
      </w:r>
      <w:r w:rsidRPr="007B2402">
        <w:rPr>
          <w:rFonts w:eastAsia="Calibri" w:cs="Times New Roman"/>
          <w:szCs w:val="20"/>
          <w:lang w:val="en-US"/>
        </w:rPr>
        <w:t xml:space="preserve"> to facts alleged by </w:t>
      </w:r>
      <w:r w:rsidR="005B1590" w:rsidRPr="007B2402">
        <w:rPr>
          <w:rFonts w:eastAsia="Calibri" w:cs="Times New Roman"/>
          <w:szCs w:val="20"/>
          <w:lang w:val="en-US"/>
        </w:rPr>
        <w:t>the representatives</w:t>
      </w:r>
      <w:r w:rsidR="00A66030" w:rsidRPr="007B2402">
        <w:rPr>
          <w:rFonts w:eastAsia="Calibri" w:cs="Times New Roman"/>
          <w:szCs w:val="20"/>
          <w:lang w:val="en-US"/>
        </w:rPr>
        <w:t xml:space="preserve"> </w:t>
      </w:r>
      <w:r w:rsidRPr="007B2402">
        <w:rPr>
          <w:rFonts w:eastAsia="Calibri" w:cs="Times New Roman"/>
          <w:szCs w:val="20"/>
          <w:lang w:val="en-US"/>
        </w:rPr>
        <w:t xml:space="preserve">that </w:t>
      </w:r>
      <w:r w:rsidR="00AC0222" w:rsidRPr="007B2402">
        <w:rPr>
          <w:rFonts w:eastAsia="Calibri" w:cs="Times New Roman"/>
          <w:szCs w:val="20"/>
          <w:lang w:val="en-US"/>
        </w:rPr>
        <w:t>supposedl</w:t>
      </w:r>
      <w:r w:rsidRPr="007B2402">
        <w:rPr>
          <w:rFonts w:eastAsia="Calibri" w:cs="Times New Roman"/>
          <w:szCs w:val="20"/>
          <w:lang w:val="en-US"/>
        </w:rPr>
        <w:t xml:space="preserve">y were not part of the factual framework defined in its </w:t>
      </w:r>
      <w:r w:rsidR="00375567" w:rsidRPr="007B2402">
        <w:rPr>
          <w:rFonts w:eastAsia="Calibri" w:cs="Times New Roman"/>
          <w:szCs w:val="20"/>
          <w:lang w:val="en-US"/>
        </w:rPr>
        <w:t>Merits Report</w:t>
      </w:r>
      <w:r w:rsidR="00A66030" w:rsidRPr="007B2402">
        <w:rPr>
          <w:rFonts w:eastAsia="Calibri" w:cs="Times New Roman"/>
          <w:szCs w:val="20"/>
          <w:lang w:val="en-US"/>
        </w:rPr>
        <w:t>.</w:t>
      </w:r>
    </w:p>
    <w:p w14:paraId="3484420D" w14:textId="77777777" w:rsidR="00A66030" w:rsidRPr="007B2402" w:rsidRDefault="00A66030" w:rsidP="00A66030">
      <w:pPr>
        <w:spacing w:after="0" w:line="240" w:lineRule="auto"/>
        <w:contextualSpacing/>
        <w:jc w:val="both"/>
        <w:rPr>
          <w:rFonts w:eastAsia="Calibri" w:cs="Times New Roman"/>
          <w:szCs w:val="20"/>
          <w:lang w:val="en-US"/>
        </w:rPr>
      </w:pPr>
    </w:p>
    <w:p w14:paraId="3EC1467A" w14:textId="7CE4A5FC" w:rsidR="00A66030" w:rsidRPr="007B2402" w:rsidRDefault="008625F1" w:rsidP="00AE33FD">
      <w:pPr>
        <w:numPr>
          <w:ilvl w:val="0"/>
          <w:numId w:val="5"/>
        </w:numPr>
        <w:spacing w:after="0" w:line="240" w:lineRule="auto"/>
        <w:contextualSpacing/>
        <w:jc w:val="both"/>
        <w:rPr>
          <w:rFonts w:eastAsia="Calibri" w:cs="Times New Roman"/>
          <w:szCs w:val="20"/>
          <w:lang w:val="en-US"/>
        </w:rPr>
      </w:pPr>
      <w:r w:rsidRPr="007B2402">
        <w:rPr>
          <w:rFonts w:eastAsia="Calibri" w:cs="Times New Roman"/>
          <w:szCs w:val="20"/>
          <w:lang w:val="en-US"/>
        </w:rPr>
        <w:t>Based on the above</w:t>
      </w:r>
      <w:r w:rsidR="00FA0D57" w:rsidRPr="007B2402">
        <w:rPr>
          <w:rFonts w:eastAsia="Calibri" w:cs="Times New Roman"/>
          <w:szCs w:val="20"/>
          <w:lang w:val="en-US"/>
        </w:rPr>
        <w:t>,</w:t>
      </w:r>
      <w:r w:rsidR="00A66030" w:rsidRPr="007B2402">
        <w:rPr>
          <w:rFonts w:eastAsia="Calibri" w:cs="Times New Roman"/>
          <w:szCs w:val="20"/>
          <w:lang w:val="en-US"/>
        </w:rPr>
        <w:t xml:space="preserve"> </w:t>
      </w:r>
      <w:r w:rsidR="00AF4344" w:rsidRPr="007B2402">
        <w:rPr>
          <w:rFonts w:eastAsia="Calibri" w:cs="Times New Roman"/>
          <w:szCs w:val="20"/>
          <w:lang w:val="en-US"/>
        </w:rPr>
        <w:t>the Commission</w:t>
      </w:r>
      <w:r w:rsidR="00A66030" w:rsidRPr="007B2402">
        <w:rPr>
          <w:rFonts w:eastAsia="Calibri" w:cs="Times New Roman"/>
          <w:szCs w:val="20"/>
          <w:lang w:val="en-US"/>
        </w:rPr>
        <w:t xml:space="preserve"> re</w:t>
      </w:r>
      <w:r w:rsidRPr="007B2402">
        <w:rPr>
          <w:rFonts w:eastAsia="Calibri" w:cs="Times New Roman"/>
          <w:szCs w:val="20"/>
          <w:lang w:val="en-US"/>
        </w:rPr>
        <w:t xml:space="preserve">called that the factual framework of the proceedings before the Court </w:t>
      </w:r>
      <w:r w:rsidR="00AC0222" w:rsidRPr="007B2402">
        <w:rPr>
          <w:rFonts w:eastAsia="Calibri" w:cs="Times New Roman"/>
          <w:szCs w:val="20"/>
          <w:lang w:val="en-US"/>
        </w:rPr>
        <w:t>wa</w:t>
      </w:r>
      <w:r w:rsidRPr="007B2402">
        <w:rPr>
          <w:rFonts w:eastAsia="Calibri" w:cs="Times New Roman"/>
          <w:szCs w:val="20"/>
          <w:lang w:val="en-US"/>
        </w:rPr>
        <w:t xml:space="preserve">s constituted by the facts contained in the </w:t>
      </w:r>
      <w:r w:rsidR="00375567" w:rsidRPr="007B2402">
        <w:rPr>
          <w:rFonts w:eastAsia="Calibri" w:cs="Times New Roman"/>
          <w:szCs w:val="20"/>
          <w:lang w:val="en-US"/>
        </w:rPr>
        <w:t>Merits Report</w:t>
      </w:r>
      <w:r w:rsidR="00A66030" w:rsidRPr="007B2402">
        <w:rPr>
          <w:rFonts w:eastAsia="Calibri" w:cs="Times New Roman"/>
          <w:szCs w:val="20"/>
          <w:lang w:val="en-US"/>
        </w:rPr>
        <w:t xml:space="preserve"> </w:t>
      </w:r>
      <w:r w:rsidRPr="007B2402">
        <w:rPr>
          <w:rFonts w:eastAsia="Calibri" w:cs="Times New Roman"/>
          <w:szCs w:val="20"/>
          <w:lang w:val="en-US"/>
        </w:rPr>
        <w:t>submitted by</w:t>
      </w:r>
      <w:r w:rsidR="00A66030" w:rsidRPr="007B2402">
        <w:rPr>
          <w:rFonts w:eastAsia="Calibri" w:cs="Times New Roman"/>
          <w:szCs w:val="20"/>
          <w:lang w:val="en-US"/>
        </w:rPr>
        <w:t xml:space="preserve"> </w:t>
      </w:r>
      <w:r w:rsidR="00AF4344" w:rsidRPr="007B2402">
        <w:rPr>
          <w:rFonts w:eastAsia="Calibri" w:cs="Times New Roman"/>
          <w:szCs w:val="20"/>
          <w:lang w:val="en-US"/>
        </w:rPr>
        <w:t>the Commission</w:t>
      </w:r>
      <w:r w:rsidR="00AC0222" w:rsidRPr="007B2402">
        <w:rPr>
          <w:rFonts w:eastAsia="Calibri" w:cs="Times New Roman"/>
          <w:szCs w:val="20"/>
          <w:lang w:val="en-US"/>
        </w:rPr>
        <w:t>, Nevertheless,</w:t>
      </w:r>
      <w:r w:rsidR="00A66030" w:rsidRPr="007B2402">
        <w:rPr>
          <w:rFonts w:eastAsia="Calibri" w:cs="Times New Roman"/>
          <w:szCs w:val="20"/>
          <w:lang w:val="en-US"/>
        </w:rPr>
        <w:t xml:space="preserve"> </w:t>
      </w:r>
      <w:r w:rsidR="005B1590" w:rsidRPr="007B2402">
        <w:rPr>
          <w:rFonts w:eastAsia="Calibri" w:cs="Times New Roman"/>
          <w:szCs w:val="20"/>
          <w:lang w:val="en-US"/>
        </w:rPr>
        <w:t>the representatives</w:t>
      </w:r>
      <w:r w:rsidR="00A66030" w:rsidRPr="007B2402">
        <w:rPr>
          <w:rFonts w:eastAsia="Calibri" w:cs="Times New Roman"/>
          <w:szCs w:val="20"/>
          <w:lang w:val="en-US"/>
        </w:rPr>
        <w:t xml:space="preserve"> </w:t>
      </w:r>
      <w:r w:rsidR="00AC0222" w:rsidRPr="007B2402">
        <w:rPr>
          <w:rFonts w:eastAsia="Calibri" w:cs="Times New Roman"/>
          <w:szCs w:val="20"/>
          <w:lang w:val="en-US"/>
        </w:rPr>
        <w:t>were able to</w:t>
      </w:r>
      <w:r w:rsidRPr="007B2402">
        <w:rPr>
          <w:rFonts w:eastAsia="Calibri" w:cs="Times New Roman"/>
          <w:szCs w:val="20"/>
          <w:lang w:val="en-US"/>
        </w:rPr>
        <w:t xml:space="preserve"> submit autonomous legal arguments and describe those facts that explain</w:t>
      </w:r>
      <w:r w:rsidR="00AC0222" w:rsidRPr="007B2402">
        <w:rPr>
          <w:rFonts w:eastAsia="Calibri" w:cs="Times New Roman"/>
          <w:szCs w:val="20"/>
          <w:lang w:val="en-US"/>
        </w:rPr>
        <w:t>ed</w:t>
      </w:r>
      <w:r w:rsidRPr="007B2402">
        <w:rPr>
          <w:rFonts w:eastAsia="Calibri" w:cs="Times New Roman"/>
          <w:szCs w:val="20"/>
          <w:lang w:val="en-US"/>
        </w:rPr>
        <w:t>, clarif</w:t>
      </w:r>
      <w:r w:rsidR="00AC0222" w:rsidRPr="007B2402">
        <w:rPr>
          <w:rFonts w:eastAsia="Calibri" w:cs="Times New Roman"/>
          <w:szCs w:val="20"/>
          <w:lang w:val="en-US"/>
        </w:rPr>
        <w:t>ied</w:t>
      </w:r>
      <w:r w:rsidRPr="007B2402">
        <w:rPr>
          <w:rFonts w:eastAsia="Calibri" w:cs="Times New Roman"/>
          <w:szCs w:val="20"/>
          <w:lang w:val="en-US"/>
        </w:rPr>
        <w:t xml:space="preserve"> or reject</w:t>
      </w:r>
      <w:r w:rsidR="00AC0222" w:rsidRPr="007B2402">
        <w:rPr>
          <w:rFonts w:eastAsia="Calibri" w:cs="Times New Roman"/>
          <w:szCs w:val="20"/>
          <w:lang w:val="en-US"/>
        </w:rPr>
        <w:t>ed</w:t>
      </w:r>
      <w:r w:rsidRPr="007B2402">
        <w:rPr>
          <w:rFonts w:eastAsia="Calibri" w:cs="Times New Roman"/>
          <w:szCs w:val="20"/>
          <w:lang w:val="en-US"/>
        </w:rPr>
        <w:t xml:space="preserve"> facts that ha</w:t>
      </w:r>
      <w:r w:rsidR="00AC0222" w:rsidRPr="007B2402">
        <w:rPr>
          <w:rFonts w:eastAsia="Calibri" w:cs="Times New Roman"/>
          <w:szCs w:val="20"/>
          <w:lang w:val="en-US"/>
        </w:rPr>
        <w:t>d</w:t>
      </w:r>
      <w:r w:rsidRPr="007B2402">
        <w:rPr>
          <w:rFonts w:eastAsia="Calibri" w:cs="Times New Roman"/>
          <w:szCs w:val="20"/>
          <w:lang w:val="en-US"/>
        </w:rPr>
        <w:t xml:space="preserve"> been submitted to the consideration of the Court. Meanwhile, the Court </w:t>
      </w:r>
      <w:r w:rsidR="00AC0222" w:rsidRPr="007B2402">
        <w:rPr>
          <w:rFonts w:eastAsia="Calibri" w:cs="Times New Roman"/>
          <w:szCs w:val="20"/>
          <w:lang w:val="en-US"/>
        </w:rPr>
        <w:t>wa</w:t>
      </w:r>
      <w:r w:rsidRPr="007B2402">
        <w:rPr>
          <w:rFonts w:eastAsia="Calibri" w:cs="Times New Roman"/>
          <w:szCs w:val="20"/>
          <w:lang w:val="en-US"/>
        </w:rPr>
        <w:t xml:space="preserve">s called on to assess whether </w:t>
      </w:r>
      <w:r w:rsidR="00AD4B86" w:rsidRPr="007B2402">
        <w:rPr>
          <w:rFonts w:eastAsia="Calibri" w:cs="Times New Roman"/>
          <w:szCs w:val="20"/>
          <w:lang w:val="en-US"/>
        </w:rPr>
        <w:t>the elements introduced explain</w:t>
      </w:r>
      <w:r w:rsidR="00AC0222" w:rsidRPr="007B2402">
        <w:rPr>
          <w:rFonts w:eastAsia="Calibri" w:cs="Times New Roman"/>
          <w:szCs w:val="20"/>
          <w:lang w:val="en-US"/>
        </w:rPr>
        <w:t>ed</w:t>
      </w:r>
      <w:r w:rsidR="00AD4B86" w:rsidRPr="007B2402">
        <w:rPr>
          <w:rFonts w:eastAsia="Calibri" w:cs="Times New Roman"/>
          <w:szCs w:val="20"/>
          <w:lang w:val="en-US"/>
        </w:rPr>
        <w:t xml:space="preserve"> or clarif</w:t>
      </w:r>
      <w:r w:rsidR="00AC0222" w:rsidRPr="007B2402">
        <w:rPr>
          <w:rFonts w:eastAsia="Calibri" w:cs="Times New Roman"/>
          <w:szCs w:val="20"/>
          <w:lang w:val="en-US"/>
        </w:rPr>
        <w:t>ied</w:t>
      </w:r>
      <w:r w:rsidR="00AD4B86" w:rsidRPr="007B2402">
        <w:rPr>
          <w:rFonts w:eastAsia="Calibri" w:cs="Times New Roman"/>
          <w:szCs w:val="20"/>
          <w:lang w:val="en-US"/>
        </w:rPr>
        <w:t xml:space="preserve"> the facts described by</w:t>
      </w:r>
      <w:r w:rsidR="00596CE2" w:rsidRPr="007B2402">
        <w:rPr>
          <w:rFonts w:eastAsia="Calibri" w:cs="Times New Roman"/>
          <w:szCs w:val="20"/>
          <w:lang w:val="en-US"/>
        </w:rPr>
        <w:t xml:space="preserve"> </w:t>
      </w:r>
      <w:r w:rsidR="00AF4344" w:rsidRPr="007B2402">
        <w:rPr>
          <w:rFonts w:eastAsia="Calibri" w:cs="Times New Roman"/>
          <w:szCs w:val="20"/>
          <w:lang w:val="en-US"/>
        </w:rPr>
        <w:t>the Commission</w:t>
      </w:r>
      <w:r w:rsidR="00596CE2" w:rsidRPr="007B2402">
        <w:rPr>
          <w:rFonts w:eastAsia="Calibri" w:cs="Times New Roman"/>
          <w:szCs w:val="20"/>
          <w:lang w:val="en-US"/>
        </w:rPr>
        <w:t xml:space="preserve"> </w:t>
      </w:r>
      <w:r w:rsidR="00AD4B86" w:rsidRPr="007B2402">
        <w:rPr>
          <w:rFonts w:eastAsia="Calibri" w:cs="Times New Roman"/>
          <w:szCs w:val="20"/>
          <w:lang w:val="en-US"/>
        </w:rPr>
        <w:t>in its</w:t>
      </w:r>
      <w:r w:rsidR="00596CE2" w:rsidRPr="007B2402">
        <w:rPr>
          <w:rFonts w:eastAsia="Calibri" w:cs="Times New Roman"/>
          <w:szCs w:val="20"/>
          <w:lang w:val="en-US"/>
        </w:rPr>
        <w:t xml:space="preserve"> </w:t>
      </w:r>
      <w:r w:rsidR="00375567" w:rsidRPr="007B2402">
        <w:rPr>
          <w:rFonts w:eastAsia="Calibri" w:cs="Times New Roman"/>
          <w:szCs w:val="20"/>
          <w:lang w:val="en-US"/>
        </w:rPr>
        <w:t>Merits Report</w:t>
      </w:r>
      <w:r w:rsidR="005B1590" w:rsidRPr="007B2402">
        <w:rPr>
          <w:rFonts w:eastAsia="Calibri" w:cs="Times New Roman"/>
          <w:szCs w:val="20"/>
          <w:lang w:val="en-US"/>
        </w:rPr>
        <w:t xml:space="preserve"> and </w:t>
      </w:r>
      <w:r w:rsidR="00AD4B86" w:rsidRPr="007B2402">
        <w:rPr>
          <w:rFonts w:eastAsia="Calibri" w:cs="Times New Roman"/>
          <w:szCs w:val="20"/>
          <w:lang w:val="en-US"/>
        </w:rPr>
        <w:t xml:space="preserve">whether they </w:t>
      </w:r>
      <w:r w:rsidR="00AC0222" w:rsidRPr="007B2402">
        <w:rPr>
          <w:rFonts w:eastAsia="Calibri" w:cs="Times New Roman"/>
          <w:szCs w:val="20"/>
          <w:lang w:val="en-US"/>
        </w:rPr>
        <w:t>we</w:t>
      </w:r>
      <w:r w:rsidR="00AD4B86" w:rsidRPr="007B2402">
        <w:rPr>
          <w:rFonts w:eastAsia="Calibri" w:cs="Times New Roman"/>
          <w:szCs w:val="20"/>
          <w:lang w:val="en-US"/>
        </w:rPr>
        <w:t>re related to the factual framework of the case.</w:t>
      </w:r>
    </w:p>
    <w:p w14:paraId="3456FE94" w14:textId="77777777" w:rsidR="00AD4B86" w:rsidRPr="007B2402" w:rsidRDefault="00AD4B86" w:rsidP="00AD4B86">
      <w:pPr>
        <w:spacing w:after="0" w:line="240" w:lineRule="auto"/>
        <w:contextualSpacing/>
        <w:jc w:val="both"/>
        <w:rPr>
          <w:rFonts w:eastAsia="Calibri" w:cs="Times New Roman"/>
          <w:szCs w:val="20"/>
          <w:lang w:val="en-US"/>
        </w:rPr>
      </w:pPr>
    </w:p>
    <w:p w14:paraId="17B99D93" w14:textId="393A1E14" w:rsidR="00A66030" w:rsidRPr="007B2402" w:rsidRDefault="00AD4B86" w:rsidP="00AD4B86">
      <w:pPr>
        <w:numPr>
          <w:ilvl w:val="0"/>
          <w:numId w:val="5"/>
        </w:numPr>
        <w:spacing w:line="240" w:lineRule="auto"/>
        <w:contextualSpacing/>
        <w:jc w:val="both"/>
        <w:rPr>
          <w:rFonts w:eastAsia="Calibri" w:cs="Times New Roman"/>
          <w:szCs w:val="20"/>
          <w:lang w:val="en-US"/>
        </w:rPr>
      </w:pPr>
      <w:r w:rsidRPr="007B2402">
        <w:rPr>
          <w:rFonts w:eastAsia="Calibri" w:cs="Times New Roman"/>
          <w:szCs w:val="20"/>
          <w:lang w:val="en-US"/>
        </w:rPr>
        <w:t>Lastly,</w:t>
      </w:r>
      <w:r w:rsidR="00A66030" w:rsidRPr="007B2402">
        <w:rPr>
          <w:rFonts w:eastAsia="Calibri" w:cs="Times New Roman"/>
          <w:szCs w:val="20"/>
          <w:lang w:val="en-US"/>
        </w:rPr>
        <w:t xml:space="preserve"> </w:t>
      </w:r>
      <w:r w:rsidR="00AF4344" w:rsidRPr="007B2402">
        <w:rPr>
          <w:rFonts w:eastAsia="Calibri" w:cs="Times New Roman"/>
          <w:szCs w:val="20"/>
          <w:lang w:val="en-US"/>
        </w:rPr>
        <w:t>the Commission</w:t>
      </w:r>
      <w:r w:rsidR="00A66030" w:rsidRPr="007B2402">
        <w:rPr>
          <w:rFonts w:eastAsia="Calibri" w:cs="Times New Roman"/>
          <w:szCs w:val="20"/>
          <w:lang w:val="en-US"/>
        </w:rPr>
        <w:t xml:space="preserve"> consider</w:t>
      </w:r>
      <w:r w:rsidRPr="007B2402">
        <w:rPr>
          <w:rFonts w:eastAsia="Calibri" w:cs="Times New Roman"/>
          <w:szCs w:val="20"/>
          <w:lang w:val="en-US"/>
        </w:rPr>
        <w:t>ed that the elements introduced by</w:t>
      </w:r>
      <w:r w:rsidR="00A66030" w:rsidRPr="007B2402">
        <w:rPr>
          <w:rFonts w:eastAsia="Calibri" w:cs="Times New Roman"/>
          <w:szCs w:val="20"/>
          <w:lang w:val="en-US"/>
        </w:rPr>
        <w:t xml:space="preserve"> </w:t>
      </w:r>
      <w:r w:rsidR="005B1590" w:rsidRPr="007B2402">
        <w:rPr>
          <w:rFonts w:eastAsia="Calibri" w:cs="Times New Roman"/>
          <w:szCs w:val="20"/>
          <w:lang w:val="en-US"/>
        </w:rPr>
        <w:t>the representatives</w:t>
      </w:r>
      <w:r w:rsidR="00A66030" w:rsidRPr="007B2402">
        <w:rPr>
          <w:rFonts w:eastAsia="Calibri" w:cs="Times New Roman"/>
          <w:szCs w:val="20"/>
          <w:lang w:val="en-US"/>
        </w:rPr>
        <w:t xml:space="preserve"> constitu</w:t>
      </w:r>
      <w:r w:rsidRPr="007B2402">
        <w:rPr>
          <w:rFonts w:eastAsia="Calibri" w:cs="Times New Roman"/>
          <w:szCs w:val="20"/>
          <w:lang w:val="en-US"/>
        </w:rPr>
        <w:t xml:space="preserve">ted an explanation of the context of institutional cover-up established in the </w:t>
      </w:r>
      <w:r w:rsidR="00375567" w:rsidRPr="007B2402">
        <w:rPr>
          <w:rFonts w:eastAsia="Calibri" w:cs="Times New Roman"/>
          <w:szCs w:val="20"/>
          <w:lang w:val="en-US"/>
        </w:rPr>
        <w:t>Merits Report</w:t>
      </w:r>
      <w:r w:rsidR="00A66030" w:rsidRPr="007B2402">
        <w:rPr>
          <w:rFonts w:eastAsia="Calibri" w:cs="Times New Roman"/>
          <w:szCs w:val="20"/>
          <w:lang w:val="en-US"/>
        </w:rPr>
        <w:t xml:space="preserve">. </w:t>
      </w:r>
      <w:r w:rsidRPr="007B2402">
        <w:rPr>
          <w:rFonts w:eastAsia="Calibri" w:cs="Times New Roman"/>
          <w:szCs w:val="20"/>
          <w:lang w:val="en-US"/>
        </w:rPr>
        <w:t>In addition, it could be understood t</w:t>
      </w:r>
      <w:r w:rsidR="005F4579" w:rsidRPr="007B2402">
        <w:rPr>
          <w:rFonts w:eastAsia="Calibri" w:cs="Times New Roman"/>
          <w:szCs w:val="20"/>
          <w:lang w:val="en-US"/>
        </w:rPr>
        <w:t>hat they were</w:t>
      </w:r>
      <w:r w:rsidRPr="007B2402">
        <w:rPr>
          <w:rFonts w:eastAsia="Calibri" w:cs="Times New Roman"/>
          <w:szCs w:val="20"/>
          <w:lang w:val="en-US"/>
        </w:rPr>
        <w:t xml:space="preserve"> </w:t>
      </w:r>
      <w:r w:rsidR="005F4579" w:rsidRPr="007B2402">
        <w:rPr>
          <w:rFonts w:eastAsia="Calibri" w:cs="Times New Roman"/>
          <w:szCs w:val="20"/>
          <w:lang w:val="en-US"/>
        </w:rPr>
        <w:t>relat</w:t>
      </w:r>
      <w:r w:rsidRPr="007B2402">
        <w:rPr>
          <w:rFonts w:eastAsia="Calibri" w:cs="Times New Roman"/>
          <w:szCs w:val="20"/>
          <w:lang w:val="en-US"/>
        </w:rPr>
        <w:t>ed to the attempts by various domestic instances to obtain information from public entities, including the military</w:t>
      </w:r>
      <w:r w:rsidR="005F4579" w:rsidRPr="007B2402">
        <w:rPr>
          <w:rFonts w:eastAsia="Calibri" w:cs="Times New Roman"/>
          <w:szCs w:val="20"/>
          <w:lang w:val="en-US"/>
        </w:rPr>
        <w:t>,</w:t>
      </w:r>
      <w:r w:rsidRPr="007B2402">
        <w:rPr>
          <w:rFonts w:eastAsia="Calibri" w:cs="Times New Roman"/>
          <w:szCs w:val="20"/>
          <w:lang w:val="en-US"/>
        </w:rPr>
        <w:t xml:space="preserve"> and,</w:t>
      </w:r>
      <w:r w:rsidR="005F4579" w:rsidRPr="007B2402">
        <w:rPr>
          <w:rFonts w:eastAsia="Calibri" w:cs="Times New Roman"/>
          <w:szCs w:val="20"/>
          <w:lang w:val="en-US"/>
        </w:rPr>
        <w:t xml:space="preserve"> thus</w:t>
      </w:r>
      <w:r w:rsidRPr="007B2402">
        <w:rPr>
          <w:rFonts w:eastAsia="Calibri" w:cs="Times New Roman"/>
          <w:szCs w:val="20"/>
          <w:lang w:val="en-US"/>
        </w:rPr>
        <w:t>,</w:t>
      </w:r>
      <w:r w:rsidR="005F4579" w:rsidRPr="007B2402">
        <w:rPr>
          <w:rFonts w:eastAsia="Calibri" w:cs="Times New Roman"/>
          <w:szCs w:val="20"/>
          <w:lang w:val="en-US"/>
        </w:rPr>
        <w:t xml:space="preserve"> they were </w:t>
      </w:r>
      <w:r w:rsidRPr="007B2402">
        <w:rPr>
          <w:rFonts w:eastAsia="Calibri" w:cs="Times New Roman"/>
          <w:szCs w:val="20"/>
          <w:lang w:val="en-US"/>
        </w:rPr>
        <w:t xml:space="preserve">reasonably related to the factual framework and the analysis made in the </w:t>
      </w:r>
      <w:r w:rsidR="00375567" w:rsidRPr="007B2402">
        <w:rPr>
          <w:rFonts w:eastAsia="Calibri" w:cs="Times New Roman"/>
          <w:szCs w:val="20"/>
          <w:lang w:val="en-US"/>
        </w:rPr>
        <w:t>Merits Report</w:t>
      </w:r>
      <w:r w:rsidR="00FC2108" w:rsidRPr="007B2402">
        <w:rPr>
          <w:rFonts w:eastAsia="Calibri" w:cs="Times New Roman"/>
          <w:szCs w:val="20"/>
          <w:lang w:val="en-US"/>
        </w:rPr>
        <w:t>.</w:t>
      </w:r>
    </w:p>
    <w:p w14:paraId="46DECF6B" w14:textId="77777777" w:rsidR="00A66030" w:rsidRPr="007B2402" w:rsidRDefault="00A66030" w:rsidP="00A66030">
      <w:pPr>
        <w:spacing w:line="240" w:lineRule="auto"/>
        <w:contextualSpacing/>
        <w:jc w:val="both"/>
        <w:rPr>
          <w:rFonts w:eastAsia="Calibri" w:cs="Times New Roman"/>
          <w:szCs w:val="20"/>
          <w:lang w:val="en-US"/>
        </w:rPr>
      </w:pPr>
    </w:p>
    <w:p w14:paraId="6CC80C7E" w14:textId="26F3A34C" w:rsidR="00A66030" w:rsidRPr="007B2402" w:rsidRDefault="005B1590" w:rsidP="00DB1F30">
      <w:pPr>
        <w:numPr>
          <w:ilvl w:val="0"/>
          <w:numId w:val="5"/>
        </w:numPr>
        <w:spacing w:after="0" w:line="240" w:lineRule="auto"/>
        <w:contextualSpacing/>
        <w:jc w:val="both"/>
        <w:rPr>
          <w:rFonts w:eastAsia="Calibri" w:cs="Times New Roman"/>
          <w:szCs w:val="20"/>
          <w:lang w:val="en-US"/>
        </w:rPr>
      </w:pPr>
      <w:r w:rsidRPr="007B2402">
        <w:rPr>
          <w:rFonts w:eastAsia="Calibri" w:cs="Times New Roman"/>
          <w:szCs w:val="20"/>
          <w:lang w:val="en-US"/>
        </w:rPr>
        <w:t xml:space="preserve">The </w:t>
      </w:r>
      <w:r w:rsidRPr="007B2402">
        <w:rPr>
          <w:rFonts w:eastAsia="Calibri" w:cs="Times New Roman"/>
          <w:b/>
          <w:i/>
          <w:szCs w:val="20"/>
          <w:lang w:val="en-US"/>
        </w:rPr>
        <w:t>representatives</w:t>
      </w:r>
      <w:r w:rsidR="00A66030" w:rsidRPr="007B2402">
        <w:rPr>
          <w:rFonts w:eastAsia="Calibri" w:cs="Times New Roman"/>
          <w:szCs w:val="20"/>
          <w:lang w:val="en-US"/>
        </w:rPr>
        <w:t xml:space="preserve"> </w:t>
      </w:r>
      <w:r w:rsidR="00AD4B86" w:rsidRPr="007B2402">
        <w:rPr>
          <w:rFonts w:eastAsia="Calibri" w:cs="Times New Roman"/>
          <w:szCs w:val="20"/>
          <w:lang w:val="en-US"/>
        </w:rPr>
        <w:t>underscored that the</w:t>
      </w:r>
      <w:r w:rsidR="005F4579" w:rsidRPr="007B2402">
        <w:rPr>
          <w:rFonts w:eastAsia="Calibri" w:cs="Times New Roman"/>
          <w:szCs w:val="20"/>
          <w:lang w:val="en-US"/>
        </w:rPr>
        <w:t xml:space="preserve"> contents of the</w:t>
      </w:r>
      <w:r w:rsidR="00AD4B86" w:rsidRPr="007B2402">
        <w:rPr>
          <w:rFonts w:eastAsia="Calibri" w:cs="Times New Roman"/>
          <w:szCs w:val="20"/>
          <w:lang w:val="en-US"/>
        </w:rPr>
        <w:t xml:space="preserve"> factual framework d</w:t>
      </w:r>
      <w:r w:rsidR="005F4579" w:rsidRPr="007B2402">
        <w:rPr>
          <w:rFonts w:eastAsia="Calibri" w:cs="Times New Roman"/>
          <w:szCs w:val="20"/>
          <w:lang w:val="en-US"/>
        </w:rPr>
        <w:t>id</w:t>
      </w:r>
      <w:r w:rsidR="00AD4B86" w:rsidRPr="007B2402">
        <w:rPr>
          <w:rFonts w:eastAsia="Calibri" w:cs="Times New Roman"/>
          <w:szCs w:val="20"/>
          <w:lang w:val="en-US"/>
        </w:rPr>
        <w:t xml:space="preserve"> not constitute a</w:t>
      </w:r>
      <w:r w:rsidR="00A66030" w:rsidRPr="007B2402">
        <w:rPr>
          <w:rFonts w:eastAsia="Calibri" w:cs="Times New Roman"/>
          <w:szCs w:val="20"/>
          <w:lang w:val="en-US"/>
        </w:rPr>
        <w:t xml:space="preserve"> </w:t>
      </w:r>
      <w:r w:rsidR="006E2CFF" w:rsidRPr="007B2402">
        <w:rPr>
          <w:rFonts w:eastAsia="Calibri" w:cs="Times New Roman"/>
          <w:szCs w:val="20"/>
          <w:lang w:val="en-US"/>
        </w:rPr>
        <w:t>preliminary objection</w:t>
      </w:r>
      <w:r w:rsidR="00AD4B86" w:rsidRPr="007B2402">
        <w:rPr>
          <w:rFonts w:eastAsia="Calibri" w:cs="Times New Roman"/>
          <w:szCs w:val="20"/>
          <w:lang w:val="en-US"/>
        </w:rPr>
        <w:t xml:space="preserve">, but rather </w:t>
      </w:r>
      <w:r w:rsidR="005F4579" w:rsidRPr="007B2402">
        <w:rPr>
          <w:rFonts w:eastAsia="Calibri" w:cs="Times New Roman"/>
          <w:szCs w:val="20"/>
          <w:lang w:val="en-US"/>
        </w:rPr>
        <w:t xml:space="preserve">related to </w:t>
      </w:r>
      <w:r w:rsidR="00AD4B86" w:rsidRPr="007B2402">
        <w:rPr>
          <w:rFonts w:eastAsia="Calibri" w:cs="Times New Roman"/>
          <w:szCs w:val="20"/>
          <w:lang w:val="en-US"/>
        </w:rPr>
        <w:t>an analysis that the Court must make to determine the merits of the case, as revealed by the Court’s case law.</w:t>
      </w:r>
    </w:p>
    <w:p w14:paraId="519428B2" w14:textId="77777777" w:rsidR="00A66030" w:rsidRPr="007B2402" w:rsidRDefault="00A66030" w:rsidP="00A66030">
      <w:pPr>
        <w:spacing w:after="0" w:line="240" w:lineRule="auto"/>
        <w:contextualSpacing/>
        <w:jc w:val="both"/>
        <w:rPr>
          <w:rFonts w:eastAsia="Calibri" w:cs="Times New Roman"/>
          <w:szCs w:val="20"/>
          <w:lang w:val="en-US"/>
        </w:rPr>
      </w:pPr>
    </w:p>
    <w:p w14:paraId="3470E995" w14:textId="5F10D7A4" w:rsidR="00AD4B86" w:rsidRPr="007B2402" w:rsidRDefault="00AD4B86" w:rsidP="00DB1F30">
      <w:pPr>
        <w:numPr>
          <w:ilvl w:val="0"/>
          <w:numId w:val="5"/>
        </w:numPr>
        <w:spacing w:after="0" w:line="240" w:lineRule="auto"/>
        <w:contextualSpacing/>
        <w:jc w:val="both"/>
        <w:rPr>
          <w:rFonts w:eastAsia="Calibri" w:cs="Times New Roman"/>
          <w:szCs w:val="20"/>
          <w:lang w:val="en-US"/>
        </w:rPr>
      </w:pPr>
      <w:r w:rsidRPr="007B2402">
        <w:rPr>
          <w:rFonts w:eastAsia="Calibri" w:cs="Times New Roman"/>
          <w:szCs w:val="20"/>
          <w:lang w:val="en-US"/>
        </w:rPr>
        <w:t xml:space="preserve">Nevertheless, regarding the inclusion of facts that were not developed in the Merits Report, they argued that this </w:t>
      </w:r>
      <w:r w:rsidR="005F4579" w:rsidRPr="007B2402">
        <w:rPr>
          <w:rFonts w:eastAsia="Calibri" w:cs="Times New Roman"/>
          <w:szCs w:val="20"/>
          <w:lang w:val="en-US"/>
        </w:rPr>
        <w:t>was</w:t>
      </w:r>
      <w:r w:rsidRPr="007B2402">
        <w:rPr>
          <w:rFonts w:eastAsia="Calibri" w:cs="Times New Roman"/>
          <w:szCs w:val="20"/>
          <w:lang w:val="en-US"/>
        </w:rPr>
        <w:t xml:space="preserve"> possible when </w:t>
      </w:r>
      <w:r w:rsidR="005F4579" w:rsidRPr="007B2402">
        <w:rPr>
          <w:rFonts w:eastAsia="Calibri" w:cs="Times New Roman"/>
          <w:szCs w:val="20"/>
          <w:lang w:val="en-US"/>
        </w:rPr>
        <w:t>they were</w:t>
      </w:r>
      <w:r w:rsidRPr="007B2402">
        <w:rPr>
          <w:rFonts w:eastAsia="Calibri" w:cs="Times New Roman"/>
          <w:szCs w:val="20"/>
          <w:lang w:val="en-US"/>
        </w:rPr>
        <w:t xml:space="preserve"> fa</w:t>
      </w:r>
      <w:r w:rsidR="005F4579" w:rsidRPr="007B2402">
        <w:rPr>
          <w:rFonts w:eastAsia="Calibri" w:cs="Times New Roman"/>
          <w:szCs w:val="20"/>
          <w:lang w:val="en-US"/>
        </w:rPr>
        <w:t>c</w:t>
      </w:r>
      <w:r w:rsidRPr="007B2402">
        <w:rPr>
          <w:rFonts w:eastAsia="Calibri" w:cs="Times New Roman"/>
          <w:szCs w:val="20"/>
          <w:lang w:val="en-US"/>
        </w:rPr>
        <w:t>ts that explain</w:t>
      </w:r>
      <w:r w:rsidR="005F4579" w:rsidRPr="007B2402">
        <w:rPr>
          <w:rFonts w:eastAsia="Calibri" w:cs="Times New Roman"/>
          <w:szCs w:val="20"/>
          <w:lang w:val="en-US"/>
        </w:rPr>
        <w:t>ed</w:t>
      </w:r>
      <w:r w:rsidRPr="007B2402">
        <w:rPr>
          <w:rFonts w:eastAsia="Calibri" w:cs="Times New Roman"/>
          <w:szCs w:val="20"/>
          <w:lang w:val="en-US"/>
        </w:rPr>
        <w:t>, clarif</w:t>
      </w:r>
      <w:r w:rsidR="005F4579" w:rsidRPr="007B2402">
        <w:rPr>
          <w:rFonts w:eastAsia="Calibri" w:cs="Times New Roman"/>
          <w:szCs w:val="20"/>
          <w:lang w:val="en-US"/>
        </w:rPr>
        <w:t>ied</w:t>
      </w:r>
      <w:r w:rsidRPr="007B2402">
        <w:rPr>
          <w:rFonts w:eastAsia="Calibri" w:cs="Times New Roman"/>
          <w:szCs w:val="20"/>
          <w:lang w:val="en-US"/>
        </w:rPr>
        <w:t xml:space="preserve"> or </w:t>
      </w:r>
      <w:r w:rsidRPr="007B2402">
        <w:rPr>
          <w:rFonts w:eastAsia="Calibri" w:cs="Times New Roman"/>
          <w:szCs w:val="20"/>
          <w:lang w:val="en-US"/>
        </w:rPr>
        <w:lastRenderedPageBreak/>
        <w:t>reject</w:t>
      </w:r>
      <w:r w:rsidR="005F4579" w:rsidRPr="007B2402">
        <w:rPr>
          <w:rFonts w:eastAsia="Calibri" w:cs="Times New Roman"/>
          <w:szCs w:val="20"/>
          <w:lang w:val="en-US"/>
        </w:rPr>
        <w:t>ed</w:t>
      </w:r>
      <w:r w:rsidRPr="007B2402">
        <w:rPr>
          <w:rFonts w:eastAsia="Calibri" w:cs="Times New Roman"/>
          <w:szCs w:val="20"/>
          <w:lang w:val="en-US"/>
        </w:rPr>
        <w:t xml:space="preserve"> the facts submitted to the </w:t>
      </w:r>
      <w:r w:rsidR="005F4579" w:rsidRPr="007B2402">
        <w:rPr>
          <w:rFonts w:eastAsia="Calibri" w:cs="Times New Roman"/>
          <w:szCs w:val="20"/>
          <w:lang w:val="en-US"/>
        </w:rPr>
        <w:t xml:space="preserve">Court’s </w:t>
      </w:r>
      <w:r w:rsidRPr="007B2402">
        <w:rPr>
          <w:rFonts w:eastAsia="Calibri" w:cs="Times New Roman"/>
          <w:szCs w:val="20"/>
          <w:lang w:val="en-US"/>
        </w:rPr>
        <w:t>consideration. They also indicated that facts classified as supervening can also be admitted. In this regard, it was the role of the Inter-American Court to decide</w:t>
      </w:r>
      <w:r w:rsidR="005F4579" w:rsidRPr="007B2402">
        <w:rPr>
          <w:rFonts w:eastAsia="Calibri" w:cs="Times New Roman"/>
          <w:szCs w:val="20"/>
          <w:lang w:val="en-US"/>
        </w:rPr>
        <w:t>,</w:t>
      </w:r>
      <w:r w:rsidRPr="007B2402">
        <w:rPr>
          <w:rFonts w:eastAsia="Calibri" w:cs="Times New Roman"/>
          <w:szCs w:val="20"/>
          <w:lang w:val="en-US"/>
        </w:rPr>
        <w:t xml:space="preserve"> in each specific case</w:t>
      </w:r>
      <w:r w:rsidR="005F4579" w:rsidRPr="007B2402">
        <w:rPr>
          <w:rFonts w:eastAsia="Calibri" w:cs="Times New Roman"/>
          <w:szCs w:val="20"/>
          <w:lang w:val="en-US"/>
        </w:rPr>
        <w:t>,</w:t>
      </w:r>
      <w:r w:rsidRPr="007B2402">
        <w:rPr>
          <w:rFonts w:eastAsia="Calibri" w:cs="Times New Roman"/>
          <w:szCs w:val="20"/>
          <w:lang w:val="en-US"/>
        </w:rPr>
        <w:t xml:space="preserve"> </w:t>
      </w:r>
      <w:r w:rsidR="00DA6EA0" w:rsidRPr="007B2402">
        <w:rPr>
          <w:rFonts w:eastAsia="Calibri" w:cs="Times New Roman"/>
          <w:szCs w:val="20"/>
          <w:lang w:val="en-US"/>
        </w:rPr>
        <w:t>on the admissibility of arguments concerning the factual framework, safeguarding the procedural balance between the parties and the adversarial principle.</w:t>
      </w:r>
    </w:p>
    <w:p w14:paraId="1E662F16" w14:textId="77777777" w:rsidR="00A66030" w:rsidRPr="007B2402" w:rsidRDefault="00A66030" w:rsidP="00A66030">
      <w:pPr>
        <w:spacing w:after="0" w:line="240" w:lineRule="auto"/>
        <w:contextualSpacing/>
        <w:jc w:val="both"/>
        <w:rPr>
          <w:rFonts w:eastAsia="Calibri" w:cs="Times New Roman"/>
          <w:szCs w:val="20"/>
          <w:lang w:val="en-US"/>
        </w:rPr>
      </w:pPr>
    </w:p>
    <w:p w14:paraId="512931CA" w14:textId="3B1B6C16" w:rsidR="00A66030" w:rsidRPr="007B2402" w:rsidRDefault="00DA6EA0" w:rsidP="00DB1F30">
      <w:pPr>
        <w:numPr>
          <w:ilvl w:val="0"/>
          <w:numId w:val="5"/>
        </w:numPr>
        <w:spacing w:after="0" w:line="240" w:lineRule="auto"/>
        <w:contextualSpacing/>
        <w:jc w:val="both"/>
        <w:rPr>
          <w:rFonts w:eastAsia="Calibri" w:cs="Times New Roman"/>
          <w:szCs w:val="20"/>
          <w:lang w:val="en-US"/>
        </w:rPr>
      </w:pPr>
      <w:r w:rsidRPr="007B2402">
        <w:rPr>
          <w:rFonts w:eastAsia="Calibri" w:cs="Times New Roman"/>
          <w:szCs w:val="20"/>
          <w:lang w:val="en-US"/>
        </w:rPr>
        <w:t>In addition</w:t>
      </w:r>
      <w:r w:rsidR="00A66030" w:rsidRPr="007B2402">
        <w:rPr>
          <w:rFonts w:eastAsia="Calibri" w:cs="Times New Roman"/>
          <w:szCs w:val="20"/>
          <w:lang w:val="en-US"/>
        </w:rPr>
        <w:t xml:space="preserve">, </w:t>
      </w:r>
      <w:r w:rsidR="005B1590" w:rsidRPr="007B2402">
        <w:rPr>
          <w:rFonts w:eastAsia="Calibri" w:cs="Times New Roman"/>
          <w:szCs w:val="20"/>
          <w:lang w:val="en-US"/>
        </w:rPr>
        <w:t>the representatives</w:t>
      </w:r>
      <w:r w:rsidR="00A66030" w:rsidRPr="007B2402">
        <w:rPr>
          <w:rFonts w:eastAsia="Calibri" w:cs="Times New Roman"/>
          <w:szCs w:val="20"/>
          <w:lang w:val="en-US"/>
        </w:rPr>
        <w:t xml:space="preserve"> </w:t>
      </w:r>
      <w:r w:rsidRPr="007B2402">
        <w:rPr>
          <w:rFonts w:eastAsia="Calibri" w:cs="Times New Roman"/>
          <w:szCs w:val="20"/>
          <w:lang w:val="en-US"/>
        </w:rPr>
        <w:t xml:space="preserve">indicated that their allegation of the presumed violation of the right to the truth was based on three facts that were included in </w:t>
      </w:r>
      <w:r w:rsidR="005B1590" w:rsidRPr="007B2402">
        <w:rPr>
          <w:rFonts w:eastAsia="Calibri" w:cs="Times New Roman"/>
          <w:szCs w:val="20"/>
          <w:lang w:val="en-US"/>
        </w:rPr>
        <w:t xml:space="preserve">the </w:t>
      </w:r>
      <w:r w:rsidR="00AF4344" w:rsidRPr="007B2402">
        <w:rPr>
          <w:rFonts w:eastAsia="Calibri" w:cs="Times New Roman"/>
          <w:szCs w:val="20"/>
          <w:lang w:val="en-US"/>
        </w:rPr>
        <w:t>Inter-American Commission</w:t>
      </w:r>
      <w:r w:rsidR="005F4579" w:rsidRPr="007B2402">
        <w:rPr>
          <w:rFonts w:eastAsia="Calibri" w:cs="Times New Roman"/>
          <w:szCs w:val="20"/>
          <w:lang w:val="en-US"/>
        </w:rPr>
        <w:t>’s Merits Report</w:t>
      </w:r>
      <w:r w:rsidR="00A66030" w:rsidRPr="007B2402">
        <w:rPr>
          <w:rFonts w:eastAsia="Calibri" w:cs="Times New Roman"/>
          <w:szCs w:val="20"/>
          <w:lang w:val="en-US"/>
        </w:rPr>
        <w:t xml:space="preserve">: </w:t>
      </w:r>
      <w:r w:rsidRPr="007B2402">
        <w:rPr>
          <w:rFonts w:eastAsia="Calibri" w:cs="Times New Roman"/>
          <w:szCs w:val="20"/>
          <w:lang w:val="en-US"/>
        </w:rPr>
        <w:t>(</w:t>
      </w:r>
      <w:r w:rsidR="00A66030" w:rsidRPr="007B2402">
        <w:rPr>
          <w:rFonts w:eastAsia="Calibri" w:cs="Times New Roman"/>
          <w:szCs w:val="20"/>
          <w:lang w:val="en-US"/>
        </w:rPr>
        <w:t xml:space="preserve">i) </w:t>
      </w:r>
      <w:r w:rsidRPr="007B2402">
        <w:rPr>
          <w:rFonts w:eastAsia="Calibri" w:cs="Times New Roman"/>
          <w:szCs w:val="20"/>
          <w:lang w:val="en-US"/>
        </w:rPr>
        <w:t xml:space="preserve">the official version of </w:t>
      </w:r>
      <w:r w:rsidR="005F4579" w:rsidRPr="007B2402">
        <w:rPr>
          <w:rFonts w:eastAsia="Calibri" w:cs="Times New Roman"/>
          <w:szCs w:val="20"/>
          <w:lang w:val="en-US"/>
        </w:rPr>
        <w:t xml:space="preserve">Vladimir Herzog’s </w:t>
      </w:r>
      <w:r w:rsidRPr="007B2402">
        <w:rPr>
          <w:rFonts w:eastAsia="Calibri" w:cs="Times New Roman"/>
          <w:szCs w:val="20"/>
          <w:lang w:val="en-US"/>
        </w:rPr>
        <w:t>suicide by hang</w:t>
      </w:r>
      <w:r w:rsidR="005F4579" w:rsidRPr="007B2402">
        <w:rPr>
          <w:rFonts w:eastAsia="Calibri" w:cs="Times New Roman"/>
          <w:szCs w:val="20"/>
          <w:lang w:val="en-US"/>
        </w:rPr>
        <w:t>ing</w:t>
      </w:r>
      <w:r w:rsidR="00A66030" w:rsidRPr="007B2402">
        <w:rPr>
          <w:rFonts w:eastAsia="Calibri" w:cs="Times New Roman"/>
          <w:szCs w:val="20"/>
          <w:lang w:val="en-US"/>
        </w:rPr>
        <w:t xml:space="preserve">; </w:t>
      </w:r>
      <w:r w:rsidRPr="007B2402">
        <w:rPr>
          <w:rFonts w:eastAsia="Calibri" w:cs="Times New Roman"/>
          <w:szCs w:val="20"/>
          <w:lang w:val="en-US"/>
        </w:rPr>
        <w:t>(</w:t>
      </w:r>
      <w:r w:rsidR="00A66030" w:rsidRPr="007B2402">
        <w:rPr>
          <w:rFonts w:eastAsia="Calibri" w:cs="Times New Roman"/>
          <w:szCs w:val="20"/>
          <w:lang w:val="en-US"/>
        </w:rPr>
        <w:t xml:space="preserve">ii) </w:t>
      </w:r>
      <w:r w:rsidRPr="007B2402">
        <w:rPr>
          <w:rFonts w:eastAsia="Calibri" w:cs="Times New Roman"/>
          <w:szCs w:val="20"/>
          <w:lang w:val="en-US"/>
        </w:rPr>
        <w:t xml:space="preserve">the absence of official documents regarding the circumstances of his arbitrary detention, torture and </w:t>
      </w:r>
      <w:r w:rsidR="005F4579" w:rsidRPr="007B2402">
        <w:rPr>
          <w:rFonts w:eastAsia="Calibri" w:cs="Times New Roman"/>
          <w:szCs w:val="20"/>
          <w:lang w:val="en-US"/>
        </w:rPr>
        <w:t>murder</w:t>
      </w:r>
      <w:r w:rsidRPr="007B2402">
        <w:rPr>
          <w:rFonts w:eastAsia="Calibri" w:cs="Times New Roman"/>
          <w:szCs w:val="20"/>
          <w:lang w:val="en-US"/>
        </w:rPr>
        <w:t>, and (iii) the absence of an adequate investigation.</w:t>
      </w:r>
    </w:p>
    <w:p w14:paraId="3467E135" w14:textId="77777777" w:rsidR="00A66030" w:rsidRPr="007B2402" w:rsidRDefault="00A66030" w:rsidP="00A66030">
      <w:pPr>
        <w:spacing w:after="0" w:line="240" w:lineRule="auto"/>
        <w:contextualSpacing/>
        <w:jc w:val="both"/>
        <w:rPr>
          <w:rFonts w:eastAsia="Calibri" w:cs="Times New Roman"/>
          <w:szCs w:val="20"/>
          <w:lang w:val="en-US"/>
        </w:rPr>
      </w:pPr>
    </w:p>
    <w:p w14:paraId="10378B65" w14:textId="4DC0D98D" w:rsidR="00506BC0" w:rsidRPr="007B2402" w:rsidRDefault="00506BC0" w:rsidP="005734CF">
      <w:pPr>
        <w:pStyle w:val="Ttulo3"/>
        <w:keepLines w:val="0"/>
        <w:rPr>
          <w:lang w:val="en-US"/>
        </w:rPr>
      </w:pPr>
      <w:bookmarkStart w:id="102" w:name="_Toc506496114"/>
      <w:bookmarkStart w:id="103" w:name="_Toc506984095"/>
      <w:r w:rsidRPr="007B2402">
        <w:rPr>
          <w:lang w:val="en-US"/>
        </w:rPr>
        <w:t xml:space="preserve">G.2. </w:t>
      </w:r>
      <w:r w:rsidR="007A07B8" w:rsidRPr="007B2402">
        <w:rPr>
          <w:lang w:val="en-US"/>
        </w:rPr>
        <w:t>Considerations</w:t>
      </w:r>
      <w:r w:rsidR="00AF4344" w:rsidRPr="007B2402">
        <w:rPr>
          <w:lang w:val="en-US"/>
        </w:rPr>
        <w:t xml:space="preserve"> of the Court</w:t>
      </w:r>
      <w:bookmarkEnd w:id="102"/>
      <w:bookmarkEnd w:id="103"/>
    </w:p>
    <w:p w14:paraId="3DEB4CB3" w14:textId="77777777" w:rsidR="00506BC0" w:rsidRPr="007B2402" w:rsidRDefault="00506BC0" w:rsidP="00A66030">
      <w:pPr>
        <w:spacing w:after="0" w:line="240" w:lineRule="auto"/>
        <w:contextualSpacing/>
        <w:jc w:val="both"/>
        <w:rPr>
          <w:rFonts w:eastAsia="Calibri" w:cs="Times New Roman"/>
          <w:szCs w:val="20"/>
          <w:lang w:val="en-US"/>
        </w:rPr>
      </w:pPr>
    </w:p>
    <w:p w14:paraId="667B6CFD" w14:textId="562ADB1C" w:rsidR="00915937" w:rsidRPr="007B2402" w:rsidRDefault="00AF4344" w:rsidP="00AE33FD">
      <w:pPr>
        <w:numPr>
          <w:ilvl w:val="0"/>
          <w:numId w:val="5"/>
        </w:numPr>
        <w:spacing w:after="0" w:line="240" w:lineRule="auto"/>
        <w:contextualSpacing/>
        <w:jc w:val="both"/>
        <w:rPr>
          <w:rFonts w:eastAsia="Calibri" w:cs="Times New Roman"/>
          <w:szCs w:val="20"/>
          <w:lang w:val="en-US"/>
        </w:rPr>
      </w:pPr>
      <w:r w:rsidRPr="007B2402">
        <w:rPr>
          <w:rFonts w:eastAsia="Calibri" w:cs="Times New Roman"/>
          <w:szCs w:val="20"/>
          <w:lang w:val="en-US"/>
        </w:rPr>
        <w:t>The Court</w:t>
      </w:r>
      <w:r w:rsidR="00A66030" w:rsidRPr="007B2402">
        <w:rPr>
          <w:rFonts w:eastAsia="Calibri" w:cs="Times New Roman"/>
          <w:szCs w:val="20"/>
          <w:lang w:val="en-US"/>
        </w:rPr>
        <w:t xml:space="preserve"> </w:t>
      </w:r>
      <w:r w:rsidR="00DA6EA0" w:rsidRPr="007B2402">
        <w:rPr>
          <w:rFonts w:eastAsia="Calibri" w:cs="Times New Roman"/>
          <w:szCs w:val="20"/>
          <w:lang w:val="en-US"/>
        </w:rPr>
        <w:t>recalls that</w:t>
      </w:r>
      <w:r w:rsidR="00A66030" w:rsidRPr="007B2402">
        <w:rPr>
          <w:rFonts w:eastAsia="Calibri" w:cs="Times New Roman"/>
          <w:szCs w:val="20"/>
          <w:lang w:val="en-US"/>
        </w:rPr>
        <w:t xml:space="preserve"> </w:t>
      </w:r>
      <w:r w:rsidR="006E2CFF" w:rsidRPr="007B2402">
        <w:rPr>
          <w:rFonts w:eastAsia="Calibri" w:cs="Times New Roman"/>
          <w:szCs w:val="20"/>
          <w:lang w:val="en-US"/>
        </w:rPr>
        <w:t>preliminary objections</w:t>
      </w:r>
      <w:r w:rsidR="00A66030" w:rsidRPr="007B2402">
        <w:rPr>
          <w:rFonts w:eastAsia="Calibri" w:cs="Times New Roman"/>
          <w:szCs w:val="20"/>
          <w:lang w:val="en-US"/>
        </w:rPr>
        <w:t xml:space="preserve"> </w:t>
      </w:r>
      <w:r w:rsidR="00DA6EA0" w:rsidRPr="007B2402">
        <w:rPr>
          <w:rFonts w:eastAsia="Calibri" w:cs="Times New Roman"/>
          <w:szCs w:val="20"/>
          <w:lang w:val="en-US"/>
        </w:rPr>
        <w:t>are allegations of a preliminary nature intended to prevent the examination of the merits of a matter in dispute by contesting the admissibility of a case, or the Court’s competence to examine a specific case or any of its aspects, due either to the person, matter, time or place, provided that such allegations are of a preliminary nature.</w:t>
      </w:r>
      <w:r w:rsidR="00A66030" w:rsidRPr="007B2402">
        <w:rPr>
          <w:rFonts w:eastAsia="Calibri" w:cs="Times New Roman"/>
          <w:szCs w:val="20"/>
          <w:vertAlign w:val="superscript"/>
          <w:lang w:val="en-US"/>
        </w:rPr>
        <w:footnoteReference w:id="41"/>
      </w:r>
      <w:r w:rsidR="00DA6EA0" w:rsidRPr="007B2402">
        <w:rPr>
          <w:rFonts w:eastAsia="Calibri" w:cs="Times New Roman"/>
          <w:szCs w:val="20"/>
          <w:lang w:val="en-US"/>
        </w:rPr>
        <w:t xml:space="preserve"> If the allegations cannot be considered without first making a preliminary examination of the merits of </w:t>
      </w:r>
      <w:r w:rsidR="00BF5FAC" w:rsidRPr="007B2402">
        <w:rPr>
          <w:rFonts w:eastAsia="Calibri" w:cs="Times New Roman"/>
          <w:szCs w:val="20"/>
          <w:lang w:val="en-US"/>
        </w:rPr>
        <w:t>the</w:t>
      </w:r>
      <w:r w:rsidR="00DA6EA0" w:rsidRPr="007B2402">
        <w:rPr>
          <w:rFonts w:eastAsia="Calibri" w:cs="Times New Roman"/>
          <w:szCs w:val="20"/>
          <w:lang w:val="en-US"/>
        </w:rPr>
        <w:t xml:space="preserve"> case, they cannot be analyzed by means of a </w:t>
      </w:r>
      <w:r w:rsidR="00A66030" w:rsidRPr="007B2402">
        <w:rPr>
          <w:rFonts w:eastAsia="Calibri" w:cs="Times New Roman"/>
          <w:szCs w:val="20"/>
          <w:lang w:val="en-US"/>
        </w:rPr>
        <w:t xml:space="preserve"> </w:t>
      </w:r>
      <w:r w:rsidR="006E2CFF" w:rsidRPr="007B2402">
        <w:rPr>
          <w:rFonts w:eastAsia="Calibri" w:cs="Times New Roman"/>
          <w:szCs w:val="20"/>
          <w:lang w:val="en-US"/>
        </w:rPr>
        <w:t>preliminary objection</w:t>
      </w:r>
      <w:r w:rsidR="00DA6EA0" w:rsidRPr="007B2402">
        <w:rPr>
          <w:rFonts w:eastAsia="Calibri" w:cs="Times New Roman"/>
          <w:szCs w:val="20"/>
          <w:lang w:val="en-US"/>
        </w:rPr>
        <w:t>.</w:t>
      </w:r>
      <w:r w:rsidR="00A66030" w:rsidRPr="007B2402">
        <w:rPr>
          <w:rFonts w:eastAsia="Calibri" w:cs="Times New Roman"/>
          <w:szCs w:val="20"/>
          <w:vertAlign w:val="superscript"/>
          <w:lang w:val="en-US"/>
        </w:rPr>
        <w:footnoteReference w:id="42"/>
      </w:r>
      <w:r w:rsidR="00915937" w:rsidRPr="007B2402">
        <w:rPr>
          <w:rFonts w:eastAsia="Calibri" w:cs="Times New Roman"/>
          <w:szCs w:val="20"/>
          <w:lang w:val="en-US"/>
        </w:rPr>
        <w:t xml:space="preserve"> </w:t>
      </w:r>
      <w:r w:rsidR="00DA6EA0" w:rsidRPr="007B2402">
        <w:rPr>
          <w:rFonts w:eastAsia="Calibri" w:cs="Times New Roman"/>
          <w:szCs w:val="20"/>
          <w:lang w:val="en-US"/>
        </w:rPr>
        <w:t xml:space="preserve">Therefore, the Court does not consider that these allegations made by the State are a </w:t>
      </w:r>
      <w:r w:rsidR="006E2CFF" w:rsidRPr="007B2402">
        <w:rPr>
          <w:rFonts w:eastAsia="Calibri" w:cs="Times New Roman"/>
          <w:szCs w:val="20"/>
          <w:lang w:val="en-US"/>
        </w:rPr>
        <w:t>preliminary objection</w:t>
      </w:r>
      <w:r w:rsidR="00B55000" w:rsidRPr="007B2402">
        <w:rPr>
          <w:rFonts w:eastAsia="Calibri" w:cs="Times New Roman"/>
          <w:szCs w:val="20"/>
          <w:lang w:val="en-US"/>
        </w:rPr>
        <w:t>,</w:t>
      </w:r>
      <w:r w:rsidR="00915937" w:rsidRPr="007B2402">
        <w:rPr>
          <w:rFonts w:eastAsia="Calibri" w:cs="Times New Roman"/>
          <w:szCs w:val="20"/>
          <w:lang w:val="en-US"/>
        </w:rPr>
        <w:t xml:space="preserve"> </w:t>
      </w:r>
      <w:r w:rsidR="00DA6EA0" w:rsidRPr="007B2402">
        <w:rPr>
          <w:rFonts w:eastAsia="Calibri" w:cs="Times New Roman"/>
          <w:szCs w:val="20"/>
          <w:lang w:val="en-US"/>
        </w:rPr>
        <w:t xml:space="preserve">without prejudice to </w:t>
      </w:r>
      <w:r w:rsidR="00BF5FAC" w:rsidRPr="007B2402">
        <w:rPr>
          <w:rFonts w:eastAsia="Calibri" w:cs="Times New Roman"/>
          <w:szCs w:val="20"/>
          <w:lang w:val="en-US"/>
        </w:rPr>
        <w:t>examining</w:t>
      </w:r>
      <w:r w:rsidR="00DA6EA0" w:rsidRPr="007B2402">
        <w:rPr>
          <w:rFonts w:eastAsia="Calibri" w:cs="Times New Roman"/>
          <w:szCs w:val="20"/>
          <w:lang w:val="en-US"/>
        </w:rPr>
        <w:t xml:space="preserve"> the allegation in this section. </w:t>
      </w:r>
    </w:p>
    <w:p w14:paraId="780EC370" w14:textId="77777777" w:rsidR="00DA6EA0" w:rsidRPr="007B2402" w:rsidRDefault="00DA6EA0" w:rsidP="00DA6EA0">
      <w:pPr>
        <w:spacing w:after="0" w:line="240" w:lineRule="auto"/>
        <w:contextualSpacing/>
        <w:jc w:val="both"/>
        <w:rPr>
          <w:rFonts w:eastAsia="Calibri" w:cs="Times New Roman"/>
          <w:szCs w:val="20"/>
          <w:lang w:val="en-US"/>
        </w:rPr>
      </w:pPr>
    </w:p>
    <w:p w14:paraId="28111687" w14:textId="625B85EB" w:rsidR="00A66030" w:rsidRPr="007B2402" w:rsidRDefault="00DA6EA0" w:rsidP="00DB1F30">
      <w:pPr>
        <w:numPr>
          <w:ilvl w:val="0"/>
          <w:numId w:val="5"/>
        </w:numPr>
        <w:spacing w:after="0" w:line="240" w:lineRule="auto"/>
        <w:contextualSpacing/>
        <w:jc w:val="both"/>
        <w:rPr>
          <w:rFonts w:eastAsia="Calibri" w:cs="Times New Roman"/>
          <w:lang w:val="en-US"/>
        </w:rPr>
      </w:pPr>
      <w:r w:rsidRPr="007B2402">
        <w:rPr>
          <w:rFonts w:eastAsia="Calibri" w:cs="Times New Roman"/>
          <w:szCs w:val="20"/>
          <w:lang w:val="en-US"/>
        </w:rPr>
        <w:t xml:space="preserve">In this regard, the Court recalls that, according to its consistent case law, the factual framework of the proceedings before the Court </w:t>
      </w:r>
      <w:r w:rsidR="00BF5FAC" w:rsidRPr="007B2402">
        <w:rPr>
          <w:rFonts w:eastAsia="Calibri" w:cs="Times New Roman"/>
          <w:szCs w:val="20"/>
          <w:lang w:val="en-US"/>
        </w:rPr>
        <w:t>consists of</w:t>
      </w:r>
      <w:r w:rsidRPr="007B2402">
        <w:rPr>
          <w:rFonts w:eastAsia="Calibri" w:cs="Times New Roman"/>
          <w:szCs w:val="20"/>
          <w:lang w:val="en-US"/>
        </w:rPr>
        <w:t xml:space="preserve"> the facts contained in the </w:t>
      </w:r>
      <w:r w:rsidR="00375567" w:rsidRPr="007B2402">
        <w:rPr>
          <w:rFonts w:eastAsia="Calibri" w:cs="Times New Roman"/>
          <w:szCs w:val="20"/>
          <w:lang w:val="en-US"/>
        </w:rPr>
        <w:t>Merits Report</w:t>
      </w:r>
      <w:r w:rsidR="00596CE2" w:rsidRPr="007B2402">
        <w:rPr>
          <w:rFonts w:eastAsia="Calibri" w:cs="Times New Roman"/>
          <w:szCs w:val="20"/>
          <w:lang w:val="en-US"/>
        </w:rPr>
        <w:t>,</w:t>
      </w:r>
      <w:r w:rsidR="00ED6C46" w:rsidRPr="007B2402">
        <w:rPr>
          <w:rFonts w:eastAsia="Calibri" w:cs="Times New Roman"/>
          <w:szCs w:val="20"/>
          <w:lang w:val="en-US"/>
        </w:rPr>
        <w:t xml:space="preserve"> </w:t>
      </w:r>
      <w:r w:rsidRPr="007B2402">
        <w:rPr>
          <w:rFonts w:eastAsia="Calibri" w:cs="Times New Roman"/>
          <w:szCs w:val="20"/>
          <w:lang w:val="en-US"/>
        </w:rPr>
        <w:t xml:space="preserve">with the exception of facts classified as supervening, provided that </w:t>
      </w:r>
      <w:r w:rsidR="0034766E" w:rsidRPr="007B2402">
        <w:rPr>
          <w:rFonts w:eastAsia="Calibri" w:cs="Times New Roman"/>
          <w:szCs w:val="20"/>
          <w:lang w:val="en-US"/>
        </w:rPr>
        <w:t>the latter</w:t>
      </w:r>
      <w:r w:rsidRPr="007B2402">
        <w:rPr>
          <w:rFonts w:eastAsia="Calibri" w:cs="Times New Roman"/>
          <w:szCs w:val="20"/>
          <w:lang w:val="en-US"/>
        </w:rPr>
        <w:t xml:space="preserve"> relate to the facts of the proceedings</w:t>
      </w:r>
      <w:r w:rsidR="00ED6C46" w:rsidRPr="007B2402">
        <w:rPr>
          <w:rFonts w:eastAsia="Calibri" w:cs="Times New Roman"/>
          <w:szCs w:val="20"/>
          <w:lang w:val="en-US"/>
        </w:rPr>
        <w:t xml:space="preserve">. </w:t>
      </w:r>
      <w:r w:rsidRPr="007B2402">
        <w:rPr>
          <w:rFonts w:eastAsia="Calibri" w:cs="Times New Roman"/>
          <w:szCs w:val="20"/>
          <w:lang w:val="en-US"/>
        </w:rPr>
        <w:t>This is without prejudice to the</w:t>
      </w:r>
      <w:r w:rsidR="005B1590" w:rsidRPr="007B2402">
        <w:rPr>
          <w:rFonts w:eastAsia="Calibri" w:cs="Times New Roman"/>
          <w:szCs w:val="20"/>
          <w:lang w:val="en-US"/>
        </w:rPr>
        <w:t xml:space="preserve"> representatives</w:t>
      </w:r>
      <w:r w:rsidR="00ED6C46" w:rsidRPr="007B2402">
        <w:rPr>
          <w:rFonts w:eastAsia="Calibri" w:cs="Times New Roman"/>
          <w:szCs w:val="20"/>
          <w:lang w:val="en-US"/>
        </w:rPr>
        <w:t xml:space="preserve"> </w:t>
      </w:r>
      <w:r w:rsidRPr="007B2402">
        <w:rPr>
          <w:rFonts w:eastAsia="Calibri" w:cs="Times New Roman"/>
          <w:szCs w:val="20"/>
          <w:lang w:val="en-US"/>
        </w:rPr>
        <w:t xml:space="preserve">being able to introduce facts that explain, clarify or reject those that have been mentioned in the </w:t>
      </w:r>
      <w:r w:rsidR="00375567" w:rsidRPr="007B2402">
        <w:rPr>
          <w:rFonts w:eastAsia="Calibri" w:cs="Times New Roman"/>
          <w:szCs w:val="20"/>
          <w:lang w:val="en-US"/>
        </w:rPr>
        <w:t>Merits Report</w:t>
      </w:r>
      <w:r w:rsidR="005B1590" w:rsidRPr="007B2402">
        <w:rPr>
          <w:rFonts w:eastAsia="Calibri" w:cs="Times New Roman"/>
          <w:szCs w:val="20"/>
          <w:lang w:val="en-US"/>
        </w:rPr>
        <w:t xml:space="preserve"> and </w:t>
      </w:r>
      <w:r w:rsidR="00ED6C46" w:rsidRPr="007B2402">
        <w:rPr>
          <w:rFonts w:eastAsia="Calibri" w:cs="Times New Roman"/>
          <w:szCs w:val="20"/>
          <w:lang w:val="en-US"/>
        </w:rPr>
        <w:t>ha</w:t>
      </w:r>
      <w:r w:rsidRPr="007B2402">
        <w:rPr>
          <w:rFonts w:eastAsia="Calibri" w:cs="Times New Roman"/>
          <w:szCs w:val="20"/>
          <w:lang w:val="en-US"/>
        </w:rPr>
        <w:t xml:space="preserve">ve been submitted to the consideration </w:t>
      </w:r>
      <w:r w:rsidR="00AF4344" w:rsidRPr="007B2402">
        <w:rPr>
          <w:rFonts w:eastAsia="Calibri" w:cs="Times New Roman"/>
          <w:szCs w:val="20"/>
          <w:lang w:val="en-US"/>
        </w:rPr>
        <w:t>of the Court</w:t>
      </w:r>
      <w:r w:rsidRPr="007B2402">
        <w:rPr>
          <w:rFonts w:eastAsia="Calibri" w:cs="Times New Roman"/>
          <w:szCs w:val="20"/>
          <w:lang w:val="en-US"/>
        </w:rPr>
        <w:t>.</w:t>
      </w:r>
      <w:r w:rsidR="00ED6C46" w:rsidRPr="007B2402">
        <w:rPr>
          <w:rFonts w:eastAsia="Calibri" w:cs="Times New Roman"/>
          <w:szCs w:val="20"/>
          <w:vertAlign w:val="superscript"/>
          <w:lang w:val="en-US"/>
        </w:rPr>
        <w:footnoteReference w:id="43"/>
      </w:r>
      <w:r w:rsidRPr="007B2402">
        <w:rPr>
          <w:rFonts w:eastAsia="Calibri" w:cs="Times New Roman"/>
          <w:szCs w:val="20"/>
          <w:lang w:val="en-US"/>
        </w:rPr>
        <w:t xml:space="preserve"> In this case, the Court notes that the information forwarded by</w:t>
      </w:r>
      <w:r w:rsidR="00ED6C46" w:rsidRPr="007B2402">
        <w:rPr>
          <w:rFonts w:eastAsia="Calibri" w:cs="Times New Roman"/>
          <w:szCs w:val="20"/>
          <w:lang w:val="en-US"/>
        </w:rPr>
        <w:t xml:space="preserve"> </w:t>
      </w:r>
      <w:r w:rsidR="005B1590" w:rsidRPr="007B2402">
        <w:rPr>
          <w:rFonts w:eastAsia="Calibri" w:cs="Times New Roman"/>
          <w:szCs w:val="20"/>
          <w:lang w:val="en-US"/>
        </w:rPr>
        <w:t>the representatives</w:t>
      </w:r>
      <w:r w:rsidR="00ED6C46" w:rsidRPr="007B2402">
        <w:rPr>
          <w:rFonts w:eastAsia="Calibri" w:cs="Times New Roman"/>
          <w:szCs w:val="20"/>
          <w:lang w:val="en-US"/>
        </w:rPr>
        <w:t xml:space="preserve"> </w:t>
      </w:r>
      <w:r w:rsidRPr="007B2402">
        <w:rPr>
          <w:rFonts w:eastAsia="Calibri" w:cs="Times New Roman"/>
          <w:szCs w:val="20"/>
          <w:lang w:val="en-US"/>
        </w:rPr>
        <w:t xml:space="preserve">is related to the alleged institutional cover-up that the Commission refers to in its </w:t>
      </w:r>
      <w:r w:rsidR="00375567" w:rsidRPr="007B2402">
        <w:rPr>
          <w:rFonts w:eastAsia="Calibri" w:cs="Times New Roman"/>
          <w:szCs w:val="20"/>
          <w:lang w:val="en-US"/>
        </w:rPr>
        <w:t>Merits Report</w:t>
      </w:r>
      <w:r w:rsidR="00ED6C46" w:rsidRPr="007B2402">
        <w:rPr>
          <w:rFonts w:eastAsia="Calibri" w:cs="Times New Roman"/>
          <w:szCs w:val="20"/>
          <w:lang w:val="en-US"/>
        </w:rPr>
        <w:t xml:space="preserve">. </w:t>
      </w:r>
      <w:r w:rsidRPr="007B2402">
        <w:rPr>
          <w:rFonts w:eastAsia="Calibri" w:cs="Times New Roman"/>
          <w:szCs w:val="20"/>
          <w:lang w:val="en-US"/>
        </w:rPr>
        <w:t>The</w:t>
      </w:r>
      <w:r w:rsidR="00AF4344" w:rsidRPr="007B2402">
        <w:rPr>
          <w:rFonts w:eastAsia="Calibri" w:cs="Times New Roman"/>
          <w:szCs w:val="20"/>
          <w:lang w:val="en-US"/>
        </w:rPr>
        <w:t xml:space="preserve"> Court</w:t>
      </w:r>
      <w:r w:rsidR="00ED6C46" w:rsidRPr="007B2402">
        <w:rPr>
          <w:rFonts w:eastAsia="Calibri" w:cs="Times New Roman"/>
          <w:szCs w:val="20"/>
          <w:lang w:val="en-US"/>
        </w:rPr>
        <w:t xml:space="preserve"> </w:t>
      </w:r>
      <w:r w:rsidRPr="007B2402">
        <w:rPr>
          <w:rFonts w:eastAsia="Calibri" w:cs="Times New Roman"/>
          <w:szCs w:val="20"/>
          <w:lang w:val="en-US"/>
        </w:rPr>
        <w:t xml:space="preserve">also </w:t>
      </w:r>
      <w:r w:rsidR="00ED6C46" w:rsidRPr="007B2402">
        <w:rPr>
          <w:rFonts w:eastAsia="Calibri" w:cs="Times New Roman"/>
          <w:szCs w:val="20"/>
          <w:lang w:val="en-US"/>
        </w:rPr>
        <w:t>consider</w:t>
      </w:r>
      <w:r w:rsidRPr="007B2402">
        <w:rPr>
          <w:rFonts w:eastAsia="Calibri" w:cs="Times New Roman"/>
          <w:szCs w:val="20"/>
          <w:lang w:val="en-US"/>
        </w:rPr>
        <w:t xml:space="preserve">s that, even </w:t>
      </w:r>
      <w:r w:rsidR="00DE2B30" w:rsidRPr="007B2402">
        <w:rPr>
          <w:rFonts w:eastAsia="Calibri" w:cs="Times New Roman"/>
          <w:szCs w:val="20"/>
          <w:lang w:val="en-US"/>
        </w:rPr>
        <w:t xml:space="preserve">though </w:t>
      </w:r>
      <w:r w:rsidR="00AF4344" w:rsidRPr="007B2402">
        <w:rPr>
          <w:rFonts w:eastAsia="Calibri" w:cs="Times New Roman"/>
          <w:szCs w:val="20"/>
          <w:lang w:val="en-US"/>
        </w:rPr>
        <w:t>the Commission</w:t>
      </w:r>
      <w:r w:rsidR="00495FF0" w:rsidRPr="007B2402">
        <w:rPr>
          <w:rFonts w:eastAsia="Calibri" w:cs="Times New Roman"/>
          <w:szCs w:val="20"/>
          <w:lang w:val="en-US"/>
        </w:rPr>
        <w:t xml:space="preserve"> </w:t>
      </w:r>
      <w:r w:rsidR="00DE2B30" w:rsidRPr="007B2402">
        <w:rPr>
          <w:rFonts w:eastAsia="Calibri" w:cs="Times New Roman"/>
          <w:szCs w:val="20"/>
          <w:lang w:val="en-US"/>
        </w:rPr>
        <w:t xml:space="preserve">has not established a violation of the right to the truth, the public civil action is included in the factual framework of the </w:t>
      </w:r>
      <w:r w:rsidR="00375567" w:rsidRPr="007B2402">
        <w:rPr>
          <w:rFonts w:eastAsia="Calibri" w:cs="Times New Roman"/>
          <w:szCs w:val="20"/>
          <w:lang w:val="en-US"/>
        </w:rPr>
        <w:t>Merits Report</w:t>
      </w:r>
      <w:r w:rsidR="00495FF0" w:rsidRPr="007B2402">
        <w:rPr>
          <w:rFonts w:eastAsia="Calibri" w:cs="Times New Roman"/>
          <w:szCs w:val="20"/>
          <w:lang w:val="en-US"/>
        </w:rPr>
        <w:t xml:space="preserve">, </w:t>
      </w:r>
      <w:r w:rsidR="00DE2B30" w:rsidRPr="007B2402">
        <w:rPr>
          <w:rFonts w:eastAsia="Calibri" w:cs="Times New Roman"/>
          <w:szCs w:val="20"/>
          <w:lang w:val="en-US"/>
        </w:rPr>
        <w:t xml:space="preserve">so that the facts presented by </w:t>
      </w:r>
      <w:r w:rsidR="005B1590" w:rsidRPr="007B2402">
        <w:rPr>
          <w:rFonts w:eastAsia="Calibri" w:cs="Times New Roman"/>
          <w:szCs w:val="20"/>
          <w:lang w:val="en-US"/>
        </w:rPr>
        <w:t>the representatives</w:t>
      </w:r>
      <w:r w:rsidR="00495FF0" w:rsidRPr="007B2402">
        <w:rPr>
          <w:rFonts w:eastAsia="Calibri" w:cs="Times New Roman"/>
          <w:szCs w:val="20"/>
          <w:lang w:val="en-US"/>
        </w:rPr>
        <w:t xml:space="preserve"> </w:t>
      </w:r>
      <w:r w:rsidR="00DE2B30" w:rsidRPr="007B2402">
        <w:rPr>
          <w:rFonts w:eastAsia="Calibri" w:cs="Times New Roman"/>
          <w:szCs w:val="20"/>
          <w:lang w:val="en-US"/>
        </w:rPr>
        <w:t>in relation to that judicial initiative are admissible and will be considered in the chapter on the merits.</w:t>
      </w:r>
      <w:r w:rsidR="00495FF0" w:rsidRPr="007B2402">
        <w:rPr>
          <w:rFonts w:eastAsia="Calibri" w:cs="Times New Roman"/>
          <w:szCs w:val="20"/>
          <w:lang w:val="en-US"/>
        </w:rPr>
        <w:t xml:space="preserve"> </w:t>
      </w:r>
    </w:p>
    <w:p w14:paraId="329A131C" w14:textId="77777777" w:rsidR="0071640E" w:rsidRPr="007B2402" w:rsidRDefault="0071640E" w:rsidP="000230DA">
      <w:pPr>
        <w:spacing w:after="0" w:line="240" w:lineRule="auto"/>
        <w:rPr>
          <w:rFonts w:eastAsia="Times New Roman" w:cs="Verdana"/>
          <w:b/>
          <w:bCs/>
          <w:caps/>
          <w:noProof/>
          <w:szCs w:val="20"/>
          <w:lang w:val="en-US" w:eastAsia="es-ES"/>
        </w:rPr>
      </w:pPr>
    </w:p>
    <w:p w14:paraId="5BDBD962" w14:textId="15D2DC24" w:rsidR="001D1455" w:rsidRPr="007B2402" w:rsidRDefault="001D1455" w:rsidP="00F94669">
      <w:pPr>
        <w:keepNext/>
        <w:keepLines/>
        <w:snapToGrid w:val="0"/>
        <w:spacing w:after="0" w:line="240" w:lineRule="auto"/>
        <w:jc w:val="center"/>
        <w:outlineLvl w:val="0"/>
        <w:rPr>
          <w:rFonts w:eastAsia="Times New Roman" w:cs="Verdana"/>
          <w:b/>
          <w:bCs/>
          <w:caps/>
          <w:noProof/>
          <w:szCs w:val="20"/>
          <w:lang w:val="en-US" w:eastAsia="es-ES"/>
        </w:rPr>
      </w:pPr>
      <w:bookmarkStart w:id="104" w:name="_Toc506984096"/>
      <w:r w:rsidRPr="007B2402">
        <w:rPr>
          <w:rFonts w:eastAsia="Times New Roman" w:cs="Verdana"/>
          <w:b/>
          <w:bCs/>
          <w:caps/>
          <w:noProof/>
          <w:szCs w:val="20"/>
          <w:lang w:val="en-US" w:eastAsia="es-ES"/>
        </w:rPr>
        <w:t>V</w:t>
      </w:r>
      <w:r w:rsidRPr="007B2402">
        <w:rPr>
          <w:rFonts w:eastAsia="Times New Roman" w:cs="Verdana"/>
          <w:b/>
          <w:bCs/>
          <w:caps/>
          <w:noProof/>
          <w:color w:val="FFFFFF" w:themeColor="background1"/>
          <w:szCs w:val="20"/>
          <w:lang w:val="en-US" w:eastAsia="es-ES"/>
        </w:rPr>
        <w:t>.</w:t>
      </w:r>
      <w:r w:rsidRPr="007B2402">
        <w:rPr>
          <w:rFonts w:eastAsia="Times New Roman" w:cs="Verdana"/>
          <w:b/>
          <w:bCs/>
          <w:caps/>
          <w:noProof/>
          <w:szCs w:val="20"/>
          <w:lang w:val="en-US" w:eastAsia="es-ES"/>
        </w:rPr>
        <w:br/>
      </w:r>
      <w:r w:rsidR="00DE2B30" w:rsidRPr="007B2402">
        <w:rPr>
          <w:rFonts w:eastAsia="Times New Roman" w:cs="Verdana"/>
          <w:b/>
          <w:bCs/>
          <w:caps/>
          <w:noProof/>
          <w:szCs w:val="20"/>
          <w:lang w:val="en-US" w:eastAsia="es-ES"/>
        </w:rPr>
        <w:t>EVIDENCE</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104"/>
    </w:p>
    <w:p w14:paraId="7ED92D4F" w14:textId="77777777" w:rsidR="0071640E" w:rsidRPr="007B2402" w:rsidRDefault="0071640E" w:rsidP="000230DA">
      <w:pPr>
        <w:spacing w:after="0" w:line="240" w:lineRule="auto"/>
        <w:rPr>
          <w:rFonts w:eastAsia="Batang" w:cs="Times"/>
          <w:b/>
          <w:szCs w:val="20"/>
          <w:lang w:val="en-US"/>
        </w:rPr>
      </w:pPr>
      <w:bookmarkStart w:id="105" w:name="_Toc472608940"/>
      <w:bookmarkStart w:id="106" w:name="_Toc469404495"/>
      <w:bookmarkStart w:id="107" w:name="_Toc468910257"/>
      <w:bookmarkStart w:id="108" w:name="_Toc468910031"/>
      <w:bookmarkStart w:id="109" w:name="_Toc464813918"/>
      <w:bookmarkStart w:id="110" w:name="_Toc460441924"/>
      <w:bookmarkStart w:id="111" w:name="_Toc460432993"/>
      <w:bookmarkStart w:id="112" w:name="_Toc416164799"/>
      <w:bookmarkStart w:id="113" w:name="_Toc404770060"/>
      <w:bookmarkStart w:id="114" w:name="_Toc369989741"/>
      <w:bookmarkStart w:id="115" w:name="_Toc369989460"/>
      <w:bookmarkStart w:id="116" w:name="_Toc369989373"/>
      <w:bookmarkStart w:id="117" w:name="_Toc369076781"/>
      <w:bookmarkStart w:id="118" w:name="_Toc365021395"/>
      <w:bookmarkStart w:id="119" w:name="_Toc362456866"/>
      <w:bookmarkStart w:id="120" w:name="_Toc361732835"/>
      <w:bookmarkStart w:id="121" w:name="_Toc361732792"/>
      <w:bookmarkStart w:id="122" w:name="_Toc361671995"/>
      <w:bookmarkStart w:id="123" w:name="_Toc361671575"/>
      <w:bookmarkStart w:id="124" w:name="_Toc359314425"/>
    </w:p>
    <w:p w14:paraId="6CAC30F3" w14:textId="1EA4B137" w:rsidR="001D1455" w:rsidRPr="007B2402" w:rsidRDefault="00DE2B30" w:rsidP="0071640E">
      <w:pPr>
        <w:numPr>
          <w:ilvl w:val="0"/>
          <w:numId w:val="10"/>
        </w:numPr>
        <w:tabs>
          <w:tab w:val="left" w:pos="0"/>
        </w:tabs>
        <w:autoSpaceDE w:val="0"/>
        <w:autoSpaceDN w:val="0"/>
        <w:adjustRightInd w:val="0"/>
        <w:spacing w:after="0" w:line="240" w:lineRule="auto"/>
        <w:ind w:left="0" w:firstLine="0"/>
        <w:jc w:val="both"/>
        <w:outlineLvl w:val="1"/>
        <w:rPr>
          <w:rFonts w:eastAsia="Batang" w:cs="Times"/>
          <w:b/>
          <w:i/>
          <w:szCs w:val="20"/>
          <w:lang w:val="en-US"/>
        </w:rPr>
      </w:pPr>
      <w:r w:rsidRPr="007B2402">
        <w:rPr>
          <w:rFonts w:eastAsia="Batang" w:cs="Times"/>
          <w:b/>
          <w:i/>
          <w:szCs w:val="20"/>
          <w:lang w:val="en-US"/>
        </w:rPr>
        <w:t>Documentary, testimonial and expert evidence</w:t>
      </w:r>
      <w:bookmarkStart w:id="125" w:name="_Ref305145673"/>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24DEC0DB" w14:textId="77777777" w:rsidR="0071640E" w:rsidRPr="007B2402" w:rsidRDefault="0071640E" w:rsidP="00F94669">
      <w:pPr>
        <w:spacing w:after="0" w:line="240" w:lineRule="auto"/>
        <w:jc w:val="both"/>
        <w:rPr>
          <w:rFonts w:eastAsia="Batang" w:cs="Times"/>
          <w:noProof/>
          <w:szCs w:val="20"/>
          <w:lang w:val="en-US" w:eastAsia="es-ES"/>
        </w:rPr>
      </w:pPr>
    </w:p>
    <w:p w14:paraId="10995EAA" w14:textId="60903A08" w:rsidR="001F36AF" w:rsidRPr="007B2402" w:rsidRDefault="00AF4344" w:rsidP="0071640E">
      <w:pPr>
        <w:pStyle w:val="Prrafodelista"/>
        <w:numPr>
          <w:ilvl w:val="0"/>
          <w:numId w:val="6"/>
        </w:numPr>
        <w:rPr>
          <w:szCs w:val="20"/>
          <w:lang w:val="en-US"/>
        </w:rPr>
      </w:pPr>
      <w:r w:rsidRPr="007B2402">
        <w:rPr>
          <w:szCs w:val="20"/>
          <w:lang w:val="en-US" w:eastAsia="es-ES"/>
        </w:rPr>
        <w:t>The Court</w:t>
      </w:r>
      <w:r w:rsidR="001D1455" w:rsidRPr="007B2402">
        <w:rPr>
          <w:szCs w:val="20"/>
          <w:lang w:val="en-US" w:eastAsia="es-ES"/>
        </w:rPr>
        <w:t xml:space="preserve"> </w:t>
      </w:r>
      <w:r w:rsidR="00DE2B30" w:rsidRPr="007B2402">
        <w:rPr>
          <w:szCs w:val="20"/>
          <w:lang w:val="en-US" w:eastAsia="es-ES"/>
        </w:rPr>
        <w:t xml:space="preserve">received diverse documents presented as evidence by </w:t>
      </w:r>
      <w:r w:rsidRPr="007B2402">
        <w:rPr>
          <w:szCs w:val="20"/>
          <w:lang w:val="en-US"/>
        </w:rPr>
        <w:t>the State</w:t>
      </w:r>
      <w:r w:rsidR="001D1455" w:rsidRPr="007B2402">
        <w:rPr>
          <w:szCs w:val="20"/>
          <w:lang w:val="en-US"/>
        </w:rPr>
        <w:t xml:space="preserve">, </w:t>
      </w:r>
      <w:r w:rsidR="005B1590" w:rsidRPr="007B2402">
        <w:rPr>
          <w:szCs w:val="20"/>
          <w:lang w:val="en-US"/>
        </w:rPr>
        <w:t>the representatives</w:t>
      </w:r>
      <w:r w:rsidR="001D1455" w:rsidRPr="007B2402">
        <w:rPr>
          <w:szCs w:val="20"/>
          <w:lang w:val="en-US"/>
        </w:rPr>
        <w:t>,</w:t>
      </w:r>
      <w:r w:rsidR="005B1590" w:rsidRPr="007B2402">
        <w:rPr>
          <w:szCs w:val="20"/>
          <w:lang w:val="en-US"/>
        </w:rPr>
        <w:t xml:space="preserve"> and </w:t>
      </w:r>
      <w:r w:rsidRPr="007B2402">
        <w:rPr>
          <w:szCs w:val="20"/>
          <w:lang w:val="en-US"/>
        </w:rPr>
        <w:t>the Commission</w:t>
      </w:r>
      <w:r w:rsidR="001D1455" w:rsidRPr="007B2402">
        <w:rPr>
          <w:szCs w:val="20"/>
          <w:lang w:val="en-US"/>
        </w:rPr>
        <w:t>, a</w:t>
      </w:r>
      <w:r w:rsidR="00DE2B30" w:rsidRPr="007B2402">
        <w:rPr>
          <w:szCs w:val="20"/>
          <w:lang w:val="en-US"/>
        </w:rPr>
        <w:t xml:space="preserve">ttached to their principal briefs </w:t>
      </w:r>
      <w:r w:rsidR="001D1455" w:rsidRPr="007B2402">
        <w:rPr>
          <w:szCs w:val="20"/>
          <w:lang w:val="en-US"/>
        </w:rPr>
        <w:t>(</w:t>
      </w:r>
      <w:r w:rsidR="001D1455" w:rsidRPr="007B2402">
        <w:rPr>
          <w:i/>
          <w:szCs w:val="20"/>
          <w:lang w:val="en-US"/>
        </w:rPr>
        <w:t xml:space="preserve">supra </w:t>
      </w:r>
      <w:r w:rsidR="00892CA3" w:rsidRPr="007B2402">
        <w:rPr>
          <w:szCs w:val="20"/>
          <w:lang w:val="en-US"/>
        </w:rPr>
        <w:t>paras.</w:t>
      </w:r>
      <w:r w:rsidR="001D1455" w:rsidRPr="007B2402">
        <w:rPr>
          <w:szCs w:val="20"/>
          <w:lang w:val="en-US"/>
        </w:rPr>
        <w:t xml:space="preserve"> </w:t>
      </w:r>
      <w:r w:rsidR="00C5394D" w:rsidRPr="007B2402">
        <w:rPr>
          <w:szCs w:val="20"/>
          <w:lang w:val="en-US"/>
        </w:rPr>
        <w:t>2</w:t>
      </w:r>
      <w:r w:rsidR="001D1455" w:rsidRPr="007B2402">
        <w:rPr>
          <w:szCs w:val="20"/>
          <w:lang w:val="en-US"/>
        </w:rPr>
        <w:t xml:space="preserve">, </w:t>
      </w:r>
      <w:r w:rsidR="00C5394D" w:rsidRPr="007B2402">
        <w:rPr>
          <w:szCs w:val="20"/>
          <w:lang w:val="en-US"/>
        </w:rPr>
        <w:t>7</w:t>
      </w:r>
      <w:r w:rsidR="005B1590" w:rsidRPr="007B2402">
        <w:rPr>
          <w:szCs w:val="20"/>
          <w:lang w:val="en-US"/>
        </w:rPr>
        <w:t xml:space="preserve"> and </w:t>
      </w:r>
      <w:r w:rsidR="00C5394D" w:rsidRPr="007B2402">
        <w:rPr>
          <w:szCs w:val="20"/>
          <w:lang w:val="en-US"/>
        </w:rPr>
        <w:t>8</w:t>
      </w:r>
      <w:r w:rsidR="001D1455" w:rsidRPr="007B2402">
        <w:rPr>
          <w:szCs w:val="20"/>
          <w:lang w:val="en-US"/>
        </w:rPr>
        <w:t xml:space="preserve">). </w:t>
      </w:r>
      <w:r w:rsidR="00DE2B30" w:rsidRPr="007B2402">
        <w:rPr>
          <w:szCs w:val="20"/>
          <w:lang w:val="en-US"/>
        </w:rPr>
        <w:t>The</w:t>
      </w:r>
      <w:r w:rsidRPr="007B2402">
        <w:rPr>
          <w:szCs w:val="20"/>
          <w:lang w:val="en-US"/>
        </w:rPr>
        <w:t xml:space="preserve"> Court</w:t>
      </w:r>
      <w:r w:rsidR="00DE2B30" w:rsidRPr="007B2402">
        <w:rPr>
          <w:szCs w:val="20"/>
          <w:lang w:val="en-US"/>
        </w:rPr>
        <w:t xml:space="preserve"> also received the affidavits of expert witnesses</w:t>
      </w:r>
      <w:r w:rsidR="001D1455" w:rsidRPr="007B2402">
        <w:rPr>
          <w:szCs w:val="20"/>
          <w:lang w:val="en-US"/>
        </w:rPr>
        <w:t xml:space="preserve"> </w:t>
      </w:r>
      <w:r w:rsidR="008019C2" w:rsidRPr="007B2402">
        <w:rPr>
          <w:szCs w:val="20"/>
          <w:lang w:val="en-US"/>
        </w:rPr>
        <w:t>John Dinges</w:t>
      </w:r>
      <w:r w:rsidR="005B1590" w:rsidRPr="007B2402">
        <w:rPr>
          <w:szCs w:val="20"/>
          <w:lang w:val="en-US"/>
        </w:rPr>
        <w:t xml:space="preserve"> and </w:t>
      </w:r>
      <w:r w:rsidR="008019C2" w:rsidRPr="007B2402">
        <w:rPr>
          <w:szCs w:val="20"/>
          <w:lang w:val="en-US"/>
        </w:rPr>
        <w:t>Naomi Roht-</w:t>
      </w:r>
      <w:r w:rsidR="008019C2" w:rsidRPr="007B2402">
        <w:rPr>
          <w:szCs w:val="20"/>
          <w:lang w:val="en-US"/>
        </w:rPr>
        <w:lastRenderedPageBreak/>
        <w:t xml:space="preserve">Arriaza </w:t>
      </w:r>
      <w:r w:rsidR="00DE2B30" w:rsidRPr="007B2402">
        <w:rPr>
          <w:szCs w:val="20"/>
          <w:lang w:val="en-US"/>
        </w:rPr>
        <w:t>proposed by</w:t>
      </w:r>
      <w:r w:rsidR="008019C2" w:rsidRPr="007B2402">
        <w:rPr>
          <w:szCs w:val="20"/>
          <w:lang w:val="en-US"/>
        </w:rPr>
        <w:t xml:space="preserve"> </w:t>
      </w:r>
      <w:r w:rsidRPr="007B2402">
        <w:rPr>
          <w:szCs w:val="20"/>
          <w:lang w:val="en-US"/>
        </w:rPr>
        <w:t>the Commission</w:t>
      </w:r>
      <w:r w:rsidR="00DE2B30" w:rsidRPr="007B2402">
        <w:rPr>
          <w:szCs w:val="20"/>
          <w:lang w:val="en-US"/>
        </w:rPr>
        <w:t>;</w:t>
      </w:r>
      <w:r w:rsidR="008019C2" w:rsidRPr="007B2402">
        <w:rPr>
          <w:szCs w:val="20"/>
          <w:lang w:val="en-US"/>
        </w:rPr>
        <w:t xml:space="preserve"> </w:t>
      </w:r>
      <w:r w:rsidR="00DE2B30" w:rsidRPr="007B2402">
        <w:rPr>
          <w:szCs w:val="20"/>
          <w:lang w:val="en-US"/>
        </w:rPr>
        <w:t xml:space="preserve">expert witnesses </w:t>
      </w:r>
      <w:r w:rsidR="00E81716" w:rsidRPr="007B2402">
        <w:rPr>
          <w:szCs w:val="20"/>
          <w:lang w:val="en-US"/>
        </w:rPr>
        <w:t>Dimitrios Dimoulis</w:t>
      </w:r>
      <w:r w:rsidR="005B1590" w:rsidRPr="007B2402">
        <w:rPr>
          <w:szCs w:val="20"/>
          <w:lang w:val="en-US"/>
        </w:rPr>
        <w:t xml:space="preserve"> and </w:t>
      </w:r>
      <w:r w:rsidR="008019C2" w:rsidRPr="007B2402">
        <w:rPr>
          <w:szCs w:val="20"/>
          <w:lang w:val="en-US"/>
        </w:rPr>
        <w:t xml:space="preserve">María Auxiliadora Minahum </w:t>
      </w:r>
      <w:r w:rsidR="00DE2B30" w:rsidRPr="007B2402">
        <w:rPr>
          <w:szCs w:val="20"/>
          <w:lang w:val="en-US"/>
        </w:rPr>
        <w:t xml:space="preserve">proposed by </w:t>
      </w:r>
      <w:r w:rsidRPr="007B2402">
        <w:rPr>
          <w:szCs w:val="20"/>
          <w:lang w:val="en-US"/>
        </w:rPr>
        <w:t>the State</w:t>
      </w:r>
      <w:r w:rsidR="008019C2" w:rsidRPr="007B2402">
        <w:rPr>
          <w:szCs w:val="20"/>
          <w:lang w:val="en-US"/>
        </w:rPr>
        <w:t>,</w:t>
      </w:r>
      <w:r w:rsidR="005B1590" w:rsidRPr="007B2402">
        <w:rPr>
          <w:szCs w:val="20"/>
          <w:lang w:val="en-US"/>
        </w:rPr>
        <w:t xml:space="preserve"> and presumed victims</w:t>
      </w:r>
      <w:r w:rsidR="00E81716" w:rsidRPr="007B2402">
        <w:rPr>
          <w:szCs w:val="20"/>
          <w:lang w:val="en-US"/>
        </w:rPr>
        <w:t xml:space="preserve"> André Herzog </w:t>
      </w:r>
      <w:r w:rsidR="00DE2B30" w:rsidRPr="007B2402">
        <w:rPr>
          <w:szCs w:val="20"/>
          <w:lang w:val="en-US"/>
        </w:rPr>
        <w:t>and</w:t>
      </w:r>
      <w:r w:rsidR="00E81716" w:rsidRPr="007B2402">
        <w:rPr>
          <w:szCs w:val="20"/>
          <w:lang w:val="en-US"/>
        </w:rPr>
        <w:t xml:space="preserve"> Ivo Herzog</w:t>
      </w:r>
      <w:r w:rsidR="005B1590" w:rsidRPr="007B2402">
        <w:rPr>
          <w:szCs w:val="20"/>
          <w:lang w:val="en-US"/>
        </w:rPr>
        <w:t xml:space="preserve"> and </w:t>
      </w:r>
      <w:r w:rsidR="00DE2B30" w:rsidRPr="007B2402">
        <w:rPr>
          <w:szCs w:val="20"/>
          <w:lang w:val="en-US"/>
        </w:rPr>
        <w:t xml:space="preserve">expert witnesses </w:t>
      </w:r>
      <w:r w:rsidR="008019C2" w:rsidRPr="007B2402">
        <w:rPr>
          <w:szCs w:val="20"/>
          <w:lang w:val="en-US"/>
        </w:rPr>
        <w:t>Juan Méndez, Fabio Simas, Renado Sérgio de Lima</w:t>
      </w:r>
      <w:r w:rsidR="005B1590" w:rsidRPr="007B2402">
        <w:rPr>
          <w:szCs w:val="20"/>
          <w:lang w:val="en-US"/>
        </w:rPr>
        <w:t xml:space="preserve"> and </w:t>
      </w:r>
      <w:r w:rsidR="008019C2" w:rsidRPr="007B2402">
        <w:rPr>
          <w:szCs w:val="20"/>
          <w:lang w:val="en-US"/>
        </w:rPr>
        <w:t xml:space="preserve">Ana C. Deutsh, </w:t>
      </w:r>
      <w:r w:rsidR="00DE2B30" w:rsidRPr="007B2402">
        <w:rPr>
          <w:szCs w:val="20"/>
          <w:lang w:val="en-US"/>
        </w:rPr>
        <w:t xml:space="preserve">proposed by </w:t>
      </w:r>
      <w:r w:rsidR="005B1590" w:rsidRPr="007B2402">
        <w:rPr>
          <w:szCs w:val="20"/>
          <w:lang w:val="en-US"/>
        </w:rPr>
        <w:t>the representatives</w:t>
      </w:r>
      <w:r w:rsidR="008019C2" w:rsidRPr="007B2402">
        <w:rPr>
          <w:szCs w:val="20"/>
          <w:lang w:val="en-US"/>
        </w:rPr>
        <w:t xml:space="preserve">. </w:t>
      </w:r>
      <w:r w:rsidR="00DE2B30" w:rsidRPr="007B2402">
        <w:rPr>
          <w:szCs w:val="20"/>
          <w:lang w:val="en-US"/>
        </w:rPr>
        <w:t>Regarding the evidence provided during the p</w:t>
      </w:r>
      <w:r w:rsidR="0029493C" w:rsidRPr="007B2402">
        <w:rPr>
          <w:szCs w:val="20"/>
          <w:lang w:val="en-US"/>
        </w:rPr>
        <w:t>ublic hearing</w:t>
      </w:r>
      <w:r w:rsidR="001D1455" w:rsidRPr="007B2402">
        <w:rPr>
          <w:szCs w:val="20"/>
          <w:lang w:val="en-US"/>
        </w:rPr>
        <w:t xml:space="preserve">, </w:t>
      </w:r>
      <w:r w:rsidRPr="007B2402">
        <w:rPr>
          <w:szCs w:val="20"/>
          <w:lang w:val="en-US"/>
        </w:rPr>
        <w:t>the Court</w:t>
      </w:r>
      <w:r w:rsidR="001D1455" w:rsidRPr="007B2402">
        <w:rPr>
          <w:szCs w:val="20"/>
          <w:lang w:val="en-US"/>
        </w:rPr>
        <w:t xml:space="preserve"> rec</w:t>
      </w:r>
      <w:r w:rsidR="00DE2B30" w:rsidRPr="007B2402">
        <w:rPr>
          <w:szCs w:val="20"/>
          <w:lang w:val="en-US"/>
        </w:rPr>
        <w:t xml:space="preserve">eived the statements of presumed victim </w:t>
      </w:r>
      <w:r w:rsidR="008048B6" w:rsidRPr="007B2402">
        <w:rPr>
          <w:szCs w:val="20"/>
          <w:lang w:val="en-US"/>
        </w:rPr>
        <w:t xml:space="preserve">Clarice Herzog, </w:t>
      </w:r>
      <w:r w:rsidR="00DE2B30" w:rsidRPr="007B2402">
        <w:rPr>
          <w:szCs w:val="20"/>
          <w:lang w:val="en-US"/>
        </w:rPr>
        <w:t>witness</w:t>
      </w:r>
      <w:r w:rsidR="008048B6" w:rsidRPr="007B2402">
        <w:rPr>
          <w:szCs w:val="20"/>
          <w:lang w:val="en-US"/>
        </w:rPr>
        <w:t xml:space="preserve"> Marlon Weichert</w:t>
      </w:r>
      <w:r w:rsidR="005B1590" w:rsidRPr="007B2402">
        <w:rPr>
          <w:szCs w:val="20"/>
          <w:lang w:val="en-US"/>
        </w:rPr>
        <w:t xml:space="preserve"> and </w:t>
      </w:r>
      <w:r w:rsidR="00DE2B30" w:rsidRPr="007B2402">
        <w:rPr>
          <w:szCs w:val="20"/>
          <w:lang w:val="en-US"/>
        </w:rPr>
        <w:t>expert witness</w:t>
      </w:r>
      <w:r w:rsidR="008048B6" w:rsidRPr="007B2402">
        <w:rPr>
          <w:szCs w:val="20"/>
          <w:lang w:val="en-US"/>
        </w:rPr>
        <w:t xml:space="preserve"> Sergio Gardenghi Suiama, </w:t>
      </w:r>
      <w:r w:rsidR="00DE2B30" w:rsidRPr="007B2402">
        <w:rPr>
          <w:szCs w:val="20"/>
          <w:lang w:val="en-US"/>
        </w:rPr>
        <w:t>proposed by</w:t>
      </w:r>
      <w:r w:rsidR="008048B6" w:rsidRPr="007B2402">
        <w:rPr>
          <w:szCs w:val="20"/>
          <w:lang w:val="en-US"/>
        </w:rPr>
        <w:t xml:space="preserve"> </w:t>
      </w:r>
      <w:r w:rsidR="005B1590" w:rsidRPr="007B2402">
        <w:rPr>
          <w:szCs w:val="20"/>
          <w:lang w:val="en-US"/>
        </w:rPr>
        <w:t>the representatives</w:t>
      </w:r>
      <w:r w:rsidR="008048B6" w:rsidRPr="007B2402">
        <w:rPr>
          <w:szCs w:val="20"/>
          <w:lang w:val="en-US"/>
        </w:rPr>
        <w:t>, a</w:t>
      </w:r>
      <w:r w:rsidR="00DE2B30" w:rsidRPr="007B2402">
        <w:rPr>
          <w:szCs w:val="20"/>
          <w:lang w:val="en-US"/>
        </w:rPr>
        <w:t xml:space="preserve">nd of expert witness </w:t>
      </w:r>
      <w:r w:rsidR="008048B6" w:rsidRPr="007B2402">
        <w:rPr>
          <w:szCs w:val="20"/>
          <w:lang w:val="en-US"/>
        </w:rPr>
        <w:t xml:space="preserve">Alberto Zacharias Toron, </w:t>
      </w:r>
      <w:r w:rsidR="00DE2B30" w:rsidRPr="007B2402">
        <w:rPr>
          <w:szCs w:val="20"/>
          <w:lang w:val="en-US"/>
        </w:rPr>
        <w:t xml:space="preserve">proposed by </w:t>
      </w:r>
      <w:r w:rsidRPr="007B2402">
        <w:rPr>
          <w:szCs w:val="20"/>
          <w:lang w:val="en-US"/>
        </w:rPr>
        <w:t>the State</w:t>
      </w:r>
      <w:r w:rsidR="008048B6" w:rsidRPr="007B2402">
        <w:rPr>
          <w:szCs w:val="20"/>
          <w:lang w:val="en-US"/>
        </w:rPr>
        <w:t>.</w:t>
      </w:r>
    </w:p>
    <w:p w14:paraId="66D14FB6" w14:textId="77777777" w:rsidR="00F94669" w:rsidRPr="007B2402" w:rsidRDefault="00F94669" w:rsidP="00F94669">
      <w:pPr>
        <w:spacing w:after="0" w:line="240" w:lineRule="auto"/>
        <w:jc w:val="both"/>
        <w:rPr>
          <w:rFonts w:eastAsia="Batang" w:cs="Times"/>
          <w:noProof/>
          <w:szCs w:val="20"/>
          <w:lang w:val="en-US"/>
        </w:rPr>
      </w:pPr>
    </w:p>
    <w:bookmarkEnd w:id="125"/>
    <w:p w14:paraId="06EBDC8D" w14:textId="339EBF17" w:rsidR="001D1455" w:rsidRPr="007B2402" w:rsidRDefault="00DE2B30" w:rsidP="0071640E">
      <w:pPr>
        <w:numPr>
          <w:ilvl w:val="0"/>
          <w:numId w:val="10"/>
        </w:numPr>
        <w:tabs>
          <w:tab w:val="left" w:pos="0"/>
        </w:tabs>
        <w:autoSpaceDE w:val="0"/>
        <w:autoSpaceDN w:val="0"/>
        <w:adjustRightInd w:val="0"/>
        <w:spacing w:after="0" w:line="240" w:lineRule="auto"/>
        <w:ind w:left="0" w:firstLine="0"/>
        <w:jc w:val="both"/>
        <w:outlineLvl w:val="1"/>
        <w:rPr>
          <w:rFonts w:eastAsia="Batang" w:cs="Times"/>
          <w:b/>
          <w:i/>
          <w:szCs w:val="20"/>
          <w:lang w:val="en-US"/>
        </w:rPr>
      </w:pPr>
      <w:r w:rsidRPr="007B2402">
        <w:rPr>
          <w:rFonts w:eastAsia="Batang" w:cs="Times"/>
          <w:b/>
          <w:i/>
          <w:noProof/>
          <w:szCs w:val="20"/>
          <w:lang w:val="en-US"/>
        </w:rPr>
        <w:t>Admission of the evidence</w:t>
      </w:r>
    </w:p>
    <w:p w14:paraId="2178C220" w14:textId="77777777" w:rsidR="0071640E" w:rsidRPr="007B2402" w:rsidRDefault="0071640E" w:rsidP="000230DA">
      <w:pPr>
        <w:spacing w:after="0" w:line="240" w:lineRule="auto"/>
        <w:rPr>
          <w:i/>
          <w:noProof/>
          <w:szCs w:val="20"/>
          <w:lang w:val="en-US" w:eastAsia="es-ES"/>
        </w:rPr>
      </w:pPr>
    </w:p>
    <w:p w14:paraId="30BC023E" w14:textId="2EA738B4" w:rsidR="00F94669" w:rsidRPr="007B2402" w:rsidRDefault="00EA06E0" w:rsidP="0071640E">
      <w:pPr>
        <w:spacing w:after="0" w:line="240" w:lineRule="auto"/>
        <w:ind w:left="426"/>
        <w:outlineLvl w:val="2"/>
        <w:rPr>
          <w:i/>
          <w:noProof/>
          <w:szCs w:val="20"/>
          <w:lang w:val="en-US" w:eastAsia="es-ES"/>
        </w:rPr>
      </w:pPr>
      <w:bookmarkStart w:id="126" w:name="_Toc505939135"/>
      <w:bookmarkStart w:id="127" w:name="_Toc506496118"/>
      <w:bookmarkStart w:id="128" w:name="_Toc506984099"/>
      <w:r w:rsidRPr="007B2402">
        <w:rPr>
          <w:i/>
          <w:noProof/>
          <w:szCs w:val="20"/>
          <w:lang w:val="en-US" w:eastAsia="es-ES"/>
        </w:rPr>
        <w:t>B</w:t>
      </w:r>
      <w:r w:rsidR="001D1455" w:rsidRPr="007B2402">
        <w:rPr>
          <w:i/>
          <w:noProof/>
          <w:szCs w:val="20"/>
          <w:lang w:val="en-US" w:eastAsia="es-ES"/>
        </w:rPr>
        <w:t xml:space="preserve">.1. </w:t>
      </w:r>
      <w:r w:rsidR="00DE2B30" w:rsidRPr="007B2402">
        <w:rPr>
          <w:i/>
          <w:noProof/>
          <w:szCs w:val="20"/>
          <w:lang w:val="en-US" w:eastAsia="es-ES"/>
        </w:rPr>
        <w:t>Admission of the documentary evidence</w:t>
      </w:r>
      <w:bookmarkEnd w:id="126"/>
      <w:bookmarkEnd w:id="127"/>
      <w:bookmarkEnd w:id="128"/>
    </w:p>
    <w:p w14:paraId="37AEDC57" w14:textId="77777777" w:rsidR="0071640E" w:rsidRPr="007B2402" w:rsidRDefault="0071640E" w:rsidP="0071640E">
      <w:pPr>
        <w:spacing w:after="0" w:line="240" w:lineRule="auto"/>
        <w:jc w:val="both"/>
        <w:rPr>
          <w:rFonts w:eastAsia="Batang" w:cs="Times"/>
          <w:noProof/>
          <w:szCs w:val="20"/>
          <w:lang w:val="en-US"/>
        </w:rPr>
      </w:pPr>
    </w:p>
    <w:p w14:paraId="4A47CAF3" w14:textId="342F60DA" w:rsidR="001D1455" w:rsidRPr="007B2402" w:rsidRDefault="00DE2B30" w:rsidP="00DB1F30">
      <w:pPr>
        <w:numPr>
          <w:ilvl w:val="0"/>
          <w:numId w:val="6"/>
        </w:numPr>
        <w:spacing w:after="0" w:line="240" w:lineRule="auto"/>
        <w:jc w:val="both"/>
        <w:rPr>
          <w:rFonts w:eastAsia="Batang" w:cs="Times"/>
          <w:noProof/>
          <w:szCs w:val="20"/>
          <w:lang w:val="en-US"/>
        </w:rPr>
      </w:pPr>
      <w:r w:rsidRPr="007B2402">
        <w:rPr>
          <w:rFonts w:eastAsia="Batang" w:cs="Times"/>
          <w:noProof/>
          <w:szCs w:val="20"/>
          <w:lang w:val="en-US"/>
        </w:rPr>
        <w:t xml:space="preserve">In this case, as in others, the Court admits those documents presented by the parties </w:t>
      </w:r>
      <w:r w:rsidR="005B1590" w:rsidRPr="007B2402">
        <w:rPr>
          <w:rFonts w:eastAsia="Batang" w:cs="Times"/>
          <w:noProof/>
          <w:szCs w:val="20"/>
          <w:lang w:val="en-US"/>
        </w:rPr>
        <w:t xml:space="preserve">and </w:t>
      </w:r>
      <w:r w:rsidR="00AF4344" w:rsidRPr="007B2402">
        <w:rPr>
          <w:rFonts w:eastAsia="Batang" w:cs="Times"/>
          <w:noProof/>
          <w:szCs w:val="20"/>
          <w:lang w:val="en-US"/>
        </w:rPr>
        <w:t>the Commission</w:t>
      </w:r>
      <w:r w:rsidR="001D1455" w:rsidRPr="007B2402">
        <w:rPr>
          <w:rFonts w:eastAsia="Batang" w:cs="Times"/>
          <w:noProof/>
          <w:szCs w:val="20"/>
          <w:lang w:val="en-US"/>
        </w:rPr>
        <w:t xml:space="preserve"> </w:t>
      </w:r>
      <w:r w:rsidRPr="007B2402">
        <w:rPr>
          <w:rFonts w:eastAsia="Batang" w:cs="Times"/>
          <w:noProof/>
          <w:szCs w:val="20"/>
          <w:lang w:val="en-US"/>
        </w:rPr>
        <w:t xml:space="preserve">at the proper procedural moment </w:t>
      </w:r>
      <w:r w:rsidR="001D1455" w:rsidRPr="007B2402">
        <w:rPr>
          <w:rFonts w:eastAsia="Batang" w:cs="Times"/>
          <w:noProof/>
          <w:szCs w:val="20"/>
          <w:lang w:val="en-US"/>
        </w:rPr>
        <w:t>(</w:t>
      </w:r>
      <w:r w:rsidRPr="007B2402">
        <w:rPr>
          <w:rFonts w:eastAsia="Batang" w:cs="Times"/>
          <w:noProof/>
          <w:szCs w:val="20"/>
          <w:lang w:val="en-US"/>
        </w:rPr>
        <w:t>Article</w:t>
      </w:r>
      <w:r w:rsidR="001D1455" w:rsidRPr="007B2402">
        <w:rPr>
          <w:rFonts w:eastAsia="Batang" w:cs="Times"/>
          <w:noProof/>
          <w:szCs w:val="20"/>
          <w:lang w:val="en-US"/>
        </w:rPr>
        <w:t xml:space="preserve"> 57</w:t>
      </w:r>
      <w:r w:rsidR="006E2CFF" w:rsidRPr="007B2402">
        <w:rPr>
          <w:rFonts w:eastAsia="Batang" w:cs="Times"/>
          <w:noProof/>
          <w:szCs w:val="20"/>
          <w:lang w:val="en-US"/>
        </w:rPr>
        <w:t xml:space="preserve"> of the </w:t>
      </w:r>
      <w:r w:rsidR="00AF4344" w:rsidRPr="007B2402">
        <w:rPr>
          <w:rFonts w:eastAsia="Batang" w:cs="Times"/>
          <w:noProof/>
          <w:szCs w:val="20"/>
          <w:lang w:val="en-US"/>
        </w:rPr>
        <w:t>Rules of Procedure</w:t>
      </w:r>
      <w:r w:rsidR="001D1455" w:rsidRPr="007B2402">
        <w:rPr>
          <w:rFonts w:eastAsia="Batang" w:cs="Times"/>
          <w:noProof/>
          <w:szCs w:val="20"/>
          <w:lang w:val="en-US"/>
        </w:rPr>
        <w:t xml:space="preserve">), </w:t>
      </w:r>
      <w:r w:rsidRPr="007B2402">
        <w:rPr>
          <w:rFonts w:eastAsia="Batang" w:cs="Times"/>
          <w:noProof/>
          <w:szCs w:val="20"/>
          <w:lang w:val="en-US"/>
        </w:rPr>
        <w:t xml:space="preserve">that were not contested or challenged, and the authenticity of which was not </w:t>
      </w:r>
      <w:r w:rsidR="001D1455" w:rsidRPr="007B2402">
        <w:rPr>
          <w:rFonts w:eastAsia="Batang" w:cs="Times"/>
          <w:noProof/>
          <w:szCs w:val="20"/>
          <w:lang w:val="en-US"/>
        </w:rPr>
        <w:t>que</w:t>
      </w:r>
      <w:r w:rsidR="00A4660B" w:rsidRPr="007B2402">
        <w:rPr>
          <w:rFonts w:eastAsia="Batang" w:cs="Times"/>
          <w:noProof/>
          <w:szCs w:val="20"/>
          <w:lang w:val="en-US"/>
        </w:rPr>
        <w:t>stioned</w:t>
      </w:r>
      <w:r w:rsidR="0034766E" w:rsidRPr="007B2402">
        <w:rPr>
          <w:rFonts w:eastAsia="Batang" w:cs="Times"/>
          <w:noProof/>
          <w:szCs w:val="20"/>
          <w:lang w:val="en-US"/>
        </w:rPr>
        <w:t>.</w:t>
      </w:r>
      <w:r w:rsidR="001D1455" w:rsidRPr="007B2402">
        <w:rPr>
          <w:rFonts w:eastAsia="Batang" w:cs="Times New Roman"/>
          <w:noProof/>
          <w:szCs w:val="20"/>
          <w:vertAlign w:val="superscript"/>
          <w:lang w:val="en-US"/>
        </w:rPr>
        <w:footnoteReference w:id="44"/>
      </w:r>
      <w:r w:rsidR="001D1455" w:rsidRPr="007B2402">
        <w:rPr>
          <w:rFonts w:eastAsia="Batang" w:cs="Times"/>
          <w:noProof/>
          <w:szCs w:val="20"/>
          <w:lang w:val="en-US"/>
        </w:rPr>
        <w:t xml:space="preserve"> </w:t>
      </w:r>
      <w:r w:rsidR="0034766E" w:rsidRPr="007B2402">
        <w:rPr>
          <w:rFonts w:eastAsia="Batang" w:cs="Times"/>
          <w:noProof/>
          <w:szCs w:val="20"/>
          <w:lang w:val="en-US"/>
        </w:rPr>
        <w:t>I</w:t>
      </w:r>
      <w:r w:rsidR="00A4660B" w:rsidRPr="007B2402">
        <w:rPr>
          <w:rFonts w:eastAsia="Batang" w:cs="Times"/>
          <w:noProof/>
          <w:szCs w:val="20"/>
          <w:lang w:val="en-US"/>
        </w:rPr>
        <w:t xml:space="preserve">n addition, the Court will now decide various disputes concerning the admissibility of certain documents. </w:t>
      </w:r>
    </w:p>
    <w:p w14:paraId="3F41A1D9" w14:textId="77777777" w:rsidR="00B249AF" w:rsidRPr="007B2402" w:rsidRDefault="00B249AF" w:rsidP="00F94669">
      <w:pPr>
        <w:spacing w:after="0" w:line="240" w:lineRule="auto"/>
        <w:jc w:val="both"/>
        <w:rPr>
          <w:rFonts w:eastAsia="Batang" w:cs="Times"/>
          <w:noProof/>
          <w:szCs w:val="20"/>
          <w:lang w:val="en-US"/>
        </w:rPr>
      </w:pPr>
    </w:p>
    <w:p w14:paraId="53EAC5F1" w14:textId="376DA872" w:rsidR="001D1455" w:rsidRPr="007B2402" w:rsidRDefault="00A4660B" w:rsidP="00DB1F30">
      <w:pPr>
        <w:numPr>
          <w:ilvl w:val="0"/>
          <w:numId w:val="6"/>
        </w:numPr>
        <w:tabs>
          <w:tab w:val="num" w:pos="0"/>
          <w:tab w:val="num" w:pos="360"/>
        </w:tabs>
        <w:spacing w:after="0" w:line="240" w:lineRule="auto"/>
        <w:jc w:val="both"/>
        <w:rPr>
          <w:rFonts w:eastAsia="Batang" w:cs="Times"/>
          <w:bCs/>
          <w:noProof/>
          <w:szCs w:val="20"/>
          <w:lang w:val="en-US"/>
        </w:rPr>
      </w:pPr>
      <w:r w:rsidRPr="007B2402">
        <w:rPr>
          <w:rFonts w:eastAsia="Batang" w:cs="Times"/>
          <w:noProof/>
          <w:szCs w:val="20"/>
          <w:lang w:val="en-US"/>
        </w:rPr>
        <w:t xml:space="preserve">After the time </w:t>
      </w:r>
      <w:r w:rsidR="0034766E" w:rsidRPr="007B2402">
        <w:rPr>
          <w:rFonts w:eastAsia="Batang" w:cs="Times"/>
          <w:noProof/>
          <w:szCs w:val="20"/>
          <w:lang w:val="en-US"/>
        </w:rPr>
        <w:t>limit</w:t>
      </w:r>
      <w:r w:rsidRPr="007B2402">
        <w:rPr>
          <w:rFonts w:eastAsia="Batang" w:cs="Times"/>
          <w:noProof/>
          <w:szCs w:val="20"/>
          <w:lang w:val="en-US"/>
        </w:rPr>
        <w:t xml:space="preserve"> for presenting annexes to the brief answering the submission of the case and with </w:t>
      </w:r>
      <w:r w:rsidR="006E2CFF" w:rsidRPr="007B2402">
        <w:rPr>
          <w:rFonts w:eastAsia="Batang" w:cs="Times"/>
          <w:noProof/>
          <w:szCs w:val="20"/>
          <w:lang w:val="en-US"/>
        </w:rPr>
        <w:t>preliminary objections</w:t>
      </w:r>
      <w:r w:rsidRPr="007B2402">
        <w:rPr>
          <w:rFonts w:eastAsia="Batang" w:cs="Times"/>
          <w:noProof/>
          <w:szCs w:val="20"/>
          <w:lang w:val="en-US"/>
        </w:rPr>
        <w:t xml:space="preserve"> had expired, the State made a late submission of a</w:t>
      </w:r>
      <w:r w:rsidR="00B249AF" w:rsidRPr="007B2402">
        <w:rPr>
          <w:rFonts w:eastAsia="Batang" w:cs="Times"/>
          <w:noProof/>
          <w:szCs w:val="20"/>
          <w:lang w:val="en-US"/>
        </w:rPr>
        <w:t xml:space="preserve"> </w:t>
      </w:r>
      <w:r w:rsidR="00712657" w:rsidRPr="007B2402">
        <w:rPr>
          <w:rFonts w:eastAsia="Batang" w:cs="Times"/>
          <w:noProof/>
          <w:szCs w:val="20"/>
          <w:lang w:val="en-US"/>
        </w:rPr>
        <w:t>document</w:t>
      </w:r>
      <w:r w:rsidR="00C153BA" w:rsidRPr="007B2402">
        <w:rPr>
          <w:rStyle w:val="Refdenotaalpie"/>
          <w:rFonts w:ascii="Verdana" w:eastAsia="Batang" w:hAnsi="Verdana"/>
          <w:noProof/>
          <w:lang w:val="en-US"/>
        </w:rPr>
        <w:footnoteReference w:id="45"/>
      </w:r>
      <w:r w:rsidR="00712657" w:rsidRPr="007B2402">
        <w:rPr>
          <w:rFonts w:eastAsia="Batang" w:cs="Times"/>
          <w:noProof/>
          <w:szCs w:val="20"/>
          <w:lang w:val="en-US"/>
        </w:rPr>
        <w:t xml:space="preserve"> previ</w:t>
      </w:r>
      <w:r w:rsidRPr="007B2402">
        <w:rPr>
          <w:rFonts w:eastAsia="Batang" w:cs="Times"/>
          <w:noProof/>
          <w:szCs w:val="20"/>
          <w:lang w:val="en-US"/>
        </w:rPr>
        <w:t>ously identified in the list of annexes. The document was considered time-barred ad was not admitted to the case file</w:t>
      </w:r>
      <w:r w:rsidR="00946796" w:rsidRPr="007B2402">
        <w:rPr>
          <w:rFonts w:eastAsia="Batang" w:cs="Times"/>
          <w:noProof/>
          <w:szCs w:val="20"/>
          <w:lang w:val="en-US"/>
        </w:rPr>
        <w:t xml:space="preserve">. </w:t>
      </w:r>
    </w:p>
    <w:p w14:paraId="70B88CA8" w14:textId="77777777" w:rsidR="001537AB" w:rsidRPr="007B2402" w:rsidRDefault="001537AB" w:rsidP="00F94669">
      <w:pPr>
        <w:pStyle w:val="Prrafodelista"/>
        <w:contextualSpacing w:val="0"/>
        <w:rPr>
          <w:bCs/>
          <w:szCs w:val="20"/>
          <w:lang w:val="en-US"/>
        </w:rPr>
      </w:pPr>
    </w:p>
    <w:p w14:paraId="57B30B3B" w14:textId="2943F13D" w:rsidR="00552375" w:rsidRPr="007B2402" w:rsidRDefault="00A4660B" w:rsidP="00AE33FD">
      <w:pPr>
        <w:numPr>
          <w:ilvl w:val="0"/>
          <w:numId w:val="6"/>
        </w:numPr>
        <w:spacing w:after="0" w:line="240" w:lineRule="auto"/>
        <w:jc w:val="both"/>
        <w:rPr>
          <w:bCs/>
          <w:szCs w:val="20"/>
          <w:lang w:val="en-US"/>
        </w:rPr>
      </w:pPr>
      <w:r w:rsidRPr="007B2402">
        <w:rPr>
          <w:rFonts w:eastAsia="Batang" w:cs="Times"/>
          <w:bCs/>
          <w:noProof/>
          <w:szCs w:val="20"/>
          <w:lang w:val="en-US"/>
        </w:rPr>
        <w:t xml:space="preserve">With regard to the documents on costs and expenses forwarded by </w:t>
      </w:r>
      <w:r w:rsidR="005B1590" w:rsidRPr="007B2402">
        <w:rPr>
          <w:rFonts w:eastAsia="Batang" w:cs="Times"/>
          <w:bCs/>
          <w:noProof/>
          <w:szCs w:val="20"/>
          <w:lang w:val="en-US"/>
        </w:rPr>
        <w:t>the representatives</w:t>
      </w:r>
      <w:r w:rsidRPr="007B2402">
        <w:rPr>
          <w:rFonts w:eastAsia="Batang" w:cs="Times"/>
          <w:bCs/>
          <w:noProof/>
          <w:szCs w:val="20"/>
          <w:lang w:val="en-US"/>
        </w:rPr>
        <w:t xml:space="preserve"> with their final written arguments, the Court will only consider those that refer to new costs and expenses incurred during the proceedings before this Court; in other words, those made following presentation of the motions and pleadings brief</w:t>
      </w:r>
      <w:r w:rsidR="00552375" w:rsidRPr="007B2402">
        <w:rPr>
          <w:rFonts w:eastAsia="Batang" w:cs="Times"/>
          <w:bCs/>
          <w:noProof/>
          <w:szCs w:val="20"/>
          <w:lang w:val="en-US"/>
        </w:rPr>
        <w:t xml:space="preserve">. </w:t>
      </w:r>
      <w:r w:rsidRPr="007B2402">
        <w:rPr>
          <w:rFonts w:eastAsia="Batang" w:cs="Times"/>
          <w:bCs/>
          <w:noProof/>
          <w:szCs w:val="20"/>
          <w:lang w:val="en-US"/>
        </w:rPr>
        <w:t>Consequently, it will not consider invoices dated prior to the presentation of the motions and pleadings brief</w:t>
      </w:r>
      <w:r w:rsidR="00552375" w:rsidRPr="007B2402">
        <w:rPr>
          <w:rFonts w:eastAsia="Batang" w:cs="Times"/>
          <w:bCs/>
          <w:noProof/>
          <w:szCs w:val="20"/>
          <w:lang w:val="en-US"/>
        </w:rPr>
        <w:t xml:space="preserve">, </w:t>
      </w:r>
      <w:r w:rsidRPr="007B2402">
        <w:rPr>
          <w:rFonts w:eastAsia="Batang" w:cs="Times"/>
          <w:bCs/>
          <w:noProof/>
          <w:szCs w:val="20"/>
          <w:lang w:val="en-US"/>
        </w:rPr>
        <w:t>because they should have been presented at the proper procedural moment.</w:t>
      </w:r>
    </w:p>
    <w:p w14:paraId="37AB54A2" w14:textId="77777777" w:rsidR="0034766E" w:rsidRPr="007B2402" w:rsidRDefault="0034766E" w:rsidP="0034766E">
      <w:pPr>
        <w:spacing w:after="0" w:line="240" w:lineRule="auto"/>
        <w:jc w:val="both"/>
        <w:rPr>
          <w:bCs/>
          <w:szCs w:val="20"/>
          <w:lang w:val="en-US"/>
        </w:rPr>
      </w:pPr>
    </w:p>
    <w:p w14:paraId="0AC2C10F" w14:textId="26166AAC" w:rsidR="00552375" w:rsidRPr="007B2402" w:rsidRDefault="00AC1A5E" w:rsidP="00DB1F30">
      <w:pPr>
        <w:numPr>
          <w:ilvl w:val="0"/>
          <w:numId w:val="6"/>
        </w:numPr>
        <w:spacing w:after="0" w:line="240" w:lineRule="auto"/>
        <w:jc w:val="both"/>
        <w:rPr>
          <w:rFonts w:eastAsia="Batang" w:cs="Times"/>
          <w:bCs/>
          <w:noProof/>
          <w:szCs w:val="20"/>
          <w:lang w:val="en-US"/>
        </w:rPr>
      </w:pPr>
      <w:r w:rsidRPr="007B2402">
        <w:rPr>
          <w:rFonts w:eastAsia="Batang" w:cs="Times"/>
          <w:bCs/>
          <w:noProof/>
          <w:szCs w:val="20"/>
          <w:lang w:val="en-US"/>
        </w:rPr>
        <w:t xml:space="preserve">In addition, the Court points out that the State submitted various observations on the annexes provided by </w:t>
      </w:r>
      <w:r w:rsidR="005B1590" w:rsidRPr="007B2402">
        <w:rPr>
          <w:rFonts w:eastAsia="Batang" w:cs="Times"/>
          <w:bCs/>
          <w:noProof/>
          <w:szCs w:val="20"/>
          <w:lang w:val="en-US"/>
        </w:rPr>
        <w:t>the representatives</w:t>
      </w:r>
      <w:r w:rsidR="00552375" w:rsidRPr="007B2402">
        <w:rPr>
          <w:rFonts w:eastAsia="Batang" w:cs="Times"/>
          <w:bCs/>
          <w:noProof/>
          <w:szCs w:val="20"/>
          <w:lang w:val="en-US"/>
        </w:rPr>
        <w:t xml:space="preserve"> </w:t>
      </w:r>
      <w:r w:rsidRPr="007B2402">
        <w:rPr>
          <w:rFonts w:eastAsia="Batang" w:cs="Times"/>
          <w:bCs/>
          <w:noProof/>
          <w:szCs w:val="20"/>
          <w:lang w:val="en-US"/>
        </w:rPr>
        <w:t>with their final written arguments.</w:t>
      </w:r>
      <w:r w:rsidR="00552375" w:rsidRPr="007B2402">
        <w:rPr>
          <w:rFonts w:eastAsia="Batang" w:cs="Times New Roman"/>
          <w:bCs/>
          <w:noProof/>
          <w:szCs w:val="20"/>
          <w:vertAlign w:val="superscript"/>
          <w:lang w:val="en-US"/>
        </w:rPr>
        <w:footnoteReference w:id="46"/>
      </w:r>
      <w:r w:rsidRPr="007B2402">
        <w:rPr>
          <w:rFonts w:eastAsia="Batang" w:cs="Times"/>
          <w:bCs/>
          <w:noProof/>
          <w:szCs w:val="20"/>
          <w:lang w:val="en-US"/>
        </w:rPr>
        <w:t xml:space="preserve"> These observations refer to the content and probative value of the documents and do not constitute an objection to their admission</w:t>
      </w:r>
      <w:r w:rsidR="00552375" w:rsidRPr="007B2402">
        <w:rPr>
          <w:rFonts w:eastAsia="Batang" w:cs="Times"/>
          <w:bCs/>
          <w:noProof/>
          <w:szCs w:val="20"/>
          <w:lang w:val="en-US"/>
        </w:rPr>
        <w:t xml:space="preserve">. </w:t>
      </w:r>
    </w:p>
    <w:p w14:paraId="46B1B45F" w14:textId="77777777" w:rsidR="00552375" w:rsidRPr="007B2402" w:rsidRDefault="00552375" w:rsidP="00F94669">
      <w:pPr>
        <w:spacing w:after="0" w:line="240" w:lineRule="auto"/>
        <w:jc w:val="both"/>
        <w:rPr>
          <w:rFonts w:eastAsia="Batang" w:cs="Times"/>
          <w:bCs/>
          <w:noProof/>
          <w:szCs w:val="20"/>
          <w:lang w:val="en-US"/>
        </w:rPr>
      </w:pPr>
    </w:p>
    <w:p w14:paraId="2A6182BF" w14:textId="5A5A7782" w:rsidR="00F94669" w:rsidRPr="007B2402" w:rsidRDefault="00EA06E0" w:rsidP="00C134F9">
      <w:pPr>
        <w:spacing w:after="0" w:line="240" w:lineRule="auto"/>
        <w:ind w:left="425"/>
        <w:outlineLvl w:val="2"/>
        <w:rPr>
          <w:i/>
          <w:noProof/>
          <w:szCs w:val="20"/>
          <w:lang w:val="en-US" w:eastAsia="es-ES"/>
        </w:rPr>
      </w:pPr>
      <w:bookmarkStart w:id="129" w:name="_Toc505939136"/>
      <w:bookmarkStart w:id="130" w:name="_Toc506496119"/>
      <w:bookmarkStart w:id="131" w:name="_Toc506984100"/>
      <w:r w:rsidRPr="007B2402">
        <w:rPr>
          <w:i/>
          <w:noProof/>
          <w:szCs w:val="20"/>
          <w:lang w:val="en-US" w:eastAsia="es-ES"/>
        </w:rPr>
        <w:t>B</w:t>
      </w:r>
      <w:r w:rsidR="001D1455" w:rsidRPr="007B2402">
        <w:rPr>
          <w:i/>
          <w:noProof/>
          <w:szCs w:val="20"/>
          <w:lang w:val="en-US" w:eastAsia="es-ES"/>
        </w:rPr>
        <w:t>.2. Admis</w:t>
      </w:r>
      <w:r w:rsidR="00AC1A5E" w:rsidRPr="007B2402">
        <w:rPr>
          <w:i/>
          <w:noProof/>
          <w:szCs w:val="20"/>
          <w:lang w:val="en-US" w:eastAsia="es-ES"/>
        </w:rPr>
        <w:t>sion of the statements and expert opinions</w:t>
      </w:r>
      <w:bookmarkEnd w:id="129"/>
      <w:bookmarkEnd w:id="130"/>
      <w:bookmarkEnd w:id="131"/>
    </w:p>
    <w:p w14:paraId="0C283B52" w14:textId="77777777" w:rsidR="00C134F9" w:rsidRPr="007B2402" w:rsidRDefault="00C134F9" w:rsidP="00C134F9">
      <w:pPr>
        <w:spacing w:after="0" w:line="240" w:lineRule="auto"/>
        <w:jc w:val="both"/>
        <w:rPr>
          <w:rFonts w:eastAsia="Batang" w:cs="Times"/>
          <w:noProof/>
          <w:szCs w:val="20"/>
          <w:lang w:val="en-US"/>
        </w:rPr>
      </w:pPr>
    </w:p>
    <w:p w14:paraId="79E191E1" w14:textId="392969E8" w:rsidR="001D1455" w:rsidRPr="007B2402" w:rsidRDefault="00AF4344" w:rsidP="00DB1F30">
      <w:pPr>
        <w:numPr>
          <w:ilvl w:val="0"/>
          <w:numId w:val="6"/>
        </w:numPr>
        <w:spacing w:after="0" w:line="240" w:lineRule="auto"/>
        <w:jc w:val="both"/>
        <w:rPr>
          <w:rFonts w:eastAsia="Batang" w:cs="Times"/>
          <w:noProof/>
          <w:szCs w:val="20"/>
          <w:lang w:val="en-US"/>
        </w:rPr>
      </w:pPr>
      <w:r w:rsidRPr="007B2402">
        <w:rPr>
          <w:rFonts w:eastAsia="Batang" w:cs="Times"/>
          <w:noProof/>
          <w:szCs w:val="20"/>
          <w:lang w:val="en-US"/>
        </w:rPr>
        <w:t>The Court</w:t>
      </w:r>
      <w:r w:rsidR="001D1455" w:rsidRPr="007B2402">
        <w:rPr>
          <w:rFonts w:eastAsia="Batang" w:cs="Times"/>
          <w:noProof/>
          <w:szCs w:val="20"/>
          <w:lang w:val="en-US"/>
        </w:rPr>
        <w:t xml:space="preserve"> </w:t>
      </w:r>
      <w:r w:rsidR="00AC1A5E" w:rsidRPr="007B2402">
        <w:rPr>
          <w:rFonts w:eastAsia="Batang" w:cs="Times"/>
          <w:noProof/>
          <w:szCs w:val="20"/>
          <w:lang w:val="en-US"/>
        </w:rPr>
        <w:t xml:space="preserve">deems it pertinent to admit the statements made during the public hearing and the affidavits, insofar as they are in keeping with the purpose defined in the order requiring them and the purpose of this case. </w:t>
      </w:r>
    </w:p>
    <w:p w14:paraId="5DA6634A" w14:textId="77777777" w:rsidR="0071640E" w:rsidRPr="007B2402" w:rsidRDefault="0071640E" w:rsidP="00A62446">
      <w:pPr>
        <w:pStyle w:val="Textocomentario"/>
        <w:tabs>
          <w:tab w:val="left" w:pos="0"/>
        </w:tabs>
        <w:autoSpaceDE w:val="0"/>
        <w:autoSpaceDN w:val="0"/>
        <w:adjustRightInd w:val="0"/>
        <w:rPr>
          <w:noProof w:val="0"/>
          <w:lang w:val="en-US"/>
        </w:rPr>
      </w:pPr>
      <w:bookmarkStart w:id="132" w:name="_Toc472608942"/>
      <w:bookmarkStart w:id="133" w:name="_Toc469404497"/>
      <w:bookmarkStart w:id="134" w:name="_Toc468910259"/>
      <w:bookmarkStart w:id="135" w:name="_Toc468910033"/>
      <w:bookmarkStart w:id="136" w:name="_Toc460432995"/>
      <w:bookmarkStart w:id="137" w:name="_Toc460441926"/>
      <w:bookmarkStart w:id="138" w:name="_Toc464813920"/>
    </w:p>
    <w:p w14:paraId="533C0624" w14:textId="4C72D2A2" w:rsidR="001D1455" w:rsidRPr="007B2402" w:rsidRDefault="00AC1A5E" w:rsidP="0071640E">
      <w:pPr>
        <w:numPr>
          <w:ilvl w:val="0"/>
          <w:numId w:val="10"/>
        </w:numPr>
        <w:tabs>
          <w:tab w:val="left" w:pos="0"/>
        </w:tabs>
        <w:autoSpaceDE w:val="0"/>
        <w:autoSpaceDN w:val="0"/>
        <w:adjustRightInd w:val="0"/>
        <w:spacing w:after="0" w:line="240" w:lineRule="auto"/>
        <w:ind w:left="0" w:firstLine="0"/>
        <w:jc w:val="both"/>
        <w:outlineLvl w:val="1"/>
        <w:rPr>
          <w:rFonts w:eastAsia="Batang" w:cs="Times"/>
          <w:b/>
          <w:i/>
          <w:szCs w:val="20"/>
          <w:lang w:val="en-US"/>
        </w:rPr>
      </w:pPr>
      <w:r w:rsidRPr="007B2402">
        <w:rPr>
          <w:rFonts w:eastAsia="Batang" w:cs="Times"/>
          <w:b/>
          <w:i/>
          <w:szCs w:val="20"/>
          <w:lang w:val="en-US"/>
        </w:rPr>
        <w:t>Assessment of the evidence</w:t>
      </w:r>
      <w:bookmarkEnd w:id="132"/>
      <w:bookmarkEnd w:id="133"/>
      <w:bookmarkEnd w:id="134"/>
      <w:bookmarkEnd w:id="135"/>
      <w:bookmarkEnd w:id="136"/>
      <w:bookmarkEnd w:id="137"/>
      <w:bookmarkEnd w:id="138"/>
    </w:p>
    <w:p w14:paraId="40C4815F" w14:textId="77777777" w:rsidR="00F94669" w:rsidRPr="007B2402" w:rsidRDefault="00F94669" w:rsidP="0071640E">
      <w:pPr>
        <w:pStyle w:val="Textocomentario"/>
        <w:rPr>
          <w:lang w:val="en-US"/>
        </w:rPr>
      </w:pPr>
    </w:p>
    <w:p w14:paraId="27E37C8A" w14:textId="578FA5FD" w:rsidR="00AB0F64" w:rsidRPr="007B2402" w:rsidRDefault="00AC1A5E" w:rsidP="00AC1A5E">
      <w:pPr>
        <w:numPr>
          <w:ilvl w:val="0"/>
          <w:numId w:val="6"/>
        </w:numPr>
        <w:spacing w:after="0" w:line="240" w:lineRule="auto"/>
        <w:jc w:val="both"/>
        <w:rPr>
          <w:rFonts w:eastAsia="Batang" w:cs="Times"/>
          <w:i/>
          <w:noProof/>
          <w:szCs w:val="20"/>
          <w:lang w:val="en-US"/>
        </w:rPr>
      </w:pPr>
      <w:r w:rsidRPr="007B2402">
        <w:rPr>
          <w:rFonts w:eastAsia="Batang" w:cs="Times"/>
          <w:noProof/>
          <w:szCs w:val="20"/>
          <w:lang w:val="en-US"/>
        </w:rPr>
        <w:t>As established in</w:t>
      </w:r>
      <w:r w:rsidR="001D1455" w:rsidRPr="007B2402">
        <w:rPr>
          <w:rFonts w:eastAsia="Batang" w:cs="Times"/>
          <w:noProof/>
          <w:szCs w:val="20"/>
          <w:lang w:val="en-US"/>
        </w:rPr>
        <w:t xml:space="preserve"> </w:t>
      </w:r>
      <w:r w:rsidR="00AF4344" w:rsidRPr="007B2402">
        <w:rPr>
          <w:rFonts w:eastAsia="Batang" w:cs="Times"/>
          <w:noProof/>
          <w:szCs w:val="20"/>
          <w:lang w:val="en-US"/>
        </w:rPr>
        <w:t>Articles</w:t>
      </w:r>
      <w:r w:rsidR="001D1455" w:rsidRPr="007B2402">
        <w:rPr>
          <w:rFonts w:eastAsia="Batang" w:cs="Times"/>
          <w:noProof/>
          <w:szCs w:val="20"/>
          <w:lang w:val="en-US"/>
        </w:rPr>
        <w:t xml:space="preserve"> 46, 47, 48, 50, 51, 57</w:t>
      </w:r>
      <w:r w:rsidR="005B1590" w:rsidRPr="007B2402">
        <w:rPr>
          <w:rFonts w:eastAsia="Batang" w:cs="Times"/>
          <w:noProof/>
          <w:szCs w:val="20"/>
          <w:lang w:val="en-US"/>
        </w:rPr>
        <w:t xml:space="preserve"> and </w:t>
      </w:r>
      <w:r w:rsidR="001D1455" w:rsidRPr="007B2402">
        <w:rPr>
          <w:rFonts w:eastAsia="Batang" w:cs="Times"/>
          <w:noProof/>
          <w:szCs w:val="20"/>
          <w:lang w:val="en-US"/>
        </w:rPr>
        <w:t>58</w:t>
      </w:r>
      <w:r w:rsidR="006E2CFF" w:rsidRPr="007B2402">
        <w:rPr>
          <w:rFonts w:eastAsia="Batang" w:cs="Times"/>
          <w:noProof/>
          <w:szCs w:val="20"/>
          <w:lang w:val="en-US"/>
        </w:rPr>
        <w:t xml:space="preserve"> of the </w:t>
      </w:r>
      <w:r w:rsidR="00AF4344" w:rsidRPr="007B2402">
        <w:rPr>
          <w:rFonts w:eastAsia="Batang" w:cs="Times"/>
          <w:noProof/>
          <w:szCs w:val="20"/>
          <w:lang w:val="en-US"/>
        </w:rPr>
        <w:t>Rules of Procedure</w:t>
      </w:r>
      <w:r w:rsidR="001D1455" w:rsidRPr="007B2402">
        <w:rPr>
          <w:rFonts w:eastAsia="Batang" w:cs="Times"/>
          <w:noProof/>
          <w:szCs w:val="20"/>
          <w:lang w:val="en-US"/>
        </w:rPr>
        <w:t>, a</w:t>
      </w:r>
      <w:r w:rsidRPr="007B2402">
        <w:rPr>
          <w:rFonts w:eastAsia="Batang" w:cs="Times"/>
          <w:noProof/>
          <w:szCs w:val="20"/>
          <w:lang w:val="en-US"/>
        </w:rPr>
        <w:t xml:space="preserve">nd also in its consistent case law concerning evidence and its assessment, the Court will examine </w:t>
      </w:r>
      <w:r w:rsidRPr="007B2402">
        <w:rPr>
          <w:rFonts w:eastAsia="Batang" w:cs="Times"/>
          <w:noProof/>
          <w:szCs w:val="20"/>
          <w:lang w:val="en-US"/>
        </w:rPr>
        <w:lastRenderedPageBreak/>
        <w:t>and assess the documentary probative elements forwarded by the parties and the Commission, the statements and the expert opinions, when establishing the facts of the case and ruling on the merits. To this end, it will abide by the principles of sound judicial discretion within the corresponding legal framework, taking into account the whole body of evidence and the arguments that have been presented during the case.</w:t>
      </w:r>
      <w:r w:rsidR="001D1455" w:rsidRPr="007B2402">
        <w:rPr>
          <w:rFonts w:eastAsia="Batang" w:cs="Times"/>
          <w:noProof/>
          <w:szCs w:val="20"/>
          <w:vertAlign w:val="superscript"/>
          <w:lang w:val="en-US"/>
        </w:rPr>
        <w:footnoteReference w:id="47"/>
      </w:r>
    </w:p>
    <w:p w14:paraId="77D90F16" w14:textId="77777777" w:rsidR="00C134F9" w:rsidRPr="007B2402" w:rsidRDefault="00C134F9" w:rsidP="00C134F9">
      <w:pPr>
        <w:pStyle w:val="Textocomentario"/>
        <w:rPr>
          <w:lang w:val="en-US"/>
        </w:rPr>
      </w:pPr>
    </w:p>
    <w:p w14:paraId="34E9734A" w14:textId="0FFC505E" w:rsidR="005427CB" w:rsidRPr="007B2402" w:rsidRDefault="005427CB" w:rsidP="00AB0F64">
      <w:pPr>
        <w:pStyle w:val="Ttulo1"/>
        <w:rPr>
          <w:b w:val="0"/>
          <w:lang w:val="en-US"/>
        </w:rPr>
      </w:pPr>
      <w:bookmarkStart w:id="139" w:name="_Toc506984102"/>
      <w:r w:rsidRPr="007B2402">
        <w:rPr>
          <w:lang w:val="en-US"/>
        </w:rPr>
        <w:t>VI</w:t>
      </w:r>
      <w:r w:rsidR="000A6DAF" w:rsidRPr="007B2402">
        <w:rPr>
          <w:lang w:val="en-US"/>
        </w:rPr>
        <w:br/>
      </w:r>
      <w:r w:rsidR="00AC1A5E" w:rsidRPr="007B2402">
        <w:rPr>
          <w:lang w:val="en-US"/>
        </w:rPr>
        <w:t>PROVEN FACTS</w:t>
      </w:r>
      <w:bookmarkEnd w:id="139"/>
    </w:p>
    <w:p w14:paraId="7AF8B805" w14:textId="77777777" w:rsidR="005427CB" w:rsidRPr="007B2402" w:rsidRDefault="005427CB" w:rsidP="005427CB">
      <w:pPr>
        <w:spacing w:after="0" w:line="240" w:lineRule="auto"/>
        <w:jc w:val="both"/>
        <w:rPr>
          <w:rFonts w:eastAsia="Calibri" w:cs="Times New Roman"/>
          <w:szCs w:val="20"/>
          <w:lang w:val="en-US"/>
        </w:rPr>
      </w:pPr>
    </w:p>
    <w:p w14:paraId="32B8855D" w14:textId="6D4399F9" w:rsidR="005427CB" w:rsidRPr="007B2402" w:rsidRDefault="00AC1A5E"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 xml:space="preserve">Following an analysis of the probative elements, the statements of witnesses and expert witnesses, as well as the arguments </w:t>
      </w:r>
      <w:r w:rsidR="005B1590" w:rsidRPr="007B2402">
        <w:rPr>
          <w:rFonts w:eastAsia="Calibri" w:cs="Times New Roman"/>
          <w:szCs w:val="20"/>
          <w:lang w:val="en-US"/>
        </w:rPr>
        <w:t xml:space="preserve">of the </w:t>
      </w:r>
      <w:r w:rsidR="00AF4344" w:rsidRPr="007B2402">
        <w:rPr>
          <w:rFonts w:eastAsia="Calibri" w:cs="Times New Roman"/>
          <w:szCs w:val="20"/>
          <w:lang w:val="en-US"/>
        </w:rPr>
        <w:t>Inter-American Commission</w:t>
      </w:r>
      <w:r w:rsidR="005427CB" w:rsidRPr="007B2402">
        <w:rPr>
          <w:rFonts w:eastAsia="Calibri" w:cs="Times New Roman"/>
          <w:szCs w:val="20"/>
          <w:lang w:val="en-US"/>
        </w:rPr>
        <w:t xml:space="preserve">, </w:t>
      </w:r>
      <w:r w:rsidR="005B1590" w:rsidRPr="007B2402">
        <w:rPr>
          <w:rFonts w:eastAsia="Calibri" w:cs="Times New Roman"/>
          <w:szCs w:val="20"/>
          <w:lang w:val="en-US"/>
        </w:rPr>
        <w:t xml:space="preserve">the representatives and </w:t>
      </w:r>
      <w:r w:rsidR="00AF4344" w:rsidRPr="007B2402">
        <w:rPr>
          <w:rFonts w:eastAsia="Calibri" w:cs="Times New Roman"/>
          <w:szCs w:val="20"/>
          <w:lang w:val="en-US"/>
        </w:rPr>
        <w:t>the State</w:t>
      </w:r>
      <w:r w:rsidR="005427CB" w:rsidRPr="007B2402">
        <w:rPr>
          <w:rFonts w:eastAsia="Calibri" w:cs="Times New Roman"/>
          <w:szCs w:val="20"/>
          <w:lang w:val="en-US"/>
        </w:rPr>
        <w:t xml:space="preserve">, </w:t>
      </w:r>
      <w:r w:rsidR="00AF4344" w:rsidRPr="007B2402">
        <w:rPr>
          <w:rFonts w:eastAsia="Calibri" w:cs="Times New Roman"/>
          <w:szCs w:val="20"/>
          <w:lang w:val="en-US"/>
        </w:rPr>
        <w:t>the Court</w:t>
      </w:r>
      <w:r w:rsidR="005427CB" w:rsidRPr="007B2402">
        <w:rPr>
          <w:rFonts w:eastAsia="Calibri" w:cs="Times New Roman"/>
          <w:szCs w:val="20"/>
          <w:lang w:val="en-US"/>
        </w:rPr>
        <w:t xml:space="preserve"> consider</w:t>
      </w:r>
      <w:r w:rsidRPr="007B2402">
        <w:rPr>
          <w:rFonts w:eastAsia="Calibri" w:cs="Times New Roman"/>
          <w:szCs w:val="20"/>
          <w:lang w:val="en-US"/>
        </w:rPr>
        <w:t xml:space="preserve">s proved the facts described below that were not contested by the State at any </w:t>
      </w:r>
      <w:r w:rsidR="0034766E" w:rsidRPr="007B2402">
        <w:rPr>
          <w:rFonts w:eastAsia="Calibri" w:cs="Times New Roman"/>
          <w:szCs w:val="20"/>
          <w:lang w:val="en-US"/>
        </w:rPr>
        <w:t>time during</w:t>
      </w:r>
      <w:r w:rsidRPr="007B2402">
        <w:rPr>
          <w:rFonts w:eastAsia="Calibri" w:cs="Times New Roman"/>
          <w:szCs w:val="20"/>
          <w:lang w:val="en-US"/>
        </w:rPr>
        <w:t xml:space="preserve"> the proceedings</w:t>
      </w:r>
      <w:r w:rsidR="005427CB" w:rsidRPr="007B2402">
        <w:rPr>
          <w:rFonts w:eastAsia="Calibri" w:cs="Times New Roman"/>
          <w:szCs w:val="20"/>
          <w:lang w:val="en-US"/>
        </w:rPr>
        <w:t xml:space="preserve">. </w:t>
      </w:r>
      <w:r w:rsidR="0034766E" w:rsidRPr="007B2402">
        <w:rPr>
          <w:rFonts w:eastAsia="Calibri" w:cs="Times New Roman"/>
          <w:szCs w:val="20"/>
          <w:lang w:val="en-US"/>
        </w:rPr>
        <w:t>In addition</w:t>
      </w:r>
      <w:r w:rsidRPr="007B2402">
        <w:rPr>
          <w:rFonts w:eastAsia="Calibri" w:cs="Times New Roman"/>
          <w:szCs w:val="20"/>
          <w:lang w:val="en-US"/>
        </w:rPr>
        <w:t xml:space="preserve">, the facts described below that occurred prior to the date on which Brazil accepted the Court’s jurisdiction </w:t>
      </w:r>
      <w:r w:rsidR="005427CB" w:rsidRPr="007B2402">
        <w:rPr>
          <w:rFonts w:eastAsia="Calibri" w:cs="Times New Roman"/>
          <w:szCs w:val="20"/>
          <w:lang w:val="en-US"/>
        </w:rPr>
        <w:t>(</w:t>
      </w:r>
      <w:r w:rsidR="00D86EEA" w:rsidRPr="007B2402">
        <w:rPr>
          <w:rFonts w:eastAsia="Calibri" w:cs="Times New Roman"/>
          <w:szCs w:val="20"/>
          <w:lang w:val="en-US"/>
        </w:rPr>
        <w:t>December 10,</w:t>
      </w:r>
      <w:r w:rsidR="005427CB" w:rsidRPr="007B2402">
        <w:rPr>
          <w:rFonts w:eastAsia="Calibri" w:cs="Times New Roman"/>
          <w:szCs w:val="20"/>
          <w:lang w:val="en-US"/>
        </w:rPr>
        <w:t xml:space="preserve"> 1998) s</w:t>
      </w:r>
      <w:r w:rsidRPr="007B2402">
        <w:rPr>
          <w:rFonts w:eastAsia="Calibri" w:cs="Times New Roman"/>
          <w:szCs w:val="20"/>
          <w:lang w:val="en-US"/>
        </w:rPr>
        <w:t>erve as background information to contextualize what happened after that date</w:t>
      </w:r>
      <w:r w:rsidR="005427CB" w:rsidRPr="007B2402">
        <w:rPr>
          <w:rFonts w:eastAsia="Calibri" w:cs="Times New Roman"/>
          <w:szCs w:val="20"/>
          <w:lang w:val="en-US"/>
        </w:rPr>
        <w:t>.</w:t>
      </w:r>
    </w:p>
    <w:p w14:paraId="6BE109D6" w14:textId="77777777" w:rsidR="005427CB" w:rsidRPr="007B2402" w:rsidRDefault="005427CB" w:rsidP="005427CB">
      <w:pPr>
        <w:spacing w:after="0" w:line="240" w:lineRule="auto"/>
        <w:jc w:val="both"/>
        <w:rPr>
          <w:rFonts w:eastAsia="Calibri" w:cs="Times New Roman"/>
          <w:szCs w:val="20"/>
          <w:lang w:val="en-US"/>
        </w:rPr>
      </w:pPr>
      <w:r w:rsidRPr="007B2402">
        <w:rPr>
          <w:rFonts w:eastAsia="Calibri" w:cs="Times New Roman"/>
          <w:szCs w:val="20"/>
          <w:lang w:val="en-US"/>
        </w:rPr>
        <w:t xml:space="preserve"> </w:t>
      </w:r>
    </w:p>
    <w:p w14:paraId="33435AC4" w14:textId="465A7308" w:rsidR="005427CB" w:rsidRPr="007B2402" w:rsidRDefault="00AC1A5E" w:rsidP="008508F9">
      <w:pPr>
        <w:pStyle w:val="Ttulo2"/>
        <w:numPr>
          <w:ilvl w:val="0"/>
          <w:numId w:val="24"/>
        </w:numPr>
        <w:ind w:left="0" w:firstLine="0"/>
        <w:rPr>
          <w:b/>
          <w:lang w:val="en-US"/>
        </w:rPr>
      </w:pPr>
      <w:r w:rsidRPr="007B2402">
        <w:rPr>
          <w:b/>
          <w:lang w:val="en-US"/>
        </w:rPr>
        <w:t>Historical context</w:t>
      </w:r>
      <w:r w:rsidR="005427CB" w:rsidRPr="007B2402">
        <w:rPr>
          <w:b/>
          <w:lang w:val="en-US"/>
        </w:rPr>
        <w:t xml:space="preserve"> </w:t>
      </w:r>
    </w:p>
    <w:p w14:paraId="39FDED24" w14:textId="77777777" w:rsidR="005427CB" w:rsidRPr="007B2402" w:rsidRDefault="005427CB" w:rsidP="00AB0F64">
      <w:pPr>
        <w:spacing w:after="0" w:line="240" w:lineRule="auto"/>
        <w:jc w:val="both"/>
        <w:rPr>
          <w:rFonts w:eastAsia="Calibri" w:cs="Times New Roman"/>
          <w:szCs w:val="20"/>
          <w:u w:val="single"/>
          <w:lang w:val="en-US"/>
        </w:rPr>
      </w:pPr>
    </w:p>
    <w:p w14:paraId="5D7F530C" w14:textId="785531AC" w:rsidR="005427CB" w:rsidRPr="007B2402" w:rsidRDefault="00AC1A5E"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As the Court indicated in its judgment in the</w:t>
      </w:r>
      <w:r w:rsidR="005427CB" w:rsidRPr="007B2402">
        <w:rPr>
          <w:rFonts w:eastAsia="SimSun" w:cs="Times New Roman"/>
          <w:szCs w:val="20"/>
          <w:lang w:val="en-US" w:eastAsia="zh-CN"/>
        </w:rPr>
        <w:t xml:space="preserve"> cas</w:t>
      </w:r>
      <w:r w:rsidRPr="007B2402">
        <w:rPr>
          <w:rFonts w:eastAsia="SimSun" w:cs="Times New Roman"/>
          <w:szCs w:val="20"/>
          <w:lang w:val="en-US" w:eastAsia="zh-CN"/>
        </w:rPr>
        <w:t>e of</w:t>
      </w:r>
      <w:r w:rsidR="005427CB" w:rsidRPr="007B2402">
        <w:rPr>
          <w:rFonts w:eastAsia="SimSun" w:cs="Times New Roman"/>
          <w:szCs w:val="20"/>
          <w:lang w:val="en-US" w:eastAsia="zh-CN"/>
        </w:rPr>
        <w:t xml:space="preserve"> Gomes Lund</w:t>
      </w:r>
      <w:r w:rsidR="005B1590" w:rsidRPr="007B2402">
        <w:rPr>
          <w:rFonts w:eastAsia="SimSun" w:cs="Times New Roman"/>
          <w:szCs w:val="20"/>
          <w:lang w:val="en-US" w:eastAsia="zh-CN"/>
        </w:rPr>
        <w:t xml:space="preserve"> </w:t>
      </w:r>
      <w:r w:rsidR="00892CA3" w:rsidRPr="007B2402">
        <w:rPr>
          <w:rFonts w:eastAsia="SimSun" w:cs="Times New Roman"/>
          <w:i/>
          <w:szCs w:val="20"/>
          <w:lang w:val="en-US" w:eastAsia="zh-CN"/>
        </w:rPr>
        <w:t>et al.</w:t>
      </w:r>
      <w:r w:rsidR="005427CB" w:rsidRPr="007B2402">
        <w:rPr>
          <w:rFonts w:eastAsia="SimSun" w:cs="Times New Roman"/>
          <w:szCs w:val="20"/>
          <w:lang w:val="en-US" w:eastAsia="zh-CN"/>
        </w:rPr>
        <w:t xml:space="preserve"> (</w:t>
      </w:r>
      <w:r w:rsidR="005427CB" w:rsidRPr="007B2402">
        <w:rPr>
          <w:rFonts w:eastAsia="SimSun" w:cs="Times New Roman"/>
          <w:i/>
          <w:szCs w:val="20"/>
          <w:lang w:val="en-US" w:eastAsia="zh-CN"/>
        </w:rPr>
        <w:t>Guerrilha do Araguaia</w:t>
      </w:r>
      <w:r w:rsidR="008508F9" w:rsidRPr="007B2402">
        <w:rPr>
          <w:rFonts w:eastAsia="SimSun" w:cs="Times New Roman"/>
          <w:szCs w:val="20"/>
          <w:lang w:val="en-US" w:eastAsia="zh-CN"/>
        </w:rPr>
        <w:t xml:space="preserve">) </w:t>
      </w:r>
      <w:r w:rsidRPr="007B2402">
        <w:rPr>
          <w:rFonts w:eastAsia="SimSun" w:cs="Times New Roman"/>
          <w:i/>
          <w:iCs/>
          <w:szCs w:val="20"/>
          <w:lang w:val="en-US" w:eastAsia="zh-CN"/>
        </w:rPr>
        <w:t>v</w:t>
      </w:r>
      <w:r w:rsidR="008508F9" w:rsidRPr="007B2402">
        <w:rPr>
          <w:rFonts w:eastAsia="SimSun" w:cs="Times New Roman"/>
          <w:i/>
          <w:iCs/>
          <w:szCs w:val="20"/>
          <w:lang w:val="en-US" w:eastAsia="zh-CN"/>
        </w:rPr>
        <w:t>.</w:t>
      </w:r>
      <w:r w:rsidR="008508F9" w:rsidRPr="007B2402">
        <w:rPr>
          <w:rFonts w:eastAsia="SimSun" w:cs="Times New Roman"/>
          <w:szCs w:val="20"/>
          <w:lang w:val="en-US" w:eastAsia="zh-CN"/>
        </w:rPr>
        <w:t xml:space="preserve"> </w:t>
      </w:r>
      <w:r w:rsidR="00AF4344" w:rsidRPr="007B2402">
        <w:rPr>
          <w:rFonts w:eastAsia="SimSun" w:cs="Times New Roman"/>
          <w:szCs w:val="20"/>
          <w:lang w:val="en-US" w:eastAsia="zh-CN"/>
        </w:rPr>
        <w:t>Brazil</w:t>
      </w:r>
      <w:r w:rsidRPr="007B2402">
        <w:rPr>
          <w:rFonts w:eastAsia="SimSun" w:cs="Times New Roman"/>
          <w:szCs w:val="20"/>
          <w:lang w:val="en-US" w:eastAsia="zh-CN"/>
        </w:rPr>
        <w:t>:</w:t>
      </w:r>
      <w:r w:rsidR="005427CB" w:rsidRPr="007B2402">
        <w:rPr>
          <w:rFonts w:eastAsia="SimSun" w:cs="Times New Roman"/>
          <w:szCs w:val="20"/>
          <w:vertAlign w:val="superscript"/>
          <w:lang w:val="en-US" w:eastAsia="zh-CN"/>
        </w:rPr>
        <w:footnoteReference w:id="48"/>
      </w:r>
      <w:r w:rsidR="005427CB" w:rsidRPr="007B2402">
        <w:rPr>
          <w:rFonts w:eastAsia="SimSun" w:cs="Times New Roman"/>
          <w:szCs w:val="20"/>
          <w:lang w:val="en-US" w:eastAsia="zh-CN"/>
        </w:rPr>
        <w:t xml:space="preserve"> </w:t>
      </w:r>
    </w:p>
    <w:p w14:paraId="78A1CC72" w14:textId="77777777" w:rsidR="005427CB" w:rsidRPr="007B2402" w:rsidRDefault="005427CB" w:rsidP="005427CB">
      <w:pPr>
        <w:ind w:left="720"/>
        <w:contextualSpacing/>
        <w:rPr>
          <w:rFonts w:eastAsia="SimSun" w:cs="Times New Roman"/>
          <w:szCs w:val="20"/>
          <w:lang w:val="en-US" w:eastAsia="zh-CN"/>
        </w:rPr>
      </w:pPr>
    </w:p>
    <w:p w14:paraId="43847CD6" w14:textId="373318A1" w:rsidR="00457616" w:rsidRPr="007B2402" w:rsidRDefault="00457616" w:rsidP="003172DC">
      <w:pPr>
        <w:spacing w:line="240" w:lineRule="auto"/>
        <w:ind w:left="720" w:right="540"/>
        <w:jc w:val="both"/>
        <w:rPr>
          <w:rFonts w:cs="Arial"/>
          <w:sz w:val="18"/>
          <w:szCs w:val="18"/>
          <w:lang w:val="en-US"/>
        </w:rPr>
      </w:pPr>
      <w:r w:rsidRPr="007B2402">
        <w:rPr>
          <w:rFonts w:eastAsia="Calibri" w:cs="Times New Roman"/>
          <w:sz w:val="18"/>
          <w:szCs w:val="18"/>
          <w:lang w:val="en-US"/>
        </w:rPr>
        <w:t>85.</w:t>
      </w:r>
      <w:r w:rsidRPr="007B2402">
        <w:rPr>
          <w:rFonts w:eastAsia="Calibri" w:cs="Times New Roman"/>
          <w:sz w:val="18"/>
          <w:szCs w:val="18"/>
          <w:lang w:val="en-US"/>
        </w:rPr>
        <w:tab/>
      </w:r>
      <w:r w:rsidR="003172DC" w:rsidRPr="007B2402">
        <w:rPr>
          <w:rFonts w:cs="Arial"/>
          <w:sz w:val="18"/>
          <w:szCs w:val="18"/>
          <w:lang w:val="en-US"/>
        </w:rPr>
        <w:t>In April 1964, a military coup overthrew the government of President João Goulart. The military regime was</w:t>
      </w:r>
      <w:r w:rsidR="0034766E" w:rsidRPr="007B2402">
        <w:rPr>
          <w:rFonts w:cs="Arial"/>
          <w:sz w:val="18"/>
          <w:szCs w:val="18"/>
          <w:lang w:val="en-US"/>
        </w:rPr>
        <w:t xml:space="preserve"> established on the</w:t>
      </w:r>
      <w:r w:rsidR="003172DC" w:rsidRPr="007B2402">
        <w:rPr>
          <w:rFonts w:cs="Arial"/>
          <w:sz w:val="18"/>
          <w:szCs w:val="18"/>
          <w:lang w:val="en-US"/>
        </w:rPr>
        <w:t xml:space="preserve"> bas</w:t>
      </w:r>
      <w:r w:rsidR="0034766E" w:rsidRPr="007B2402">
        <w:rPr>
          <w:rFonts w:cs="Arial"/>
          <w:sz w:val="18"/>
          <w:szCs w:val="18"/>
          <w:lang w:val="en-US"/>
        </w:rPr>
        <w:t>is of</w:t>
      </w:r>
      <w:r w:rsidR="003172DC" w:rsidRPr="007B2402">
        <w:rPr>
          <w:rFonts w:cs="Arial"/>
          <w:sz w:val="18"/>
          <w:szCs w:val="18"/>
          <w:lang w:val="en-US"/>
        </w:rPr>
        <w:t xml:space="preserve"> the national security doctrine and the issue of successive “national security laws” and regulations during a state of emergency, such as the institutional acts, “that served as the</w:t>
      </w:r>
      <w:r w:rsidR="00B42082" w:rsidRPr="007B2402">
        <w:rPr>
          <w:rFonts w:cs="Arial"/>
          <w:sz w:val="18"/>
          <w:szCs w:val="18"/>
          <w:lang w:val="en-US"/>
        </w:rPr>
        <w:t xml:space="preserve"> supposed</w:t>
      </w:r>
      <w:r w:rsidR="003172DC" w:rsidRPr="007B2402">
        <w:rPr>
          <w:rFonts w:cs="Arial"/>
          <w:sz w:val="18"/>
          <w:szCs w:val="18"/>
          <w:lang w:val="en-US"/>
        </w:rPr>
        <w:t xml:space="preserve"> legal framework </w:t>
      </w:r>
      <w:r w:rsidR="00B42082" w:rsidRPr="007B2402">
        <w:rPr>
          <w:rFonts w:cs="Arial"/>
          <w:sz w:val="18"/>
          <w:szCs w:val="18"/>
          <w:lang w:val="en-US"/>
        </w:rPr>
        <w:t xml:space="preserve">to </w:t>
      </w:r>
      <w:r w:rsidR="003172DC" w:rsidRPr="007B2402">
        <w:rPr>
          <w:rFonts w:cs="Arial"/>
          <w:sz w:val="18"/>
          <w:szCs w:val="18"/>
          <w:lang w:val="en-US"/>
        </w:rPr>
        <w:t>provid</w:t>
      </w:r>
      <w:r w:rsidR="00B42082" w:rsidRPr="007B2402">
        <w:rPr>
          <w:rFonts w:cs="Arial"/>
          <w:sz w:val="18"/>
          <w:szCs w:val="18"/>
          <w:lang w:val="en-US"/>
        </w:rPr>
        <w:t>e</w:t>
      </w:r>
      <w:r w:rsidR="003172DC" w:rsidRPr="007B2402">
        <w:rPr>
          <w:rFonts w:cs="Arial"/>
          <w:sz w:val="18"/>
          <w:szCs w:val="18"/>
          <w:lang w:val="en-US"/>
        </w:rPr>
        <w:t xml:space="preserve"> </w:t>
      </w:r>
      <w:r w:rsidR="00B42082" w:rsidRPr="007B2402">
        <w:rPr>
          <w:rFonts w:cs="Arial"/>
          <w:sz w:val="18"/>
          <w:szCs w:val="18"/>
          <w:lang w:val="en-US"/>
        </w:rPr>
        <w:t>juridic</w:t>
      </w:r>
      <w:r w:rsidR="003172DC" w:rsidRPr="007B2402">
        <w:rPr>
          <w:rFonts w:cs="Arial"/>
          <w:sz w:val="18"/>
          <w:szCs w:val="18"/>
          <w:lang w:val="en-US"/>
        </w:rPr>
        <w:t xml:space="preserve">al support to the increasing repression.” This period was characterized by “the installation of a repressive apparatus that took on characteristics of a truly powerful nature parallel to that of the State,” reaching its “peak” with the issue of Institutional Act No. 5, in December 1968. Among other acts of repression during that period, the National Congress was closed, there was complete press censure, and individual and political rights, freedom of expression, freedom of association, and the guarantee of </w:t>
      </w:r>
      <w:r w:rsidR="003172DC" w:rsidRPr="007B2402">
        <w:rPr>
          <w:rFonts w:cs="Arial"/>
          <w:i/>
          <w:sz w:val="18"/>
          <w:szCs w:val="18"/>
          <w:lang w:val="en-US"/>
        </w:rPr>
        <w:t>habeus corpus</w:t>
      </w:r>
      <w:r w:rsidR="003172DC" w:rsidRPr="007B2402">
        <w:rPr>
          <w:rFonts w:cs="Arial"/>
          <w:sz w:val="18"/>
          <w:szCs w:val="18"/>
          <w:lang w:val="en-US"/>
        </w:rPr>
        <w:t xml:space="preserve"> were suspended. Also, the scope of the military justice system was extended and a National Security Law introduced life imprisonment and the death penalty, among other measures.</w:t>
      </w:r>
    </w:p>
    <w:p w14:paraId="795B5E28" w14:textId="4712929A" w:rsidR="00457616" w:rsidRPr="007B2402" w:rsidRDefault="00457616" w:rsidP="001F5121">
      <w:pPr>
        <w:spacing w:line="240" w:lineRule="auto"/>
        <w:ind w:left="720" w:right="540"/>
        <w:jc w:val="both"/>
        <w:rPr>
          <w:rFonts w:cs="Arial"/>
          <w:sz w:val="18"/>
          <w:szCs w:val="18"/>
          <w:lang w:val="en-US"/>
        </w:rPr>
      </w:pPr>
      <w:r w:rsidRPr="007B2402">
        <w:rPr>
          <w:rFonts w:eastAsia="Calibri" w:cs="Times New Roman"/>
          <w:sz w:val="18"/>
          <w:szCs w:val="18"/>
          <w:lang w:val="en-US"/>
        </w:rPr>
        <w:t>86.</w:t>
      </w:r>
      <w:r w:rsidRPr="007B2402">
        <w:rPr>
          <w:rFonts w:eastAsia="Calibri" w:cs="Times New Roman"/>
          <w:sz w:val="18"/>
          <w:szCs w:val="18"/>
          <w:lang w:val="en-US"/>
        </w:rPr>
        <w:tab/>
      </w:r>
      <w:r w:rsidR="001F5121" w:rsidRPr="007B2402">
        <w:rPr>
          <w:rFonts w:cs="Arial"/>
          <w:sz w:val="18"/>
          <w:szCs w:val="18"/>
          <w:lang w:val="en-US"/>
        </w:rPr>
        <w:t>Between 1969 and 1974, a “devastating attack was mounted on the armed opposition groups.” The mandate of President Médici (1969-1974) represented “the most extreme phase of the repression during the 21 years of the military regime” in Brazil. Subsequently, “during the first three years of the [Government of President] Geisel [1974-1979], the disappearance of political prisoners, which initially represented only a fraction of the deaths that occurred, became the predominant pattern so as not to reveal the contradiction between the discourse on an opening-up and the systematic repetition of the regular fake official reports of assaults, escape attempts, and false suicides.” Thus, as of 1974 “there were no more deaths in the prisons, all of the political detainees who died had ‘disappeared</w:t>
      </w:r>
      <w:r w:rsidR="00B42082" w:rsidRPr="007B2402">
        <w:rPr>
          <w:rFonts w:cs="Arial"/>
          <w:sz w:val="18"/>
          <w:szCs w:val="18"/>
          <w:lang w:val="en-US"/>
        </w:rPr>
        <w:t>,</w:t>
      </w:r>
      <w:r w:rsidR="001F5121" w:rsidRPr="007B2402">
        <w:rPr>
          <w:rFonts w:cs="Arial"/>
          <w:sz w:val="18"/>
          <w:szCs w:val="18"/>
          <w:lang w:val="en-US"/>
        </w:rPr>
        <w:t>’ [and] thereafter the regime did not admit</w:t>
      </w:r>
      <w:r w:rsidR="00B42082" w:rsidRPr="007B2402">
        <w:rPr>
          <w:rFonts w:cs="Arial"/>
          <w:sz w:val="18"/>
          <w:szCs w:val="18"/>
          <w:lang w:val="en-US"/>
        </w:rPr>
        <w:t xml:space="preserve"> to</w:t>
      </w:r>
      <w:r w:rsidR="001F5121" w:rsidRPr="007B2402">
        <w:rPr>
          <w:rFonts w:cs="Arial"/>
          <w:sz w:val="18"/>
          <w:szCs w:val="18"/>
          <w:lang w:val="en-US"/>
        </w:rPr>
        <w:t xml:space="preserve"> the murder of its opponents.”</w:t>
      </w:r>
    </w:p>
    <w:p w14:paraId="5E5B10B3" w14:textId="50E2D6E0" w:rsidR="005427CB" w:rsidRPr="007B2402" w:rsidRDefault="00457616" w:rsidP="00195BC4">
      <w:pPr>
        <w:spacing w:line="240" w:lineRule="auto"/>
        <w:ind w:left="720" w:right="540"/>
        <w:jc w:val="both"/>
        <w:rPr>
          <w:i/>
          <w:sz w:val="16"/>
          <w:szCs w:val="16"/>
          <w:lang w:val="en-US"/>
        </w:rPr>
      </w:pPr>
      <w:r w:rsidRPr="007B2402">
        <w:rPr>
          <w:rFonts w:eastAsia="Calibri" w:cs="Times New Roman"/>
          <w:sz w:val="18"/>
          <w:szCs w:val="18"/>
          <w:lang w:val="en-US"/>
        </w:rPr>
        <w:t>87.</w:t>
      </w:r>
      <w:r w:rsidRPr="007B2402">
        <w:rPr>
          <w:rFonts w:eastAsia="Calibri" w:cs="Times New Roman"/>
          <w:sz w:val="18"/>
          <w:szCs w:val="18"/>
          <w:lang w:val="en-US"/>
        </w:rPr>
        <w:tab/>
      </w:r>
      <w:r w:rsidR="00195BC4" w:rsidRPr="007B2402">
        <w:rPr>
          <w:rFonts w:cs="Arial"/>
          <w:sz w:val="18"/>
          <w:szCs w:val="18"/>
          <w:lang w:val="en-US"/>
        </w:rPr>
        <w:t>According to the Special Commission, almost 50,000 people were detained</w:t>
      </w:r>
      <w:r w:rsidR="00B42082" w:rsidRPr="007B2402">
        <w:rPr>
          <w:rFonts w:cs="Arial"/>
          <w:sz w:val="18"/>
          <w:szCs w:val="18"/>
          <w:lang w:val="en-US"/>
        </w:rPr>
        <w:t xml:space="preserve"> just</w:t>
      </w:r>
      <w:r w:rsidR="00195BC4" w:rsidRPr="007B2402">
        <w:rPr>
          <w:rFonts w:cs="Arial"/>
          <w:sz w:val="18"/>
          <w:szCs w:val="18"/>
          <w:lang w:val="en-US"/>
        </w:rPr>
        <w:t xml:space="preserve"> in the first few months of the dictatorship; around 20,000 prisoners were subjected to torture; there were 354 politically-motivated deaths and disappearances; 130 people were expelled from the country; the mandates and political rights of 4,862 people were suspended, and hundreds of rural workers were murdered. The Special Commission noted </w:t>
      </w:r>
      <w:r w:rsidR="00195BC4" w:rsidRPr="007B2402">
        <w:rPr>
          <w:rFonts w:cs="Arial"/>
          <w:sz w:val="18"/>
          <w:szCs w:val="18"/>
          <w:lang w:val="en-US"/>
        </w:rPr>
        <w:lastRenderedPageBreak/>
        <w:t xml:space="preserve">that “Brazil is the only country [in the region] that did not use [criminal] proceedings to examine the human rights violations that took place during the dictatorship [despite having] formalized, by Law No. 9,140/95, the State’s </w:t>
      </w:r>
      <w:r w:rsidR="00B42082" w:rsidRPr="007B2402">
        <w:rPr>
          <w:rFonts w:cs="Arial"/>
          <w:sz w:val="18"/>
          <w:szCs w:val="18"/>
          <w:lang w:val="en-US"/>
        </w:rPr>
        <w:t>acknowledgement</w:t>
      </w:r>
      <w:r w:rsidR="00195BC4" w:rsidRPr="007B2402">
        <w:rPr>
          <w:rFonts w:cs="Arial"/>
          <w:sz w:val="18"/>
          <w:szCs w:val="18"/>
          <w:lang w:val="en-US"/>
        </w:rPr>
        <w:t xml:space="preserve"> of responsibility for the deaths and disappearances that had been denounced.” This is because, in 1979, the State enacted an Amnesty Law.</w:t>
      </w:r>
    </w:p>
    <w:p w14:paraId="669C8961" w14:textId="673D38D9" w:rsidR="005427CB" w:rsidRPr="007B2402" w:rsidRDefault="00195BC4" w:rsidP="00195BC4">
      <w:pPr>
        <w:numPr>
          <w:ilvl w:val="0"/>
          <w:numId w:val="6"/>
        </w:numPr>
        <w:tabs>
          <w:tab w:val="left" w:pos="0"/>
          <w:tab w:val="left" w:pos="90"/>
        </w:tabs>
        <w:spacing w:after="0" w:line="240" w:lineRule="auto"/>
        <w:jc w:val="both"/>
        <w:rPr>
          <w:rFonts w:eastAsia="Calibri" w:cs="Times New Roman"/>
          <w:szCs w:val="20"/>
          <w:lang w:val="en-US"/>
        </w:rPr>
      </w:pPr>
      <w:r w:rsidRPr="007B2402">
        <w:rPr>
          <w:rFonts w:eastAsia="Calibri" w:cs="Times New Roman"/>
          <w:szCs w:val="20"/>
          <w:lang w:val="en-US"/>
        </w:rPr>
        <w:t xml:space="preserve">The most violent repression of those opposed to the military regime took place in 1964 and from 1968 to 1975. It was during these periods that </w:t>
      </w:r>
      <w:r w:rsidR="001B683F" w:rsidRPr="007B2402">
        <w:rPr>
          <w:rFonts w:eastAsia="Calibri" w:cs="Times New Roman"/>
          <w:szCs w:val="20"/>
          <w:lang w:val="en-US"/>
        </w:rPr>
        <w:t>most politically</w:t>
      </w:r>
      <w:r w:rsidR="00B42082" w:rsidRPr="007B2402">
        <w:rPr>
          <w:rFonts w:eastAsia="Calibri" w:cs="Times New Roman"/>
          <w:szCs w:val="20"/>
          <w:lang w:val="en-US"/>
        </w:rPr>
        <w:t>-</w:t>
      </w:r>
      <w:r w:rsidR="001B683F" w:rsidRPr="007B2402">
        <w:rPr>
          <w:rFonts w:eastAsia="Calibri" w:cs="Times New Roman"/>
          <w:szCs w:val="20"/>
          <w:lang w:val="en-US"/>
        </w:rPr>
        <w:t xml:space="preserve">motivated disappearances and deaths officially </w:t>
      </w:r>
      <w:r w:rsidR="00B42082" w:rsidRPr="007B2402">
        <w:rPr>
          <w:rFonts w:eastAsia="Calibri" w:cs="Times New Roman"/>
          <w:szCs w:val="20"/>
          <w:lang w:val="en-US"/>
        </w:rPr>
        <w:t>acknowledg</w:t>
      </w:r>
      <w:r w:rsidR="001B683F" w:rsidRPr="007B2402">
        <w:rPr>
          <w:rFonts w:eastAsia="Calibri" w:cs="Times New Roman"/>
          <w:szCs w:val="20"/>
          <w:lang w:val="en-US"/>
        </w:rPr>
        <w:t>ed by the State occurred. Moreover, these periods also coincided with the centralization of investigations and repression operations in the information centers of the Navy (CENIMAR), the Army (CIE) and the Air Force (CISA), and the establishment of the Centers for Internal Defense Operations (CODI) and the respective Internal Operations Department</w:t>
      </w:r>
      <w:r w:rsidR="005427CB" w:rsidRPr="007B2402">
        <w:rPr>
          <w:rFonts w:eastAsia="Calibri" w:cs="Times New Roman"/>
          <w:szCs w:val="20"/>
          <w:lang w:val="en-US"/>
        </w:rPr>
        <w:t xml:space="preserve"> (DOI)</w:t>
      </w:r>
      <w:r w:rsidR="001B683F" w:rsidRPr="007B2402">
        <w:rPr>
          <w:rFonts w:eastAsia="Calibri" w:cs="Times New Roman"/>
          <w:szCs w:val="20"/>
          <w:lang w:val="en-US"/>
        </w:rPr>
        <w:t>.</w:t>
      </w:r>
      <w:r w:rsidR="005427CB" w:rsidRPr="007B2402">
        <w:rPr>
          <w:rFonts w:eastAsia="Calibri" w:cs="Times New Roman"/>
          <w:szCs w:val="20"/>
          <w:vertAlign w:val="superscript"/>
          <w:lang w:val="en-US"/>
        </w:rPr>
        <w:footnoteReference w:id="49"/>
      </w:r>
      <w:r w:rsidR="005427CB" w:rsidRPr="007B2402">
        <w:rPr>
          <w:rFonts w:eastAsia="Calibri" w:cs="Times New Roman"/>
          <w:szCs w:val="20"/>
          <w:lang w:val="en-US"/>
        </w:rPr>
        <w:t xml:space="preserve"> </w:t>
      </w:r>
    </w:p>
    <w:p w14:paraId="1E4F2CBA" w14:textId="77777777" w:rsidR="005427CB" w:rsidRPr="007B2402" w:rsidRDefault="005427CB" w:rsidP="005427CB">
      <w:pPr>
        <w:tabs>
          <w:tab w:val="left" w:pos="0"/>
        </w:tabs>
        <w:spacing w:after="0" w:line="240" w:lineRule="auto"/>
        <w:jc w:val="both"/>
        <w:rPr>
          <w:rFonts w:eastAsia="Calibri" w:cs="Times New Roman"/>
          <w:szCs w:val="20"/>
          <w:lang w:val="en-US"/>
        </w:rPr>
      </w:pPr>
    </w:p>
    <w:p w14:paraId="5E7390EB" w14:textId="4254B861" w:rsidR="005427CB" w:rsidRPr="007B2402" w:rsidRDefault="001B683F" w:rsidP="00DB1F30">
      <w:pPr>
        <w:numPr>
          <w:ilvl w:val="0"/>
          <w:numId w:val="6"/>
        </w:numPr>
        <w:tabs>
          <w:tab w:val="left" w:pos="0"/>
        </w:tabs>
        <w:spacing w:after="0" w:line="240" w:lineRule="auto"/>
        <w:jc w:val="both"/>
        <w:rPr>
          <w:rFonts w:eastAsia="Calibri" w:cs="Times New Roman"/>
          <w:szCs w:val="20"/>
          <w:lang w:val="en-US"/>
        </w:rPr>
      </w:pPr>
      <w:r w:rsidRPr="007B2402">
        <w:rPr>
          <w:rFonts w:eastAsia="Calibri" w:cs="Times New Roman"/>
          <w:szCs w:val="20"/>
          <w:lang w:val="en-US"/>
        </w:rPr>
        <w:t xml:space="preserve">Faced with the apparent growth of the </w:t>
      </w:r>
      <w:r w:rsidR="00B0525F" w:rsidRPr="007B2402">
        <w:rPr>
          <w:rFonts w:eastAsia="Calibri" w:cs="Times New Roman"/>
          <w:szCs w:val="20"/>
          <w:lang w:val="en-US"/>
        </w:rPr>
        <w:t>Brazilian</w:t>
      </w:r>
      <w:r w:rsidRPr="007B2402">
        <w:rPr>
          <w:rFonts w:eastAsia="Calibri" w:cs="Times New Roman"/>
          <w:szCs w:val="20"/>
          <w:lang w:val="en-US"/>
        </w:rPr>
        <w:t xml:space="preserve"> Communist Party </w:t>
      </w:r>
      <w:r w:rsidR="005427CB" w:rsidRPr="007B2402">
        <w:rPr>
          <w:rFonts w:eastAsia="Calibri" w:cs="Times New Roman"/>
          <w:szCs w:val="20"/>
          <w:lang w:val="en-US"/>
        </w:rPr>
        <w:t>(PCB)</w:t>
      </w:r>
      <w:r w:rsidR="005B1590" w:rsidRPr="007B2402">
        <w:rPr>
          <w:rFonts w:eastAsia="Calibri" w:cs="Times New Roman"/>
          <w:szCs w:val="20"/>
          <w:lang w:val="en-US"/>
        </w:rPr>
        <w:t xml:space="preserve"> and </w:t>
      </w:r>
      <w:r w:rsidRPr="007B2402">
        <w:rPr>
          <w:rFonts w:eastAsia="Calibri" w:cs="Times New Roman"/>
          <w:szCs w:val="20"/>
          <w:lang w:val="en-US"/>
        </w:rPr>
        <w:t xml:space="preserve">the </w:t>
      </w:r>
      <w:r w:rsidR="00B0525F" w:rsidRPr="007B2402">
        <w:rPr>
          <w:rFonts w:eastAsia="Calibri" w:cs="Times New Roman"/>
          <w:szCs w:val="20"/>
          <w:lang w:val="en-US"/>
        </w:rPr>
        <w:t>realization</w:t>
      </w:r>
      <w:r w:rsidRPr="007B2402">
        <w:rPr>
          <w:rFonts w:eastAsia="Calibri" w:cs="Times New Roman"/>
          <w:szCs w:val="20"/>
          <w:lang w:val="en-US"/>
        </w:rPr>
        <w:t xml:space="preserve"> that it would represent a threat to the Government </w:t>
      </w:r>
      <w:r w:rsidR="006E2CFF" w:rsidRPr="007B2402">
        <w:rPr>
          <w:rFonts w:eastAsia="Calibri" w:cs="Times New Roman"/>
          <w:szCs w:val="20"/>
          <w:lang w:val="en-US"/>
        </w:rPr>
        <w:t xml:space="preserve">of </w:t>
      </w:r>
      <w:r w:rsidR="00AF4344" w:rsidRPr="007B2402">
        <w:rPr>
          <w:rFonts w:eastAsia="Calibri" w:cs="Times New Roman"/>
          <w:szCs w:val="20"/>
          <w:lang w:val="en-US"/>
        </w:rPr>
        <w:t>President</w:t>
      </w:r>
      <w:r w:rsidR="005427CB" w:rsidRPr="007B2402">
        <w:rPr>
          <w:rFonts w:eastAsia="Calibri" w:cs="Times New Roman"/>
          <w:szCs w:val="20"/>
          <w:lang w:val="en-US"/>
        </w:rPr>
        <w:t xml:space="preserve"> Geisel, </w:t>
      </w:r>
      <w:r w:rsidRPr="007B2402">
        <w:rPr>
          <w:rFonts w:eastAsia="Calibri" w:cs="Times New Roman"/>
          <w:szCs w:val="20"/>
          <w:lang w:val="en-US"/>
        </w:rPr>
        <w:t>the security forces decided to “neutralize” the</w:t>
      </w:r>
      <w:r w:rsidR="005427CB" w:rsidRPr="007B2402">
        <w:rPr>
          <w:rFonts w:eastAsia="Calibri" w:cs="Times New Roman"/>
          <w:szCs w:val="20"/>
          <w:lang w:val="en-US"/>
        </w:rPr>
        <w:t xml:space="preserve"> PCB. </w:t>
      </w:r>
      <w:r w:rsidRPr="007B2402">
        <w:rPr>
          <w:rFonts w:eastAsia="Calibri" w:cs="Times New Roman"/>
          <w:szCs w:val="20"/>
          <w:lang w:val="en-US"/>
        </w:rPr>
        <w:t>In this regard</w:t>
      </w:r>
      <w:r w:rsidR="00B42082" w:rsidRPr="007B2402">
        <w:rPr>
          <w:rFonts w:eastAsia="Calibri" w:cs="Times New Roman"/>
          <w:szCs w:val="20"/>
          <w:lang w:val="en-US"/>
        </w:rPr>
        <w:t>, between 1974 and 1976,</w:t>
      </w:r>
      <w:r w:rsidRPr="007B2402">
        <w:rPr>
          <w:rFonts w:eastAsia="Calibri" w:cs="Times New Roman"/>
          <w:szCs w:val="20"/>
          <w:lang w:val="en-US"/>
        </w:rPr>
        <w:t xml:space="preserve"> journalists of </w:t>
      </w:r>
      <w:r w:rsidR="005427CB" w:rsidRPr="007B2402">
        <w:rPr>
          <w:rFonts w:eastAsia="Calibri" w:cs="Times New Roman"/>
          <w:szCs w:val="20"/>
          <w:lang w:val="en-US"/>
        </w:rPr>
        <w:t>“Voz Operária”</w:t>
      </w:r>
      <w:r w:rsidR="005B1590" w:rsidRPr="007B2402">
        <w:rPr>
          <w:rFonts w:eastAsia="Calibri" w:cs="Times New Roman"/>
          <w:szCs w:val="20"/>
          <w:lang w:val="en-US"/>
        </w:rPr>
        <w:t xml:space="preserve"> and </w:t>
      </w:r>
      <w:r w:rsidRPr="007B2402">
        <w:rPr>
          <w:rFonts w:eastAsia="Calibri" w:cs="Times New Roman"/>
          <w:szCs w:val="20"/>
          <w:lang w:val="en-US"/>
        </w:rPr>
        <w:t>members of the</w:t>
      </w:r>
      <w:r w:rsidR="005427CB" w:rsidRPr="007B2402">
        <w:rPr>
          <w:rFonts w:eastAsia="Calibri" w:cs="Times New Roman"/>
          <w:szCs w:val="20"/>
          <w:lang w:val="en-US"/>
        </w:rPr>
        <w:t xml:space="preserve"> PCB </w:t>
      </w:r>
      <w:r w:rsidRPr="007B2402">
        <w:rPr>
          <w:rFonts w:eastAsia="Calibri" w:cs="Times New Roman"/>
          <w:szCs w:val="20"/>
          <w:lang w:val="en-US"/>
        </w:rPr>
        <w:t xml:space="preserve">began to be abducted or detained, tortured and even killed by </w:t>
      </w:r>
      <w:r w:rsidR="00B42082" w:rsidRPr="007B2402">
        <w:rPr>
          <w:rFonts w:eastAsia="Calibri" w:cs="Times New Roman"/>
          <w:szCs w:val="20"/>
          <w:lang w:val="en-US"/>
        </w:rPr>
        <w:t>S</w:t>
      </w:r>
      <w:r w:rsidRPr="007B2402">
        <w:rPr>
          <w:rFonts w:eastAsia="Calibri" w:cs="Times New Roman"/>
          <w:szCs w:val="20"/>
          <w:lang w:val="en-US"/>
        </w:rPr>
        <w:t>tate agents.</w:t>
      </w:r>
      <w:r w:rsidR="005427CB" w:rsidRPr="007B2402">
        <w:rPr>
          <w:rFonts w:eastAsia="Calibri" w:cs="Times New Roman"/>
          <w:szCs w:val="20"/>
          <w:vertAlign w:val="superscript"/>
          <w:lang w:val="en-US"/>
        </w:rPr>
        <w:footnoteReference w:id="50"/>
      </w:r>
      <w:r w:rsidR="005427CB" w:rsidRPr="007B2402">
        <w:rPr>
          <w:rFonts w:eastAsia="Calibri" w:cs="Times New Roman"/>
          <w:szCs w:val="20"/>
          <w:lang w:val="en-US"/>
        </w:rPr>
        <w:t xml:space="preserve"> </w:t>
      </w:r>
    </w:p>
    <w:p w14:paraId="128B6DCD" w14:textId="77777777" w:rsidR="005427CB" w:rsidRPr="007B2402" w:rsidRDefault="005427CB" w:rsidP="005427CB">
      <w:pPr>
        <w:tabs>
          <w:tab w:val="left" w:pos="0"/>
        </w:tabs>
        <w:spacing w:after="0" w:line="240" w:lineRule="auto"/>
        <w:jc w:val="both"/>
        <w:rPr>
          <w:rFonts w:eastAsia="Calibri" w:cs="Times New Roman"/>
          <w:szCs w:val="20"/>
          <w:lang w:val="en-US"/>
        </w:rPr>
      </w:pPr>
    </w:p>
    <w:p w14:paraId="0A001091" w14:textId="09859F48" w:rsidR="005427CB" w:rsidRPr="007B2402" w:rsidRDefault="001B683F" w:rsidP="00DB1F30">
      <w:pPr>
        <w:numPr>
          <w:ilvl w:val="0"/>
          <w:numId w:val="6"/>
        </w:numPr>
        <w:tabs>
          <w:tab w:val="left" w:pos="0"/>
        </w:tabs>
        <w:spacing w:after="0" w:line="240" w:lineRule="auto"/>
        <w:jc w:val="both"/>
        <w:rPr>
          <w:rFonts w:eastAsia="Calibri" w:cs="Times New Roman"/>
          <w:szCs w:val="20"/>
          <w:lang w:val="en-US"/>
        </w:rPr>
      </w:pPr>
      <w:r w:rsidRPr="007B2402">
        <w:rPr>
          <w:rFonts w:eastAsia="Calibri" w:cs="Times New Roman"/>
          <w:szCs w:val="20"/>
          <w:lang w:val="en-US"/>
        </w:rPr>
        <w:t xml:space="preserve">Between the end of September and the beginning of October, </w:t>
      </w:r>
      <w:r w:rsidR="005427CB" w:rsidRPr="007B2402">
        <w:rPr>
          <w:rFonts w:eastAsia="Calibri" w:cs="Times New Roman"/>
          <w:szCs w:val="20"/>
          <w:lang w:val="en-US"/>
        </w:rPr>
        <w:t xml:space="preserve">1975, </w:t>
      </w:r>
      <w:r w:rsidRPr="007B2402">
        <w:rPr>
          <w:rFonts w:eastAsia="Calibri" w:cs="Times New Roman"/>
          <w:szCs w:val="20"/>
          <w:lang w:val="en-US"/>
        </w:rPr>
        <w:t>the</w:t>
      </w:r>
      <w:r w:rsidR="005427CB" w:rsidRPr="007B2402">
        <w:rPr>
          <w:rFonts w:eastAsia="Calibri" w:cs="Times New Roman"/>
          <w:szCs w:val="20"/>
          <w:lang w:val="en-US"/>
        </w:rPr>
        <w:t xml:space="preserve"> </w:t>
      </w:r>
      <w:r w:rsidRPr="007B2402">
        <w:rPr>
          <w:rFonts w:eastAsia="Calibri" w:cs="Times New Roman"/>
          <w:szCs w:val="20"/>
          <w:lang w:val="en-US"/>
        </w:rPr>
        <w:t xml:space="preserve">São Paulo </w:t>
      </w:r>
      <w:r w:rsidR="005427CB" w:rsidRPr="007B2402">
        <w:rPr>
          <w:rFonts w:eastAsia="Calibri" w:cs="Times New Roman"/>
          <w:szCs w:val="20"/>
          <w:lang w:val="en-US"/>
        </w:rPr>
        <w:t xml:space="preserve">DOI/CODI </w:t>
      </w:r>
      <w:r w:rsidRPr="007B2402">
        <w:rPr>
          <w:rFonts w:eastAsia="Calibri" w:cs="Times New Roman"/>
          <w:szCs w:val="20"/>
          <w:lang w:val="en-US"/>
        </w:rPr>
        <w:t>intensified actions of repression against journalists.</w:t>
      </w:r>
      <w:r w:rsidR="005427CB" w:rsidRPr="007B2402">
        <w:rPr>
          <w:rFonts w:eastAsia="Calibri" w:cs="Times New Roman"/>
          <w:szCs w:val="20"/>
          <w:vertAlign w:val="superscript"/>
          <w:lang w:val="en-US"/>
        </w:rPr>
        <w:footnoteReference w:id="51"/>
      </w:r>
      <w:r w:rsidR="005427CB" w:rsidRPr="007B2402">
        <w:rPr>
          <w:rFonts w:eastAsia="Calibri" w:cs="Times New Roman"/>
          <w:szCs w:val="20"/>
          <w:lang w:val="en-US"/>
        </w:rPr>
        <w:t xml:space="preserve"> </w:t>
      </w:r>
    </w:p>
    <w:p w14:paraId="3F883BE7" w14:textId="77777777" w:rsidR="005427CB" w:rsidRPr="007B2402" w:rsidRDefault="005427CB" w:rsidP="005427CB">
      <w:pPr>
        <w:tabs>
          <w:tab w:val="left" w:pos="0"/>
        </w:tabs>
        <w:spacing w:after="0" w:line="240" w:lineRule="auto"/>
        <w:jc w:val="both"/>
        <w:rPr>
          <w:rFonts w:eastAsia="Calibri" w:cs="Times New Roman"/>
          <w:szCs w:val="20"/>
          <w:lang w:val="en-US"/>
        </w:rPr>
      </w:pPr>
    </w:p>
    <w:p w14:paraId="686EF3B8" w14:textId="3BB875C7" w:rsidR="005427CB" w:rsidRPr="007B2402" w:rsidRDefault="00CE0CE7" w:rsidP="00DB1F30">
      <w:pPr>
        <w:numPr>
          <w:ilvl w:val="0"/>
          <w:numId w:val="6"/>
        </w:numPr>
        <w:tabs>
          <w:tab w:val="left" w:pos="0"/>
        </w:tabs>
        <w:spacing w:after="0" w:line="240" w:lineRule="auto"/>
        <w:jc w:val="both"/>
        <w:rPr>
          <w:rFonts w:eastAsia="Calibri" w:cs="Times New Roman"/>
          <w:szCs w:val="20"/>
          <w:lang w:val="en-US"/>
        </w:rPr>
      </w:pPr>
      <w:r w:rsidRPr="007B2402">
        <w:rPr>
          <w:rFonts w:eastAsia="Calibri" w:cs="Times New Roman"/>
          <w:szCs w:val="20"/>
          <w:lang w:val="en-US"/>
        </w:rPr>
        <w:t>On October 24, 1975, the day before</w:t>
      </w:r>
      <w:r w:rsidR="005427CB" w:rsidRPr="007B2402">
        <w:rPr>
          <w:rFonts w:eastAsia="Calibri" w:cs="Times New Roman"/>
          <w:szCs w:val="20"/>
          <w:lang w:val="en-US"/>
        </w:rPr>
        <w:t xml:space="preserve"> Vladimir Herzog</w:t>
      </w:r>
      <w:r w:rsidRPr="007B2402">
        <w:rPr>
          <w:rFonts w:eastAsia="Calibri" w:cs="Times New Roman"/>
          <w:szCs w:val="20"/>
          <w:lang w:val="en-US"/>
        </w:rPr>
        <w:t xml:space="preserve"> was deprived of his liberty,</w:t>
      </w:r>
      <w:r w:rsidR="005427CB" w:rsidRPr="007B2402">
        <w:rPr>
          <w:rFonts w:eastAsia="Calibri" w:cs="Times New Roman"/>
          <w:szCs w:val="20"/>
          <w:lang w:val="en-US"/>
        </w:rPr>
        <w:t xml:space="preserve"> 11 </w:t>
      </w:r>
      <w:r w:rsidRPr="007B2402">
        <w:rPr>
          <w:rFonts w:eastAsia="Calibri" w:cs="Times New Roman"/>
          <w:szCs w:val="20"/>
          <w:lang w:val="en-US"/>
        </w:rPr>
        <w:t xml:space="preserve">journalists were detained: </w:t>
      </w:r>
      <w:r w:rsidR="005427CB" w:rsidRPr="007B2402">
        <w:rPr>
          <w:rFonts w:eastAsia="Calibri" w:cs="Times New Roman"/>
          <w:szCs w:val="20"/>
          <w:lang w:val="en-US"/>
        </w:rPr>
        <w:t>Sergio Gomes</w:t>
      </w:r>
      <w:r w:rsidR="00A102A0" w:rsidRPr="007B2402">
        <w:rPr>
          <w:rFonts w:eastAsia="Calibri" w:cs="Times New Roman"/>
          <w:szCs w:val="20"/>
          <w:lang w:val="en-US"/>
        </w:rPr>
        <w:t xml:space="preserve"> da Silva</w:t>
      </w:r>
      <w:r w:rsidR="005427CB" w:rsidRPr="007B2402">
        <w:rPr>
          <w:rFonts w:eastAsia="Calibri" w:cs="Times New Roman"/>
          <w:szCs w:val="20"/>
          <w:lang w:val="en-US"/>
        </w:rPr>
        <w:t xml:space="preserve">, Marinilda Marchi, Frederico Pessoa da Silva, Ricardo de Moraes Monteiro, José Pola Galé, Luiz Paulo da Costa, Anthony de Christo, Paulo Sérgio Markun, Diléa </w:t>
      </w:r>
      <w:r w:rsidR="00A102A0" w:rsidRPr="007B2402">
        <w:rPr>
          <w:rFonts w:eastAsia="Calibri" w:cs="Times New Roman"/>
          <w:szCs w:val="20"/>
          <w:lang w:val="en-US"/>
        </w:rPr>
        <w:t>Frate</w:t>
      </w:r>
      <w:r w:rsidR="005427CB" w:rsidRPr="007B2402">
        <w:rPr>
          <w:rFonts w:eastAsia="Calibri" w:cs="Times New Roman"/>
          <w:szCs w:val="20"/>
          <w:lang w:val="en-US"/>
        </w:rPr>
        <w:t>, George Duque Estrada</w:t>
      </w:r>
      <w:r w:rsidR="005B1590" w:rsidRPr="007B2402">
        <w:rPr>
          <w:rFonts w:eastAsia="Calibri" w:cs="Times New Roman"/>
          <w:szCs w:val="20"/>
          <w:lang w:val="en-US"/>
        </w:rPr>
        <w:t xml:space="preserve"> and </w:t>
      </w:r>
      <w:r w:rsidR="005427CB" w:rsidRPr="007B2402">
        <w:rPr>
          <w:rFonts w:eastAsia="Calibri" w:cs="Times New Roman"/>
          <w:szCs w:val="20"/>
          <w:lang w:val="en-US"/>
        </w:rPr>
        <w:t>Rodolfo Konder</w:t>
      </w:r>
      <w:r w:rsidRPr="007B2402">
        <w:rPr>
          <w:rFonts w:eastAsia="Calibri" w:cs="Times New Roman"/>
          <w:szCs w:val="20"/>
          <w:lang w:val="en-US"/>
        </w:rPr>
        <w:t>.</w:t>
      </w:r>
      <w:r w:rsidR="00EA2969" w:rsidRPr="007B2402">
        <w:rPr>
          <w:rStyle w:val="Refdenotaalpie"/>
          <w:rFonts w:ascii="Verdana" w:eastAsia="Calibri" w:hAnsi="Verdana"/>
          <w:lang w:val="en-US"/>
        </w:rPr>
        <w:footnoteReference w:id="52"/>
      </w:r>
      <w:r w:rsidR="005427CB" w:rsidRPr="007B2402">
        <w:rPr>
          <w:rFonts w:eastAsia="Calibri" w:cs="Times New Roman"/>
          <w:szCs w:val="20"/>
          <w:lang w:val="en-US"/>
        </w:rPr>
        <w:t xml:space="preserve"> </w:t>
      </w:r>
    </w:p>
    <w:p w14:paraId="0388BBC7" w14:textId="77777777" w:rsidR="005427CB" w:rsidRPr="007B2402" w:rsidRDefault="005427CB" w:rsidP="005427CB">
      <w:pPr>
        <w:ind w:left="720"/>
        <w:contextualSpacing/>
        <w:rPr>
          <w:rFonts w:eastAsia="Calibri" w:cs="Times New Roman"/>
          <w:szCs w:val="20"/>
          <w:lang w:val="en-US"/>
        </w:rPr>
      </w:pPr>
    </w:p>
    <w:p w14:paraId="23F7204F" w14:textId="5DDB6B66" w:rsidR="00C7687D" w:rsidRPr="007B2402" w:rsidRDefault="005427CB" w:rsidP="00C7687D">
      <w:pPr>
        <w:numPr>
          <w:ilvl w:val="0"/>
          <w:numId w:val="6"/>
        </w:numPr>
        <w:tabs>
          <w:tab w:val="left" w:pos="0"/>
        </w:tabs>
        <w:spacing w:after="0" w:line="240" w:lineRule="auto"/>
        <w:contextualSpacing/>
        <w:jc w:val="both"/>
        <w:rPr>
          <w:rFonts w:eastAsia="Calibri" w:cs="Times New Roman"/>
          <w:szCs w:val="20"/>
          <w:lang w:val="en-US"/>
        </w:rPr>
      </w:pPr>
      <w:r w:rsidRPr="007B2402">
        <w:rPr>
          <w:rFonts w:eastAsia="Calibri" w:cs="Times New Roman"/>
          <w:szCs w:val="20"/>
          <w:lang w:val="en-US"/>
        </w:rPr>
        <w:t>D</w:t>
      </w:r>
      <w:r w:rsidR="00CE0CE7" w:rsidRPr="007B2402">
        <w:rPr>
          <w:rFonts w:eastAsia="Calibri" w:cs="Times New Roman"/>
          <w:szCs w:val="20"/>
          <w:lang w:val="en-US"/>
        </w:rPr>
        <w:t xml:space="preserve">ozens of leaders and members of the </w:t>
      </w:r>
      <w:r w:rsidR="00B42082" w:rsidRPr="007B2402">
        <w:rPr>
          <w:rFonts w:eastAsia="Calibri" w:cs="Times New Roman"/>
          <w:szCs w:val="20"/>
          <w:lang w:val="en-US"/>
        </w:rPr>
        <w:t xml:space="preserve">PCB </w:t>
      </w:r>
      <w:r w:rsidR="00CE0CE7" w:rsidRPr="007B2402">
        <w:rPr>
          <w:rFonts w:eastAsia="Calibri" w:cs="Times New Roman"/>
          <w:szCs w:val="20"/>
          <w:lang w:val="en-US"/>
        </w:rPr>
        <w:t xml:space="preserve">Central were detained and tortured, although not all of them were </w:t>
      </w:r>
      <w:r w:rsidR="00B42082" w:rsidRPr="007B2402">
        <w:rPr>
          <w:rFonts w:eastAsia="Calibri" w:cs="Times New Roman"/>
          <w:szCs w:val="20"/>
          <w:lang w:val="en-US"/>
        </w:rPr>
        <w:t>murdered</w:t>
      </w:r>
      <w:r w:rsidR="00CE0CE7" w:rsidRPr="007B2402">
        <w:rPr>
          <w:rFonts w:eastAsia="Calibri" w:cs="Times New Roman"/>
          <w:szCs w:val="20"/>
          <w:lang w:val="en-US"/>
        </w:rPr>
        <w:t>.</w:t>
      </w:r>
      <w:r w:rsidRPr="007B2402">
        <w:rPr>
          <w:rFonts w:eastAsia="Calibri" w:cs="Times New Roman"/>
          <w:szCs w:val="20"/>
          <w:vertAlign w:val="superscript"/>
          <w:lang w:val="en-US"/>
        </w:rPr>
        <w:footnoteReference w:id="53"/>
      </w:r>
      <w:r w:rsidR="00CE0CE7" w:rsidRPr="007B2402">
        <w:rPr>
          <w:rFonts w:eastAsia="Calibri" w:cs="Times New Roman"/>
          <w:szCs w:val="20"/>
          <w:lang w:val="en-US"/>
        </w:rPr>
        <w:t xml:space="preserve"> It is estimated that between </w:t>
      </w:r>
      <w:r w:rsidRPr="007B2402">
        <w:rPr>
          <w:rFonts w:eastAsia="Calibri" w:cs="Times New Roman"/>
          <w:szCs w:val="20"/>
          <w:lang w:val="en-US"/>
        </w:rPr>
        <w:t>1974</w:t>
      </w:r>
      <w:r w:rsidR="005B1590" w:rsidRPr="007B2402">
        <w:rPr>
          <w:rFonts w:eastAsia="Calibri" w:cs="Times New Roman"/>
          <w:szCs w:val="20"/>
          <w:lang w:val="en-US"/>
        </w:rPr>
        <w:t xml:space="preserve"> and </w:t>
      </w:r>
      <w:r w:rsidRPr="007B2402">
        <w:rPr>
          <w:rFonts w:eastAsia="Calibri" w:cs="Times New Roman"/>
          <w:szCs w:val="20"/>
          <w:lang w:val="en-US"/>
        </w:rPr>
        <w:t>1976,</w:t>
      </w:r>
      <w:r w:rsidR="00CE0CE7" w:rsidRPr="007B2402">
        <w:rPr>
          <w:rFonts w:eastAsia="Calibri" w:cs="Times New Roman"/>
          <w:szCs w:val="20"/>
          <w:lang w:val="en-US"/>
        </w:rPr>
        <w:t xml:space="preserve"> at least 19 people were </w:t>
      </w:r>
      <w:r w:rsidR="00B42082" w:rsidRPr="007B2402">
        <w:rPr>
          <w:rFonts w:eastAsia="Calibri" w:cs="Times New Roman"/>
          <w:szCs w:val="20"/>
          <w:lang w:val="en-US"/>
        </w:rPr>
        <w:t>murdered</w:t>
      </w:r>
      <w:r w:rsidR="00CE0CE7" w:rsidRPr="007B2402">
        <w:rPr>
          <w:rFonts w:eastAsia="Calibri" w:cs="Times New Roman"/>
          <w:szCs w:val="20"/>
          <w:lang w:val="en-US"/>
        </w:rPr>
        <w:t xml:space="preserve">, including 11 </w:t>
      </w:r>
      <w:r w:rsidR="00B42082" w:rsidRPr="007B2402">
        <w:rPr>
          <w:rFonts w:eastAsia="Calibri" w:cs="Times New Roman"/>
          <w:szCs w:val="20"/>
          <w:lang w:val="en-US"/>
        </w:rPr>
        <w:t xml:space="preserve">PCB </w:t>
      </w:r>
      <w:r w:rsidR="00CE0CE7" w:rsidRPr="007B2402">
        <w:rPr>
          <w:rFonts w:eastAsia="Calibri" w:cs="Times New Roman"/>
          <w:szCs w:val="20"/>
          <w:lang w:val="en-US"/>
        </w:rPr>
        <w:t>leaders.</w:t>
      </w:r>
      <w:r w:rsidRPr="007B2402">
        <w:rPr>
          <w:rFonts w:eastAsia="Calibri" w:cs="Times New Roman"/>
          <w:szCs w:val="20"/>
          <w:vertAlign w:val="superscript"/>
          <w:lang w:val="en-US"/>
        </w:rPr>
        <w:footnoteReference w:id="54"/>
      </w:r>
      <w:r w:rsidR="00CE0CE7" w:rsidRPr="007B2402">
        <w:rPr>
          <w:rFonts w:eastAsia="Calibri" w:cs="Times New Roman"/>
          <w:szCs w:val="20"/>
          <w:lang w:val="en-US"/>
        </w:rPr>
        <w:t xml:space="preserve"> In total, between March 1974 and January 1976, 679 members of the PCB, including </w:t>
      </w:r>
      <w:r w:rsidR="00FE66A0" w:rsidRPr="007B2402">
        <w:rPr>
          <w:rFonts w:eastAsia="Calibri" w:cs="Times New Roman"/>
          <w:szCs w:val="20"/>
          <w:lang w:val="en-US"/>
        </w:rPr>
        <w:t>Vladimir Herzog</w:t>
      </w:r>
      <w:r w:rsidR="00B42082" w:rsidRPr="007B2402">
        <w:rPr>
          <w:rFonts w:eastAsia="Calibri" w:cs="Times New Roman"/>
          <w:szCs w:val="20"/>
          <w:lang w:val="en-US"/>
        </w:rPr>
        <w:t>, were detained under Operation Radar</w:t>
      </w:r>
      <w:r w:rsidR="009D6D4F" w:rsidRPr="007B2402">
        <w:rPr>
          <w:rFonts w:eastAsia="Calibri" w:cs="Times New Roman"/>
          <w:szCs w:val="20"/>
          <w:lang w:val="en-US"/>
        </w:rPr>
        <w:t>.</w:t>
      </w:r>
      <w:r w:rsidRPr="007B2402">
        <w:rPr>
          <w:rFonts w:eastAsia="Calibri" w:cs="Times New Roman"/>
          <w:szCs w:val="20"/>
          <w:vertAlign w:val="superscript"/>
          <w:lang w:val="en-US"/>
        </w:rPr>
        <w:footnoteReference w:id="55"/>
      </w:r>
    </w:p>
    <w:p w14:paraId="09178079" w14:textId="77777777" w:rsidR="005427CB" w:rsidRPr="007B2402" w:rsidRDefault="005427CB" w:rsidP="005427CB">
      <w:pPr>
        <w:tabs>
          <w:tab w:val="left" w:pos="0"/>
        </w:tabs>
        <w:spacing w:after="0" w:line="240" w:lineRule="auto"/>
        <w:jc w:val="both"/>
        <w:rPr>
          <w:rFonts w:eastAsia="Calibri" w:cs="Times New Roman"/>
          <w:szCs w:val="20"/>
          <w:lang w:val="en-US"/>
        </w:rPr>
      </w:pPr>
    </w:p>
    <w:p w14:paraId="65A84BEA" w14:textId="100ED850" w:rsidR="005427CB" w:rsidRPr="007B2402" w:rsidRDefault="005427CB" w:rsidP="00347AA9">
      <w:pPr>
        <w:pStyle w:val="Ttulo2"/>
        <w:rPr>
          <w:b/>
          <w:lang w:val="en-US"/>
        </w:rPr>
      </w:pPr>
      <w:bookmarkStart w:id="140" w:name="_Toc506984104"/>
      <w:r w:rsidRPr="007B2402">
        <w:rPr>
          <w:b/>
          <w:lang w:val="en-US"/>
        </w:rPr>
        <w:t>Vladimir Herzog</w:t>
      </w:r>
      <w:bookmarkEnd w:id="140"/>
      <w:r w:rsidRPr="007B2402">
        <w:rPr>
          <w:b/>
          <w:lang w:val="en-US"/>
        </w:rPr>
        <w:t xml:space="preserve"> </w:t>
      </w:r>
    </w:p>
    <w:p w14:paraId="0475456D" w14:textId="77777777" w:rsidR="005427CB" w:rsidRPr="007B2402" w:rsidRDefault="005427CB" w:rsidP="00347AA9">
      <w:pPr>
        <w:spacing w:after="0" w:line="240" w:lineRule="auto"/>
        <w:ind w:left="720"/>
        <w:jc w:val="both"/>
        <w:rPr>
          <w:rFonts w:eastAsia="Calibri" w:cs="Times New Roman"/>
          <w:szCs w:val="20"/>
          <w:u w:val="single"/>
          <w:lang w:val="en-US"/>
        </w:rPr>
      </w:pPr>
    </w:p>
    <w:p w14:paraId="21F50BEA" w14:textId="3110D5FF" w:rsidR="005427CB" w:rsidRPr="007B2402" w:rsidRDefault="005427CB" w:rsidP="009D6D4F">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 xml:space="preserve">Vladimir Herzog </w:t>
      </w:r>
      <w:r w:rsidR="009D6D4F" w:rsidRPr="007B2402">
        <w:rPr>
          <w:rFonts w:eastAsia="Calibri" w:cs="Times New Roman"/>
          <w:szCs w:val="20"/>
          <w:lang w:val="en-US"/>
        </w:rPr>
        <w:t>was born on May 27,</w:t>
      </w:r>
      <w:r w:rsidRPr="007B2402">
        <w:rPr>
          <w:rFonts w:eastAsia="Calibri" w:cs="Times New Roman"/>
          <w:szCs w:val="20"/>
          <w:lang w:val="en-US"/>
        </w:rPr>
        <w:t xml:space="preserve"> 1937</w:t>
      </w:r>
      <w:r w:rsidR="009D6D4F" w:rsidRPr="007B2402">
        <w:rPr>
          <w:rFonts w:eastAsia="Calibri" w:cs="Times New Roman"/>
          <w:szCs w:val="20"/>
          <w:lang w:val="en-US"/>
        </w:rPr>
        <w:t>,</w:t>
      </w:r>
      <w:r w:rsidRPr="007B2402">
        <w:rPr>
          <w:rFonts w:eastAsia="Calibri" w:cs="Times New Roman"/>
          <w:szCs w:val="20"/>
          <w:lang w:val="en-US"/>
        </w:rPr>
        <w:t xml:space="preserve"> </w:t>
      </w:r>
      <w:r w:rsidR="009D6D4F" w:rsidRPr="007B2402">
        <w:rPr>
          <w:rFonts w:eastAsia="Calibri" w:cs="Times New Roman"/>
          <w:szCs w:val="20"/>
          <w:lang w:val="en-US"/>
        </w:rPr>
        <w:t xml:space="preserve">in the former </w:t>
      </w:r>
      <w:r w:rsidRPr="007B2402">
        <w:rPr>
          <w:rFonts w:eastAsia="Calibri" w:cs="Times New Roman"/>
          <w:szCs w:val="20"/>
          <w:lang w:val="en-US"/>
        </w:rPr>
        <w:t>Yugoslavia (</w:t>
      </w:r>
      <w:r w:rsidR="009D6D4F" w:rsidRPr="007B2402">
        <w:rPr>
          <w:rFonts w:eastAsia="Calibri" w:cs="Times New Roman"/>
          <w:szCs w:val="20"/>
          <w:lang w:val="en-US"/>
        </w:rPr>
        <w:t>now</w:t>
      </w:r>
      <w:r w:rsidRPr="007B2402">
        <w:rPr>
          <w:rFonts w:eastAsia="Calibri" w:cs="Times New Roman"/>
          <w:szCs w:val="20"/>
          <w:lang w:val="en-US"/>
        </w:rPr>
        <w:t xml:space="preserve"> Croa</w:t>
      </w:r>
      <w:r w:rsidR="009D6D4F" w:rsidRPr="007B2402">
        <w:rPr>
          <w:rFonts w:eastAsia="Calibri" w:cs="Times New Roman"/>
          <w:szCs w:val="20"/>
          <w:lang w:val="en-US"/>
        </w:rPr>
        <w:t>t</w:t>
      </w:r>
      <w:r w:rsidRPr="007B2402">
        <w:rPr>
          <w:rFonts w:eastAsia="Calibri" w:cs="Times New Roman"/>
          <w:szCs w:val="20"/>
          <w:lang w:val="en-US"/>
        </w:rPr>
        <w:t>ia)</w:t>
      </w:r>
      <w:r w:rsidR="005B1590" w:rsidRPr="007B2402">
        <w:rPr>
          <w:rFonts w:eastAsia="Calibri" w:cs="Times New Roman"/>
          <w:szCs w:val="20"/>
          <w:lang w:val="en-US"/>
        </w:rPr>
        <w:t xml:space="preserve"> and </w:t>
      </w:r>
      <w:r w:rsidR="009D6D4F" w:rsidRPr="007B2402">
        <w:rPr>
          <w:rFonts w:eastAsia="Calibri" w:cs="Times New Roman"/>
          <w:szCs w:val="20"/>
          <w:lang w:val="en-US"/>
        </w:rPr>
        <w:t>arrived in</w:t>
      </w:r>
      <w:r w:rsidRPr="007B2402">
        <w:rPr>
          <w:rFonts w:eastAsia="Calibri" w:cs="Times New Roman"/>
          <w:szCs w:val="20"/>
          <w:lang w:val="en-US"/>
        </w:rPr>
        <w:t xml:space="preserve"> </w:t>
      </w:r>
      <w:r w:rsidR="00AF4344" w:rsidRPr="007B2402">
        <w:rPr>
          <w:rFonts w:eastAsia="Calibri" w:cs="Times New Roman"/>
          <w:szCs w:val="20"/>
          <w:lang w:val="en-US"/>
        </w:rPr>
        <w:t>Brazil</w:t>
      </w:r>
      <w:r w:rsidRPr="007B2402">
        <w:rPr>
          <w:rFonts w:eastAsia="Calibri" w:cs="Times New Roman"/>
          <w:szCs w:val="20"/>
          <w:lang w:val="en-US"/>
        </w:rPr>
        <w:t xml:space="preserve"> </w:t>
      </w:r>
      <w:r w:rsidR="009D6D4F" w:rsidRPr="007B2402">
        <w:rPr>
          <w:rFonts w:eastAsia="Calibri" w:cs="Times New Roman"/>
          <w:szCs w:val="20"/>
          <w:lang w:val="en-US"/>
        </w:rPr>
        <w:t>i</w:t>
      </w:r>
      <w:r w:rsidRPr="007B2402">
        <w:rPr>
          <w:rFonts w:eastAsia="Calibri" w:cs="Times New Roman"/>
          <w:szCs w:val="20"/>
          <w:lang w:val="en-US"/>
        </w:rPr>
        <w:t xml:space="preserve">n 1946, </w:t>
      </w:r>
      <w:r w:rsidR="009D6D4F" w:rsidRPr="007B2402">
        <w:rPr>
          <w:rFonts w:eastAsia="Calibri" w:cs="Times New Roman"/>
          <w:szCs w:val="20"/>
          <w:lang w:val="en-US"/>
        </w:rPr>
        <w:t xml:space="preserve">at the age of 9, with his parents, </w:t>
      </w:r>
      <w:r w:rsidRPr="007B2402">
        <w:rPr>
          <w:rFonts w:eastAsia="Calibri" w:cs="Times New Roman"/>
          <w:szCs w:val="20"/>
          <w:lang w:val="en-US"/>
        </w:rPr>
        <w:t>Zigmund</w:t>
      </w:r>
      <w:r w:rsidR="005B1590" w:rsidRPr="007B2402">
        <w:rPr>
          <w:rFonts w:eastAsia="Calibri" w:cs="Times New Roman"/>
          <w:szCs w:val="20"/>
          <w:lang w:val="en-US"/>
        </w:rPr>
        <w:t xml:space="preserve"> and </w:t>
      </w:r>
      <w:r w:rsidRPr="007B2402">
        <w:rPr>
          <w:rFonts w:eastAsia="Calibri" w:cs="Times New Roman"/>
          <w:szCs w:val="20"/>
          <w:lang w:val="en-US"/>
        </w:rPr>
        <w:t xml:space="preserve">Zora Herzog. </w:t>
      </w:r>
      <w:r w:rsidR="009D6D4F" w:rsidRPr="007B2402">
        <w:rPr>
          <w:rFonts w:eastAsia="Calibri" w:cs="Times New Roman"/>
          <w:szCs w:val="20"/>
          <w:lang w:val="en-US"/>
        </w:rPr>
        <w:t xml:space="preserve">He </w:t>
      </w:r>
      <w:r w:rsidR="009D6D4F" w:rsidRPr="007B2402">
        <w:rPr>
          <w:rFonts w:eastAsia="Calibri" w:cs="Times New Roman"/>
          <w:szCs w:val="20"/>
          <w:lang w:val="en-US"/>
        </w:rPr>
        <w:lastRenderedPageBreak/>
        <w:t>took Brazilian citizenship and studied philosophy. He began his career as a journalist in 1959 with the newspaper</w:t>
      </w:r>
      <w:r w:rsidRPr="007B2402">
        <w:rPr>
          <w:rFonts w:eastAsia="Calibri" w:cs="Times New Roman"/>
          <w:szCs w:val="20"/>
          <w:lang w:val="en-US"/>
        </w:rPr>
        <w:t xml:space="preserve"> “</w:t>
      </w:r>
      <w:r w:rsidRPr="007B2402">
        <w:rPr>
          <w:rFonts w:eastAsia="Calibri" w:cs="Times New Roman"/>
          <w:i/>
          <w:iCs/>
          <w:szCs w:val="20"/>
          <w:lang w:val="en-US"/>
        </w:rPr>
        <w:t>Estado de São Paulo</w:t>
      </w:r>
      <w:r w:rsidR="009D6D4F" w:rsidRPr="007B2402">
        <w:rPr>
          <w:rFonts w:eastAsia="Calibri" w:cs="Times New Roman"/>
          <w:szCs w:val="20"/>
          <w:lang w:val="en-US"/>
        </w:rPr>
        <w:t>.</w:t>
      </w:r>
      <w:r w:rsidRPr="007B2402">
        <w:rPr>
          <w:rFonts w:eastAsia="Calibri" w:cs="Times New Roman"/>
          <w:szCs w:val="20"/>
          <w:lang w:val="en-US"/>
        </w:rPr>
        <w:t>”</w:t>
      </w:r>
      <w:r w:rsidR="009D6D4F" w:rsidRPr="007B2402">
        <w:rPr>
          <w:rFonts w:eastAsia="Calibri" w:cs="Times New Roman"/>
          <w:szCs w:val="20"/>
          <w:lang w:val="en-US"/>
        </w:rPr>
        <w:t xml:space="preserve"> He married</w:t>
      </w:r>
      <w:r w:rsidRPr="007B2402">
        <w:rPr>
          <w:rFonts w:eastAsia="Calibri" w:cs="Times New Roman"/>
          <w:szCs w:val="20"/>
          <w:lang w:val="en-US"/>
        </w:rPr>
        <w:t xml:space="preserve"> Clarice Ribeiro Chaves </w:t>
      </w:r>
      <w:r w:rsidR="009D6D4F" w:rsidRPr="007B2402">
        <w:rPr>
          <w:rFonts w:eastAsia="Calibri" w:cs="Times New Roman"/>
          <w:szCs w:val="20"/>
          <w:lang w:val="en-US"/>
        </w:rPr>
        <w:t xml:space="preserve">shortly before the coup d’état, on February 15, </w:t>
      </w:r>
      <w:r w:rsidRPr="007B2402">
        <w:rPr>
          <w:rFonts w:eastAsia="Calibri" w:cs="Times New Roman"/>
          <w:szCs w:val="20"/>
          <w:lang w:val="en-US"/>
        </w:rPr>
        <w:t>1964</w:t>
      </w:r>
      <w:r w:rsidR="009D6D4F" w:rsidRPr="007B2402">
        <w:rPr>
          <w:rFonts w:eastAsia="Calibri" w:cs="Times New Roman"/>
          <w:szCs w:val="20"/>
          <w:lang w:val="en-US"/>
        </w:rPr>
        <w:t>.</w:t>
      </w:r>
      <w:r w:rsidR="0033574C" w:rsidRPr="007B2402">
        <w:rPr>
          <w:rFonts w:eastAsia="Calibri" w:cs="Times New Roman"/>
          <w:szCs w:val="20"/>
          <w:vertAlign w:val="superscript"/>
          <w:lang w:val="en-US"/>
        </w:rPr>
        <w:footnoteReference w:id="56"/>
      </w:r>
      <w:r w:rsidRPr="007B2402">
        <w:rPr>
          <w:rFonts w:eastAsia="Calibri" w:cs="Times New Roman"/>
          <w:szCs w:val="20"/>
          <w:lang w:val="en-US"/>
        </w:rPr>
        <w:t xml:space="preserve"> </w:t>
      </w:r>
    </w:p>
    <w:p w14:paraId="50D6D504" w14:textId="77777777" w:rsidR="005427CB" w:rsidRPr="007B2402" w:rsidRDefault="005427CB" w:rsidP="005427CB">
      <w:pPr>
        <w:spacing w:after="0" w:line="240" w:lineRule="auto"/>
        <w:jc w:val="both"/>
        <w:rPr>
          <w:rFonts w:eastAsia="Calibri" w:cs="Times New Roman"/>
          <w:szCs w:val="20"/>
          <w:lang w:val="en-US"/>
        </w:rPr>
      </w:pPr>
    </w:p>
    <w:p w14:paraId="5CB6DF74" w14:textId="1155BFD2" w:rsidR="005427CB" w:rsidRPr="007B2402" w:rsidRDefault="009D6D4F" w:rsidP="00502D4E">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 xml:space="preserve">Following the coup d’état, in 1965, </w:t>
      </w:r>
      <w:r w:rsidR="00502D4E" w:rsidRPr="007B2402">
        <w:rPr>
          <w:rFonts w:eastAsia="Calibri" w:cs="Times New Roman"/>
          <w:szCs w:val="20"/>
          <w:lang w:val="en-US"/>
        </w:rPr>
        <w:t>the couple went to live in London for a little more than two years during which Vladimir worked as a BBC producer and broadcaster</w:t>
      </w:r>
      <w:r w:rsidR="002E293F" w:rsidRPr="007B2402">
        <w:rPr>
          <w:rFonts w:eastAsia="Calibri" w:cs="Times New Roman"/>
          <w:szCs w:val="20"/>
          <w:lang w:val="en-US"/>
        </w:rPr>
        <w:t xml:space="preserve"> and they had their two children: André and Ivo. In 1968, he returned to Brazil and worked as cultural editor of the weekly publication “</w:t>
      </w:r>
      <w:r w:rsidR="002E293F" w:rsidRPr="007B2402">
        <w:rPr>
          <w:rFonts w:eastAsia="Calibri" w:cs="Times New Roman"/>
          <w:i/>
          <w:szCs w:val="20"/>
          <w:lang w:val="en-US"/>
        </w:rPr>
        <w:t>Visão</w:t>
      </w:r>
      <w:r w:rsidR="002E293F" w:rsidRPr="007B2402">
        <w:rPr>
          <w:rFonts w:eastAsia="Calibri" w:cs="Times New Roman"/>
          <w:szCs w:val="20"/>
          <w:lang w:val="en-US"/>
        </w:rPr>
        <w:t>.” In 1972, he moved to TV Cultura to work as editor of a news program, and then became Director of the channel’s journalism department.</w:t>
      </w:r>
      <w:r w:rsidR="005427CB" w:rsidRPr="007B2402">
        <w:rPr>
          <w:rFonts w:eastAsia="Calibri" w:cs="Times New Roman"/>
          <w:szCs w:val="20"/>
          <w:vertAlign w:val="superscript"/>
          <w:lang w:val="en-US"/>
        </w:rPr>
        <w:footnoteReference w:id="57"/>
      </w:r>
    </w:p>
    <w:p w14:paraId="6EA75FA5" w14:textId="77777777" w:rsidR="005427CB" w:rsidRPr="007B2402" w:rsidRDefault="005427CB" w:rsidP="005427CB">
      <w:pPr>
        <w:spacing w:after="0" w:line="240" w:lineRule="auto"/>
        <w:jc w:val="both"/>
        <w:rPr>
          <w:rFonts w:eastAsia="Calibri" w:cs="Times New Roman"/>
          <w:szCs w:val="20"/>
          <w:lang w:val="en-US"/>
        </w:rPr>
      </w:pPr>
    </w:p>
    <w:p w14:paraId="260D3C79" w14:textId="18B73D25" w:rsidR="005427CB" w:rsidRPr="007B2402" w:rsidRDefault="002E293F"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 xml:space="preserve">In addition to </w:t>
      </w:r>
      <w:r w:rsidR="00DD4D4B" w:rsidRPr="007B2402">
        <w:rPr>
          <w:rFonts w:eastAsia="Calibri" w:cs="Times New Roman"/>
          <w:szCs w:val="20"/>
          <w:lang w:val="en-US"/>
        </w:rPr>
        <w:t xml:space="preserve">being a </w:t>
      </w:r>
      <w:r w:rsidRPr="007B2402">
        <w:rPr>
          <w:rFonts w:eastAsia="Calibri" w:cs="Times New Roman"/>
          <w:szCs w:val="20"/>
          <w:lang w:val="en-US"/>
        </w:rPr>
        <w:t xml:space="preserve">journalist and playwright, Herzog was also a member of the Brazilian Communist Party </w:t>
      </w:r>
      <w:r w:rsidR="005427CB" w:rsidRPr="007B2402">
        <w:rPr>
          <w:rFonts w:eastAsia="Calibri" w:cs="Times New Roman"/>
          <w:szCs w:val="20"/>
          <w:lang w:val="en-US"/>
        </w:rPr>
        <w:t>(PCB)</w:t>
      </w:r>
      <w:r w:rsidRPr="007B2402">
        <w:rPr>
          <w:rFonts w:eastAsia="Calibri" w:cs="Times New Roman"/>
          <w:szCs w:val="20"/>
          <w:lang w:val="en-US"/>
        </w:rPr>
        <w:t>.</w:t>
      </w:r>
      <w:r w:rsidR="005427CB" w:rsidRPr="007B2402">
        <w:rPr>
          <w:rFonts w:eastAsia="Calibri" w:cs="Times New Roman"/>
          <w:szCs w:val="20"/>
          <w:vertAlign w:val="superscript"/>
          <w:lang w:val="en-US"/>
        </w:rPr>
        <w:footnoteReference w:id="58"/>
      </w:r>
    </w:p>
    <w:p w14:paraId="64D5A76D" w14:textId="77777777" w:rsidR="005427CB" w:rsidRPr="007B2402" w:rsidRDefault="005427CB" w:rsidP="005427CB">
      <w:pPr>
        <w:spacing w:after="0" w:line="240" w:lineRule="auto"/>
        <w:ind w:left="720"/>
        <w:rPr>
          <w:rFonts w:eastAsia="Calibri" w:cs="Times New Roman"/>
          <w:szCs w:val="20"/>
          <w:lang w:val="en-US"/>
        </w:rPr>
      </w:pPr>
    </w:p>
    <w:p w14:paraId="7384E6A6" w14:textId="697A92D2" w:rsidR="005427CB" w:rsidRPr="007B2402" w:rsidRDefault="005427CB" w:rsidP="00E668B8">
      <w:pPr>
        <w:pStyle w:val="Ttulo2"/>
        <w:rPr>
          <w:b/>
          <w:lang w:val="en-US"/>
        </w:rPr>
      </w:pPr>
      <w:bookmarkStart w:id="141" w:name="_Toc506984105"/>
      <w:r w:rsidRPr="007B2402">
        <w:rPr>
          <w:b/>
          <w:lang w:val="en-US"/>
        </w:rPr>
        <w:t>Opera</w:t>
      </w:r>
      <w:r w:rsidR="00B0525F" w:rsidRPr="007B2402">
        <w:rPr>
          <w:b/>
          <w:lang w:val="en-US"/>
        </w:rPr>
        <w:t>tio</w:t>
      </w:r>
      <w:r w:rsidRPr="007B2402">
        <w:rPr>
          <w:b/>
          <w:lang w:val="en-US"/>
        </w:rPr>
        <w:t>n Radar</w:t>
      </w:r>
      <w:bookmarkEnd w:id="141"/>
    </w:p>
    <w:p w14:paraId="4C915747" w14:textId="77777777" w:rsidR="005427CB" w:rsidRPr="007B2402" w:rsidRDefault="005427CB" w:rsidP="005427CB">
      <w:pPr>
        <w:tabs>
          <w:tab w:val="left" w:pos="0"/>
        </w:tabs>
        <w:autoSpaceDE w:val="0"/>
        <w:autoSpaceDN w:val="0"/>
        <w:adjustRightInd w:val="0"/>
        <w:spacing w:after="0" w:line="240" w:lineRule="auto"/>
        <w:jc w:val="both"/>
        <w:rPr>
          <w:rFonts w:eastAsia="Calibri" w:cs="Times New Roman"/>
          <w:lang w:val="en-US"/>
        </w:rPr>
      </w:pPr>
    </w:p>
    <w:p w14:paraId="7ECE2B10" w14:textId="0F5D1FF1" w:rsidR="005427CB" w:rsidRPr="007B2402" w:rsidRDefault="002E293F" w:rsidP="00DB1F30">
      <w:pPr>
        <w:numPr>
          <w:ilvl w:val="0"/>
          <w:numId w:val="6"/>
        </w:numPr>
        <w:tabs>
          <w:tab w:val="left" w:pos="0"/>
        </w:tabs>
        <w:autoSpaceDE w:val="0"/>
        <w:autoSpaceDN w:val="0"/>
        <w:adjustRightInd w:val="0"/>
        <w:spacing w:after="0" w:line="240" w:lineRule="auto"/>
        <w:contextualSpacing/>
        <w:jc w:val="both"/>
        <w:rPr>
          <w:rFonts w:eastAsia="Calibri" w:cs="Times New Roman"/>
          <w:szCs w:val="20"/>
          <w:lang w:val="en-US"/>
        </w:rPr>
      </w:pPr>
      <w:r w:rsidRPr="007B2402">
        <w:rPr>
          <w:rFonts w:eastAsia="Calibri" w:cs="Times New Roman"/>
          <w:szCs w:val="20"/>
          <w:lang w:val="en-US"/>
        </w:rPr>
        <w:t>Operation Radar was created as a</w:t>
      </w:r>
      <w:r w:rsidR="00DD4D4B" w:rsidRPr="007B2402">
        <w:rPr>
          <w:rFonts w:eastAsia="Calibri" w:cs="Times New Roman"/>
          <w:szCs w:val="20"/>
          <w:lang w:val="en-US"/>
        </w:rPr>
        <w:t>n offensive of the</w:t>
      </w:r>
      <w:r w:rsidRPr="007B2402">
        <w:rPr>
          <w:rFonts w:eastAsia="Calibri" w:cs="Times New Roman"/>
          <w:szCs w:val="20"/>
          <w:lang w:val="en-US"/>
        </w:rPr>
        <w:t xml:space="preserve"> security forces to combat and dismantle the PCB and its members. </w:t>
      </w:r>
      <w:r w:rsidR="00DD4D4B" w:rsidRPr="007B2402">
        <w:rPr>
          <w:rFonts w:eastAsia="Calibri" w:cs="Times New Roman"/>
          <w:szCs w:val="20"/>
          <w:lang w:val="en-US"/>
        </w:rPr>
        <w:t>However,</w:t>
      </w:r>
      <w:r w:rsidRPr="007B2402">
        <w:rPr>
          <w:rFonts w:eastAsia="Calibri" w:cs="Times New Roman"/>
          <w:szCs w:val="20"/>
          <w:lang w:val="en-US"/>
        </w:rPr>
        <w:t xml:space="preserve"> the Operation was not limited to detentions, it was also aimed at killing the PCB leaders.</w:t>
      </w:r>
      <w:r w:rsidR="005427CB" w:rsidRPr="007B2402">
        <w:rPr>
          <w:rFonts w:eastAsia="Calibri" w:cs="Times New Roman"/>
          <w:szCs w:val="20"/>
          <w:vertAlign w:val="superscript"/>
          <w:lang w:val="en-US"/>
        </w:rPr>
        <w:footnoteReference w:id="59"/>
      </w:r>
      <w:r w:rsidR="005427CB" w:rsidRPr="007B2402">
        <w:rPr>
          <w:rFonts w:eastAsia="Calibri" w:cs="Times New Roman"/>
          <w:szCs w:val="20"/>
          <w:lang w:val="en-US"/>
        </w:rPr>
        <w:t xml:space="preserve"> </w:t>
      </w:r>
      <w:r w:rsidRPr="007B2402">
        <w:rPr>
          <w:rFonts w:eastAsia="Calibri" w:cs="Times New Roman"/>
          <w:szCs w:val="20"/>
          <w:lang w:val="en-US"/>
        </w:rPr>
        <w:t>The Operation began in</w:t>
      </w:r>
      <w:r w:rsidR="005427CB" w:rsidRPr="007B2402">
        <w:rPr>
          <w:rFonts w:eastAsia="Calibri" w:cs="Times New Roman"/>
          <w:szCs w:val="20"/>
          <w:lang w:val="en-US"/>
        </w:rPr>
        <w:t xml:space="preserve"> 1973</w:t>
      </w:r>
      <w:r w:rsidR="00DD4D4B" w:rsidRPr="007B2402">
        <w:rPr>
          <w:rFonts w:eastAsia="Calibri" w:cs="Times New Roman"/>
          <w:szCs w:val="20"/>
          <w:lang w:val="en-US"/>
        </w:rPr>
        <w:t>,</w:t>
      </w:r>
      <w:r w:rsidR="005427CB" w:rsidRPr="007B2402">
        <w:rPr>
          <w:rFonts w:eastAsia="Calibri" w:cs="Times New Roman"/>
          <w:szCs w:val="20"/>
          <w:lang w:val="en-US"/>
        </w:rPr>
        <w:t xml:space="preserve"> </w:t>
      </w:r>
      <w:r w:rsidRPr="007B2402">
        <w:rPr>
          <w:rFonts w:eastAsia="Calibri" w:cs="Times New Roman"/>
          <w:szCs w:val="20"/>
          <w:lang w:val="en-US"/>
        </w:rPr>
        <w:t xml:space="preserve">headed by the Army </w:t>
      </w:r>
      <w:r w:rsidR="00B0525F" w:rsidRPr="007B2402">
        <w:rPr>
          <w:rFonts w:eastAsia="Calibri" w:cs="Times New Roman"/>
          <w:szCs w:val="20"/>
          <w:lang w:val="en-US"/>
        </w:rPr>
        <w:t>Information</w:t>
      </w:r>
      <w:r w:rsidRPr="007B2402">
        <w:rPr>
          <w:rFonts w:eastAsia="Calibri" w:cs="Times New Roman"/>
          <w:szCs w:val="20"/>
          <w:lang w:val="en-US"/>
        </w:rPr>
        <w:t xml:space="preserve"> Center </w:t>
      </w:r>
      <w:r w:rsidR="005427CB" w:rsidRPr="007B2402">
        <w:rPr>
          <w:rFonts w:eastAsia="Calibri" w:cs="Times New Roman"/>
          <w:szCs w:val="20"/>
          <w:lang w:val="en-US"/>
        </w:rPr>
        <w:t xml:space="preserve">(CIE) </w:t>
      </w:r>
      <w:r w:rsidRPr="007B2402">
        <w:rPr>
          <w:rFonts w:eastAsia="Calibri" w:cs="Times New Roman"/>
          <w:szCs w:val="20"/>
          <w:lang w:val="en-US"/>
        </w:rPr>
        <w:t>together with the</w:t>
      </w:r>
      <w:r w:rsidR="005427CB" w:rsidRPr="007B2402">
        <w:rPr>
          <w:rFonts w:eastAsia="Calibri" w:cs="Times New Roman"/>
          <w:szCs w:val="20"/>
          <w:lang w:val="en-US"/>
        </w:rPr>
        <w:t xml:space="preserve"> </w:t>
      </w:r>
      <w:r w:rsidR="00DD4D4B" w:rsidRPr="007B2402">
        <w:rPr>
          <w:rFonts w:eastAsia="Calibri" w:cs="Times New Roman"/>
          <w:szCs w:val="20"/>
          <w:lang w:val="en-US"/>
        </w:rPr>
        <w:t xml:space="preserve">Second Army’s </w:t>
      </w:r>
      <w:r w:rsidR="005427CB" w:rsidRPr="007B2402">
        <w:rPr>
          <w:rFonts w:eastAsia="Calibri" w:cs="Times New Roman"/>
          <w:szCs w:val="20"/>
          <w:lang w:val="en-US"/>
        </w:rPr>
        <w:t>DOI-CODI</w:t>
      </w:r>
      <w:r w:rsidRPr="007B2402">
        <w:rPr>
          <w:rFonts w:eastAsia="Calibri" w:cs="Times New Roman"/>
          <w:szCs w:val="20"/>
          <w:lang w:val="en-US"/>
        </w:rPr>
        <w:t>.</w:t>
      </w:r>
      <w:r w:rsidR="005427CB" w:rsidRPr="007B2402">
        <w:rPr>
          <w:rFonts w:eastAsia="Calibri" w:cs="Times New Roman"/>
          <w:szCs w:val="20"/>
          <w:vertAlign w:val="superscript"/>
          <w:lang w:val="en-US"/>
        </w:rPr>
        <w:footnoteReference w:id="60"/>
      </w:r>
      <w:r w:rsidRPr="007B2402">
        <w:rPr>
          <w:rFonts w:eastAsia="Calibri" w:cs="Times New Roman"/>
          <w:szCs w:val="20"/>
          <w:lang w:val="en-US"/>
        </w:rPr>
        <w:t xml:space="preserve"> The offensive operated between March 1974 and January </w:t>
      </w:r>
      <w:r w:rsidR="005427CB" w:rsidRPr="007B2402">
        <w:rPr>
          <w:rFonts w:eastAsia="Calibri" w:cs="Times New Roman"/>
          <w:szCs w:val="20"/>
          <w:lang w:val="en-US"/>
        </w:rPr>
        <w:t xml:space="preserve">1976. </w:t>
      </w:r>
    </w:p>
    <w:p w14:paraId="4656F0B6" w14:textId="77777777" w:rsidR="005427CB" w:rsidRPr="007B2402" w:rsidRDefault="005427CB" w:rsidP="005427CB">
      <w:pPr>
        <w:tabs>
          <w:tab w:val="left" w:pos="0"/>
        </w:tabs>
        <w:autoSpaceDE w:val="0"/>
        <w:autoSpaceDN w:val="0"/>
        <w:adjustRightInd w:val="0"/>
        <w:spacing w:after="0" w:line="240" w:lineRule="auto"/>
        <w:contextualSpacing/>
        <w:jc w:val="both"/>
        <w:rPr>
          <w:rFonts w:eastAsia="Calibri" w:cs="Times New Roman"/>
          <w:szCs w:val="20"/>
          <w:lang w:val="en-US"/>
        </w:rPr>
      </w:pPr>
    </w:p>
    <w:p w14:paraId="105D3F2D" w14:textId="1872CE22" w:rsidR="005427CB" w:rsidRPr="007B2402" w:rsidRDefault="002E293F" w:rsidP="002E293F">
      <w:pPr>
        <w:numPr>
          <w:ilvl w:val="0"/>
          <w:numId w:val="6"/>
        </w:numPr>
        <w:tabs>
          <w:tab w:val="left" w:pos="0"/>
        </w:tabs>
        <w:autoSpaceDE w:val="0"/>
        <w:autoSpaceDN w:val="0"/>
        <w:adjustRightInd w:val="0"/>
        <w:spacing w:after="0" w:line="240" w:lineRule="auto"/>
        <w:contextualSpacing/>
        <w:jc w:val="both"/>
        <w:rPr>
          <w:rFonts w:eastAsia="Calibri" w:cs="Times New Roman"/>
          <w:szCs w:val="20"/>
          <w:lang w:val="en-US"/>
        </w:rPr>
      </w:pPr>
      <w:r w:rsidRPr="007B2402">
        <w:rPr>
          <w:rFonts w:eastAsia="Calibri" w:cs="Times New Roman"/>
          <w:szCs w:val="20"/>
          <w:lang w:val="en-US"/>
        </w:rPr>
        <w:t>The</w:t>
      </w:r>
      <w:r w:rsidR="005427CB" w:rsidRPr="007B2402">
        <w:rPr>
          <w:rFonts w:eastAsia="Calibri" w:cs="Times New Roman"/>
          <w:szCs w:val="20"/>
          <w:lang w:val="en-US"/>
        </w:rPr>
        <w:t xml:space="preserve"> </w:t>
      </w:r>
      <w:r w:rsidR="00DD4D4B" w:rsidRPr="007B2402">
        <w:rPr>
          <w:rFonts w:eastAsia="Calibri" w:cs="Times New Roman"/>
          <w:szCs w:val="20"/>
          <w:lang w:val="en-US"/>
        </w:rPr>
        <w:t xml:space="preserve">Second Army’s </w:t>
      </w:r>
      <w:r w:rsidR="005427CB" w:rsidRPr="007B2402">
        <w:rPr>
          <w:rFonts w:eastAsia="Calibri" w:cs="Times New Roman"/>
          <w:szCs w:val="20"/>
          <w:lang w:val="en-US"/>
        </w:rPr>
        <w:t>DOI</w:t>
      </w:r>
      <w:r w:rsidRPr="007B2402">
        <w:rPr>
          <w:rFonts w:eastAsia="Calibri" w:cs="Times New Roman"/>
          <w:szCs w:val="20"/>
          <w:lang w:val="en-US"/>
        </w:rPr>
        <w:t xml:space="preserve"> was notorious</w:t>
      </w:r>
      <w:r w:rsidR="00DD4D4B" w:rsidRPr="007B2402">
        <w:rPr>
          <w:rFonts w:eastAsia="Calibri" w:cs="Times New Roman"/>
          <w:szCs w:val="20"/>
          <w:lang w:val="en-US"/>
        </w:rPr>
        <w:t xml:space="preserve"> for being</w:t>
      </w:r>
      <w:r w:rsidRPr="007B2402">
        <w:rPr>
          <w:rFonts w:eastAsia="Calibri" w:cs="Times New Roman"/>
          <w:szCs w:val="20"/>
          <w:lang w:val="en-US"/>
        </w:rPr>
        <w:t xml:space="preserve"> one of the worst and most violent centers of political repression during the dictatorship and, in particular, </w:t>
      </w:r>
      <w:r w:rsidR="00DD4D4B" w:rsidRPr="007B2402">
        <w:rPr>
          <w:rFonts w:eastAsia="Calibri" w:cs="Times New Roman"/>
          <w:szCs w:val="20"/>
          <w:lang w:val="en-US"/>
        </w:rPr>
        <w:t>during the time that</w:t>
      </w:r>
      <w:r w:rsidRPr="007B2402">
        <w:rPr>
          <w:rFonts w:eastAsia="Calibri" w:cs="Times New Roman"/>
          <w:szCs w:val="20"/>
          <w:lang w:val="en-US"/>
        </w:rPr>
        <w:t xml:space="preserve"> Carlos Alberto Brilhante Ustra was in command. </w:t>
      </w:r>
      <w:r w:rsidR="00DD4D4B" w:rsidRPr="007B2402">
        <w:rPr>
          <w:rFonts w:eastAsia="Calibri" w:cs="Times New Roman"/>
          <w:szCs w:val="20"/>
          <w:lang w:val="en-US"/>
        </w:rPr>
        <w:t>It was during this</w:t>
      </w:r>
      <w:r w:rsidRPr="007B2402">
        <w:rPr>
          <w:rFonts w:eastAsia="Calibri" w:cs="Times New Roman"/>
          <w:szCs w:val="20"/>
          <w:lang w:val="en-US"/>
        </w:rPr>
        <w:t xml:space="preserve"> time </w:t>
      </w:r>
      <w:r w:rsidR="00DD4D4B" w:rsidRPr="007B2402">
        <w:rPr>
          <w:rFonts w:eastAsia="Calibri" w:cs="Times New Roman"/>
          <w:szCs w:val="20"/>
          <w:lang w:val="en-US"/>
        </w:rPr>
        <w:t>that</w:t>
      </w:r>
      <w:r w:rsidRPr="007B2402">
        <w:rPr>
          <w:rFonts w:eastAsia="Calibri" w:cs="Times New Roman"/>
          <w:szCs w:val="20"/>
          <w:lang w:val="en-US"/>
        </w:rPr>
        <w:t xml:space="preserve"> the greatest number of acknowledged cases of torture, summary execution</w:t>
      </w:r>
      <w:r w:rsidR="00DD4D4B" w:rsidRPr="007B2402">
        <w:rPr>
          <w:rFonts w:eastAsia="Calibri" w:cs="Times New Roman"/>
          <w:szCs w:val="20"/>
          <w:lang w:val="en-US"/>
        </w:rPr>
        <w:t>s</w:t>
      </w:r>
      <w:r w:rsidRPr="007B2402">
        <w:rPr>
          <w:rFonts w:eastAsia="Calibri" w:cs="Times New Roman"/>
          <w:szCs w:val="20"/>
          <w:lang w:val="en-US"/>
        </w:rPr>
        <w:t xml:space="preserve"> and disappearances of political opponents was recorded. The </w:t>
      </w:r>
      <w:r w:rsidR="00DD4D4B" w:rsidRPr="007B2402">
        <w:rPr>
          <w:rFonts w:eastAsia="Calibri" w:cs="Times New Roman"/>
          <w:szCs w:val="20"/>
          <w:lang w:val="en-US"/>
        </w:rPr>
        <w:t xml:space="preserve">Second Army’s </w:t>
      </w:r>
      <w:r w:rsidRPr="007B2402">
        <w:rPr>
          <w:rFonts w:eastAsia="Calibri" w:cs="Times New Roman"/>
          <w:szCs w:val="20"/>
          <w:lang w:val="en-US"/>
        </w:rPr>
        <w:t xml:space="preserve">DOI detained 2,541 people and received 914 prisoners sent by other agencies. It has been </w:t>
      </w:r>
      <w:r w:rsidR="00DD4D4B" w:rsidRPr="007B2402">
        <w:rPr>
          <w:rFonts w:eastAsia="Calibri" w:cs="Times New Roman"/>
          <w:szCs w:val="20"/>
          <w:lang w:val="en-US"/>
        </w:rPr>
        <w:t>acknowledged</w:t>
      </w:r>
      <w:r w:rsidRPr="007B2402">
        <w:rPr>
          <w:rFonts w:eastAsia="Calibri" w:cs="Times New Roman"/>
          <w:szCs w:val="20"/>
          <w:lang w:val="en-US"/>
        </w:rPr>
        <w:t xml:space="preserve"> that</w:t>
      </w:r>
      <w:r w:rsidR="00DD4D4B" w:rsidRPr="007B2402">
        <w:rPr>
          <w:rFonts w:eastAsia="Calibri" w:cs="Times New Roman"/>
          <w:szCs w:val="20"/>
          <w:lang w:val="en-US"/>
        </w:rPr>
        <w:t xml:space="preserve"> the DOI executed</w:t>
      </w:r>
      <w:r w:rsidRPr="007B2402">
        <w:rPr>
          <w:rFonts w:eastAsia="Calibri" w:cs="Times New Roman"/>
          <w:szCs w:val="20"/>
          <w:lang w:val="en-US"/>
        </w:rPr>
        <w:t xml:space="preserve"> 54 victims and 1,348 prisoners were transferred to the State Department of Political and Social Order</w:t>
      </w:r>
      <w:r w:rsidR="00195785" w:rsidRPr="007B2402">
        <w:rPr>
          <w:rFonts w:eastAsia="Calibri" w:cs="Times New Roman"/>
          <w:szCs w:val="20"/>
          <w:lang w:val="en-US"/>
        </w:rPr>
        <w:t xml:space="preserve"> (DEOPS)</w:t>
      </w:r>
      <w:r w:rsidRPr="007B2402">
        <w:rPr>
          <w:rFonts w:eastAsia="Calibri" w:cs="Times New Roman"/>
          <w:szCs w:val="20"/>
          <w:lang w:val="en-US"/>
        </w:rPr>
        <w:t>.</w:t>
      </w:r>
      <w:r w:rsidR="005427CB" w:rsidRPr="007B2402">
        <w:rPr>
          <w:rFonts w:eastAsia="Calibri" w:cs="Times New Roman"/>
          <w:szCs w:val="20"/>
          <w:vertAlign w:val="superscript"/>
          <w:lang w:val="en-US"/>
        </w:rPr>
        <w:footnoteReference w:id="61"/>
      </w:r>
    </w:p>
    <w:p w14:paraId="644D58A5" w14:textId="77777777" w:rsidR="005427CB" w:rsidRPr="007B2402" w:rsidRDefault="005427CB" w:rsidP="005427CB">
      <w:pPr>
        <w:ind w:left="720"/>
        <w:contextualSpacing/>
        <w:rPr>
          <w:rFonts w:eastAsia="Calibri" w:cs="Times New Roman"/>
          <w:szCs w:val="20"/>
          <w:lang w:val="en-US"/>
        </w:rPr>
      </w:pPr>
    </w:p>
    <w:p w14:paraId="064E8DBB" w14:textId="58C360EB" w:rsidR="005427CB" w:rsidRPr="007B2402" w:rsidRDefault="002E293F" w:rsidP="00DB1F30">
      <w:pPr>
        <w:numPr>
          <w:ilvl w:val="0"/>
          <w:numId w:val="6"/>
        </w:numPr>
        <w:tabs>
          <w:tab w:val="left" w:pos="0"/>
        </w:tabs>
        <w:autoSpaceDE w:val="0"/>
        <w:autoSpaceDN w:val="0"/>
        <w:adjustRightInd w:val="0"/>
        <w:spacing w:after="0" w:line="240" w:lineRule="auto"/>
        <w:contextualSpacing/>
        <w:jc w:val="both"/>
        <w:rPr>
          <w:rFonts w:eastAsia="Calibri" w:cs="Times New Roman"/>
          <w:szCs w:val="20"/>
          <w:lang w:val="en-US"/>
        </w:rPr>
      </w:pPr>
      <w:r w:rsidRPr="007B2402">
        <w:rPr>
          <w:rFonts w:eastAsia="Calibri" w:cs="Times New Roman"/>
          <w:szCs w:val="20"/>
          <w:lang w:val="en-US"/>
        </w:rPr>
        <w:t xml:space="preserve">It is believed that the “final attack” on the PCB in </w:t>
      </w:r>
      <w:r w:rsidR="005427CB" w:rsidRPr="007B2402">
        <w:rPr>
          <w:rFonts w:eastAsia="Calibri" w:cs="Times New Roman"/>
          <w:szCs w:val="20"/>
          <w:lang w:val="en-US"/>
        </w:rPr>
        <w:t xml:space="preserve">São Paulo </w:t>
      </w:r>
      <w:r w:rsidRPr="007B2402">
        <w:rPr>
          <w:rFonts w:eastAsia="Calibri" w:cs="Times New Roman"/>
          <w:szCs w:val="20"/>
          <w:lang w:val="en-US"/>
        </w:rPr>
        <w:t xml:space="preserve">began on September 29, </w:t>
      </w:r>
      <w:r w:rsidR="005427CB" w:rsidRPr="007B2402">
        <w:rPr>
          <w:rFonts w:eastAsia="Calibri" w:cs="Times New Roman"/>
          <w:szCs w:val="20"/>
          <w:lang w:val="en-US"/>
        </w:rPr>
        <w:t xml:space="preserve">1975, </w:t>
      </w:r>
      <w:r w:rsidRPr="007B2402">
        <w:rPr>
          <w:rFonts w:eastAsia="Calibri" w:cs="Times New Roman"/>
          <w:szCs w:val="20"/>
          <w:lang w:val="en-US"/>
        </w:rPr>
        <w:t>when</w:t>
      </w:r>
      <w:r w:rsidR="005427CB" w:rsidRPr="007B2402">
        <w:rPr>
          <w:rFonts w:eastAsia="Calibri" w:cs="Times New Roman"/>
          <w:szCs w:val="20"/>
          <w:lang w:val="en-US"/>
        </w:rPr>
        <w:t xml:space="preserve"> José Montenegro de Lima </w:t>
      </w:r>
      <w:r w:rsidRPr="007B2402">
        <w:rPr>
          <w:rFonts w:eastAsia="Calibri" w:cs="Times New Roman"/>
          <w:szCs w:val="20"/>
          <w:lang w:val="en-US"/>
        </w:rPr>
        <w:t>was detained, tortured and killed. Dozens of people were detained in the following days.</w:t>
      </w:r>
      <w:r w:rsidR="005427CB" w:rsidRPr="007B2402">
        <w:rPr>
          <w:rFonts w:eastAsia="Calibri" w:cs="Times New Roman"/>
          <w:szCs w:val="20"/>
          <w:vertAlign w:val="superscript"/>
          <w:lang w:val="en-US"/>
        </w:rPr>
        <w:footnoteReference w:id="62"/>
      </w:r>
      <w:r w:rsidR="005427CB" w:rsidRPr="007B2402">
        <w:rPr>
          <w:rFonts w:eastAsia="Calibri" w:cs="Times New Roman"/>
          <w:szCs w:val="20"/>
          <w:lang w:val="en-US"/>
        </w:rPr>
        <w:t xml:space="preserve"> </w:t>
      </w:r>
    </w:p>
    <w:p w14:paraId="0EA005F8" w14:textId="77777777" w:rsidR="005427CB" w:rsidRPr="007B2402" w:rsidRDefault="005427CB" w:rsidP="005427CB">
      <w:pPr>
        <w:ind w:left="720"/>
        <w:contextualSpacing/>
        <w:rPr>
          <w:rFonts w:eastAsia="Calibri" w:cs="Times New Roman"/>
          <w:szCs w:val="20"/>
          <w:lang w:val="en-US"/>
        </w:rPr>
      </w:pPr>
    </w:p>
    <w:p w14:paraId="2C11B610" w14:textId="2FAE8BE2" w:rsidR="005427CB" w:rsidRPr="007B2402" w:rsidRDefault="00C433F9" w:rsidP="002E293F">
      <w:pPr>
        <w:numPr>
          <w:ilvl w:val="0"/>
          <w:numId w:val="6"/>
        </w:numPr>
        <w:tabs>
          <w:tab w:val="left" w:pos="0"/>
        </w:tabs>
        <w:spacing w:after="0" w:line="240" w:lineRule="auto"/>
        <w:contextualSpacing/>
        <w:jc w:val="both"/>
        <w:rPr>
          <w:rFonts w:eastAsia="Calibri" w:cs="Times New Roman"/>
          <w:szCs w:val="20"/>
          <w:lang w:val="en-US"/>
        </w:rPr>
      </w:pPr>
      <w:r w:rsidRPr="007B2402">
        <w:rPr>
          <w:rFonts w:eastAsia="Calibri" w:cs="Times New Roman"/>
          <w:szCs w:val="20"/>
          <w:lang w:val="en-US"/>
        </w:rPr>
        <w:lastRenderedPageBreak/>
        <w:t>M</w:t>
      </w:r>
      <w:r w:rsidR="002E293F" w:rsidRPr="007B2402">
        <w:rPr>
          <w:rFonts w:eastAsia="Calibri" w:cs="Times New Roman"/>
          <w:szCs w:val="20"/>
          <w:lang w:val="en-US"/>
        </w:rPr>
        <w:t xml:space="preserve">any victims were executed in clandestine centers used by DOI-CODI/SP agents to torture and </w:t>
      </w:r>
      <w:r w:rsidR="00D668E2" w:rsidRPr="007B2402">
        <w:rPr>
          <w:rFonts w:eastAsia="Calibri" w:cs="Times New Roman"/>
          <w:szCs w:val="20"/>
          <w:lang w:val="en-US"/>
        </w:rPr>
        <w:t>murder</w:t>
      </w:r>
      <w:r w:rsidR="002E293F" w:rsidRPr="007B2402">
        <w:rPr>
          <w:rFonts w:eastAsia="Calibri" w:cs="Times New Roman"/>
          <w:szCs w:val="20"/>
          <w:lang w:val="en-US"/>
        </w:rPr>
        <w:t xml:space="preserve"> people and to hide the corpses.</w:t>
      </w:r>
      <w:r w:rsidR="005427CB" w:rsidRPr="007B2402">
        <w:rPr>
          <w:rFonts w:eastAsia="Calibri" w:cs="Times New Roman"/>
          <w:szCs w:val="20"/>
          <w:vertAlign w:val="superscript"/>
          <w:lang w:val="en-US"/>
        </w:rPr>
        <w:footnoteReference w:id="63"/>
      </w:r>
      <w:r w:rsidR="005427CB" w:rsidRPr="007B2402">
        <w:rPr>
          <w:rFonts w:eastAsia="Calibri" w:cs="Times New Roman"/>
          <w:szCs w:val="20"/>
          <w:lang w:val="en-US"/>
        </w:rPr>
        <w:t xml:space="preserve"> </w:t>
      </w:r>
      <w:r w:rsidR="002E293F" w:rsidRPr="007B2402">
        <w:rPr>
          <w:rFonts w:eastAsia="Calibri" w:cs="Times New Roman"/>
          <w:szCs w:val="20"/>
          <w:lang w:val="en-US"/>
        </w:rPr>
        <w:t>The</w:t>
      </w:r>
      <w:r w:rsidR="005427CB" w:rsidRPr="007B2402">
        <w:rPr>
          <w:rFonts w:eastAsia="Calibri" w:cs="Times New Roman"/>
          <w:szCs w:val="20"/>
          <w:lang w:val="en-US"/>
        </w:rPr>
        <w:t xml:space="preserve"> Itapevi</w:t>
      </w:r>
      <w:r w:rsidR="002E293F" w:rsidRPr="007B2402">
        <w:rPr>
          <w:rFonts w:eastAsia="Calibri" w:cs="Times New Roman"/>
          <w:szCs w:val="20"/>
          <w:lang w:val="en-US"/>
        </w:rPr>
        <w:t xml:space="preserve"> house</w:t>
      </w:r>
      <w:r w:rsidR="005427CB" w:rsidRPr="007B2402">
        <w:rPr>
          <w:rFonts w:eastAsia="Calibri" w:cs="Times New Roman"/>
          <w:szCs w:val="20"/>
          <w:lang w:val="en-US"/>
        </w:rPr>
        <w:t xml:space="preserve">, </w:t>
      </w:r>
      <w:r w:rsidR="002E293F" w:rsidRPr="007B2402">
        <w:rPr>
          <w:rFonts w:eastAsia="Calibri" w:cs="Times New Roman"/>
          <w:szCs w:val="20"/>
          <w:lang w:val="en-US"/>
        </w:rPr>
        <w:t xml:space="preserve">located in the metropolitan area of </w:t>
      </w:r>
      <w:r w:rsidR="005427CB" w:rsidRPr="007B2402">
        <w:rPr>
          <w:rFonts w:eastAsia="Calibri" w:cs="Times New Roman"/>
          <w:szCs w:val="20"/>
          <w:lang w:val="en-US"/>
        </w:rPr>
        <w:t xml:space="preserve">São Paulo, </w:t>
      </w:r>
      <w:r w:rsidR="002E293F" w:rsidRPr="007B2402">
        <w:rPr>
          <w:rFonts w:eastAsia="Calibri" w:cs="Times New Roman"/>
          <w:szCs w:val="20"/>
          <w:lang w:val="en-US"/>
        </w:rPr>
        <w:t xml:space="preserve">has been named as a clandestine center used by the </w:t>
      </w:r>
      <w:r w:rsidR="00D668E2" w:rsidRPr="007B2402">
        <w:rPr>
          <w:rFonts w:eastAsia="Calibri" w:cs="Times New Roman"/>
          <w:szCs w:val="20"/>
          <w:lang w:val="en-US"/>
        </w:rPr>
        <w:t xml:space="preserve">Second Army’s </w:t>
      </w:r>
      <w:r w:rsidR="002E293F" w:rsidRPr="007B2402">
        <w:rPr>
          <w:rFonts w:eastAsia="Calibri" w:cs="Times New Roman"/>
          <w:szCs w:val="20"/>
          <w:lang w:val="en-US"/>
        </w:rPr>
        <w:t xml:space="preserve">DOI-CODI and by the CIE to carry out acts of torture and to execute those imprisoned under Operation Radar </w:t>
      </w:r>
      <w:r w:rsidR="005427CB" w:rsidRPr="007B2402">
        <w:rPr>
          <w:rFonts w:eastAsia="Calibri" w:cs="Times New Roman"/>
          <w:szCs w:val="20"/>
          <w:lang w:val="en-US"/>
        </w:rPr>
        <w:t>(</w:t>
      </w:r>
      <w:r w:rsidR="002E293F" w:rsidRPr="007B2402">
        <w:rPr>
          <w:rFonts w:eastAsia="Calibri" w:cs="Times New Roman"/>
          <w:szCs w:val="20"/>
          <w:lang w:val="en-US"/>
        </w:rPr>
        <w:t>especially members of the</w:t>
      </w:r>
      <w:r w:rsidR="005427CB" w:rsidRPr="007B2402">
        <w:rPr>
          <w:rFonts w:eastAsia="Calibri" w:cs="Times New Roman"/>
          <w:szCs w:val="20"/>
          <w:lang w:val="en-US"/>
        </w:rPr>
        <w:t xml:space="preserve"> PCB)</w:t>
      </w:r>
      <w:r w:rsidR="002E293F" w:rsidRPr="007B2402">
        <w:rPr>
          <w:rFonts w:eastAsia="Calibri" w:cs="Times New Roman"/>
          <w:szCs w:val="20"/>
          <w:lang w:val="en-US"/>
        </w:rPr>
        <w:t>.</w:t>
      </w:r>
      <w:r w:rsidR="00664D6B" w:rsidRPr="007B2402">
        <w:rPr>
          <w:rStyle w:val="Refdenotaalpie"/>
          <w:rFonts w:ascii="Verdana" w:eastAsia="Calibri" w:hAnsi="Verdana"/>
          <w:lang w:val="en-US"/>
        </w:rPr>
        <w:footnoteReference w:id="64"/>
      </w:r>
      <w:r w:rsidR="005427CB" w:rsidRPr="007B2402">
        <w:rPr>
          <w:rFonts w:eastAsia="Calibri" w:cs="Times New Roman"/>
          <w:szCs w:val="20"/>
          <w:lang w:val="en-US"/>
        </w:rPr>
        <w:t xml:space="preserve"> </w:t>
      </w:r>
    </w:p>
    <w:p w14:paraId="3E825BC7" w14:textId="77777777" w:rsidR="005427CB" w:rsidRPr="007B2402" w:rsidRDefault="005427CB" w:rsidP="005427CB">
      <w:pPr>
        <w:tabs>
          <w:tab w:val="left" w:pos="0"/>
        </w:tabs>
        <w:spacing w:after="0" w:line="240" w:lineRule="auto"/>
        <w:jc w:val="both"/>
        <w:rPr>
          <w:rFonts w:eastAsia="Calibri" w:cs="Times New Roman"/>
          <w:szCs w:val="20"/>
          <w:lang w:val="en-US"/>
        </w:rPr>
      </w:pPr>
    </w:p>
    <w:p w14:paraId="2A07C493" w14:textId="48AE18D2" w:rsidR="005427CB" w:rsidRPr="007B2402" w:rsidRDefault="002E293F" w:rsidP="002E293F">
      <w:pPr>
        <w:numPr>
          <w:ilvl w:val="0"/>
          <w:numId w:val="6"/>
        </w:numPr>
        <w:tabs>
          <w:tab w:val="left" w:pos="0"/>
        </w:tabs>
        <w:spacing w:after="0" w:line="240" w:lineRule="auto"/>
        <w:jc w:val="both"/>
        <w:rPr>
          <w:rFonts w:eastAsia="Calibri" w:cs="Times New Roman"/>
          <w:szCs w:val="20"/>
          <w:lang w:val="en-US"/>
        </w:rPr>
      </w:pPr>
      <w:r w:rsidRPr="007B2402">
        <w:rPr>
          <w:rFonts w:eastAsia="Calibri" w:cs="Times New Roman"/>
          <w:szCs w:val="20"/>
          <w:lang w:val="en-US"/>
        </w:rPr>
        <w:t>In this way, members of the PCB were gradually detained, tortured and executed by Operation Radar between</w:t>
      </w:r>
      <w:r w:rsidR="005427CB" w:rsidRPr="007B2402">
        <w:rPr>
          <w:rFonts w:eastAsia="Calibri" w:cs="Times New Roman"/>
          <w:szCs w:val="20"/>
          <w:lang w:val="en-US"/>
        </w:rPr>
        <w:t xml:space="preserve"> 1974</w:t>
      </w:r>
      <w:r w:rsidR="005B1590" w:rsidRPr="007B2402">
        <w:rPr>
          <w:rFonts w:eastAsia="Calibri" w:cs="Times New Roman"/>
          <w:szCs w:val="20"/>
          <w:lang w:val="en-US"/>
        </w:rPr>
        <w:t xml:space="preserve"> and </w:t>
      </w:r>
      <w:r w:rsidR="005427CB" w:rsidRPr="007B2402">
        <w:rPr>
          <w:rFonts w:eastAsia="Calibri" w:cs="Times New Roman"/>
          <w:szCs w:val="20"/>
          <w:lang w:val="en-US"/>
        </w:rPr>
        <w:t>1976</w:t>
      </w:r>
      <w:r w:rsidRPr="007B2402">
        <w:rPr>
          <w:rFonts w:eastAsia="Calibri" w:cs="Times New Roman"/>
          <w:szCs w:val="20"/>
          <w:lang w:val="en-US"/>
        </w:rPr>
        <w:t>.</w:t>
      </w:r>
      <w:r w:rsidR="005427CB" w:rsidRPr="007B2402">
        <w:rPr>
          <w:rFonts w:eastAsia="Calibri" w:cs="Times New Roman"/>
          <w:szCs w:val="20"/>
          <w:vertAlign w:val="superscript"/>
          <w:lang w:val="en-US"/>
        </w:rPr>
        <w:footnoteReference w:id="65"/>
      </w:r>
      <w:r w:rsidR="005427CB" w:rsidRPr="007B2402">
        <w:rPr>
          <w:rFonts w:eastAsia="Calibri" w:cs="Times New Roman"/>
          <w:szCs w:val="20"/>
          <w:lang w:val="en-US"/>
        </w:rPr>
        <w:t xml:space="preserve"> </w:t>
      </w:r>
      <w:r w:rsidRPr="007B2402">
        <w:rPr>
          <w:rFonts w:eastAsia="Calibri" w:cs="Times New Roman"/>
          <w:szCs w:val="20"/>
          <w:lang w:val="en-US"/>
        </w:rPr>
        <w:t>According to</w:t>
      </w:r>
      <w:r w:rsidR="005427CB" w:rsidRPr="007B2402">
        <w:rPr>
          <w:rFonts w:eastAsia="Calibri" w:cs="Times New Roman"/>
          <w:szCs w:val="20"/>
          <w:lang w:val="en-US"/>
        </w:rPr>
        <w:t xml:space="preserve"> </w:t>
      </w:r>
      <w:r w:rsidR="006B47D1" w:rsidRPr="007B2402">
        <w:rPr>
          <w:rFonts w:eastAsia="Calibri" w:cs="Times New Roman"/>
          <w:szCs w:val="20"/>
          <w:lang w:val="en-US"/>
        </w:rPr>
        <w:t xml:space="preserve">the </w:t>
      </w:r>
      <w:r w:rsidRPr="007B2402">
        <w:rPr>
          <w:rFonts w:eastAsia="Calibri" w:cs="Times New Roman"/>
          <w:szCs w:val="20"/>
          <w:lang w:val="en-US"/>
        </w:rPr>
        <w:t xml:space="preserve">Brazilian </w:t>
      </w:r>
      <w:r w:rsidR="006B47D1" w:rsidRPr="007B2402">
        <w:rPr>
          <w:rFonts w:eastAsia="Calibri" w:cs="Times New Roman"/>
          <w:szCs w:val="20"/>
          <w:lang w:val="en-US"/>
        </w:rPr>
        <w:t>Federal Public Prosecution Service</w:t>
      </w:r>
      <w:r w:rsidRPr="007B2402">
        <w:rPr>
          <w:rFonts w:eastAsia="Calibri" w:cs="Times New Roman"/>
          <w:szCs w:val="20"/>
          <w:lang w:val="en-US"/>
        </w:rPr>
        <w:t xml:space="preserve">, evidence obtained from 1970 to 1975 reveals the systematic practice of executions and disappearances of the opposition, with a list of 281 deaths or disappearances of opponents, which represents 75% of all the deaths and disappearances throughout the time of the dictatorship in </w:t>
      </w:r>
      <w:r w:rsidR="00AF4344" w:rsidRPr="007B2402">
        <w:rPr>
          <w:rFonts w:eastAsia="Calibri" w:cs="Times New Roman"/>
          <w:szCs w:val="20"/>
          <w:lang w:val="en-US"/>
        </w:rPr>
        <w:t>Brazil</w:t>
      </w:r>
      <w:r w:rsidRPr="007B2402">
        <w:rPr>
          <w:rFonts w:eastAsia="Calibri" w:cs="Times New Roman"/>
          <w:szCs w:val="20"/>
          <w:lang w:val="en-US"/>
        </w:rPr>
        <w:t>.</w:t>
      </w:r>
      <w:r w:rsidR="005427CB" w:rsidRPr="007B2402">
        <w:rPr>
          <w:rFonts w:eastAsia="Calibri" w:cs="Times New Roman"/>
          <w:szCs w:val="20"/>
          <w:vertAlign w:val="superscript"/>
          <w:lang w:val="en-US"/>
        </w:rPr>
        <w:footnoteReference w:id="66"/>
      </w:r>
      <w:r w:rsidR="00B02AAB" w:rsidRPr="007B2402">
        <w:rPr>
          <w:rFonts w:eastAsia="Calibri" w:cs="Times New Roman"/>
          <w:szCs w:val="20"/>
          <w:lang w:val="en-US"/>
        </w:rPr>
        <w:t xml:space="preserve"> </w:t>
      </w:r>
    </w:p>
    <w:p w14:paraId="070D08BB" w14:textId="77777777" w:rsidR="005427CB" w:rsidRPr="007B2402" w:rsidRDefault="005427CB" w:rsidP="005427CB">
      <w:pPr>
        <w:tabs>
          <w:tab w:val="left" w:pos="0"/>
        </w:tabs>
        <w:spacing w:after="0" w:line="240" w:lineRule="auto"/>
        <w:contextualSpacing/>
        <w:jc w:val="both"/>
        <w:rPr>
          <w:rFonts w:eastAsia="Calibri" w:cs="Times New Roman"/>
          <w:szCs w:val="20"/>
          <w:lang w:val="en-US"/>
        </w:rPr>
      </w:pPr>
    </w:p>
    <w:p w14:paraId="1A14B2CC" w14:textId="40AD37E7" w:rsidR="005427CB" w:rsidRPr="007B2402" w:rsidRDefault="002E293F" w:rsidP="00E668B8">
      <w:pPr>
        <w:pStyle w:val="Ttulo2"/>
        <w:rPr>
          <w:b/>
          <w:lang w:val="en-US"/>
        </w:rPr>
      </w:pPr>
      <w:bookmarkStart w:id="142" w:name="_Toc506984106"/>
      <w:r w:rsidRPr="007B2402">
        <w:rPr>
          <w:b/>
          <w:lang w:val="en-US"/>
        </w:rPr>
        <w:t>The events of</w:t>
      </w:r>
      <w:r w:rsidR="00221E16" w:rsidRPr="007B2402">
        <w:rPr>
          <w:b/>
          <w:lang w:val="en-US"/>
        </w:rPr>
        <w:t xml:space="preserve"> October 25,</w:t>
      </w:r>
      <w:r w:rsidR="005427CB" w:rsidRPr="007B2402">
        <w:rPr>
          <w:b/>
          <w:lang w:val="en-US"/>
        </w:rPr>
        <w:t xml:space="preserve"> 1975</w:t>
      </w:r>
      <w:bookmarkEnd w:id="142"/>
    </w:p>
    <w:p w14:paraId="271BECD1" w14:textId="77777777" w:rsidR="005427CB" w:rsidRPr="007B2402" w:rsidRDefault="005427CB" w:rsidP="000245C5">
      <w:pPr>
        <w:pStyle w:val="Textocomentario"/>
        <w:rPr>
          <w:rFonts w:eastAsia="Calibri" w:cs="Times New Roman"/>
          <w:noProof w:val="0"/>
          <w:lang w:val="en-US"/>
        </w:rPr>
      </w:pPr>
    </w:p>
    <w:p w14:paraId="7558C3F2" w14:textId="11D12C3F" w:rsidR="005427CB" w:rsidRPr="007B2402" w:rsidRDefault="002E293F"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On the evening of October</w:t>
      </w:r>
      <w:r w:rsidR="005427CB" w:rsidRPr="007B2402">
        <w:rPr>
          <w:rFonts w:eastAsia="Calibri" w:cs="Times New Roman"/>
          <w:szCs w:val="20"/>
          <w:lang w:val="en-US"/>
        </w:rPr>
        <w:t xml:space="preserve"> 24</w:t>
      </w:r>
      <w:r w:rsidRPr="007B2402">
        <w:rPr>
          <w:rFonts w:eastAsia="Calibri" w:cs="Times New Roman"/>
          <w:szCs w:val="20"/>
          <w:lang w:val="en-US"/>
        </w:rPr>
        <w:t xml:space="preserve">, </w:t>
      </w:r>
      <w:r w:rsidR="005427CB" w:rsidRPr="007B2402">
        <w:rPr>
          <w:rFonts w:eastAsia="Calibri" w:cs="Times New Roman"/>
          <w:szCs w:val="20"/>
          <w:lang w:val="en-US"/>
        </w:rPr>
        <w:t>1975</w:t>
      </w:r>
      <w:r w:rsidRPr="007B2402">
        <w:rPr>
          <w:rFonts w:eastAsia="Calibri" w:cs="Times New Roman"/>
          <w:szCs w:val="20"/>
          <w:lang w:val="en-US"/>
        </w:rPr>
        <w:t>,</w:t>
      </w:r>
      <w:r w:rsidR="005427CB" w:rsidRPr="007B2402">
        <w:rPr>
          <w:rFonts w:eastAsia="Calibri" w:cs="Times New Roman"/>
          <w:szCs w:val="20"/>
          <w:lang w:val="en-US"/>
        </w:rPr>
        <w:t xml:space="preserve"> </w:t>
      </w:r>
      <w:r w:rsidRPr="007B2402">
        <w:rPr>
          <w:rFonts w:eastAsia="Calibri" w:cs="Times New Roman"/>
          <w:szCs w:val="20"/>
          <w:lang w:val="en-US"/>
        </w:rPr>
        <w:t>two</w:t>
      </w:r>
      <w:r w:rsidR="005427CB" w:rsidRPr="007B2402">
        <w:rPr>
          <w:rFonts w:eastAsia="Calibri" w:cs="Times New Roman"/>
          <w:szCs w:val="20"/>
          <w:lang w:val="en-US"/>
        </w:rPr>
        <w:t xml:space="preserve"> DOI/CODI </w:t>
      </w:r>
      <w:r w:rsidRPr="007B2402">
        <w:rPr>
          <w:rFonts w:eastAsia="Calibri" w:cs="Times New Roman"/>
          <w:szCs w:val="20"/>
          <w:lang w:val="en-US"/>
        </w:rPr>
        <w:t xml:space="preserve">agents arrived at the offices of TV Cultura where </w:t>
      </w:r>
      <w:r w:rsidR="005427CB" w:rsidRPr="007B2402">
        <w:rPr>
          <w:rFonts w:eastAsia="Calibri" w:cs="Times New Roman"/>
          <w:szCs w:val="20"/>
          <w:lang w:val="en-US"/>
        </w:rPr>
        <w:t xml:space="preserve">Vladimir Herzog </w:t>
      </w:r>
      <w:r w:rsidRPr="007B2402">
        <w:rPr>
          <w:rFonts w:eastAsia="Calibri" w:cs="Times New Roman"/>
          <w:szCs w:val="20"/>
          <w:lang w:val="en-US"/>
        </w:rPr>
        <w:t xml:space="preserve">was working. Mr. </w:t>
      </w:r>
      <w:r w:rsidR="005427CB" w:rsidRPr="007B2402">
        <w:rPr>
          <w:rFonts w:eastAsia="Calibri" w:cs="Times New Roman"/>
          <w:szCs w:val="20"/>
          <w:lang w:val="en-US"/>
        </w:rPr>
        <w:t xml:space="preserve">Herzog </w:t>
      </w:r>
      <w:r w:rsidRPr="007B2402">
        <w:rPr>
          <w:rFonts w:eastAsia="Calibri" w:cs="Times New Roman"/>
          <w:szCs w:val="20"/>
          <w:lang w:val="en-US"/>
        </w:rPr>
        <w:t xml:space="preserve">was asked to accompany them to the </w:t>
      </w:r>
      <w:r w:rsidR="009C05EE" w:rsidRPr="007B2402">
        <w:rPr>
          <w:rFonts w:eastAsia="Calibri" w:cs="Times New Roman"/>
          <w:szCs w:val="20"/>
          <w:lang w:val="en-US"/>
        </w:rPr>
        <w:t xml:space="preserve">DOI/CODI in order to give a statement. After the director of the </w:t>
      </w:r>
      <w:r w:rsidR="00B0525F" w:rsidRPr="007B2402">
        <w:rPr>
          <w:rFonts w:eastAsia="Calibri" w:cs="Times New Roman"/>
          <w:szCs w:val="20"/>
          <w:lang w:val="en-US"/>
        </w:rPr>
        <w:t>television</w:t>
      </w:r>
      <w:r w:rsidR="009C05EE" w:rsidRPr="007B2402">
        <w:rPr>
          <w:rFonts w:eastAsia="Calibri" w:cs="Times New Roman"/>
          <w:szCs w:val="20"/>
          <w:lang w:val="en-US"/>
        </w:rPr>
        <w:t xml:space="preserve"> channel intervened, the security forces agreed to summon Mr. Herzog so that he could make a “voluntary” statement the following morning.</w:t>
      </w:r>
      <w:r w:rsidR="005427CB" w:rsidRPr="007B2402">
        <w:rPr>
          <w:rFonts w:eastAsia="Calibri" w:cs="Times New Roman"/>
          <w:szCs w:val="20"/>
          <w:vertAlign w:val="superscript"/>
          <w:lang w:val="en-US"/>
        </w:rPr>
        <w:footnoteReference w:id="67"/>
      </w:r>
    </w:p>
    <w:p w14:paraId="696219B1" w14:textId="77777777" w:rsidR="005427CB" w:rsidRPr="007B2402" w:rsidRDefault="005427CB" w:rsidP="005427CB">
      <w:pPr>
        <w:spacing w:after="0" w:line="240" w:lineRule="auto"/>
        <w:jc w:val="both"/>
        <w:rPr>
          <w:rFonts w:eastAsia="Calibri" w:cs="Times New Roman"/>
          <w:szCs w:val="20"/>
          <w:lang w:val="en-US"/>
        </w:rPr>
      </w:pPr>
    </w:p>
    <w:p w14:paraId="73808206" w14:textId="04E773FC" w:rsidR="005427CB" w:rsidRPr="007B2402" w:rsidRDefault="005427CB"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 xml:space="preserve">Vladimir Herzog </w:t>
      </w:r>
      <w:r w:rsidR="009C05EE" w:rsidRPr="007B2402">
        <w:rPr>
          <w:rFonts w:eastAsia="Calibri" w:cs="Times New Roman"/>
          <w:szCs w:val="20"/>
          <w:lang w:val="en-US"/>
        </w:rPr>
        <w:t>went to the offices of the</w:t>
      </w:r>
      <w:r w:rsidRPr="007B2402">
        <w:rPr>
          <w:rFonts w:eastAsia="Calibri" w:cs="Times New Roman"/>
          <w:szCs w:val="20"/>
          <w:lang w:val="en-US"/>
        </w:rPr>
        <w:t xml:space="preserve"> DOI/CODI,</w:t>
      </w:r>
      <w:r w:rsidR="009C05EE" w:rsidRPr="007B2402">
        <w:rPr>
          <w:rFonts w:eastAsia="Calibri" w:cs="Times New Roman"/>
          <w:szCs w:val="20"/>
          <w:lang w:val="en-US"/>
        </w:rPr>
        <w:t xml:space="preserve"> voluntarily,</w:t>
      </w:r>
      <w:r w:rsidR="00B02AAB" w:rsidRPr="007B2402">
        <w:rPr>
          <w:rFonts w:eastAsia="Calibri" w:cs="Times New Roman"/>
          <w:szCs w:val="20"/>
          <w:lang w:val="en-US"/>
        </w:rPr>
        <w:t xml:space="preserve"> </w:t>
      </w:r>
      <w:r w:rsidR="009C05EE" w:rsidRPr="007B2402">
        <w:rPr>
          <w:rFonts w:eastAsia="Calibri" w:cs="Times New Roman"/>
          <w:szCs w:val="20"/>
          <w:lang w:val="en-US"/>
        </w:rPr>
        <w:t>on the morning of Saturday, October</w:t>
      </w:r>
      <w:r w:rsidRPr="007B2402">
        <w:rPr>
          <w:rFonts w:eastAsia="Calibri" w:cs="Times New Roman"/>
          <w:szCs w:val="20"/>
          <w:lang w:val="en-US"/>
        </w:rPr>
        <w:t xml:space="preserve"> 25</w:t>
      </w:r>
      <w:r w:rsidR="009C05EE" w:rsidRPr="007B2402">
        <w:rPr>
          <w:rFonts w:eastAsia="Calibri" w:cs="Times New Roman"/>
          <w:szCs w:val="20"/>
          <w:lang w:val="en-US"/>
        </w:rPr>
        <w:t>.</w:t>
      </w:r>
      <w:r w:rsidRPr="007B2402">
        <w:rPr>
          <w:rFonts w:eastAsia="Calibri" w:cs="Times New Roman"/>
          <w:szCs w:val="20"/>
          <w:vertAlign w:val="superscript"/>
          <w:lang w:val="en-US"/>
        </w:rPr>
        <w:footnoteReference w:id="68"/>
      </w:r>
      <w:r w:rsidR="009C05EE" w:rsidRPr="007B2402">
        <w:rPr>
          <w:rFonts w:eastAsia="Calibri" w:cs="Times New Roman"/>
          <w:szCs w:val="20"/>
          <w:lang w:val="en-US"/>
        </w:rPr>
        <w:t xml:space="preserve"> On arriving, he was</w:t>
      </w:r>
      <w:r w:rsidRPr="007B2402">
        <w:rPr>
          <w:rFonts w:eastAsia="Calibri" w:cs="Times New Roman"/>
          <w:szCs w:val="20"/>
          <w:lang w:val="en-US"/>
        </w:rPr>
        <w:t xml:space="preserve"> </w:t>
      </w:r>
      <w:r w:rsidR="009C05EE" w:rsidRPr="007B2402">
        <w:rPr>
          <w:rFonts w:eastAsia="Calibri" w:cs="Times New Roman"/>
          <w:szCs w:val="20"/>
          <w:lang w:val="en-US"/>
        </w:rPr>
        <w:t xml:space="preserve">deprived of his liberty, interrogated and tortured. The journalist, </w:t>
      </w:r>
      <w:r w:rsidRPr="007B2402">
        <w:rPr>
          <w:rFonts w:eastAsia="Calibri" w:cs="Times New Roman"/>
          <w:szCs w:val="20"/>
          <w:lang w:val="en-US"/>
        </w:rPr>
        <w:t xml:space="preserve">Rodolfo Osvaldo Konder, </w:t>
      </w:r>
      <w:r w:rsidR="009C05EE" w:rsidRPr="007B2402">
        <w:rPr>
          <w:rFonts w:eastAsia="Calibri" w:cs="Times New Roman"/>
          <w:szCs w:val="20"/>
          <w:lang w:val="en-US"/>
        </w:rPr>
        <w:t xml:space="preserve">who was detained in the </w:t>
      </w:r>
      <w:r w:rsidRPr="007B2402">
        <w:rPr>
          <w:rFonts w:eastAsia="Calibri" w:cs="Times New Roman"/>
          <w:szCs w:val="20"/>
          <w:lang w:val="en-US"/>
        </w:rPr>
        <w:t>DOI/CODI</w:t>
      </w:r>
      <w:r w:rsidR="009C05EE" w:rsidRPr="007B2402">
        <w:rPr>
          <w:rFonts w:eastAsia="Calibri" w:cs="Times New Roman"/>
          <w:szCs w:val="20"/>
          <w:lang w:val="en-US"/>
        </w:rPr>
        <w:t xml:space="preserve"> at the time, has indicated that</w:t>
      </w:r>
      <w:r w:rsidRPr="007B2402">
        <w:rPr>
          <w:rFonts w:eastAsia="Calibri" w:cs="Times New Roman"/>
          <w:szCs w:val="20"/>
          <w:lang w:val="en-US"/>
        </w:rPr>
        <w:t xml:space="preserve">: </w:t>
      </w:r>
    </w:p>
    <w:p w14:paraId="24092182" w14:textId="77777777" w:rsidR="005427CB" w:rsidRPr="007B2402" w:rsidRDefault="005427CB" w:rsidP="005427CB">
      <w:pPr>
        <w:spacing w:after="0" w:line="240" w:lineRule="auto"/>
        <w:jc w:val="both"/>
        <w:rPr>
          <w:rFonts w:eastAsia="Calibri" w:cs="Times New Roman"/>
          <w:szCs w:val="20"/>
          <w:lang w:val="en-US"/>
        </w:rPr>
      </w:pPr>
    </w:p>
    <w:p w14:paraId="0D573F7D" w14:textId="64CBAD5D" w:rsidR="005427CB" w:rsidRPr="007B2402" w:rsidRDefault="009C05EE" w:rsidP="007E15B0">
      <w:pPr>
        <w:spacing w:after="0" w:line="240" w:lineRule="auto"/>
        <w:ind w:left="709" w:right="855"/>
        <w:jc w:val="both"/>
        <w:rPr>
          <w:rFonts w:eastAsia="Calibri" w:cs="Times New Roman"/>
          <w:sz w:val="18"/>
          <w:szCs w:val="18"/>
          <w:lang w:val="en-US"/>
        </w:rPr>
      </w:pPr>
      <w:r w:rsidRPr="007B2402">
        <w:rPr>
          <w:rFonts w:eastAsia="Calibri" w:cs="Times New Roman"/>
          <w:sz w:val="18"/>
          <w:szCs w:val="18"/>
          <w:lang w:val="en-US"/>
        </w:rPr>
        <w:t xml:space="preserve">On Saturday morning, I saw that </w:t>
      </w:r>
      <w:r w:rsidR="005427CB" w:rsidRPr="007B2402">
        <w:rPr>
          <w:rFonts w:eastAsia="Calibri" w:cs="Times New Roman"/>
          <w:sz w:val="18"/>
          <w:szCs w:val="18"/>
          <w:lang w:val="en-US"/>
        </w:rPr>
        <w:t xml:space="preserve">Vladimir Herzog </w:t>
      </w:r>
      <w:r w:rsidRPr="007B2402">
        <w:rPr>
          <w:rFonts w:eastAsia="Calibri" w:cs="Times New Roman"/>
          <w:sz w:val="18"/>
          <w:szCs w:val="18"/>
          <w:lang w:val="en-US"/>
        </w:rPr>
        <w:t xml:space="preserve">had arrived </w:t>
      </w:r>
      <w:r w:rsidR="005427CB" w:rsidRPr="007B2402">
        <w:rPr>
          <w:rFonts w:eastAsia="Calibri" w:cs="Times New Roman"/>
          <w:sz w:val="18"/>
          <w:szCs w:val="18"/>
          <w:lang w:val="en-US"/>
        </w:rPr>
        <w:t>[…].</w:t>
      </w:r>
      <w:r w:rsidRPr="007B2402">
        <w:rPr>
          <w:rFonts w:eastAsia="Calibri" w:cs="Times New Roman"/>
          <w:sz w:val="18"/>
          <w:szCs w:val="18"/>
          <w:lang w:val="en-US"/>
        </w:rPr>
        <w:t xml:space="preserve"> </w:t>
      </w:r>
      <w:r w:rsidR="005427CB" w:rsidRPr="007B2402">
        <w:rPr>
          <w:rFonts w:eastAsia="Calibri" w:cs="Times New Roman"/>
          <w:sz w:val="18"/>
          <w:szCs w:val="18"/>
          <w:lang w:val="en-US"/>
        </w:rPr>
        <w:t xml:space="preserve">George Duque Estrada, </w:t>
      </w:r>
      <w:r w:rsidRPr="007B2402">
        <w:rPr>
          <w:rFonts w:eastAsia="Calibri" w:cs="Times New Roman"/>
          <w:sz w:val="18"/>
          <w:szCs w:val="18"/>
          <w:lang w:val="en-US"/>
        </w:rPr>
        <w:t>from the</w:t>
      </w:r>
      <w:r w:rsidR="005427CB" w:rsidRPr="007B2402">
        <w:rPr>
          <w:rFonts w:eastAsia="Calibri" w:cs="Times New Roman"/>
          <w:sz w:val="18"/>
          <w:szCs w:val="18"/>
          <w:lang w:val="en-US"/>
        </w:rPr>
        <w:t xml:space="preserve"> “</w:t>
      </w:r>
      <w:r w:rsidR="005427CB" w:rsidRPr="007B2402">
        <w:rPr>
          <w:rFonts w:eastAsia="Calibri" w:cs="Times New Roman"/>
          <w:i/>
          <w:sz w:val="18"/>
          <w:szCs w:val="18"/>
          <w:lang w:val="en-US"/>
        </w:rPr>
        <w:t>Estado de São Paulo</w:t>
      </w:r>
      <w:r w:rsidR="005427CB" w:rsidRPr="007B2402">
        <w:rPr>
          <w:rFonts w:eastAsia="Calibri" w:cs="Times New Roman"/>
          <w:sz w:val="18"/>
          <w:szCs w:val="18"/>
          <w:lang w:val="en-US"/>
        </w:rPr>
        <w:t>”</w:t>
      </w:r>
      <w:r w:rsidR="005B1590" w:rsidRPr="007B2402">
        <w:rPr>
          <w:rFonts w:eastAsia="Calibri" w:cs="Times New Roman"/>
          <w:sz w:val="18"/>
          <w:szCs w:val="18"/>
          <w:lang w:val="en-US"/>
        </w:rPr>
        <w:t xml:space="preserve"> </w:t>
      </w:r>
      <w:r w:rsidRPr="007B2402">
        <w:rPr>
          <w:rFonts w:eastAsia="Calibri" w:cs="Times New Roman"/>
          <w:sz w:val="18"/>
          <w:szCs w:val="18"/>
          <w:lang w:val="en-US"/>
        </w:rPr>
        <w:t xml:space="preserve">was next to me and I commented to him that </w:t>
      </w:r>
      <w:r w:rsidR="005427CB" w:rsidRPr="007B2402">
        <w:rPr>
          <w:rFonts w:eastAsia="Calibri" w:cs="Times New Roman"/>
          <w:sz w:val="18"/>
          <w:szCs w:val="18"/>
          <w:lang w:val="en-US"/>
        </w:rPr>
        <w:t xml:space="preserve">Vladimir Herzog </w:t>
      </w:r>
      <w:r w:rsidRPr="007B2402">
        <w:rPr>
          <w:rFonts w:eastAsia="Calibri" w:cs="Times New Roman"/>
          <w:sz w:val="18"/>
          <w:szCs w:val="18"/>
          <w:lang w:val="en-US"/>
        </w:rPr>
        <w:t>was there</w:t>
      </w:r>
      <w:r w:rsidR="005427CB" w:rsidRPr="007B2402">
        <w:rPr>
          <w:rFonts w:eastAsia="Calibri" w:cs="Times New Roman"/>
          <w:sz w:val="18"/>
          <w:szCs w:val="18"/>
          <w:lang w:val="en-US"/>
        </w:rPr>
        <w:t xml:space="preserve">. […] </w:t>
      </w:r>
      <w:r w:rsidR="00F311FE" w:rsidRPr="007B2402">
        <w:rPr>
          <w:rFonts w:eastAsia="Calibri" w:cs="Times New Roman"/>
          <w:sz w:val="18"/>
          <w:szCs w:val="18"/>
          <w:lang w:val="en-US"/>
        </w:rPr>
        <w:t xml:space="preserve">Some time later, </w:t>
      </w:r>
      <w:r w:rsidR="005427CB" w:rsidRPr="007B2402">
        <w:rPr>
          <w:rFonts w:eastAsia="Calibri" w:cs="Times New Roman"/>
          <w:sz w:val="18"/>
          <w:szCs w:val="18"/>
          <w:lang w:val="en-US"/>
        </w:rPr>
        <w:t xml:space="preserve">Vladimir </w:t>
      </w:r>
      <w:r w:rsidR="00F311FE" w:rsidRPr="007B2402">
        <w:rPr>
          <w:rFonts w:eastAsia="Calibri" w:cs="Times New Roman"/>
          <w:sz w:val="18"/>
          <w:szCs w:val="18"/>
          <w:lang w:val="en-US"/>
        </w:rPr>
        <w:t>was taken from the room. We continued to be seated on a bench until one of the interrogators came and took me and […] Duque Estrada to an interrogation room […]. Vladimir was sitting on a chair with a hood over his head. When we entered the room, the interrogator ordered us to take off our hoods, and that’s why we saw that it was Vladimir and we also saw the interrogator. […] Both Duque Estrada and I advised Vladimir to say what he knew. […] Vladimir said that he knew nothing and the two of us were taken from th</w:t>
      </w:r>
      <w:r w:rsidR="00D668E2" w:rsidRPr="007B2402">
        <w:rPr>
          <w:rFonts w:eastAsia="Calibri" w:cs="Times New Roman"/>
          <w:sz w:val="18"/>
          <w:szCs w:val="18"/>
          <w:lang w:val="en-US"/>
        </w:rPr>
        <w:t>e</w:t>
      </w:r>
      <w:r w:rsidR="00F311FE" w:rsidRPr="007B2402">
        <w:rPr>
          <w:rFonts w:eastAsia="Calibri" w:cs="Times New Roman"/>
          <w:sz w:val="18"/>
          <w:szCs w:val="18"/>
          <w:lang w:val="en-US"/>
        </w:rPr>
        <w:t xml:space="preserve"> room back to the wooden bench where we were seated previously, in the next room. From there we could hear clearly the shouts, first of the interrogator and then of Vladimir, and we also heard when the interrogator asked that someone pass him the</w:t>
      </w:r>
      <w:r w:rsidR="005427CB" w:rsidRPr="007B2402">
        <w:rPr>
          <w:rFonts w:eastAsia="Calibri" w:cs="Times New Roman"/>
          <w:sz w:val="18"/>
          <w:szCs w:val="18"/>
          <w:lang w:val="en-US"/>
        </w:rPr>
        <w:t xml:space="preserve"> “</w:t>
      </w:r>
      <w:r w:rsidR="005427CB" w:rsidRPr="007B2402">
        <w:rPr>
          <w:rFonts w:eastAsia="Calibri" w:cs="Times New Roman"/>
          <w:i/>
          <w:sz w:val="18"/>
          <w:szCs w:val="18"/>
          <w:lang w:val="en-US"/>
        </w:rPr>
        <w:t>pimentinha</w:t>
      </w:r>
      <w:r w:rsidR="005427CB" w:rsidRPr="007B2402">
        <w:rPr>
          <w:rFonts w:eastAsia="Calibri" w:cs="Times New Roman"/>
          <w:sz w:val="18"/>
          <w:szCs w:val="18"/>
          <w:lang w:val="en-US"/>
        </w:rPr>
        <w:t>”</w:t>
      </w:r>
      <w:r w:rsidR="005427CB" w:rsidRPr="007B2402">
        <w:rPr>
          <w:rFonts w:eastAsia="Calibri" w:cs="Times New Roman"/>
          <w:sz w:val="18"/>
          <w:szCs w:val="18"/>
          <w:vertAlign w:val="superscript"/>
          <w:lang w:val="en-US"/>
        </w:rPr>
        <w:footnoteReference w:id="69"/>
      </w:r>
      <w:r w:rsidR="005B1590" w:rsidRPr="007B2402">
        <w:rPr>
          <w:rFonts w:eastAsia="Calibri" w:cs="Times New Roman"/>
          <w:sz w:val="18"/>
          <w:szCs w:val="18"/>
          <w:lang w:val="en-US"/>
        </w:rPr>
        <w:t xml:space="preserve"> and </w:t>
      </w:r>
      <w:r w:rsidR="00F311FE" w:rsidRPr="007B2402">
        <w:rPr>
          <w:rFonts w:eastAsia="Calibri" w:cs="Times New Roman"/>
          <w:sz w:val="18"/>
          <w:szCs w:val="18"/>
          <w:lang w:val="en-US"/>
        </w:rPr>
        <w:t xml:space="preserve">requested the help of a team of torturers. Someone turned the radio on and Vladimir’s cries were nearly drowned out by the sound of the radio […]. At that moment, Vladimir was being tortured and cried out. After a certain time, the sound of Vladimir’s voice changed as if they were putting something in his mouth […], as if they had put a gag </w:t>
      </w:r>
      <w:r w:rsidR="00F311FE" w:rsidRPr="007B2402">
        <w:rPr>
          <w:rFonts w:eastAsia="Calibri" w:cs="Times New Roman"/>
          <w:sz w:val="18"/>
          <w:szCs w:val="18"/>
          <w:lang w:val="en-US"/>
        </w:rPr>
        <w:lastRenderedPageBreak/>
        <w:t xml:space="preserve">in this mouth. Later the sounds ceased. </w:t>
      </w:r>
      <w:r w:rsidR="007E15B0" w:rsidRPr="007B2402">
        <w:rPr>
          <w:rFonts w:eastAsia="Calibri" w:cs="Times New Roman"/>
          <w:sz w:val="18"/>
          <w:szCs w:val="18"/>
          <w:lang w:val="en-US"/>
        </w:rPr>
        <w:t>After lunch […] the same interrogator came […] he took me by the arm and led me to the room where Vladimir was being held, allowing me to take my hood off, but now he seemed particularly nervous.</w:t>
      </w:r>
      <w:r w:rsidR="005427CB" w:rsidRPr="007B2402">
        <w:rPr>
          <w:rFonts w:eastAsia="Calibri" w:cs="Times New Roman"/>
          <w:sz w:val="18"/>
          <w:szCs w:val="18"/>
          <w:vertAlign w:val="superscript"/>
          <w:lang w:val="en-US"/>
        </w:rPr>
        <w:footnoteReference w:id="70"/>
      </w:r>
    </w:p>
    <w:p w14:paraId="672B47EB" w14:textId="77777777" w:rsidR="005427CB" w:rsidRPr="007B2402" w:rsidRDefault="005427CB" w:rsidP="005427CB">
      <w:pPr>
        <w:spacing w:after="0" w:line="240" w:lineRule="auto"/>
        <w:ind w:left="1080" w:right="900"/>
        <w:jc w:val="both"/>
        <w:rPr>
          <w:rFonts w:eastAsia="Calibri" w:cs="Times New Roman"/>
          <w:sz w:val="18"/>
          <w:szCs w:val="18"/>
          <w:lang w:val="en-US"/>
        </w:rPr>
      </w:pPr>
    </w:p>
    <w:p w14:paraId="0272F457" w14:textId="5B16F8B2" w:rsidR="005427CB" w:rsidRPr="007B2402" w:rsidRDefault="007E15B0"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 xml:space="preserve">On the afternoon of that day, </w:t>
      </w:r>
      <w:r w:rsidR="005427CB" w:rsidRPr="007B2402">
        <w:rPr>
          <w:rFonts w:eastAsia="Calibri" w:cs="Times New Roman"/>
          <w:szCs w:val="20"/>
          <w:lang w:val="en-US"/>
        </w:rPr>
        <w:t xml:space="preserve">Vladimir Herzog </w:t>
      </w:r>
      <w:r w:rsidRPr="007B2402">
        <w:rPr>
          <w:rFonts w:eastAsia="Calibri" w:cs="Times New Roman"/>
          <w:szCs w:val="20"/>
          <w:lang w:val="en-US"/>
        </w:rPr>
        <w:t xml:space="preserve">was </w:t>
      </w:r>
      <w:r w:rsidR="00D668E2" w:rsidRPr="007B2402">
        <w:rPr>
          <w:rFonts w:eastAsia="Calibri" w:cs="Times New Roman"/>
          <w:szCs w:val="20"/>
          <w:lang w:val="en-US"/>
        </w:rPr>
        <w:t xml:space="preserve">murdered </w:t>
      </w:r>
      <w:r w:rsidRPr="007B2402">
        <w:rPr>
          <w:rFonts w:eastAsia="Calibri" w:cs="Times New Roman"/>
          <w:szCs w:val="20"/>
          <w:lang w:val="en-US"/>
        </w:rPr>
        <w:t xml:space="preserve">by the members of the </w:t>
      </w:r>
      <w:r w:rsidR="005427CB" w:rsidRPr="007B2402">
        <w:rPr>
          <w:rFonts w:eastAsia="Calibri" w:cs="Times New Roman"/>
          <w:szCs w:val="20"/>
          <w:lang w:val="en-US"/>
        </w:rPr>
        <w:t xml:space="preserve">DOI/CODI </w:t>
      </w:r>
      <w:r w:rsidRPr="007B2402">
        <w:rPr>
          <w:rFonts w:eastAsia="Calibri" w:cs="Times New Roman"/>
          <w:szCs w:val="20"/>
          <w:lang w:val="en-US"/>
        </w:rPr>
        <w:t xml:space="preserve">who were holding him prisoner. According to the expert opinion </w:t>
      </w:r>
      <w:r w:rsidR="00D668E2" w:rsidRPr="007B2402">
        <w:rPr>
          <w:rFonts w:eastAsia="Calibri" w:cs="Times New Roman"/>
          <w:szCs w:val="20"/>
          <w:lang w:val="en-US"/>
        </w:rPr>
        <w:t>provided to</w:t>
      </w:r>
      <w:r w:rsidR="005B1590" w:rsidRPr="007B2402">
        <w:rPr>
          <w:rFonts w:eastAsia="Calibri" w:cs="Times New Roman"/>
          <w:szCs w:val="20"/>
          <w:lang w:val="en-US"/>
        </w:rPr>
        <w:t xml:space="preserve"> the </w:t>
      </w:r>
      <w:r w:rsidRPr="007B2402">
        <w:rPr>
          <w:rFonts w:eastAsia="Calibri" w:cs="Times New Roman"/>
          <w:szCs w:val="20"/>
          <w:lang w:val="en-US"/>
        </w:rPr>
        <w:t>National Truth Commission</w:t>
      </w:r>
      <w:r w:rsidR="005427CB" w:rsidRPr="007B2402">
        <w:rPr>
          <w:rFonts w:eastAsia="Calibri" w:cs="Times New Roman"/>
          <w:szCs w:val="20"/>
          <w:lang w:val="en-US"/>
        </w:rPr>
        <w:t xml:space="preserve">, </w:t>
      </w:r>
      <w:r w:rsidRPr="007B2402">
        <w:rPr>
          <w:rFonts w:eastAsia="Calibri" w:cs="Times New Roman"/>
          <w:szCs w:val="20"/>
          <w:lang w:val="en-US"/>
        </w:rPr>
        <w:t>it was determined that he had been strangled.</w:t>
      </w:r>
      <w:r w:rsidR="005427CB" w:rsidRPr="007B2402">
        <w:rPr>
          <w:rFonts w:eastAsia="Calibri" w:cs="Times New Roman"/>
          <w:szCs w:val="20"/>
          <w:vertAlign w:val="superscript"/>
          <w:lang w:val="en-US"/>
        </w:rPr>
        <w:footnoteReference w:id="71"/>
      </w:r>
      <w:r w:rsidR="005427CB" w:rsidRPr="007B2402">
        <w:rPr>
          <w:rFonts w:eastAsia="Calibri" w:cs="Times New Roman"/>
          <w:szCs w:val="20"/>
          <w:lang w:val="en-US"/>
        </w:rPr>
        <w:t xml:space="preserve"> Vladimir Herzog </w:t>
      </w:r>
      <w:r w:rsidRPr="007B2402">
        <w:rPr>
          <w:rFonts w:eastAsia="Calibri" w:cs="Times New Roman"/>
          <w:szCs w:val="20"/>
          <w:lang w:val="en-US"/>
        </w:rPr>
        <w:t>was 38 years of age</w:t>
      </w:r>
      <w:r w:rsidR="005427CB" w:rsidRPr="007B2402">
        <w:rPr>
          <w:rFonts w:eastAsia="Calibri" w:cs="Times New Roman"/>
          <w:szCs w:val="20"/>
          <w:lang w:val="en-US"/>
        </w:rPr>
        <w:t>.</w:t>
      </w:r>
    </w:p>
    <w:p w14:paraId="0F146BA6" w14:textId="77777777" w:rsidR="005427CB" w:rsidRPr="007B2402" w:rsidRDefault="005427CB" w:rsidP="005427CB">
      <w:pPr>
        <w:spacing w:after="0" w:line="240" w:lineRule="auto"/>
        <w:jc w:val="both"/>
        <w:rPr>
          <w:rFonts w:eastAsia="Calibri" w:cs="Times New Roman"/>
          <w:szCs w:val="20"/>
          <w:lang w:val="en-US"/>
        </w:rPr>
      </w:pPr>
    </w:p>
    <w:p w14:paraId="1D728212" w14:textId="2D6FC087" w:rsidR="005427CB" w:rsidRPr="007B2402" w:rsidRDefault="007E15B0" w:rsidP="007E15B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That same day, the Second Army</w:t>
      </w:r>
      <w:r w:rsidR="00D668E2" w:rsidRPr="007B2402">
        <w:rPr>
          <w:rFonts w:eastAsia="Calibri" w:cs="Times New Roman"/>
          <w:szCs w:val="20"/>
          <w:lang w:val="en-US"/>
        </w:rPr>
        <w:t xml:space="preserve"> Command</w:t>
      </w:r>
      <w:r w:rsidRPr="007B2402">
        <w:rPr>
          <w:rFonts w:eastAsia="Calibri" w:cs="Times New Roman"/>
          <w:szCs w:val="20"/>
          <w:lang w:val="en-US"/>
        </w:rPr>
        <w:t>, in a press release, published the official version of the events. It affirmed that Vladimir Herzog had committed suicide by hanging himself with a</w:t>
      </w:r>
      <w:r w:rsidR="00334D32" w:rsidRPr="007B2402">
        <w:rPr>
          <w:rFonts w:eastAsia="Calibri" w:cs="Times New Roman"/>
          <w:szCs w:val="20"/>
          <w:lang w:val="en-US"/>
        </w:rPr>
        <w:t xml:space="preserve"> strip</w:t>
      </w:r>
      <w:r w:rsidRPr="007B2402">
        <w:rPr>
          <w:rFonts w:eastAsia="Calibri" w:cs="Times New Roman"/>
          <w:szCs w:val="20"/>
          <w:lang w:val="en-US"/>
        </w:rPr>
        <w:t xml:space="preserve"> of cloth. The press release stated that </w:t>
      </w:r>
      <w:r w:rsidR="00D668E2" w:rsidRPr="007B2402">
        <w:rPr>
          <w:rFonts w:eastAsia="Calibri" w:cs="Times New Roman"/>
          <w:szCs w:val="20"/>
          <w:lang w:val="en-US"/>
        </w:rPr>
        <w:t xml:space="preserve">Mr. </w:t>
      </w:r>
      <w:r w:rsidRPr="007B2402">
        <w:rPr>
          <w:rFonts w:eastAsia="Calibri" w:cs="Times New Roman"/>
          <w:szCs w:val="20"/>
          <w:lang w:val="en-US"/>
        </w:rPr>
        <w:t xml:space="preserve">Herzog had been invited to appear, because Konder and Duque Estrada had named him as a member of the PCB. According to this version, during a face-to-face with these journalists, </w:t>
      </w:r>
      <w:r w:rsidR="00D668E2" w:rsidRPr="007B2402">
        <w:rPr>
          <w:rFonts w:eastAsia="Calibri" w:cs="Times New Roman"/>
          <w:szCs w:val="20"/>
          <w:lang w:val="en-US"/>
        </w:rPr>
        <w:t xml:space="preserve">Vladimir </w:t>
      </w:r>
      <w:r w:rsidRPr="007B2402">
        <w:rPr>
          <w:rFonts w:eastAsia="Calibri" w:cs="Times New Roman"/>
          <w:szCs w:val="20"/>
          <w:lang w:val="en-US"/>
        </w:rPr>
        <w:t>Herzog had allegedly confessed that he was a member of the party and had even made a written statement.</w:t>
      </w:r>
      <w:r w:rsidR="004956B9" w:rsidRPr="007B2402">
        <w:rPr>
          <w:rFonts w:eastAsia="Calibri" w:cs="Times New Roman"/>
          <w:szCs w:val="20"/>
          <w:vertAlign w:val="superscript"/>
          <w:lang w:val="en-US"/>
        </w:rPr>
        <w:footnoteReference w:id="72"/>
      </w:r>
      <w:r w:rsidR="005427CB" w:rsidRPr="007B2402">
        <w:rPr>
          <w:rFonts w:eastAsia="Calibri" w:cs="Times New Roman"/>
          <w:szCs w:val="20"/>
          <w:lang w:val="en-US"/>
        </w:rPr>
        <w:t xml:space="preserve"> </w:t>
      </w:r>
      <w:r w:rsidRPr="007B2402">
        <w:rPr>
          <w:rFonts w:eastAsia="Calibri" w:cs="Times New Roman"/>
          <w:szCs w:val="20"/>
          <w:lang w:val="en-US"/>
        </w:rPr>
        <w:t xml:space="preserve">Lastly, it was asserted that a </w:t>
      </w:r>
      <w:r w:rsidR="00334D32" w:rsidRPr="007B2402">
        <w:rPr>
          <w:rFonts w:eastAsia="Calibri" w:cs="Times New Roman"/>
          <w:szCs w:val="20"/>
          <w:lang w:val="en-US"/>
        </w:rPr>
        <w:t>forensic report had confirmed death by suicide.</w:t>
      </w:r>
      <w:r w:rsidR="005427CB" w:rsidRPr="007B2402">
        <w:rPr>
          <w:rFonts w:eastAsia="Calibri" w:cs="Times New Roman"/>
          <w:szCs w:val="20"/>
          <w:vertAlign w:val="superscript"/>
          <w:lang w:val="en-US"/>
        </w:rPr>
        <w:footnoteReference w:id="73"/>
      </w:r>
    </w:p>
    <w:p w14:paraId="4CF4B0F3" w14:textId="77777777" w:rsidR="005427CB" w:rsidRPr="007B2402" w:rsidRDefault="005427CB" w:rsidP="005427CB">
      <w:pPr>
        <w:spacing w:after="0" w:line="240" w:lineRule="auto"/>
        <w:jc w:val="both"/>
        <w:rPr>
          <w:rFonts w:eastAsia="Calibri" w:cs="Times New Roman"/>
          <w:szCs w:val="20"/>
          <w:lang w:val="en-US"/>
        </w:rPr>
      </w:pPr>
    </w:p>
    <w:p w14:paraId="62352DE5" w14:textId="77266F16" w:rsidR="005427CB" w:rsidRPr="007B2402" w:rsidRDefault="00334D32"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 xml:space="preserve">The </w:t>
      </w:r>
      <w:r w:rsidR="00D668E2" w:rsidRPr="007B2402">
        <w:rPr>
          <w:rFonts w:eastAsia="Calibri" w:cs="Times New Roman"/>
          <w:szCs w:val="20"/>
          <w:lang w:val="en-US"/>
        </w:rPr>
        <w:t>murder</w:t>
      </w:r>
      <w:r w:rsidRPr="007B2402">
        <w:rPr>
          <w:rFonts w:eastAsia="Calibri" w:cs="Times New Roman"/>
          <w:szCs w:val="20"/>
          <w:lang w:val="en-US"/>
        </w:rPr>
        <w:t xml:space="preserve"> of</w:t>
      </w:r>
      <w:r w:rsidR="005427CB" w:rsidRPr="007B2402">
        <w:rPr>
          <w:rFonts w:eastAsia="Calibri" w:cs="Times New Roman"/>
          <w:szCs w:val="20"/>
          <w:lang w:val="en-US"/>
        </w:rPr>
        <w:t xml:space="preserve"> Vladimir Herzog </w:t>
      </w:r>
      <w:r w:rsidRPr="007B2402">
        <w:rPr>
          <w:rFonts w:eastAsia="Calibri" w:cs="Times New Roman"/>
          <w:szCs w:val="20"/>
          <w:lang w:val="en-US"/>
        </w:rPr>
        <w:t>caused deep shock in Brazilian society. Strikes were held for several days promoted by both the</w:t>
      </w:r>
      <w:r w:rsidR="00D668E2" w:rsidRPr="007B2402">
        <w:rPr>
          <w:rFonts w:eastAsia="Calibri" w:cs="Times New Roman"/>
          <w:szCs w:val="20"/>
          <w:lang w:val="en-US"/>
        </w:rPr>
        <w:t xml:space="preserve"> </w:t>
      </w:r>
      <w:r w:rsidRPr="007B2402">
        <w:rPr>
          <w:rFonts w:eastAsia="Calibri" w:cs="Times New Roman"/>
          <w:szCs w:val="20"/>
          <w:lang w:val="en-US"/>
        </w:rPr>
        <w:t xml:space="preserve">journalists </w:t>
      </w:r>
      <w:r w:rsidR="00D668E2" w:rsidRPr="007B2402">
        <w:rPr>
          <w:rFonts w:eastAsia="Calibri" w:cs="Times New Roman"/>
          <w:szCs w:val="20"/>
          <w:lang w:val="en-US"/>
        </w:rPr>
        <w:t xml:space="preserve">association </w:t>
      </w:r>
      <w:r w:rsidRPr="007B2402">
        <w:rPr>
          <w:rFonts w:eastAsia="Calibri" w:cs="Times New Roman"/>
          <w:szCs w:val="20"/>
          <w:lang w:val="en-US"/>
        </w:rPr>
        <w:t>and by university students and professors.</w:t>
      </w:r>
      <w:r w:rsidR="005427CB" w:rsidRPr="007B2402">
        <w:rPr>
          <w:rFonts w:eastAsia="Calibri" w:cs="Times New Roman"/>
          <w:szCs w:val="20"/>
          <w:vertAlign w:val="superscript"/>
          <w:lang w:val="en-US"/>
        </w:rPr>
        <w:footnoteReference w:id="74"/>
      </w:r>
      <w:r w:rsidRPr="007B2402">
        <w:rPr>
          <w:rFonts w:eastAsia="Calibri" w:cs="Times New Roman"/>
          <w:szCs w:val="20"/>
          <w:lang w:val="en-US"/>
        </w:rPr>
        <w:t xml:space="preserve"> Thousands of people attended</w:t>
      </w:r>
      <w:r w:rsidR="00DC3125" w:rsidRPr="007B2402">
        <w:rPr>
          <w:rFonts w:eastAsia="Calibri" w:cs="Times New Roman"/>
          <w:szCs w:val="20"/>
          <w:lang w:val="en-US"/>
        </w:rPr>
        <w:t xml:space="preserve"> Vladimir Herzog</w:t>
      </w:r>
      <w:r w:rsidRPr="007B2402">
        <w:rPr>
          <w:rFonts w:eastAsia="Calibri" w:cs="Times New Roman"/>
          <w:szCs w:val="20"/>
          <w:lang w:val="en-US"/>
        </w:rPr>
        <w:t>’s funeral.</w:t>
      </w:r>
      <w:r w:rsidR="00DC3125" w:rsidRPr="007B2402">
        <w:rPr>
          <w:rFonts w:eastAsia="Calibri" w:cs="Times New Roman"/>
          <w:szCs w:val="20"/>
          <w:vertAlign w:val="superscript"/>
          <w:lang w:val="en-US"/>
        </w:rPr>
        <w:footnoteReference w:id="75"/>
      </w:r>
      <w:r w:rsidR="00DC3125" w:rsidRPr="007B2402">
        <w:rPr>
          <w:rFonts w:eastAsia="Calibri" w:cs="Times New Roman"/>
          <w:szCs w:val="20"/>
          <w:lang w:val="en-US"/>
        </w:rPr>
        <w:t xml:space="preserve"> </w:t>
      </w:r>
      <w:r w:rsidR="005427CB" w:rsidRPr="007B2402">
        <w:rPr>
          <w:rFonts w:eastAsia="Calibri" w:cs="Times New Roman"/>
          <w:szCs w:val="20"/>
          <w:lang w:val="en-US"/>
        </w:rPr>
        <w:t>A</w:t>
      </w:r>
      <w:r w:rsidRPr="007B2402">
        <w:rPr>
          <w:rFonts w:eastAsia="Calibri" w:cs="Times New Roman"/>
          <w:szCs w:val="20"/>
          <w:lang w:val="en-US"/>
        </w:rPr>
        <w:t xml:space="preserve">lso, a few days after his death, a high mass was held in his honor in </w:t>
      </w:r>
      <w:r w:rsidR="005427CB" w:rsidRPr="007B2402">
        <w:rPr>
          <w:rFonts w:eastAsia="Calibri" w:cs="Times New Roman"/>
          <w:szCs w:val="20"/>
          <w:lang w:val="en-US"/>
        </w:rPr>
        <w:t>São Paulo</w:t>
      </w:r>
      <w:r w:rsidR="00AA637B" w:rsidRPr="007B2402">
        <w:rPr>
          <w:rFonts w:eastAsia="Calibri" w:cs="Times New Roman"/>
          <w:szCs w:val="20"/>
          <w:lang w:val="en-US"/>
        </w:rPr>
        <w:t xml:space="preserve"> Cathedral attended by thousands of people.</w:t>
      </w:r>
      <w:r w:rsidR="005427CB" w:rsidRPr="007B2402">
        <w:rPr>
          <w:rFonts w:eastAsia="Calibri" w:cs="Times New Roman"/>
          <w:szCs w:val="20"/>
          <w:vertAlign w:val="superscript"/>
          <w:lang w:val="en-US"/>
        </w:rPr>
        <w:footnoteReference w:id="76"/>
      </w:r>
      <w:r w:rsidR="005427CB" w:rsidRPr="007B2402">
        <w:rPr>
          <w:rFonts w:eastAsia="Calibri" w:cs="Times New Roman"/>
          <w:szCs w:val="20"/>
          <w:lang w:val="en-US"/>
        </w:rPr>
        <w:t xml:space="preserve"> </w:t>
      </w:r>
    </w:p>
    <w:p w14:paraId="2D2E9F4E" w14:textId="77777777" w:rsidR="005427CB" w:rsidRPr="007B2402" w:rsidRDefault="005427CB" w:rsidP="000245C5">
      <w:pPr>
        <w:pStyle w:val="Textocomentario"/>
        <w:rPr>
          <w:rFonts w:eastAsia="Calibri" w:cs="Times New Roman"/>
          <w:noProof w:val="0"/>
          <w:lang w:val="en-US"/>
        </w:rPr>
      </w:pPr>
    </w:p>
    <w:p w14:paraId="70A24980" w14:textId="308E4817" w:rsidR="005427CB" w:rsidRPr="007B2402" w:rsidRDefault="00BE2A6C" w:rsidP="00E668B8">
      <w:pPr>
        <w:pStyle w:val="Ttulo2"/>
        <w:rPr>
          <w:b/>
          <w:lang w:val="en-US" w:eastAsia="zh-CN"/>
        </w:rPr>
      </w:pPr>
      <w:bookmarkStart w:id="143" w:name="_Toc506984107"/>
      <w:r w:rsidRPr="007B2402">
        <w:rPr>
          <w:b/>
          <w:lang w:val="en-US" w:eastAsia="zh-CN"/>
        </w:rPr>
        <w:t>Military police investigation</w:t>
      </w:r>
      <w:r w:rsidR="005427CB" w:rsidRPr="007B2402">
        <w:rPr>
          <w:b/>
          <w:lang w:val="en-US" w:eastAsia="zh-CN"/>
        </w:rPr>
        <w:t xml:space="preserve"> (IPM No. 1173-75)</w:t>
      </w:r>
      <w:bookmarkEnd w:id="143"/>
    </w:p>
    <w:p w14:paraId="1CEAAF5C" w14:textId="77777777" w:rsidR="005427CB" w:rsidRPr="007B2402" w:rsidRDefault="005427CB" w:rsidP="005427CB">
      <w:pPr>
        <w:spacing w:after="0" w:line="240" w:lineRule="auto"/>
        <w:jc w:val="both"/>
        <w:rPr>
          <w:rFonts w:eastAsia="Calibri" w:cs="Times New Roman"/>
          <w:szCs w:val="20"/>
          <w:lang w:val="en-US"/>
        </w:rPr>
      </w:pPr>
    </w:p>
    <w:p w14:paraId="725619A3" w14:textId="2AC35F43" w:rsidR="005427CB" w:rsidRPr="007B2402" w:rsidRDefault="00BE2A6C" w:rsidP="00BE2A6C">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The major</w:t>
      </w:r>
      <w:r w:rsidR="005427CB" w:rsidRPr="007B2402">
        <w:rPr>
          <w:rFonts w:eastAsia="Calibri" w:cs="Times New Roman"/>
          <w:szCs w:val="20"/>
          <w:lang w:val="en-US"/>
        </w:rPr>
        <w:t xml:space="preserve"> social </w:t>
      </w:r>
      <w:r w:rsidRPr="007B2402">
        <w:rPr>
          <w:rFonts w:eastAsia="Calibri" w:cs="Times New Roman"/>
          <w:szCs w:val="20"/>
          <w:lang w:val="en-US"/>
        </w:rPr>
        <w:t xml:space="preserve">reaction to Vladimir Herzog’s death resulted in the decision of the Commander General of the Second Army that a military police investigation should be opened to discover “the circumstances of the suicide of the journalist </w:t>
      </w:r>
      <w:r w:rsidR="005427CB" w:rsidRPr="007B2402">
        <w:rPr>
          <w:rFonts w:eastAsia="Calibri" w:cs="Times New Roman"/>
          <w:szCs w:val="20"/>
          <w:lang w:val="en-US"/>
        </w:rPr>
        <w:t>Vladimir Herzog</w:t>
      </w:r>
      <w:r w:rsidRPr="007B2402">
        <w:rPr>
          <w:rFonts w:eastAsia="Calibri" w:cs="Times New Roman"/>
          <w:szCs w:val="20"/>
          <w:lang w:val="en-US"/>
        </w:rPr>
        <w:t>.</w:t>
      </w:r>
      <w:r w:rsidR="005427CB" w:rsidRPr="007B2402">
        <w:rPr>
          <w:rFonts w:eastAsia="Calibri" w:cs="Times New Roman"/>
          <w:szCs w:val="20"/>
          <w:lang w:val="en-US"/>
        </w:rPr>
        <w:t xml:space="preserve">” </w:t>
      </w:r>
      <w:r w:rsidRPr="007B2402">
        <w:rPr>
          <w:rFonts w:eastAsia="Calibri" w:cs="Times New Roman"/>
          <w:szCs w:val="20"/>
          <w:lang w:val="en-US"/>
        </w:rPr>
        <w:t>Military Criminal Investigation</w:t>
      </w:r>
      <w:r w:rsidR="005427CB" w:rsidRPr="007B2402">
        <w:rPr>
          <w:rFonts w:eastAsia="Calibri" w:cs="Times New Roman"/>
          <w:szCs w:val="20"/>
          <w:lang w:val="en-US"/>
        </w:rPr>
        <w:t xml:space="preserve"> No. 1173-75 </w:t>
      </w:r>
      <w:r w:rsidRPr="007B2402">
        <w:rPr>
          <w:rFonts w:eastAsia="Calibri" w:cs="Times New Roman"/>
          <w:szCs w:val="20"/>
          <w:lang w:val="en-US"/>
        </w:rPr>
        <w:t xml:space="preserve">was headed by Brigade General </w:t>
      </w:r>
      <w:r w:rsidR="005427CB" w:rsidRPr="007B2402">
        <w:rPr>
          <w:rFonts w:eastAsia="Calibri" w:cs="Times New Roman"/>
          <w:szCs w:val="20"/>
          <w:lang w:val="en-US"/>
        </w:rPr>
        <w:t>Fernando Guimarães Cerqueira Lima</w:t>
      </w:r>
      <w:r w:rsidRPr="007B2402">
        <w:rPr>
          <w:rFonts w:eastAsia="Calibri" w:cs="Times New Roman"/>
          <w:szCs w:val="20"/>
          <w:lang w:val="en-US"/>
        </w:rPr>
        <w:t>.</w:t>
      </w:r>
      <w:r w:rsidR="005427CB" w:rsidRPr="007B2402">
        <w:rPr>
          <w:rFonts w:eastAsia="Calibri" w:cs="Times New Roman"/>
          <w:szCs w:val="20"/>
          <w:vertAlign w:val="superscript"/>
          <w:lang w:val="en-US"/>
        </w:rPr>
        <w:footnoteReference w:id="77"/>
      </w:r>
      <w:r w:rsidR="005427CB" w:rsidRPr="007B2402">
        <w:rPr>
          <w:rFonts w:eastAsia="Calibri" w:cs="Times New Roman"/>
          <w:szCs w:val="20"/>
          <w:lang w:val="en-US"/>
        </w:rPr>
        <w:t xml:space="preserve"> </w:t>
      </w:r>
    </w:p>
    <w:p w14:paraId="6C226B69" w14:textId="677A02E5" w:rsidR="005427CB" w:rsidRPr="007B2402" w:rsidRDefault="005427CB" w:rsidP="005427CB">
      <w:pPr>
        <w:spacing w:after="0" w:line="240" w:lineRule="auto"/>
        <w:jc w:val="both"/>
        <w:rPr>
          <w:rFonts w:eastAsia="Calibri" w:cs="Times New Roman"/>
          <w:szCs w:val="20"/>
          <w:lang w:val="en-US"/>
        </w:rPr>
      </w:pPr>
    </w:p>
    <w:p w14:paraId="7F7F9C3E" w14:textId="6F270C36" w:rsidR="005427CB" w:rsidRPr="007B2402" w:rsidRDefault="00BE2A6C"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Mr.</w:t>
      </w:r>
      <w:r w:rsidR="005427CB" w:rsidRPr="007B2402">
        <w:rPr>
          <w:rFonts w:eastAsia="Calibri" w:cs="Times New Roman"/>
          <w:szCs w:val="20"/>
          <w:lang w:val="en-US"/>
        </w:rPr>
        <w:t xml:space="preserve"> Motoho Chiota, </w:t>
      </w:r>
      <w:r w:rsidRPr="007B2402">
        <w:rPr>
          <w:rFonts w:eastAsia="Calibri" w:cs="Times New Roman"/>
          <w:szCs w:val="20"/>
          <w:lang w:val="en-US"/>
        </w:rPr>
        <w:t>the o</w:t>
      </w:r>
      <w:r w:rsidR="00B9224E" w:rsidRPr="007B2402">
        <w:rPr>
          <w:rFonts w:eastAsia="Calibri" w:cs="Times New Roman"/>
          <w:szCs w:val="20"/>
          <w:lang w:val="en-US"/>
        </w:rPr>
        <w:t>f</w:t>
      </w:r>
      <w:r w:rsidRPr="007B2402">
        <w:rPr>
          <w:rFonts w:eastAsia="Calibri" w:cs="Times New Roman"/>
          <w:szCs w:val="20"/>
          <w:lang w:val="en-US"/>
        </w:rPr>
        <w:t xml:space="preserve">ficial who </w:t>
      </w:r>
      <w:r w:rsidR="00B9224E" w:rsidRPr="007B2402">
        <w:rPr>
          <w:rFonts w:eastAsia="Calibri" w:cs="Times New Roman"/>
          <w:szCs w:val="20"/>
          <w:lang w:val="en-US"/>
        </w:rPr>
        <w:t>wrote the</w:t>
      </w:r>
      <w:r w:rsidRPr="007B2402">
        <w:rPr>
          <w:rFonts w:eastAsia="Calibri" w:cs="Times New Roman"/>
          <w:szCs w:val="20"/>
          <w:lang w:val="en-US"/>
        </w:rPr>
        <w:t xml:space="preserve"> forensic report concluded that the </w:t>
      </w:r>
      <w:r w:rsidR="00961178" w:rsidRPr="007B2402">
        <w:rPr>
          <w:rFonts w:eastAsia="Calibri" w:cs="Times New Roman"/>
          <w:szCs w:val="20"/>
          <w:lang w:val="en-US"/>
        </w:rPr>
        <w:t>position of the</w:t>
      </w:r>
      <w:r w:rsidRPr="007B2402">
        <w:rPr>
          <w:rFonts w:eastAsia="Calibri" w:cs="Times New Roman"/>
          <w:szCs w:val="20"/>
          <w:lang w:val="en-US"/>
        </w:rPr>
        <w:t xml:space="preserve"> corpse corresponded to a “typical</w:t>
      </w:r>
      <w:r w:rsidR="00B9224E" w:rsidRPr="007B2402">
        <w:rPr>
          <w:rFonts w:eastAsia="Calibri" w:cs="Times New Roman"/>
          <w:szCs w:val="20"/>
          <w:lang w:val="en-US"/>
        </w:rPr>
        <w:t xml:space="preserve"> position </w:t>
      </w:r>
      <w:r w:rsidR="00961178" w:rsidRPr="007B2402">
        <w:rPr>
          <w:rFonts w:eastAsia="Calibri" w:cs="Times New Roman"/>
          <w:szCs w:val="20"/>
          <w:lang w:val="en-US"/>
        </w:rPr>
        <w:t>of</w:t>
      </w:r>
      <w:r w:rsidR="00B9224E" w:rsidRPr="007B2402">
        <w:rPr>
          <w:rFonts w:eastAsia="Calibri" w:cs="Times New Roman"/>
          <w:szCs w:val="20"/>
          <w:lang w:val="en-US"/>
        </w:rPr>
        <w:t xml:space="preserve"> suicide by hanging.” Also,</w:t>
      </w:r>
      <w:r w:rsidR="005427CB" w:rsidRPr="007B2402">
        <w:rPr>
          <w:rFonts w:eastAsia="Calibri" w:cs="Times New Roman"/>
          <w:szCs w:val="20"/>
          <w:lang w:val="en-US"/>
        </w:rPr>
        <w:t xml:space="preserve"> Arildo Viana</w:t>
      </w:r>
      <w:r w:rsidR="005B1590" w:rsidRPr="007B2402">
        <w:rPr>
          <w:rFonts w:eastAsia="Calibri" w:cs="Times New Roman"/>
          <w:szCs w:val="20"/>
          <w:lang w:val="en-US"/>
        </w:rPr>
        <w:t xml:space="preserve"> and </w:t>
      </w:r>
      <w:r w:rsidR="005427CB" w:rsidRPr="007B2402">
        <w:rPr>
          <w:rFonts w:eastAsia="Calibri" w:cs="Times New Roman"/>
          <w:szCs w:val="20"/>
          <w:lang w:val="en-US"/>
        </w:rPr>
        <w:t xml:space="preserve">Harry Shibata, </w:t>
      </w:r>
      <w:r w:rsidR="00B9224E" w:rsidRPr="007B2402">
        <w:rPr>
          <w:rFonts w:eastAsia="Calibri" w:cs="Times New Roman"/>
          <w:szCs w:val="20"/>
          <w:lang w:val="en-US"/>
        </w:rPr>
        <w:t>forensic experts, provided an autopsy report.</w:t>
      </w:r>
      <w:r w:rsidR="005427CB" w:rsidRPr="007B2402">
        <w:rPr>
          <w:rFonts w:eastAsia="Calibri" w:cs="Times New Roman"/>
          <w:szCs w:val="20"/>
          <w:vertAlign w:val="superscript"/>
          <w:lang w:val="en-US"/>
        </w:rPr>
        <w:footnoteReference w:id="78"/>
      </w:r>
      <w:r w:rsidR="00B9224E" w:rsidRPr="007B2402">
        <w:rPr>
          <w:rFonts w:eastAsia="Calibri" w:cs="Times New Roman"/>
          <w:szCs w:val="20"/>
          <w:lang w:val="en-US"/>
        </w:rPr>
        <w:t xml:space="preserve"> The fallacious nature of the </w:t>
      </w:r>
      <w:r w:rsidR="00B9224E" w:rsidRPr="007B2402">
        <w:rPr>
          <w:rFonts w:eastAsia="Calibri" w:cs="Times New Roman"/>
          <w:szCs w:val="20"/>
          <w:lang w:val="en-US"/>
        </w:rPr>
        <w:lastRenderedPageBreak/>
        <w:t>autopsies provided by the security forces’ own physicians has been reported as a constant during the Brazilian military dictatorship.</w:t>
      </w:r>
      <w:r w:rsidR="005427CB" w:rsidRPr="007B2402">
        <w:rPr>
          <w:rFonts w:eastAsia="Calibri" w:cs="Times New Roman"/>
          <w:szCs w:val="20"/>
          <w:vertAlign w:val="superscript"/>
          <w:lang w:val="en-US"/>
        </w:rPr>
        <w:footnoteReference w:id="79"/>
      </w:r>
    </w:p>
    <w:p w14:paraId="5D99F587" w14:textId="77777777" w:rsidR="005427CB" w:rsidRPr="007B2402" w:rsidRDefault="005427CB" w:rsidP="005427CB">
      <w:pPr>
        <w:spacing w:after="0" w:line="240" w:lineRule="auto"/>
        <w:jc w:val="both"/>
        <w:rPr>
          <w:rFonts w:eastAsia="Calibri" w:cs="Times New Roman"/>
          <w:szCs w:val="20"/>
          <w:lang w:val="en-US"/>
        </w:rPr>
      </w:pPr>
    </w:p>
    <w:p w14:paraId="766D1162" w14:textId="6B08DE76" w:rsidR="005427CB" w:rsidRPr="007B2402" w:rsidRDefault="00B9224E"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 xml:space="preserve">The investigation reached the conclusion that </w:t>
      </w:r>
      <w:r w:rsidR="005427CB" w:rsidRPr="007B2402">
        <w:rPr>
          <w:rFonts w:eastAsia="Calibri" w:cs="Times New Roman"/>
          <w:szCs w:val="20"/>
          <w:lang w:val="en-US"/>
        </w:rPr>
        <w:t>Vladimir Herzog</w:t>
      </w:r>
      <w:r w:rsidRPr="007B2402">
        <w:rPr>
          <w:rFonts w:eastAsia="Calibri" w:cs="Times New Roman"/>
          <w:szCs w:val="20"/>
          <w:lang w:val="en-US"/>
        </w:rPr>
        <w:t xml:space="preserve"> died from suicide by hanging. In this way, the official version at the time of the event </w:t>
      </w:r>
      <w:r w:rsidR="00961178" w:rsidRPr="007B2402">
        <w:rPr>
          <w:rFonts w:eastAsia="Calibri" w:cs="Times New Roman"/>
          <w:szCs w:val="20"/>
          <w:lang w:val="en-US"/>
        </w:rPr>
        <w:t>w</w:t>
      </w:r>
      <w:r w:rsidRPr="007B2402">
        <w:rPr>
          <w:rFonts w:eastAsia="Calibri" w:cs="Times New Roman"/>
          <w:szCs w:val="20"/>
          <w:lang w:val="en-US"/>
        </w:rPr>
        <w:t>as legitimated.</w:t>
      </w:r>
      <w:r w:rsidR="005427CB" w:rsidRPr="007B2402">
        <w:rPr>
          <w:rFonts w:eastAsia="Calibri" w:cs="Times New Roman"/>
          <w:szCs w:val="20"/>
          <w:vertAlign w:val="superscript"/>
          <w:lang w:val="en-US"/>
        </w:rPr>
        <w:footnoteReference w:id="80"/>
      </w:r>
      <w:r w:rsidR="005427CB" w:rsidRPr="007B2402">
        <w:rPr>
          <w:rFonts w:eastAsia="Calibri" w:cs="Times New Roman"/>
          <w:szCs w:val="20"/>
          <w:lang w:val="en-US"/>
        </w:rPr>
        <w:t xml:space="preserve"> </w:t>
      </w:r>
      <w:r w:rsidRPr="007B2402">
        <w:rPr>
          <w:rFonts w:eastAsia="Calibri" w:cs="Times New Roman"/>
          <w:szCs w:val="20"/>
          <w:lang w:val="en-US"/>
        </w:rPr>
        <w:t xml:space="preserve">That being the case, and considering that neither the military criminal code nor military regulations had been violated, the investigations were </w:t>
      </w:r>
      <w:r w:rsidR="00961178" w:rsidRPr="007B2402">
        <w:rPr>
          <w:rFonts w:eastAsia="Calibri" w:cs="Times New Roman"/>
          <w:szCs w:val="20"/>
          <w:lang w:val="en-US"/>
        </w:rPr>
        <w:t>clos</w:t>
      </w:r>
      <w:r w:rsidRPr="007B2402">
        <w:rPr>
          <w:rFonts w:eastAsia="Calibri" w:cs="Times New Roman"/>
          <w:szCs w:val="20"/>
          <w:lang w:val="en-US"/>
        </w:rPr>
        <w:t>ed. This decision was confirmed on February 12, 1976, by the Military Jurisdiction.</w:t>
      </w:r>
      <w:r w:rsidR="005427CB" w:rsidRPr="007B2402">
        <w:rPr>
          <w:rFonts w:eastAsia="Calibri" w:cs="Times New Roman"/>
          <w:szCs w:val="20"/>
          <w:vertAlign w:val="superscript"/>
          <w:lang w:val="en-US"/>
        </w:rPr>
        <w:footnoteReference w:id="81"/>
      </w:r>
    </w:p>
    <w:p w14:paraId="5140D888" w14:textId="77777777" w:rsidR="005427CB" w:rsidRPr="007B2402" w:rsidRDefault="005427CB" w:rsidP="005427CB">
      <w:pPr>
        <w:spacing w:after="0" w:line="240" w:lineRule="auto"/>
        <w:jc w:val="both"/>
        <w:rPr>
          <w:rFonts w:eastAsia="Calibri" w:cs="Times New Roman"/>
          <w:szCs w:val="20"/>
          <w:lang w:val="en-US"/>
        </w:rPr>
      </w:pPr>
    </w:p>
    <w:p w14:paraId="3FBFC408" w14:textId="0D2CF81F" w:rsidR="005427CB" w:rsidRPr="007B2402" w:rsidRDefault="00B9224E"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On December 9,</w:t>
      </w:r>
      <w:r w:rsidR="005427CB" w:rsidRPr="007B2402">
        <w:rPr>
          <w:rFonts w:eastAsia="Calibri" w:cs="Times New Roman"/>
          <w:szCs w:val="20"/>
          <w:lang w:val="en-US"/>
        </w:rPr>
        <w:t xml:space="preserve"> 1975</w:t>
      </w:r>
      <w:r w:rsidRPr="007B2402">
        <w:rPr>
          <w:rFonts w:eastAsia="Calibri" w:cs="Times New Roman"/>
          <w:szCs w:val="20"/>
          <w:lang w:val="en-US"/>
        </w:rPr>
        <w:t>,</w:t>
      </w:r>
      <w:r w:rsidR="005427CB" w:rsidRPr="007B2402">
        <w:rPr>
          <w:rFonts w:eastAsia="Calibri" w:cs="Times New Roman"/>
          <w:szCs w:val="20"/>
          <w:lang w:val="en-US"/>
        </w:rPr>
        <w:t xml:space="preserve"> Vladimir Herzog</w:t>
      </w:r>
      <w:r w:rsidRPr="007B2402">
        <w:rPr>
          <w:rFonts w:eastAsia="Calibri" w:cs="Times New Roman"/>
          <w:szCs w:val="20"/>
          <w:lang w:val="en-US"/>
        </w:rPr>
        <w:t xml:space="preserve">’s death certificate was issued, identifying the cause of death as </w:t>
      </w:r>
      <w:r w:rsidR="00856FF0" w:rsidRPr="007B2402">
        <w:rPr>
          <w:rFonts w:eastAsia="Calibri" w:cs="Times New Roman"/>
          <w:szCs w:val="20"/>
          <w:lang w:val="en-US"/>
        </w:rPr>
        <w:t>“</w:t>
      </w:r>
      <w:r w:rsidRPr="007B2402">
        <w:rPr>
          <w:bCs/>
          <w:lang w:val="en-US"/>
        </w:rPr>
        <w:t>mechanical asphyxiation by hanging</w:t>
      </w:r>
      <w:r w:rsidRPr="007B2402">
        <w:rPr>
          <w:rFonts w:eastAsia="Calibri" w:cs="Times New Roman"/>
          <w:szCs w:val="20"/>
          <w:lang w:val="en-US"/>
        </w:rPr>
        <w:t>.</w:t>
      </w:r>
      <w:r w:rsidR="00856FF0" w:rsidRPr="007B2402">
        <w:rPr>
          <w:rFonts w:eastAsia="Calibri" w:cs="Times New Roman"/>
          <w:szCs w:val="20"/>
          <w:lang w:val="en-US"/>
        </w:rPr>
        <w:t>”</w:t>
      </w:r>
      <w:r w:rsidR="005427CB" w:rsidRPr="007B2402">
        <w:rPr>
          <w:rFonts w:eastAsia="Calibri" w:cs="Times New Roman"/>
          <w:szCs w:val="20"/>
          <w:vertAlign w:val="superscript"/>
          <w:lang w:val="en-US"/>
        </w:rPr>
        <w:footnoteReference w:id="82"/>
      </w:r>
    </w:p>
    <w:p w14:paraId="3AD02C97" w14:textId="77777777" w:rsidR="005427CB" w:rsidRPr="007B2402" w:rsidRDefault="005427CB" w:rsidP="005427CB">
      <w:pPr>
        <w:spacing w:after="0" w:line="240" w:lineRule="auto"/>
        <w:jc w:val="both"/>
        <w:rPr>
          <w:rFonts w:eastAsia="Calibri" w:cs="Times New Roman"/>
          <w:szCs w:val="20"/>
          <w:lang w:val="en-US"/>
        </w:rPr>
      </w:pPr>
    </w:p>
    <w:p w14:paraId="5F4B73D8" w14:textId="7DC66114" w:rsidR="005427CB" w:rsidRPr="007B2402" w:rsidRDefault="00BA4292" w:rsidP="00E668B8">
      <w:pPr>
        <w:pStyle w:val="Ttulo2"/>
        <w:rPr>
          <w:b/>
          <w:lang w:val="en-US" w:eastAsia="zh-CN"/>
        </w:rPr>
      </w:pPr>
      <w:bookmarkStart w:id="144" w:name="_Toc506984108"/>
      <w:r w:rsidRPr="007B2402">
        <w:rPr>
          <w:b/>
          <w:lang w:val="en-US" w:eastAsia="zh-CN"/>
        </w:rPr>
        <w:t>Declaratory action</w:t>
      </w:r>
      <w:r w:rsidR="005427CB" w:rsidRPr="007B2402">
        <w:rPr>
          <w:b/>
          <w:lang w:val="en-US" w:eastAsia="zh-CN"/>
        </w:rPr>
        <w:t xml:space="preserve"> No. 136-76</w:t>
      </w:r>
      <w:bookmarkEnd w:id="144"/>
    </w:p>
    <w:p w14:paraId="6CA8213F" w14:textId="77777777" w:rsidR="005427CB" w:rsidRPr="007B2402" w:rsidRDefault="005427CB" w:rsidP="000245C5">
      <w:pPr>
        <w:pStyle w:val="Textocomentario"/>
        <w:rPr>
          <w:rFonts w:eastAsia="Calibri" w:cs="Times New Roman"/>
          <w:noProof w:val="0"/>
          <w:lang w:val="en-US"/>
        </w:rPr>
      </w:pPr>
    </w:p>
    <w:p w14:paraId="091070CA" w14:textId="4F245A1E" w:rsidR="005427CB" w:rsidRPr="007B2402" w:rsidRDefault="00B9224E" w:rsidP="00DB1F30">
      <w:pPr>
        <w:numPr>
          <w:ilvl w:val="0"/>
          <w:numId w:val="6"/>
        </w:numPr>
        <w:spacing w:after="0" w:line="240" w:lineRule="auto"/>
        <w:jc w:val="both"/>
        <w:rPr>
          <w:rFonts w:eastAsia="Calibri" w:cs="Times New Roman"/>
          <w:b/>
          <w:szCs w:val="20"/>
          <w:lang w:val="en-US"/>
        </w:rPr>
      </w:pPr>
      <w:r w:rsidRPr="007B2402">
        <w:rPr>
          <w:rFonts w:eastAsia="Calibri" w:cs="Times New Roman"/>
          <w:szCs w:val="20"/>
          <w:lang w:val="en-US"/>
        </w:rPr>
        <w:t>On April 19,</w:t>
      </w:r>
      <w:r w:rsidR="005427CB" w:rsidRPr="007B2402">
        <w:rPr>
          <w:rFonts w:eastAsia="Calibri" w:cs="Times New Roman"/>
          <w:szCs w:val="20"/>
          <w:lang w:val="en-US"/>
        </w:rPr>
        <w:t xml:space="preserve"> 1976</w:t>
      </w:r>
      <w:r w:rsidRPr="007B2402">
        <w:rPr>
          <w:rFonts w:eastAsia="Calibri" w:cs="Times New Roman"/>
          <w:szCs w:val="20"/>
          <w:lang w:val="en-US"/>
        </w:rPr>
        <w:t>,</w:t>
      </w:r>
      <w:r w:rsidR="005427CB" w:rsidRPr="007B2402">
        <w:rPr>
          <w:rFonts w:eastAsia="Calibri" w:cs="Times New Roman"/>
          <w:szCs w:val="20"/>
          <w:lang w:val="en-US"/>
        </w:rPr>
        <w:t xml:space="preserve"> Clarice, Ivo</w:t>
      </w:r>
      <w:r w:rsidR="005B1590" w:rsidRPr="007B2402">
        <w:rPr>
          <w:rFonts w:eastAsia="Calibri" w:cs="Times New Roman"/>
          <w:szCs w:val="20"/>
          <w:lang w:val="en-US"/>
        </w:rPr>
        <w:t xml:space="preserve"> and </w:t>
      </w:r>
      <w:r w:rsidR="005427CB" w:rsidRPr="007B2402">
        <w:rPr>
          <w:rFonts w:eastAsia="Calibri" w:cs="Times New Roman"/>
          <w:szCs w:val="20"/>
          <w:lang w:val="en-US"/>
        </w:rPr>
        <w:t xml:space="preserve">André Herzog </w:t>
      </w:r>
      <w:r w:rsidRPr="007B2402">
        <w:rPr>
          <w:rFonts w:eastAsia="Calibri" w:cs="Times New Roman"/>
          <w:szCs w:val="20"/>
          <w:lang w:val="en-US"/>
        </w:rPr>
        <w:t>filed a</w:t>
      </w:r>
      <w:r w:rsidR="00BA4292" w:rsidRPr="007B2402">
        <w:rPr>
          <w:rFonts w:eastAsia="Calibri" w:cs="Times New Roman"/>
          <w:szCs w:val="20"/>
          <w:lang w:val="en-US"/>
        </w:rPr>
        <w:t xml:space="preserve"> declaratory action</w:t>
      </w:r>
      <w:r w:rsidR="005427CB" w:rsidRPr="007B2402">
        <w:rPr>
          <w:rFonts w:eastAsia="Calibri" w:cs="Times New Roman"/>
          <w:szCs w:val="20"/>
          <w:lang w:val="en-US"/>
        </w:rPr>
        <w:t xml:space="preserve"> </w:t>
      </w:r>
      <w:r w:rsidR="00BA4292" w:rsidRPr="007B2402">
        <w:rPr>
          <w:rFonts w:eastAsia="Calibri" w:cs="Times New Roman"/>
          <w:szCs w:val="20"/>
          <w:lang w:val="en-US"/>
        </w:rPr>
        <w:t>before the</w:t>
      </w:r>
      <w:r w:rsidR="005427CB" w:rsidRPr="007B2402">
        <w:rPr>
          <w:rFonts w:eastAsia="Calibri" w:cs="Times New Roman"/>
          <w:szCs w:val="20"/>
          <w:lang w:val="en-US"/>
        </w:rPr>
        <w:t xml:space="preserve"> </w:t>
      </w:r>
      <w:r w:rsidR="00AA637B" w:rsidRPr="007B2402">
        <w:rPr>
          <w:rFonts w:eastAsia="Calibri" w:cs="Times New Roman"/>
          <w:szCs w:val="20"/>
          <w:lang w:val="en-US"/>
        </w:rPr>
        <w:t>São Paulo Federal Justice System</w:t>
      </w:r>
      <w:r w:rsidR="005427CB" w:rsidRPr="007B2402">
        <w:rPr>
          <w:rFonts w:eastAsia="Calibri" w:cs="Times New Roman"/>
          <w:szCs w:val="20"/>
          <w:vertAlign w:val="superscript"/>
          <w:lang w:val="en-US"/>
        </w:rPr>
        <w:footnoteReference w:id="83"/>
      </w:r>
      <w:r w:rsidR="005427CB" w:rsidRPr="007B2402">
        <w:rPr>
          <w:rFonts w:eastAsia="Calibri" w:cs="Times New Roman"/>
          <w:szCs w:val="20"/>
          <w:lang w:val="en-US"/>
        </w:rPr>
        <w:t xml:space="preserve"> </w:t>
      </w:r>
      <w:r w:rsidR="00BA4292" w:rsidRPr="007B2402">
        <w:rPr>
          <w:rFonts w:eastAsia="Calibri" w:cs="Times New Roman"/>
          <w:szCs w:val="20"/>
          <w:lang w:val="en-US"/>
        </w:rPr>
        <w:t>to</w:t>
      </w:r>
      <w:r w:rsidR="00961178" w:rsidRPr="007B2402">
        <w:rPr>
          <w:rFonts w:eastAsia="Calibri" w:cs="Times New Roman"/>
          <w:szCs w:val="20"/>
          <w:lang w:val="en-US"/>
        </w:rPr>
        <w:t xml:space="preserve"> obtain a</w:t>
      </w:r>
      <w:r w:rsidR="00BA4292" w:rsidRPr="007B2402">
        <w:rPr>
          <w:rFonts w:eastAsia="Calibri" w:cs="Times New Roman"/>
          <w:szCs w:val="20"/>
          <w:lang w:val="en-US"/>
        </w:rPr>
        <w:t xml:space="preserve"> declar</w:t>
      </w:r>
      <w:r w:rsidR="00961178" w:rsidRPr="007B2402">
        <w:rPr>
          <w:rFonts w:eastAsia="Calibri" w:cs="Times New Roman"/>
          <w:szCs w:val="20"/>
          <w:lang w:val="en-US"/>
        </w:rPr>
        <w:t>ation of</w:t>
      </w:r>
      <w:r w:rsidR="00BA4292" w:rsidRPr="007B2402">
        <w:rPr>
          <w:rFonts w:eastAsia="Calibri" w:cs="Times New Roman"/>
          <w:szCs w:val="20"/>
          <w:lang w:val="en-US"/>
        </w:rPr>
        <w:t xml:space="preserve"> the responsibility of the Federal Union</w:t>
      </w:r>
      <w:r w:rsidR="006E3F99" w:rsidRPr="007B2402">
        <w:rPr>
          <w:rStyle w:val="Refdenotaalpie"/>
          <w:rFonts w:ascii="Verdana" w:eastAsia="Calibri" w:hAnsi="Verdana"/>
          <w:lang w:val="en-US"/>
        </w:rPr>
        <w:footnoteReference w:id="84"/>
      </w:r>
      <w:r w:rsidR="00BA4292" w:rsidRPr="007B2402">
        <w:rPr>
          <w:rFonts w:eastAsia="Calibri" w:cs="Times New Roman"/>
          <w:szCs w:val="20"/>
          <w:lang w:val="en-US"/>
        </w:rPr>
        <w:t xml:space="preserve"> for the arbitrary detention, torture and death</w:t>
      </w:r>
      <w:r w:rsidR="005427CB" w:rsidRPr="007B2402">
        <w:rPr>
          <w:rFonts w:eastAsia="Calibri" w:cs="Times New Roman"/>
          <w:szCs w:val="20"/>
          <w:lang w:val="en-US"/>
        </w:rPr>
        <w:t xml:space="preserve"> </w:t>
      </w:r>
      <w:r w:rsidR="00BA4292" w:rsidRPr="007B2402">
        <w:rPr>
          <w:rFonts w:eastAsia="Calibri" w:cs="Times New Roman"/>
          <w:szCs w:val="20"/>
          <w:lang w:val="en-US"/>
        </w:rPr>
        <w:t>of</w:t>
      </w:r>
      <w:r w:rsidR="005427CB" w:rsidRPr="007B2402">
        <w:rPr>
          <w:rFonts w:eastAsia="Calibri" w:cs="Times New Roman"/>
          <w:szCs w:val="20"/>
          <w:lang w:val="en-US"/>
        </w:rPr>
        <w:t xml:space="preserve"> Vladimir Herzog</w:t>
      </w:r>
      <w:r w:rsidR="00BA4292" w:rsidRPr="007B2402">
        <w:rPr>
          <w:rFonts w:eastAsia="Calibri" w:cs="Times New Roman"/>
          <w:szCs w:val="20"/>
          <w:lang w:val="en-US"/>
        </w:rPr>
        <w:t>.</w:t>
      </w:r>
      <w:r w:rsidR="005427CB" w:rsidRPr="007B2402">
        <w:rPr>
          <w:rFonts w:eastAsia="Calibri" w:cs="Times New Roman"/>
          <w:szCs w:val="20"/>
          <w:vertAlign w:val="superscript"/>
          <w:lang w:val="en-US"/>
        </w:rPr>
        <w:footnoteReference w:id="85"/>
      </w:r>
      <w:r w:rsidR="005427CB" w:rsidRPr="007B2402">
        <w:rPr>
          <w:rFonts w:eastAsia="Calibri" w:cs="Times New Roman"/>
          <w:szCs w:val="20"/>
          <w:lang w:val="en-US"/>
        </w:rPr>
        <w:t xml:space="preserve"> </w:t>
      </w:r>
    </w:p>
    <w:p w14:paraId="56C3B572" w14:textId="77777777" w:rsidR="005427CB" w:rsidRPr="007B2402" w:rsidRDefault="005427CB" w:rsidP="005427CB">
      <w:pPr>
        <w:spacing w:after="0" w:line="240" w:lineRule="auto"/>
        <w:jc w:val="both"/>
        <w:rPr>
          <w:rFonts w:eastAsia="Calibri" w:cs="Times New Roman"/>
          <w:b/>
          <w:szCs w:val="20"/>
          <w:lang w:val="en-US"/>
        </w:rPr>
      </w:pPr>
    </w:p>
    <w:p w14:paraId="2D14BBDE" w14:textId="112AFB3D" w:rsidR="005427CB" w:rsidRPr="007B2402" w:rsidRDefault="00BA4292" w:rsidP="00DB1F30">
      <w:pPr>
        <w:numPr>
          <w:ilvl w:val="0"/>
          <w:numId w:val="6"/>
        </w:numPr>
        <w:spacing w:after="0" w:line="240" w:lineRule="auto"/>
        <w:jc w:val="both"/>
        <w:rPr>
          <w:rFonts w:eastAsia="Calibri" w:cs="Times New Roman"/>
          <w:b/>
          <w:szCs w:val="20"/>
          <w:lang w:val="en-US"/>
        </w:rPr>
      </w:pPr>
      <w:r w:rsidRPr="007B2402">
        <w:rPr>
          <w:rFonts w:eastAsia="Calibri" w:cs="Times New Roman"/>
          <w:szCs w:val="20"/>
          <w:lang w:val="en-US"/>
        </w:rPr>
        <w:t>On June 2,</w:t>
      </w:r>
      <w:r w:rsidR="005427CB" w:rsidRPr="007B2402">
        <w:rPr>
          <w:rFonts w:eastAsia="Calibri" w:cs="Times New Roman"/>
          <w:szCs w:val="20"/>
          <w:lang w:val="en-US"/>
        </w:rPr>
        <w:t xml:space="preserve"> 1976</w:t>
      </w:r>
      <w:r w:rsidRPr="007B2402">
        <w:rPr>
          <w:rFonts w:eastAsia="Calibri" w:cs="Times New Roman"/>
          <w:szCs w:val="20"/>
          <w:lang w:val="en-US"/>
        </w:rPr>
        <w:t>, the Union presented its defense,</w:t>
      </w:r>
      <w:r w:rsidR="005427CB" w:rsidRPr="007B2402">
        <w:rPr>
          <w:rFonts w:eastAsia="Calibri" w:cs="Times New Roman"/>
          <w:szCs w:val="20"/>
          <w:vertAlign w:val="superscript"/>
          <w:lang w:val="en-US"/>
        </w:rPr>
        <w:footnoteReference w:id="86"/>
      </w:r>
      <w:r w:rsidR="005B1590" w:rsidRPr="007B2402">
        <w:rPr>
          <w:rFonts w:eastAsia="Calibri" w:cs="Times New Roman"/>
          <w:szCs w:val="20"/>
          <w:lang w:val="en-US"/>
        </w:rPr>
        <w:t xml:space="preserve"> and </w:t>
      </w:r>
      <w:r w:rsidRPr="007B2402">
        <w:rPr>
          <w:rFonts w:eastAsia="Calibri" w:cs="Times New Roman"/>
          <w:szCs w:val="20"/>
          <w:lang w:val="en-US"/>
        </w:rPr>
        <w:t>on March 16,</w:t>
      </w:r>
      <w:r w:rsidR="005427CB" w:rsidRPr="007B2402">
        <w:rPr>
          <w:rFonts w:eastAsia="Calibri" w:cs="Times New Roman"/>
          <w:szCs w:val="20"/>
          <w:lang w:val="en-US"/>
        </w:rPr>
        <w:t xml:space="preserve"> 1978</w:t>
      </w:r>
      <w:r w:rsidRPr="007B2402">
        <w:rPr>
          <w:rFonts w:eastAsia="Calibri" w:cs="Times New Roman"/>
          <w:szCs w:val="20"/>
          <w:lang w:val="en-US"/>
        </w:rPr>
        <w:t>, the federal judge rejected its preliminary arguments.</w:t>
      </w:r>
      <w:r w:rsidR="005427CB" w:rsidRPr="007B2402">
        <w:rPr>
          <w:rFonts w:eastAsia="Calibri" w:cs="Times New Roman"/>
          <w:szCs w:val="20"/>
          <w:vertAlign w:val="superscript"/>
          <w:lang w:val="en-US"/>
        </w:rPr>
        <w:footnoteReference w:id="87"/>
      </w:r>
      <w:r w:rsidRPr="007B2402">
        <w:rPr>
          <w:rFonts w:eastAsia="Calibri" w:cs="Times New Roman"/>
          <w:szCs w:val="20"/>
          <w:lang w:val="en-US"/>
        </w:rPr>
        <w:t xml:space="preserve"> On May 16,</w:t>
      </w:r>
      <w:r w:rsidR="005427CB" w:rsidRPr="007B2402">
        <w:rPr>
          <w:rFonts w:eastAsia="Calibri" w:cs="Times New Roman"/>
          <w:szCs w:val="20"/>
          <w:lang w:val="en-US"/>
        </w:rPr>
        <w:t xml:space="preserve"> 1978</w:t>
      </w:r>
      <w:r w:rsidRPr="007B2402">
        <w:rPr>
          <w:rFonts w:eastAsia="Calibri" w:cs="Times New Roman"/>
          <w:szCs w:val="20"/>
          <w:lang w:val="en-US"/>
        </w:rPr>
        <w:t>, the preliminary hearing was held.</w:t>
      </w:r>
      <w:r w:rsidR="005427CB" w:rsidRPr="007B2402">
        <w:rPr>
          <w:rFonts w:eastAsia="Calibri" w:cs="Times New Roman"/>
          <w:szCs w:val="20"/>
          <w:vertAlign w:val="superscript"/>
          <w:lang w:val="en-US"/>
        </w:rPr>
        <w:footnoteReference w:id="88"/>
      </w:r>
      <w:r w:rsidRPr="007B2402">
        <w:rPr>
          <w:rFonts w:eastAsia="Calibri" w:cs="Times New Roman"/>
          <w:szCs w:val="20"/>
          <w:lang w:val="en-US"/>
        </w:rPr>
        <w:t xml:space="preserve"> During this hearing, </w:t>
      </w:r>
      <w:r w:rsidR="005427CB" w:rsidRPr="007B2402">
        <w:rPr>
          <w:rFonts w:eastAsia="Calibri" w:cs="Times New Roman"/>
          <w:szCs w:val="20"/>
          <w:lang w:val="en-US"/>
        </w:rPr>
        <w:t xml:space="preserve">Harry Shibata </w:t>
      </w:r>
      <w:r w:rsidRPr="007B2402">
        <w:rPr>
          <w:rFonts w:eastAsia="Calibri" w:cs="Times New Roman"/>
          <w:szCs w:val="20"/>
          <w:lang w:val="en-US"/>
        </w:rPr>
        <w:t>testified that although he had signed Herzog’s autopsy report, he had never seen his corpse.</w:t>
      </w:r>
      <w:r w:rsidR="005427CB" w:rsidRPr="007B2402">
        <w:rPr>
          <w:rFonts w:eastAsia="Calibri" w:cs="Times New Roman"/>
          <w:szCs w:val="20"/>
          <w:vertAlign w:val="superscript"/>
          <w:lang w:val="en-US"/>
        </w:rPr>
        <w:footnoteReference w:id="89"/>
      </w:r>
      <w:r w:rsidRPr="007B2402">
        <w:rPr>
          <w:rFonts w:eastAsia="Calibri" w:cs="Times New Roman"/>
          <w:szCs w:val="20"/>
          <w:lang w:val="en-US"/>
        </w:rPr>
        <w:t xml:space="preserve"> Also, the journalist, </w:t>
      </w:r>
      <w:r w:rsidR="005427CB" w:rsidRPr="007B2402">
        <w:rPr>
          <w:rFonts w:eastAsia="Calibri" w:cs="Times New Roman"/>
          <w:szCs w:val="20"/>
          <w:lang w:val="en-US"/>
        </w:rPr>
        <w:t xml:space="preserve">Paulo Sérgio Markun </w:t>
      </w:r>
      <w:r w:rsidRPr="007B2402">
        <w:rPr>
          <w:rFonts w:eastAsia="Calibri" w:cs="Times New Roman"/>
          <w:szCs w:val="20"/>
          <w:lang w:val="en-US"/>
        </w:rPr>
        <w:t xml:space="preserve">stated that the testimony he had given in the context of the military police investigation had </w:t>
      </w:r>
      <w:r w:rsidRPr="007B2402">
        <w:rPr>
          <w:rFonts w:eastAsia="Calibri" w:cs="Times New Roman"/>
          <w:szCs w:val="20"/>
          <w:lang w:val="en-US"/>
        </w:rPr>
        <w:lastRenderedPageBreak/>
        <w:t>been manipulated.</w:t>
      </w:r>
      <w:r w:rsidR="005427CB" w:rsidRPr="007B2402">
        <w:rPr>
          <w:rFonts w:eastAsia="Calibri" w:cs="Times New Roman"/>
          <w:szCs w:val="20"/>
          <w:vertAlign w:val="superscript"/>
          <w:lang w:val="en-US"/>
        </w:rPr>
        <w:footnoteReference w:id="90"/>
      </w:r>
      <w:r w:rsidR="005427CB" w:rsidRPr="007B2402">
        <w:rPr>
          <w:rFonts w:eastAsia="Calibri" w:cs="Times New Roman"/>
          <w:szCs w:val="20"/>
          <w:lang w:val="en-US"/>
        </w:rPr>
        <w:t xml:space="preserve"> </w:t>
      </w:r>
      <w:r w:rsidRPr="007B2402">
        <w:rPr>
          <w:rFonts w:eastAsia="Calibri" w:cs="Times New Roman"/>
          <w:szCs w:val="20"/>
          <w:lang w:val="en-US"/>
        </w:rPr>
        <w:t>Lastly,</w:t>
      </w:r>
      <w:r w:rsidR="005427CB" w:rsidRPr="007B2402">
        <w:rPr>
          <w:rFonts w:eastAsia="Calibri" w:cs="Times New Roman"/>
          <w:szCs w:val="20"/>
          <w:lang w:val="en-US"/>
        </w:rPr>
        <w:t xml:space="preserve"> </w:t>
      </w:r>
      <w:r w:rsidR="00DC3125" w:rsidRPr="007B2402">
        <w:rPr>
          <w:rFonts w:eastAsia="Calibri" w:cs="Times New Roman"/>
          <w:szCs w:val="20"/>
          <w:lang w:val="en-US"/>
        </w:rPr>
        <w:t>Rodolfo</w:t>
      </w:r>
      <w:r w:rsidR="005427CB" w:rsidRPr="007B2402">
        <w:rPr>
          <w:rFonts w:eastAsia="Calibri" w:cs="Times New Roman"/>
          <w:szCs w:val="20"/>
          <w:lang w:val="en-US"/>
        </w:rPr>
        <w:t xml:space="preserve"> Konder </w:t>
      </w:r>
      <w:r w:rsidRPr="007B2402">
        <w:rPr>
          <w:rFonts w:eastAsia="Calibri" w:cs="Times New Roman"/>
          <w:szCs w:val="20"/>
          <w:lang w:val="en-US"/>
        </w:rPr>
        <w:t>stated that he could clearly hear Mr. Herzo</w:t>
      </w:r>
      <w:r w:rsidR="00B0525F" w:rsidRPr="007B2402">
        <w:rPr>
          <w:rFonts w:eastAsia="Calibri" w:cs="Times New Roman"/>
          <w:szCs w:val="20"/>
          <w:lang w:val="en-US"/>
        </w:rPr>
        <w:t>g</w:t>
      </w:r>
      <w:r w:rsidRPr="007B2402">
        <w:rPr>
          <w:rFonts w:eastAsia="Calibri" w:cs="Times New Roman"/>
          <w:szCs w:val="20"/>
          <w:lang w:val="en-US"/>
        </w:rPr>
        <w:t xml:space="preserve">’s cries while he was tortured by members of the </w:t>
      </w:r>
      <w:r w:rsidR="005427CB" w:rsidRPr="007B2402">
        <w:rPr>
          <w:rFonts w:eastAsia="Calibri" w:cs="Times New Roman"/>
          <w:szCs w:val="20"/>
          <w:lang w:val="en-US"/>
        </w:rPr>
        <w:t>DOI/CODI</w:t>
      </w:r>
      <w:r w:rsidRPr="007B2402">
        <w:rPr>
          <w:rFonts w:eastAsia="Calibri" w:cs="Times New Roman"/>
          <w:szCs w:val="20"/>
          <w:lang w:val="en-US"/>
        </w:rPr>
        <w:t>.</w:t>
      </w:r>
      <w:r w:rsidR="005427CB" w:rsidRPr="007B2402">
        <w:rPr>
          <w:rFonts w:eastAsia="Calibri" w:cs="Times New Roman"/>
          <w:szCs w:val="20"/>
          <w:vertAlign w:val="superscript"/>
          <w:lang w:val="en-US"/>
        </w:rPr>
        <w:footnoteReference w:id="91"/>
      </w:r>
    </w:p>
    <w:p w14:paraId="0F780B3E" w14:textId="77777777" w:rsidR="005427CB" w:rsidRPr="007B2402" w:rsidRDefault="005427CB" w:rsidP="005427CB">
      <w:pPr>
        <w:spacing w:after="0" w:line="240" w:lineRule="auto"/>
        <w:jc w:val="both"/>
        <w:rPr>
          <w:rFonts w:eastAsia="Calibri" w:cs="Times New Roman"/>
          <w:b/>
          <w:szCs w:val="20"/>
          <w:lang w:val="en-US"/>
        </w:rPr>
      </w:pPr>
    </w:p>
    <w:p w14:paraId="0B5409F7" w14:textId="0A502D82" w:rsidR="005427CB" w:rsidRPr="007B2402" w:rsidRDefault="00BA4292" w:rsidP="00DB1F30">
      <w:pPr>
        <w:numPr>
          <w:ilvl w:val="0"/>
          <w:numId w:val="6"/>
        </w:numPr>
        <w:spacing w:after="0" w:line="240" w:lineRule="auto"/>
        <w:jc w:val="both"/>
        <w:rPr>
          <w:rFonts w:eastAsia="Calibri" w:cs="Times New Roman"/>
          <w:b/>
          <w:szCs w:val="20"/>
          <w:lang w:val="en-US"/>
        </w:rPr>
      </w:pPr>
      <w:r w:rsidRPr="007B2402">
        <w:rPr>
          <w:rFonts w:eastAsia="Calibri" w:cs="Times New Roman"/>
          <w:szCs w:val="20"/>
          <w:lang w:val="en-US"/>
        </w:rPr>
        <w:t>On October 27,</w:t>
      </w:r>
      <w:r w:rsidR="005427CB" w:rsidRPr="007B2402">
        <w:rPr>
          <w:rFonts w:eastAsia="Calibri" w:cs="Times New Roman"/>
          <w:szCs w:val="20"/>
          <w:lang w:val="en-US"/>
        </w:rPr>
        <w:t xml:space="preserve"> 1978</w:t>
      </w:r>
      <w:r w:rsidRPr="007B2402">
        <w:rPr>
          <w:rFonts w:eastAsia="Calibri" w:cs="Times New Roman"/>
          <w:szCs w:val="20"/>
          <w:lang w:val="en-US"/>
        </w:rPr>
        <w:t>, the federal judge,</w:t>
      </w:r>
      <w:r w:rsidR="005427CB" w:rsidRPr="007B2402">
        <w:rPr>
          <w:rFonts w:eastAsia="Calibri" w:cs="Times New Roman"/>
          <w:szCs w:val="20"/>
          <w:lang w:val="en-US"/>
        </w:rPr>
        <w:t xml:space="preserve"> Marció José de Moraes</w:t>
      </w:r>
      <w:r w:rsidRPr="007B2402">
        <w:rPr>
          <w:rFonts w:eastAsia="Calibri" w:cs="Times New Roman"/>
          <w:szCs w:val="20"/>
          <w:lang w:val="en-US"/>
        </w:rPr>
        <w:t xml:space="preserve">, delivered judgment declaring that </w:t>
      </w:r>
      <w:r w:rsidR="005427CB" w:rsidRPr="007B2402">
        <w:rPr>
          <w:rFonts w:eastAsia="Calibri" w:cs="Times New Roman"/>
          <w:szCs w:val="20"/>
          <w:lang w:val="en-US"/>
        </w:rPr>
        <w:t>Vladimir Herzog ha</w:t>
      </w:r>
      <w:r w:rsidRPr="007B2402">
        <w:rPr>
          <w:rFonts w:eastAsia="Calibri" w:cs="Times New Roman"/>
          <w:szCs w:val="20"/>
          <w:lang w:val="en-US"/>
        </w:rPr>
        <w:t xml:space="preserve">d died from unnatural causes when he was in the </w:t>
      </w:r>
      <w:r w:rsidR="005427CB" w:rsidRPr="007B2402">
        <w:rPr>
          <w:rFonts w:eastAsia="Calibri" w:cs="Times New Roman"/>
          <w:szCs w:val="20"/>
          <w:lang w:val="en-US"/>
        </w:rPr>
        <w:t xml:space="preserve">DOI/CODI/SP. </w:t>
      </w:r>
      <w:r w:rsidRPr="007B2402">
        <w:rPr>
          <w:rFonts w:eastAsia="Calibri" w:cs="Times New Roman"/>
          <w:szCs w:val="20"/>
          <w:lang w:val="en-US"/>
        </w:rPr>
        <w:t xml:space="preserve">The judge indicated that there had been no reason for </w:t>
      </w:r>
      <w:r w:rsidR="00961178" w:rsidRPr="007B2402">
        <w:rPr>
          <w:rFonts w:eastAsia="Calibri" w:cs="Times New Roman"/>
          <w:szCs w:val="20"/>
          <w:lang w:val="en-US"/>
        </w:rPr>
        <w:t xml:space="preserve">Mr. </w:t>
      </w:r>
      <w:r w:rsidRPr="007B2402">
        <w:rPr>
          <w:rFonts w:eastAsia="Calibri" w:cs="Times New Roman"/>
          <w:szCs w:val="20"/>
          <w:lang w:val="en-US"/>
        </w:rPr>
        <w:t>Herzog to wear a belt because he was wearing a one-piece suit; he also referred to the illegality of Vladimir Herzog’s detention, as well as the evidence of the torture to which he had been subjected.</w:t>
      </w:r>
      <w:r w:rsidR="007628C6" w:rsidRPr="007B2402">
        <w:rPr>
          <w:rStyle w:val="Refdenotaalpie"/>
          <w:rFonts w:ascii="Verdana" w:eastAsia="Calibri" w:hAnsi="Verdana"/>
          <w:lang w:val="en-US"/>
        </w:rPr>
        <w:footnoteReference w:id="92"/>
      </w:r>
    </w:p>
    <w:p w14:paraId="320F044D" w14:textId="77777777" w:rsidR="005427CB" w:rsidRPr="007B2402" w:rsidRDefault="005427CB" w:rsidP="00961178">
      <w:pPr>
        <w:spacing w:after="0"/>
        <w:ind w:left="720"/>
        <w:contextualSpacing/>
        <w:rPr>
          <w:rFonts w:eastAsia="Calibri" w:cs="Times New Roman"/>
          <w:szCs w:val="20"/>
          <w:lang w:val="en-US"/>
        </w:rPr>
      </w:pPr>
    </w:p>
    <w:p w14:paraId="0524C0F6" w14:textId="0B81AB97" w:rsidR="005427CB" w:rsidRPr="007B2402" w:rsidRDefault="005427CB" w:rsidP="00BA4292">
      <w:pPr>
        <w:numPr>
          <w:ilvl w:val="0"/>
          <w:numId w:val="6"/>
        </w:numPr>
        <w:spacing w:after="0" w:line="240" w:lineRule="auto"/>
        <w:jc w:val="both"/>
        <w:rPr>
          <w:rFonts w:eastAsia="Calibri" w:cs="Times New Roman"/>
          <w:b/>
          <w:szCs w:val="20"/>
          <w:lang w:val="en-US"/>
        </w:rPr>
      </w:pPr>
      <w:r w:rsidRPr="007B2402">
        <w:rPr>
          <w:rFonts w:eastAsia="Calibri" w:cs="Times New Roman"/>
          <w:szCs w:val="20"/>
          <w:lang w:val="en-US"/>
        </w:rPr>
        <w:t xml:space="preserve"> </w:t>
      </w:r>
      <w:r w:rsidR="00BA4292" w:rsidRPr="007B2402">
        <w:rPr>
          <w:rFonts w:eastAsia="Calibri" w:cs="Times New Roman"/>
          <w:szCs w:val="20"/>
          <w:lang w:val="en-US"/>
        </w:rPr>
        <w:t>The j</w:t>
      </w:r>
      <w:r w:rsidR="00AF4344" w:rsidRPr="007B2402">
        <w:rPr>
          <w:rFonts w:eastAsia="Calibri" w:cs="Times New Roman"/>
          <w:szCs w:val="20"/>
          <w:lang w:val="en-US"/>
        </w:rPr>
        <w:t>udge</w:t>
      </w:r>
      <w:r w:rsidRPr="007B2402">
        <w:rPr>
          <w:rFonts w:eastAsia="Calibri" w:cs="Times New Roman"/>
          <w:szCs w:val="20"/>
          <w:lang w:val="en-US"/>
        </w:rPr>
        <w:t xml:space="preserve"> </w:t>
      </w:r>
      <w:r w:rsidR="00BA4292" w:rsidRPr="007B2402">
        <w:rPr>
          <w:rFonts w:eastAsia="Calibri" w:cs="Times New Roman"/>
          <w:szCs w:val="20"/>
          <w:lang w:val="en-US"/>
        </w:rPr>
        <w:t>asserted that the supplementary report (whose main conclusion was the ‘occurrence of suicide by han</w:t>
      </w:r>
      <w:r w:rsidR="00202BD3" w:rsidRPr="007B2402">
        <w:rPr>
          <w:rFonts w:eastAsia="Calibri" w:cs="Times New Roman"/>
          <w:szCs w:val="20"/>
          <w:lang w:val="en-US"/>
        </w:rPr>
        <w:t>g</w:t>
      </w:r>
      <w:r w:rsidR="00BA4292" w:rsidRPr="007B2402">
        <w:rPr>
          <w:rFonts w:eastAsia="Calibri" w:cs="Times New Roman"/>
          <w:szCs w:val="20"/>
          <w:lang w:val="en-US"/>
        </w:rPr>
        <w:t xml:space="preserve">ing’) was worthless because this document had been drawn up based on the autopsy report, which had been proved to have been </w:t>
      </w:r>
      <w:r w:rsidR="00202BD3" w:rsidRPr="007B2402">
        <w:rPr>
          <w:rFonts w:eastAsia="Calibri" w:cs="Times New Roman"/>
          <w:szCs w:val="20"/>
          <w:lang w:val="en-US"/>
        </w:rPr>
        <w:t>fabricated</w:t>
      </w:r>
      <w:r w:rsidR="00BA4292" w:rsidRPr="007B2402">
        <w:rPr>
          <w:rFonts w:eastAsia="Calibri" w:cs="Times New Roman"/>
          <w:szCs w:val="20"/>
          <w:lang w:val="en-US"/>
        </w:rPr>
        <w:t>. He also noted that the statements</w:t>
      </w:r>
      <w:r w:rsidR="00202BD3" w:rsidRPr="007B2402">
        <w:rPr>
          <w:rFonts w:eastAsia="Calibri" w:cs="Times New Roman"/>
          <w:szCs w:val="20"/>
          <w:lang w:val="en-US"/>
        </w:rPr>
        <w:t xml:space="preserve"> taken during the Army’s investigation</w:t>
      </w:r>
      <w:r w:rsidR="00BA4292" w:rsidRPr="007B2402">
        <w:rPr>
          <w:rFonts w:eastAsia="Calibri" w:cs="Times New Roman"/>
          <w:szCs w:val="20"/>
          <w:lang w:val="en-US"/>
        </w:rPr>
        <w:t xml:space="preserve"> in favor of the Federal Union</w:t>
      </w:r>
      <w:r w:rsidR="00202BD3" w:rsidRPr="007B2402">
        <w:rPr>
          <w:rFonts w:eastAsia="Calibri" w:cs="Times New Roman"/>
          <w:szCs w:val="20"/>
          <w:lang w:val="en-US"/>
        </w:rPr>
        <w:t>’s version</w:t>
      </w:r>
      <w:r w:rsidR="00BA4292" w:rsidRPr="007B2402">
        <w:rPr>
          <w:rFonts w:eastAsia="Calibri" w:cs="Times New Roman"/>
          <w:szCs w:val="20"/>
          <w:lang w:val="en-US"/>
        </w:rPr>
        <w:t xml:space="preserve"> had not been repeated during the proceeding and </w:t>
      </w:r>
      <w:r w:rsidR="00202BD3" w:rsidRPr="007B2402">
        <w:rPr>
          <w:rFonts w:eastAsia="Calibri" w:cs="Times New Roman"/>
          <w:szCs w:val="20"/>
          <w:lang w:val="en-US"/>
        </w:rPr>
        <w:t>had no</w:t>
      </w:r>
      <w:r w:rsidR="00BA4292" w:rsidRPr="007B2402">
        <w:rPr>
          <w:rFonts w:eastAsia="Calibri" w:cs="Times New Roman"/>
          <w:szCs w:val="20"/>
          <w:lang w:val="en-US"/>
        </w:rPr>
        <w:t xml:space="preserve"> probative value because they were completely contrary to the testimonies taken judicially </w:t>
      </w:r>
      <w:r w:rsidR="00202BD3" w:rsidRPr="007B2402">
        <w:rPr>
          <w:rFonts w:eastAsia="Calibri" w:cs="Times New Roman"/>
          <w:szCs w:val="20"/>
          <w:lang w:val="en-US"/>
        </w:rPr>
        <w:t>in keeping</w:t>
      </w:r>
      <w:r w:rsidR="00BA4292" w:rsidRPr="007B2402">
        <w:rPr>
          <w:rFonts w:eastAsia="Calibri" w:cs="Times New Roman"/>
          <w:szCs w:val="20"/>
          <w:lang w:val="en-US"/>
        </w:rPr>
        <w:t xml:space="preserve"> with the adversarial principle.</w:t>
      </w:r>
      <w:r w:rsidR="007628C6" w:rsidRPr="007B2402">
        <w:rPr>
          <w:rStyle w:val="Refdenotaalpie"/>
          <w:rFonts w:ascii="Verdana" w:eastAsia="Calibri" w:hAnsi="Verdana"/>
          <w:lang w:val="en-US"/>
        </w:rPr>
        <w:footnoteReference w:id="93"/>
      </w:r>
      <w:r w:rsidRPr="007B2402">
        <w:rPr>
          <w:rFonts w:eastAsia="Calibri" w:cs="Times New Roman"/>
          <w:szCs w:val="20"/>
          <w:lang w:val="en-US"/>
        </w:rPr>
        <w:t xml:space="preserve"> </w:t>
      </w:r>
      <w:r w:rsidR="00BA4292" w:rsidRPr="007B2402">
        <w:rPr>
          <w:rFonts w:eastAsia="Calibri" w:cs="Times New Roman"/>
          <w:szCs w:val="20"/>
          <w:lang w:val="en-US"/>
        </w:rPr>
        <w:t>Thus, the Federal Union was unable to prove its version of Vladimir</w:t>
      </w:r>
      <w:r w:rsidRPr="007B2402">
        <w:rPr>
          <w:rFonts w:eastAsia="Calibri" w:cs="Times New Roman"/>
          <w:szCs w:val="20"/>
          <w:lang w:val="en-US"/>
        </w:rPr>
        <w:t xml:space="preserve"> </w:t>
      </w:r>
      <w:r w:rsidR="00C03092" w:rsidRPr="007B2402">
        <w:rPr>
          <w:rFonts w:eastAsia="Calibri" w:cs="Times New Roman"/>
          <w:szCs w:val="20"/>
          <w:lang w:val="en-US"/>
        </w:rPr>
        <w:t>Herzog</w:t>
      </w:r>
      <w:r w:rsidR="00BA4292" w:rsidRPr="007B2402">
        <w:rPr>
          <w:rFonts w:eastAsia="Calibri" w:cs="Times New Roman"/>
          <w:szCs w:val="20"/>
          <w:lang w:val="en-US"/>
        </w:rPr>
        <w:t>’s suicide</w:t>
      </w:r>
      <w:r w:rsidRPr="007B2402">
        <w:rPr>
          <w:rFonts w:eastAsia="Calibri" w:cs="Times New Roman"/>
          <w:szCs w:val="20"/>
          <w:lang w:val="en-US"/>
        </w:rPr>
        <w:t>.</w:t>
      </w:r>
      <w:r w:rsidR="00B02AAB" w:rsidRPr="007B2402">
        <w:rPr>
          <w:rFonts w:eastAsia="Calibri" w:cs="Times New Roman"/>
          <w:szCs w:val="20"/>
          <w:lang w:val="en-US"/>
        </w:rPr>
        <w:t xml:space="preserve"> </w:t>
      </w:r>
    </w:p>
    <w:p w14:paraId="6E0B5FAD" w14:textId="77777777" w:rsidR="005427CB" w:rsidRPr="007B2402" w:rsidRDefault="005427CB" w:rsidP="00202BD3">
      <w:pPr>
        <w:spacing w:after="0"/>
        <w:ind w:left="720"/>
        <w:contextualSpacing/>
        <w:rPr>
          <w:rFonts w:eastAsia="Calibri" w:cs="Times New Roman"/>
          <w:szCs w:val="20"/>
          <w:lang w:val="en-US"/>
        </w:rPr>
      </w:pPr>
    </w:p>
    <w:p w14:paraId="45626689" w14:textId="5FDD50A1" w:rsidR="005427CB" w:rsidRPr="007B2402" w:rsidRDefault="00891DD7" w:rsidP="00DB1F30">
      <w:pPr>
        <w:numPr>
          <w:ilvl w:val="0"/>
          <w:numId w:val="6"/>
        </w:numPr>
        <w:spacing w:after="0" w:line="240" w:lineRule="auto"/>
        <w:jc w:val="both"/>
        <w:rPr>
          <w:rFonts w:eastAsia="Calibri" w:cs="Times New Roman"/>
          <w:b/>
          <w:szCs w:val="20"/>
          <w:lang w:val="en-US"/>
        </w:rPr>
      </w:pPr>
      <w:r w:rsidRPr="007B2402">
        <w:rPr>
          <w:rFonts w:eastAsia="Calibri" w:cs="Times New Roman"/>
          <w:szCs w:val="20"/>
          <w:lang w:val="en-US"/>
        </w:rPr>
        <w:t>In addition, the judge concluded that the crimes of abuse of power</w:t>
      </w:r>
      <w:r w:rsidR="00202BD3" w:rsidRPr="007B2402">
        <w:rPr>
          <w:rFonts w:eastAsia="Calibri" w:cs="Times New Roman"/>
          <w:szCs w:val="20"/>
          <w:lang w:val="en-US"/>
        </w:rPr>
        <w:t xml:space="preserve"> and </w:t>
      </w:r>
      <w:r w:rsidRPr="007B2402">
        <w:rPr>
          <w:rFonts w:eastAsia="Calibri" w:cs="Times New Roman"/>
          <w:szCs w:val="20"/>
          <w:lang w:val="en-US"/>
        </w:rPr>
        <w:t xml:space="preserve">torture had been </w:t>
      </w:r>
      <w:r w:rsidR="00202BD3" w:rsidRPr="007B2402">
        <w:rPr>
          <w:rFonts w:eastAsia="Calibri" w:cs="Times New Roman"/>
          <w:szCs w:val="20"/>
          <w:lang w:val="en-US"/>
        </w:rPr>
        <w:t>perpetrated</w:t>
      </w:r>
      <w:r w:rsidRPr="007B2402">
        <w:rPr>
          <w:rFonts w:eastAsia="Calibri" w:cs="Times New Roman"/>
          <w:szCs w:val="20"/>
          <w:lang w:val="en-US"/>
        </w:rPr>
        <w:t xml:space="preserve"> against</w:t>
      </w:r>
      <w:r w:rsidR="005427CB" w:rsidRPr="007B2402">
        <w:rPr>
          <w:rFonts w:eastAsia="Calibri" w:cs="Times New Roman"/>
          <w:szCs w:val="20"/>
          <w:lang w:val="en-US"/>
        </w:rPr>
        <w:t xml:space="preserve"> Vladimir Her</w:t>
      </w:r>
      <w:r w:rsidR="00E14011" w:rsidRPr="007B2402">
        <w:rPr>
          <w:rFonts w:eastAsia="Calibri" w:cs="Times New Roman"/>
          <w:szCs w:val="20"/>
          <w:lang w:val="en-US"/>
        </w:rPr>
        <w:t>z</w:t>
      </w:r>
      <w:r w:rsidR="005427CB" w:rsidRPr="007B2402">
        <w:rPr>
          <w:rFonts w:eastAsia="Calibri" w:cs="Times New Roman"/>
          <w:szCs w:val="20"/>
          <w:lang w:val="en-US"/>
        </w:rPr>
        <w:t>og</w:t>
      </w:r>
      <w:r w:rsidR="005B1590" w:rsidRPr="007B2402">
        <w:rPr>
          <w:rFonts w:eastAsia="Calibri" w:cs="Times New Roman"/>
          <w:szCs w:val="20"/>
          <w:lang w:val="en-US"/>
        </w:rPr>
        <w:t xml:space="preserve"> and </w:t>
      </w:r>
      <w:r w:rsidRPr="007B2402">
        <w:rPr>
          <w:rFonts w:eastAsia="Calibri" w:cs="Times New Roman"/>
          <w:szCs w:val="20"/>
          <w:lang w:val="en-US"/>
        </w:rPr>
        <w:t xml:space="preserve">the other political prisoners detained in the </w:t>
      </w:r>
      <w:r w:rsidR="005427CB" w:rsidRPr="007B2402">
        <w:rPr>
          <w:rFonts w:eastAsia="Calibri" w:cs="Times New Roman"/>
          <w:szCs w:val="20"/>
          <w:lang w:val="en-US"/>
        </w:rPr>
        <w:t xml:space="preserve">DOI/CODI, </w:t>
      </w:r>
      <w:r w:rsidRPr="007B2402">
        <w:rPr>
          <w:rFonts w:eastAsia="Calibri" w:cs="Times New Roman"/>
          <w:szCs w:val="20"/>
          <w:lang w:val="en-US"/>
        </w:rPr>
        <w:t xml:space="preserve">and therefore required that the case file be forwarded to the </w:t>
      </w:r>
      <w:r w:rsidR="00202BD3" w:rsidRPr="007B2402">
        <w:rPr>
          <w:rFonts w:eastAsia="Calibri" w:cs="Times New Roman"/>
          <w:szCs w:val="20"/>
          <w:lang w:val="en-US"/>
        </w:rPr>
        <w:t>p</w:t>
      </w:r>
      <w:r w:rsidRPr="007B2402">
        <w:rPr>
          <w:rFonts w:eastAsia="Calibri" w:cs="Times New Roman"/>
          <w:szCs w:val="20"/>
          <w:lang w:val="en-US"/>
        </w:rPr>
        <w:t>rosecutor of the Military Jurisdiction.</w:t>
      </w:r>
      <w:r w:rsidR="007628C6" w:rsidRPr="007B2402">
        <w:rPr>
          <w:rFonts w:eastAsia="Calibri" w:cs="Times New Roman"/>
          <w:szCs w:val="20"/>
          <w:vertAlign w:val="superscript"/>
          <w:lang w:val="en-US"/>
        </w:rPr>
        <w:footnoteReference w:id="94"/>
      </w:r>
      <w:r w:rsidR="005427CB" w:rsidRPr="007B2402">
        <w:rPr>
          <w:rFonts w:eastAsia="Calibri" w:cs="Times New Roman"/>
          <w:szCs w:val="20"/>
          <w:lang w:val="en-US"/>
        </w:rPr>
        <w:t xml:space="preserve"> </w:t>
      </w:r>
    </w:p>
    <w:p w14:paraId="6B0464D1" w14:textId="77777777" w:rsidR="005427CB" w:rsidRPr="007B2402" w:rsidRDefault="005427CB" w:rsidP="005427CB">
      <w:pPr>
        <w:spacing w:after="0" w:line="240" w:lineRule="auto"/>
        <w:jc w:val="both"/>
        <w:rPr>
          <w:rFonts w:eastAsia="Calibri" w:cs="Times New Roman"/>
          <w:b/>
          <w:szCs w:val="20"/>
          <w:lang w:val="en-US"/>
        </w:rPr>
      </w:pPr>
    </w:p>
    <w:p w14:paraId="229C97F8" w14:textId="0363AD1F" w:rsidR="005427CB" w:rsidRPr="007B2402" w:rsidRDefault="00891DD7" w:rsidP="00891DD7">
      <w:pPr>
        <w:numPr>
          <w:ilvl w:val="0"/>
          <w:numId w:val="6"/>
        </w:numPr>
        <w:spacing w:after="0" w:line="240" w:lineRule="auto"/>
        <w:jc w:val="both"/>
        <w:rPr>
          <w:rFonts w:eastAsia="Calibri" w:cs="Times New Roman"/>
          <w:b/>
          <w:szCs w:val="20"/>
          <w:lang w:val="en-US"/>
        </w:rPr>
      </w:pPr>
      <w:r w:rsidRPr="007B2402">
        <w:rPr>
          <w:rFonts w:eastAsia="Calibri" w:cs="Times New Roman"/>
          <w:szCs w:val="20"/>
          <w:lang w:val="en-US"/>
        </w:rPr>
        <w:t xml:space="preserve">The Union filed an appeal against this judgment on November 17, </w:t>
      </w:r>
      <w:r w:rsidR="005427CB" w:rsidRPr="007B2402">
        <w:rPr>
          <w:rFonts w:eastAsia="Calibri" w:cs="Times New Roman"/>
          <w:szCs w:val="20"/>
          <w:lang w:val="en-US"/>
        </w:rPr>
        <w:t>1978</w:t>
      </w:r>
      <w:r w:rsidRPr="007B2402">
        <w:rPr>
          <w:rFonts w:eastAsia="Calibri" w:cs="Times New Roman"/>
          <w:szCs w:val="20"/>
          <w:lang w:val="en-US"/>
        </w:rPr>
        <w:t>.</w:t>
      </w:r>
      <w:r w:rsidR="005427CB" w:rsidRPr="007B2402">
        <w:rPr>
          <w:rFonts w:eastAsia="Calibri" w:cs="Times New Roman"/>
          <w:szCs w:val="20"/>
          <w:vertAlign w:val="superscript"/>
          <w:lang w:val="en-US"/>
        </w:rPr>
        <w:footnoteReference w:id="95"/>
      </w:r>
      <w:r w:rsidR="005427CB" w:rsidRPr="007B2402">
        <w:rPr>
          <w:rFonts w:eastAsia="Calibri" w:cs="Times New Roman"/>
          <w:szCs w:val="20"/>
          <w:lang w:val="en-US"/>
        </w:rPr>
        <w:t xml:space="preserve"> </w:t>
      </w:r>
      <w:r w:rsidRPr="007B2402">
        <w:rPr>
          <w:rFonts w:eastAsia="Calibri" w:cs="Times New Roman"/>
          <w:szCs w:val="20"/>
          <w:lang w:val="en-US"/>
        </w:rPr>
        <w:t>I</w:t>
      </w:r>
      <w:r w:rsidR="005427CB" w:rsidRPr="007B2402">
        <w:rPr>
          <w:rFonts w:eastAsia="Calibri" w:cs="Times New Roman"/>
          <w:szCs w:val="20"/>
          <w:lang w:val="en-US"/>
        </w:rPr>
        <w:t>n 1983</w:t>
      </w:r>
      <w:r w:rsidRPr="007B2402">
        <w:rPr>
          <w:rFonts w:eastAsia="Calibri" w:cs="Times New Roman"/>
          <w:szCs w:val="20"/>
          <w:lang w:val="en-US"/>
        </w:rPr>
        <w:t xml:space="preserve">, </w:t>
      </w:r>
      <w:r w:rsidR="005427CB" w:rsidRPr="007B2402">
        <w:rPr>
          <w:rFonts w:eastAsia="Calibri" w:cs="Times New Roman"/>
          <w:szCs w:val="20"/>
          <w:lang w:val="en-US"/>
        </w:rPr>
        <w:t xml:space="preserve"> </w:t>
      </w:r>
      <w:r w:rsidRPr="007B2402">
        <w:rPr>
          <w:rFonts w:eastAsia="Calibri" w:cs="Times New Roman"/>
          <w:szCs w:val="20"/>
          <w:lang w:val="en-US"/>
        </w:rPr>
        <w:t>the</w:t>
      </w:r>
      <w:r w:rsidR="005427CB" w:rsidRPr="007B2402">
        <w:rPr>
          <w:rFonts w:eastAsia="Calibri" w:cs="Times New Roman"/>
          <w:szCs w:val="20"/>
          <w:lang w:val="en-US"/>
        </w:rPr>
        <w:t xml:space="preserve"> </w:t>
      </w:r>
      <w:r w:rsidRPr="007B2402">
        <w:rPr>
          <w:rFonts w:eastAsia="Calibri" w:cs="Times New Roman"/>
          <w:szCs w:val="20"/>
          <w:lang w:val="en-US"/>
        </w:rPr>
        <w:t>Federal Appeals Court</w:t>
      </w:r>
      <w:r w:rsidR="005427CB" w:rsidRPr="007B2402">
        <w:rPr>
          <w:rFonts w:eastAsia="Calibri" w:cs="Times New Roman"/>
          <w:szCs w:val="20"/>
          <w:lang w:val="en-US"/>
        </w:rPr>
        <w:t xml:space="preserve"> declar</w:t>
      </w:r>
      <w:r w:rsidRPr="007B2402">
        <w:rPr>
          <w:rFonts w:eastAsia="Calibri" w:cs="Times New Roman"/>
          <w:szCs w:val="20"/>
          <w:lang w:val="en-US"/>
        </w:rPr>
        <w:t xml:space="preserve">ed that a legal relationship existed between the parties of the </w:t>
      </w:r>
      <w:r w:rsidR="00BA4292" w:rsidRPr="007B2402">
        <w:rPr>
          <w:rFonts w:eastAsia="Calibri" w:cs="Times New Roman"/>
          <w:szCs w:val="20"/>
          <w:lang w:val="en-US"/>
        </w:rPr>
        <w:t xml:space="preserve">Declaratory </w:t>
      </w:r>
      <w:r w:rsidRPr="007B2402">
        <w:rPr>
          <w:rFonts w:eastAsia="Calibri" w:cs="Times New Roman"/>
          <w:szCs w:val="20"/>
          <w:lang w:val="en-US"/>
        </w:rPr>
        <w:t>A</w:t>
      </w:r>
      <w:r w:rsidR="00BA4292" w:rsidRPr="007B2402">
        <w:rPr>
          <w:rFonts w:eastAsia="Calibri" w:cs="Times New Roman"/>
          <w:szCs w:val="20"/>
          <w:lang w:val="en-US"/>
        </w:rPr>
        <w:t>ction</w:t>
      </w:r>
      <w:r w:rsidR="005B1590" w:rsidRPr="007B2402">
        <w:rPr>
          <w:rFonts w:eastAsia="Calibri" w:cs="Times New Roman"/>
          <w:szCs w:val="20"/>
          <w:lang w:val="en-US"/>
        </w:rPr>
        <w:t xml:space="preserve"> and </w:t>
      </w:r>
      <w:r w:rsidRPr="007B2402">
        <w:rPr>
          <w:rFonts w:eastAsia="Calibri" w:cs="Times New Roman"/>
          <w:szCs w:val="20"/>
          <w:lang w:val="en-US"/>
        </w:rPr>
        <w:t xml:space="preserve">the Union, which consisted in the obligation of the latter to compensate the damage arising from </w:t>
      </w:r>
      <w:r w:rsidR="00202BD3" w:rsidRPr="007B2402">
        <w:rPr>
          <w:rFonts w:eastAsia="Calibri" w:cs="Times New Roman"/>
          <w:szCs w:val="20"/>
          <w:lang w:val="en-US"/>
        </w:rPr>
        <w:t xml:space="preserve">Mr. </w:t>
      </w:r>
      <w:r w:rsidRPr="007B2402">
        <w:rPr>
          <w:rFonts w:eastAsia="Calibri" w:cs="Times New Roman"/>
          <w:szCs w:val="20"/>
          <w:lang w:val="en-US"/>
        </w:rPr>
        <w:t xml:space="preserve">Herzog’s death, and indicated that damages should be claimed by an action for compensation. The Union filed </w:t>
      </w:r>
      <w:r w:rsidR="00FB2E95" w:rsidRPr="007B2402">
        <w:rPr>
          <w:rFonts w:eastAsia="Calibri" w:cs="Times New Roman"/>
          <w:szCs w:val="20"/>
          <w:lang w:val="en-US"/>
        </w:rPr>
        <w:t>a request</w:t>
      </w:r>
      <w:r w:rsidR="00202BD3" w:rsidRPr="007B2402">
        <w:rPr>
          <w:rFonts w:eastAsia="Calibri" w:cs="Times New Roman"/>
          <w:szCs w:val="20"/>
          <w:lang w:val="en-US"/>
        </w:rPr>
        <w:t xml:space="preserve"> for reconsideration</w:t>
      </w:r>
      <w:r w:rsidR="00FB2E95" w:rsidRPr="007B2402">
        <w:rPr>
          <w:rFonts w:eastAsia="Calibri" w:cs="Times New Roman"/>
          <w:szCs w:val="20"/>
          <w:lang w:val="en-US"/>
        </w:rPr>
        <w:t xml:space="preserve"> </w:t>
      </w:r>
      <w:r w:rsidR="00202BD3" w:rsidRPr="007B2402">
        <w:rPr>
          <w:rFonts w:eastAsia="Calibri" w:cs="Times New Roman"/>
          <w:szCs w:val="20"/>
          <w:lang w:val="en-US"/>
        </w:rPr>
        <w:t>of</w:t>
      </w:r>
      <w:r w:rsidRPr="007B2402">
        <w:rPr>
          <w:rFonts w:eastAsia="Calibri" w:cs="Times New Roman"/>
          <w:szCs w:val="20"/>
          <w:lang w:val="en-US"/>
        </w:rPr>
        <w:t xml:space="preserve"> this decision</w:t>
      </w:r>
      <w:r w:rsidR="00FB2E95" w:rsidRPr="007B2402">
        <w:rPr>
          <w:rFonts w:eastAsia="Calibri" w:cs="Times New Roman"/>
          <w:szCs w:val="20"/>
          <w:lang w:val="en-US"/>
        </w:rPr>
        <w:t xml:space="preserve"> (</w:t>
      </w:r>
      <w:r w:rsidR="00FB2E95" w:rsidRPr="007B2402">
        <w:rPr>
          <w:rFonts w:eastAsia="Times New Roman" w:cs="Arial"/>
          <w:sz w:val="16"/>
          <w:szCs w:val="16"/>
          <w:shd w:val="clear" w:color="auto" w:fill="FFFFFF"/>
          <w:lang w:val="en-US" w:eastAsia="en-GB"/>
        </w:rPr>
        <w:t>“</w:t>
      </w:r>
      <w:r w:rsidR="00FB2E95" w:rsidRPr="007B2402">
        <w:rPr>
          <w:rFonts w:eastAsia="Times New Roman" w:cs="Arial"/>
          <w:i/>
          <w:iCs/>
          <w:szCs w:val="20"/>
          <w:shd w:val="clear" w:color="auto" w:fill="FFFFFF"/>
          <w:lang w:val="en-US" w:eastAsia="en-GB"/>
        </w:rPr>
        <w:t>embargos infringentes</w:t>
      </w:r>
      <w:r w:rsidR="00FB2E95" w:rsidRPr="007B2402">
        <w:rPr>
          <w:rFonts w:eastAsia="Times New Roman" w:cs="Arial"/>
          <w:szCs w:val="20"/>
          <w:shd w:val="clear" w:color="auto" w:fill="FFFFFF"/>
          <w:lang w:val="en-US" w:eastAsia="en-GB"/>
        </w:rPr>
        <w:t>”</w:t>
      </w:r>
      <w:r w:rsidR="00FB2E95" w:rsidRPr="007B2402">
        <w:rPr>
          <w:rFonts w:eastAsia="Calibri" w:cs="Times New Roman"/>
          <w:szCs w:val="20"/>
          <w:lang w:val="en-US"/>
        </w:rPr>
        <w:t>)</w:t>
      </w:r>
      <w:r w:rsidRPr="007B2402">
        <w:rPr>
          <w:rFonts w:eastAsia="Calibri" w:cs="Times New Roman"/>
          <w:szCs w:val="20"/>
          <w:lang w:val="en-US"/>
        </w:rPr>
        <w:t>.</w:t>
      </w:r>
      <w:r w:rsidR="00856FF0" w:rsidRPr="007B2402">
        <w:rPr>
          <w:rStyle w:val="Refdenotaalpie"/>
          <w:rFonts w:ascii="Verdana" w:eastAsia="Calibri" w:hAnsi="Verdana"/>
          <w:lang w:val="en-US"/>
        </w:rPr>
        <w:footnoteReference w:id="96"/>
      </w:r>
      <w:r w:rsidR="005427CB" w:rsidRPr="007B2402">
        <w:rPr>
          <w:rFonts w:eastAsia="Calibri" w:cs="Times New Roman"/>
          <w:szCs w:val="20"/>
          <w:lang w:val="en-US"/>
        </w:rPr>
        <w:t xml:space="preserve"> </w:t>
      </w:r>
      <w:r w:rsidRPr="007B2402">
        <w:rPr>
          <w:rFonts w:eastAsia="Calibri" w:cs="Times New Roman"/>
          <w:szCs w:val="20"/>
          <w:lang w:val="en-US"/>
        </w:rPr>
        <w:t xml:space="preserve">On May 18, </w:t>
      </w:r>
      <w:r w:rsidR="005427CB" w:rsidRPr="007B2402">
        <w:rPr>
          <w:rFonts w:eastAsia="Calibri" w:cs="Times New Roman"/>
          <w:szCs w:val="20"/>
          <w:lang w:val="en-US"/>
        </w:rPr>
        <w:t>1994</w:t>
      </w:r>
      <w:r w:rsidRPr="007B2402">
        <w:rPr>
          <w:rFonts w:eastAsia="Calibri" w:cs="Times New Roman"/>
          <w:szCs w:val="20"/>
          <w:lang w:val="en-US"/>
        </w:rPr>
        <w:t>,</w:t>
      </w:r>
      <w:r w:rsidR="005427CB" w:rsidRPr="007B2402">
        <w:rPr>
          <w:rFonts w:eastAsia="Calibri" w:cs="Times New Roman"/>
          <w:szCs w:val="20"/>
          <w:lang w:val="en-US"/>
        </w:rPr>
        <w:t xml:space="preserve"> </w:t>
      </w:r>
      <w:r w:rsidRPr="007B2402">
        <w:rPr>
          <w:rFonts w:eastAsia="Calibri" w:cs="Times New Roman"/>
          <w:szCs w:val="20"/>
          <w:lang w:val="en-US"/>
        </w:rPr>
        <w:t>the</w:t>
      </w:r>
      <w:r w:rsidR="005427CB" w:rsidRPr="007B2402">
        <w:rPr>
          <w:rFonts w:eastAsia="Calibri" w:cs="Times New Roman"/>
          <w:szCs w:val="20"/>
          <w:lang w:val="en-US"/>
        </w:rPr>
        <w:t xml:space="preserve"> </w:t>
      </w:r>
      <w:r w:rsidRPr="007B2402">
        <w:rPr>
          <w:rFonts w:eastAsia="Calibri" w:cs="Times New Roman"/>
          <w:szCs w:val="20"/>
          <w:lang w:val="en-US"/>
        </w:rPr>
        <w:t>Federal Regional Court</w:t>
      </w:r>
      <w:r w:rsidR="005427CB" w:rsidRPr="007B2402">
        <w:rPr>
          <w:rFonts w:eastAsia="Calibri" w:cs="Times New Roman"/>
          <w:szCs w:val="20"/>
          <w:lang w:val="en-US"/>
        </w:rPr>
        <w:t xml:space="preserve"> </w:t>
      </w:r>
      <w:r w:rsidRPr="007B2402">
        <w:rPr>
          <w:rFonts w:eastAsia="Calibri" w:cs="Times New Roman"/>
          <w:szCs w:val="20"/>
          <w:lang w:val="en-US"/>
        </w:rPr>
        <w:t>of the third region rejected the appeal,</w:t>
      </w:r>
      <w:r w:rsidR="005427CB" w:rsidRPr="007B2402">
        <w:rPr>
          <w:rFonts w:eastAsia="Calibri" w:cs="Times New Roman"/>
          <w:szCs w:val="20"/>
          <w:vertAlign w:val="superscript"/>
          <w:lang w:val="en-US"/>
        </w:rPr>
        <w:footnoteReference w:id="97"/>
      </w:r>
      <w:r w:rsidR="005B1590" w:rsidRPr="007B2402">
        <w:rPr>
          <w:rFonts w:eastAsia="Calibri" w:cs="Times New Roman"/>
          <w:szCs w:val="20"/>
          <w:lang w:val="en-US"/>
        </w:rPr>
        <w:t xml:space="preserve"> and </w:t>
      </w:r>
      <w:r w:rsidRPr="007B2402">
        <w:rPr>
          <w:rFonts w:eastAsia="Calibri" w:cs="Times New Roman"/>
          <w:szCs w:val="20"/>
          <w:lang w:val="en-US"/>
        </w:rPr>
        <w:t>th</w:t>
      </w:r>
      <w:r w:rsidR="00202BD3" w:rsidRPr="007B2402">
        <w:rPr>
          <w:rFonts w:eastAsia="Calibri" w:cs="Times New Roman"/>
          <w:szCs w:val="20"/>
          <w:lang w:val="en-US"/>
        </w:rPr>
        <w:t>e</w:t>
      </w:r>
      <w:r w:rsidRPr="007B2402">
        <w:rPr>
          <w:rFonts w:eastAsia="Calibri" w:cs="Times New Roman"/>
          <w:szCs w:val="20"/>
          <w:lang w:val="en-US"/>
        </w:rPr>
        <w:t xml:space="preserve"> decision became final on September 27, </w:t>
      </w:r>
      <w:r w:rsidR="005427CB" w:rsidRPr="007B2402">
        <w:rPr>
          <w:rFonts w:eastAsia="Calibri" w:cs="Times New Roman"/>
          <w:szCs w:val="20"/>
          <w:lang w:val="en-US"/>
        </w:rPr>
        <w:t xml:space="preserve">1995. </w:t>
      </w:r>
    </w:p>
    <w:p w14:paraId="6C7ECA40" w14:textId="77777777" w:rsidR="005427CB" w:rsidRPr="007B2402" w:rsidRDefault="005427CB" w:rsidP="00514C1C">
      <w:pPr>
        <w:pStyle w:val="Textocomentario"/>
        <w:rPr>
          <w:rFonts w:eastAsia="Calibri" w:cs="Times New Roman"/>
          <w:noProof w:val="0"/>
          <w:lang w:val="en-US"/>
        </w:rPr>
      </w:pPr>
    </w:p>
    <w:p w14:paraId="5721EC30" w14:textId="63B47395" w:rsidR="005427CB" w:rsidRPr="007B2402" w:rsidRDefault="0021794B" w:rsidP="00E668B8">
      <w:pPr>
        <w:pStyle w:val="Ttulo2"/>
        <w:rPr>
          <w:b/>
          <w:lang w:val="en-US"/>
        </w:rPr>
      </w:pPr>
      <w:r w:rsidRPr="007B2402">
        <w:rPr>
          <w:b/>
          <w:lang w:val="en-US"/>
        </w:rPr>
        <w:t xml:space="preserve">The Amnesty Law </w:t>
      </w:r>
      <w:r w:rsidR="005427CB" w:rsidRPr="007B2402">
        <w:rPr>
          <w:b/>
          <w:lang w:val="en-US"/>
        </w:rPr>
        <w:t xml:space="preserve"> </w:t>
      </w:r>
    </w:p>
    <w:p w14:paraId="4B6EDFDA" w14:textId="77777777" w:rsidR="005427CB" w:rsidRPr="007B2402" w:rsidRDefault="005427CB" w:rsidP="00514C1C">
      <w:pPr>
        <w:pStyle w:val="Textocomentario"/>
        <w:rPr>
          <w:rFonts w:eastAsia="Calibri" w:cs="Times New Roman"/>
          <w:noProof w:val="0"/>
          <w:lang w:val="en-US"/>
        </w:rPr>
      </w:pPr>
    </w:p>
    <w:p w14:paraId="778E960B" w14:textId="55C02020" w:rsidR="005427CB" w:rsidRPr="007B2402" w:rsidRDefault="0021794B"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lastRenderedPageBreak/>
        <w:t>On August 28,</w:t>
      </w:r>
      <w:r w:rsidR="005427CB" w:rsidRPr="007B2402">
        <w:rPr>
          <w:rFonts w:eastAsia="Calibri" w:cs="Times New Roman"/>
          <w:szCs w:val="20"/>
          <w:lang w:val="en-US"/>
        </w:rPr>
        <w:t xml:space="preserve"> 1979</w:t>
      </w:r>
      <w:r w:rsidRPr="007B2402">
        <w:rPr>
          <w:rFonts w:eastAsia="Calibri" w:cs="Times New Roman"/>
          <w:szCs w:val="20"/>
          <w:lang w:val="en-US"/>
        </w:rPr>
        <w:t>,</w:t>
      </w:r>
      <w:r w:rsidR="005427CB" w:rsidRPr="007B2402">
        <w:rPr>
          <w:rFonts w:eastAsia="Calibri" w:cs="Times New Roman"/>
          <w:szCs w:val="20"/>
          <w:lang w:val="en-US"/>
        </w:rPr>
        <w:t xml:space="preserve"> General João Baptista Figueiredo </w:t>
      </w:r>
      <w:r w:rsidRPr="007B2402">
        <w:rPr>
          <w:rFonts w:eastAsia="Calibri" w:cs="Times New Roman"/>
          <w:szCs w:val="20"/>
          <w:lang w:val="en-US"/>
        </w:rPr>
        <w:t>validated</w:t>
      </w:r>
      <w:r w:rsidR="005427CB" w:rsidRPr="007B2402">
        <w:rPr>
          <w:rFonts w:eastAsia="Calibri" w:cs="Times New Roman"/>
          <w:szCs w:val="20"/>
          <w:lang w:val="en-US"/>
        </w:rPr>
        <w:t xml:space="preserve"> </w:t>
      </w:r>
      <w:r w:rsidR="00221E16" w:rsidRPr="007B2402">
        <w:rPr>
          <w:rFonts w:eastAsia="Calibri" w:cs="Times New Roman"/>
          <w:szCs w:val="20"/>
          <w:lang w:val="en-US"/>
        </w:rPr>
        <w:t>Amnesty Law</w:t>
      </w:r>
      <w:r w:rsidR="005427CB" w:rsidRPr="007B2402">
        <w:rPr>
          <w:rFonts w:eastAsia="Calibri" w:cs="Times New Roman"/>
          <w:szCs w:val="20"/>
          <w:lang w:val="en-US"/>
        </w:rPr>
        <w:t xml:space="preserve"> N</w:t>
      </w:r>
      <w:r w:rsidR="000B1E5D" w:rsidRPr="007B2402">
        <w:rPr>
          <w:rFonts w:eastAsia="Calibri" w:cs="Times New Roman"/>
          <w:szCs w:val="20"/>
          <w:lang w:val="en-US"/>
        </w:rPr>
        <w:t>o.</w:t>
      </w:r>
      <w:r w:rsidR="005427CB" w:rsidRPr="007B2402">
        <w:rPr>
          <w:rFonts w:eastAsia="Calibri" w:cs="Times New Roman"/>
          <w:szCs w:val="20"/>
          <w:lang w:val="en-US"/>
        </w:rPr>
        <w:t xml:space="preserve"> 6683/79</w:t>
      </w:r>
      <w:r w:rsidRPr="007B2402">
        <w:rPr>
          <w:rFonts w:eastAsia="Calibri" w:cs="Times New Roman"/>
          <w:b/>
          <w:szCs w:val="20"/>
          <w:lang w:val="en-US"/>
        </w:rPr>
        <w:t xml:space="preserve"> </w:t>
      </w:r>
      <w:r w:rsidRPr="007B2402">
        <w:rPr>
          <w:rFonts w:eastAsia="Calibri" w:cs="Times New Roman"/>
          <w:szCs w:val="20"/>
          <w:lang w:val="en-US"/>
        </w:rPr>
        <w:t>which granted an amnesty as follows:</w:t>
      </w:r>
      <w:r w:rsidR="005427CB" w:rsidRPr="007B2402">
        <w:rPr>
          <w:rFonts w:eastAsia="Calibri" w:cs="Times New Roman"/>
          <w:szCs w:val="20"/>
          <w:vertAlign w:val="superscript"/>
          <w:lang w:val="en-US"/>
        </w:rPr>
        <w:footnoteReference w:id="98"/>
      </w:r>
      <w:r w:rsidR="005427CB" w:rsidRPr="007B2402">
        <w:rPr>
          <w:rFonts w:eastAsia="Calibri" w:cs="Times New Roman"/>
          <w:szCs w:val="20"/>
          <w:lang w:val="en-US"/>
        </w:rPr>
        <w:t xml:space="preserve"> </w:t>
      </w:r>
    </w:p>
    <w:p w14:paraId="341F1AC2" w14:textId="77777777" w:rsidR="005427CB" w:rsidRPr="007B2402" w:rsidRDefault="005427CB" w:rsidP="005427CB">
      <w:pPr>
        <w:spacing w:after="0" w:line="240" w:lineRule="auto"/>
        <w:jc w:val="both"/>
        <w:rPr>
          <w:rFonts w:eastAsia="Calibri" w:cs="Times New Roman"/>
          <w:szCs w:val="20"/>
          <w:lang w:val="en-US"/>
        </w:rPr>
      </w:pPr>
    </w:p>
    <w:p w14:paraId="1EE08178" w14:textId="23E9B0C8" w:rsidR="0021794B" w:rsidRPr="007B2402" w:rsidRDefault="00AF4344" w:rsidP="005427CB">
      <w:pPr>
        <w:tabs>
          <w:tab w:val="left" w:pos="0"/>
        </w:tabs>
        <w:spacing w:after="0" w:line="240" w:lineRule="auto"/>
        <w:ind w:left="709" w:right="855"/>
        <w:jc w:val="both"/>
        <w:rPr>
          <w:rFonts w:eastAsia="Calibri" w:cs="Times New Roman"/>
          <w:sz w:val="18"/>
          <w:szCs w:val="18"/>
          <w:lang w:val="en-US"/>
        </w:rPr>
      </w:pPr>
      <w:r w:rsidRPr="007B2402">
        <w:rPr>
          <w:rFonts w:eastAsia="Calibri" w:cs="Times New Roman"/>
          <w:sz w:val="18"/>
          <w:szCs w:val="18"/>
          <w:lang w:val="en-US"/>
        </w:rPr>
        <w:t>Article</w:t>
      </w:r>
      <w:r w:rsidR="005427CB" w:rsidRPr="007B2402">
        <w:rPr>
          <w:rFonts w:eastAsia="Calibri" w:cs="Times New Roman"/>
          <w:sz w:val="18"/>
          <w:szCs w:val="18"/>
          <w:lang w:val="en-US"/>
        </w:rPr>
        <w:t xml:space="preserve"> 1. </w:t>
      </w:r>
      <w:r w:rsidR="0021794B" w:rsidRPr="007B2402">
        <w:rPr>
          <w:rFonts w:eastAsia="Calibri" w:cs="Times New Roman"/>
          <w:sz w:val="18"/>
          <w:szCs w:val="18"/>
          <w:lang w:val="en-US"/>
        </w:rPr>
        <w:t xml:space="preserve">Amnesty is granted to anyone who, during the period from September 2, 1961, to August 15, 1979, committed political </w:t>
      </w:r>
      <w:r w:rsidR="00FB2E95" w:rsidRPr="007B2402">
        <w:rPr>
          <w:rFonts w:eastAsia="Calibri" w:cs="Times New Roman"/>
          <w:sz w:val="18"/>
          <w:szCs w:val="18"/>
          <w:lang w:val="en-US"/>
        </w:rPr>
        <w:t xml:space="preserve">or related </w:t>
      </w:r>
      <w:r w:rsidR="0021794B" w:rsidRPr="007B2402">
        <w:rPr>
          <w:rFonts w:eastAsia="Calibri" w:cs="Times New Roman"/>
          <w:sz w:val="18"/>
          <w:szCs w:val="18"/>
          <w:lang w:val="en-US"/>
        </w:rPr>
        <w:t>crimes</w:t>
      </w:r>
      <w:r w:rsidR="00FB2E95" w:rsidRPr="007B2402">
        <w:rPr>
          <w:rFonts w:eastAsia="Calibri" w:cs="Times New Roman"/>
          <w:sz w:val="18"/>
          <w:szCs w:val="18"/>
          <w:lang w:val="en-US"/>
        </w:rPr>
        <w:t>;</w:t>
      </w:r>
      <w:r w:rsidR="0021794B" w:rsidRPr="007B2402">
        <w:rPr>
          <w:rFonts w:eastAsia="Calibri" w:cs="Times New Roman"/>
          <w:sz w:val="18"/>
          <w:szCs w:val="18"/>
          <w:lang w:val="en-US"/>
        </w:rPr>
        <w:t xml:space="preserve"> electoral crimes; </w:t>
      </w:r>
      <w:r w:rsidR="00FB2E95" w:rsidRPr="007B2402">
        <w:rPr>
          <w:rFonts w:eastAsia="Calibri" w:cs="Times New Roman"/>
          <w:sz w:val="18"/>
          <w:szCs w:val="18"/>
          <w:lang w:val="en-US"/>
        </w:rPr>
        <w:t xml:space="preserve">to </w:t>
      </w:r>
      <w:r w:rsidR="0021794B" w:rsidRPr="007B2402">
        <w:rPr>
          <w:rFonts w:eastAsia="Calibri" w:cs="Times New Roman"/>
          <w:sz w:val="18"/>
          <w:szCs w:val="18"/>
          <w:lang w:val="en-US"/>
        </w:rPr>
        <w:t>anyone whose political rights were suspended, and to officials of the direct and indirect administration</w:t>
      </w:r>
      <w:r w:rsidR="00FB2E95" w:rsidRPr="007B2402">
        <w:rPr>
          <w:rFonts w:eastAsia="Calibri" w:cs="Times New Roman"/>
          <w:sz w:val="18"/>
          <w:szCs w:val="18"/>
          <w:lang w:val="en-US"/>
        </w:rPr>
        <w:t>,</w:t>
      </w:r>
      <w:r w:rsidR="0021794B" w:rsidRPr="007B2402">
        <w:rPr>
          <w:rFonts w:eastAsia="Calibri" w:cs="Times New Roman"/>
          <w:sz w:val="18"/>
          <w:szCs w:val="18"/>
          <w:lang w:val="en-US"/>
        </w:rPr>
        <w:t xml:space="preserve"> of </w:t>
      </w:r>
      <w:r w:rsidR="00FB2E95" w:rsidRPr="007B2402">
        <w:rPr>
          <w:rFonts w:eastAsia="Calibri" w:cs="Times New Roman"/>
          <w:sz w:val="18"/>
          <w:szCs w:val="18"/>
          <w:lang w:val="en-US"/>
        </w:rPr>
        <w:t>institutions</w:t>
      </w:r>
      <w:r w:rsidR="0021794B" w:rsidRPr="007B2402">
        <w:rPr>
          <w:rFonts w:eastAsia="Calibri" w:cs="Times New Roman"/>
          <w:sz w:val="18"/>
          <w:szCs w:val="18"/>
          <w:lang w:val="en-US"/>
        </w:rPr>
        <w:t xml:space="preserve"> linked to the public </w:t>
      </w:r>
      <w:r w:rsidR="00FB2E95" w:rsidRPr="007B2402">
        <w:rPr>
          <w:rFonts w:eastAsia="Calibri" w:cs="Times New Roman"/>
          <w:sz w:val="18"/>
          <w:szCs w:val="18"/>
          <w:lang w:val="en-US"/>
        </w:rPr>
        <w:t>powers</w:t>
      </w:r>
      <w:r w:rsidR="0021794B" w:rsidRPr="007B2402">
        <w:rPr>
          <w:rFonts w:eastAsia="Calibri" w:cs="Times New Roman"/>
          <w:sz w:val="18"/>
          <w:szCs w:val="18"/>
          <w:lang w:val="en-US"/>
        </w:rPr>
        <w:t>, to officials of the legislature and the judiciary, to military personnel and to trade union leaders and representatives</w:t>
      </w:r>
      <w:r w:rsidR="009A6089" w:rsidRPr="007B2402">
        <w:rPr>
          <w:rFonts w:eastAsia="Calibri" w:cs="Times New Roman"/>
          <w:sz w:val="18"/>
          <w:szCs w:val="18"/>
          <w:lang w:val="en-US"/>
        </w:rPr>
        <w:t>,</w:t>
      </w:r>
      <w:r w:rsidR="0021794B" w:rsidRPr="007B2402">
        <w:rPr>
          <w:rFonts w:eastAsia="Calibri" w:cs="Times New Roman"/>
          <w:sz w:val="18"/>
          <w:szCs w:val="18"/>
          <w:lang w:val="en-US"/>
        </w:rPr>
        <w:t xml:space="preserve"> </w:t>
      </w:r>
      <w:r w:rsidR="009A6089" w:rsidRPr="007B2402">
        <w:rPr>
          <w:rFonts w:eastAsia="Calibri" w:cs="Times New Roman"/>
          <w:sz w:val="18"/>
          <w:szCs w:val="18"/>
          <w:lang w:val="en-US"/>
        </w:rPr>
        <w:t xml:space="preserve">who have been </w:t>
      </w:r>
      <w:r w:rsidR="0021794B" w:rsidRPr="007B2402">
        <w:rPr>
          <w:rFonts w:eastAsia="Calibri" w:cs="Times New Roman"/>
          <w:sz w:val="18"/>
          <w:szCs w:val="18"/>
          <w:lang w:val="en-US"/>
        </w:rPr>
        <w:t>sanctioned on the basis of institutional and complementary acts.</w:t>
      </w:r>
    </w:p>
    <w:p w14:paraId="7A696190" w14:textId="77777777" w:rsidR="005427CB" w:rsidRPr="007B2402" w:rsidRDefault="005427CB" w:rsidP="005427CB">
      <w:pPr>
        <w:tabs>
          <w:tab w:val="left" w:pos="0"/>
        </w:tabs>
        <w:spacing w:after="0" w:line="240" w:lineRule="auto"/>
        <w:ind w:left="709" w:right="855"/>
        <w:jc w:val="both"/>
        <w:rPr>
          <w:rFonts w:eastAsia="Calibri" w:cs="Times New Roman"/>
          <w:sz w:val="18"/>
          <w:szCs w:val="18"/>
          <w:lang w:val="en-US"/>
        </w:rPr>
      </w:pPr>
    </w:p>
    <w:p w14:paraId="37D0B8F0" w14:textId="240EB1F2" w:rsidR="005427CB" w:rsidRPr="007B2402" w:rsidRDefault="005427CB" w:rsidP="0021794B">
      <w:pPr>
        <w:tabs>
          <w:tab w:val="left" w:pos="0"/>
        </w:tabs>
        <w:spacing w:after="0" w:line="240" w:lineRule="auto"/>
        <w:ind w:left="709" w:right="855"/>
        <w:jc w:val="both"/>
        <w:rPr>
          <w:rFonts w:eastAsia="Calibri" w:cs="Times New Roman"/>
          <w:sz w:val="18"/>
          <w:szCs w:val="18"/>
          <w:lang w:val="en-US"/>
        </w:rPr>
      </w:pPr>
      <w:r w:rsidRPr="007B2402">
        <w:rPr>
          <w:rFonts w:eastAsia="Calibri" w:cs="Times New Roman"/>
          <w:sz w:val="18"/>
          <w:szCs w:val="18"/>
          <w:lang w:val="en-US"/>
        </w:rPr>
        <w:t xml:space="preserve">§ 1º </w:t>
      </w:r>
      <w:r w:rsidR="0021794B" w:rsidRPr="007B2402">
        <w:rPr>
          <w:rFonts w:eastAsia="Calibri" w:cs="Times New Roman"/>
          <w:sz w:val="18"/>
          <w:szCs w:val="18"/>
          <w:lang w:val="en-US"/>
        </w:rPr>
        <w:t>For the effects of this article, crimes of any nature related to political crimes or carried out with a political motivation shall be considered related</w:t>
      </w:r>
      <w:r w:rsidRPr="007B2402">
        <w:rPr>
          <w:rFonts w:eastAsia="Calibri" w:cs="Times New Roman"/>
          <w:sz w:val="18"/>
          <w:szCs w:val="18"/>
          <w:lang w:val="en-US"/>
        </w:rPr>
        <w:t xml:space="preserve">. </w:t>
      </w:r>
    </w:p>
    <w:p w14:paraId="5D53B11E" w14:textId="77777777" w:rsidR="005427CB" w:rsidRPr="007B2402" w:rsidRDefault="005427CB" w:rsidP="005427CB">
      <w:pPr>
        <w:tabs>
          <w:tab w:val="left" w:pos="0"/>
        </w:tabs>
        <w:spacing w:after="0" w:line="240" w:lineRule="auto"/>
        <w:ind w:left="709" w:right="855"/>
        <w:jc w:val="both"/>
        <w:rPr>
          <w:rFonts w:eastAsia="Calibri" w:cs="Times New Roman"/>
          <w:sz w:val="18"/>
          <w:szCs w:val="18"/>
          <w:lang w:val="en-US"/>
        </w:rPr>
      </w:pPr>
    </w:p>
    <w:p w14:paraId="6EBEB53F" w14:textId="431E09C7" w:rsidR="005427CB" w:rsidRPr="007B2402" w:rsidRDefault="005427CB" w:rsidP="005427CB">
      <w:pPr>
        <w:tabs>
          <w:tab w:val="left" w:pos="0"/>
        </w:tabs>
        <w:spacing w:after="0" w:line="240" w:lineRule="auto"/>
        <w:ind w:left="709" w:right="855"/>
        <w:jc w:val="both"/>
        <w:rPr>
          <w:rFonts w:eastAsia="SimSun" w:cs="Times New Roman"/>
          <w:sz w:val="18"/>
          <w:szCs w:val="18"/>
          <w:lang w:val="en-US" w:eastAsia="zh-CN"/>
        </w:rPr>
      </w:pPr>
      <w:r w:rsidRPr="007B2402">
        <w:rPr>
          <w:rFonts w:eastAsia="Calibri" w:cs="Times New Roman"/>
          <w:sz w:val="18"/>
          <w:szCs w:val="18"/>
          <w:lang w:val="en-US"/>
        </w:rPr>
        <w:t xml:space="preserve">§ 2º </w:t>
      </w:r>
      <w:r w:rsidR="0021794B" w:rsidRPr="007B2402">
        <w:rPr>
          <w:rFonts w:eastAsia="Calibri" w:cs="Times New Roman"/>
          <w:sz w:val="18"/>
          <w:szCs w:val="18"/>
          <w:lang w:val="en-US"/>
        </w:rPr>
        <w:t xml:space="preserve">Anyone convicted of the crimes of terrorism, assault, abduction and personal attacks </w:t>
      </w:r>
      <w:r w:rsidR="001D7281" w:rsidRPr="007B2402">
        <w:rPr>
          <w:rFonts w:eastAsia="Calibri" w:cs="Times New Roman"/>
          <w:sz w:val="18"/>
          <w:szCs w:val="18"/>
          <w:lang w:val="en-US"/>
        </w:rPr>
        <w:t>is excluded from the benefits of the amnesty</w:t>
      </w:r>
      <w:r w:rsidRPr="007B2402">
        <w:rPr>
          <w:rFonts w:eastAsia="SimSun" w:cs="Times New Roman"/>
          <w:sz w:val="18"/>
          <w:szCs w:val="18"/>
          <w:lang w:val="en-US" w:eastAsia="zh-CN"/>
        </w:rPr>
        <w:t>.</w:t>
      </w:r>
    </w:p>
    <w:p w14:paraId="253C1A90" w14:textId="77777777" w:rsidR="005427CB" w:rsidRPr="007B2402" w:rsidRDefault="005427CB" w:rsidP="005427CB">
      <w:pPr>
        <w:spacing w:after="0" w:line="240" w:lineRule="auto"/>
        <w:ind w:left="709"/>
        <w:jc w:val="both"/>
        <w:rPr>
          <w:rFonts w:eastAsia="Calibri" w:cs="Times New Roman"/>
          <w:szCs w:val="20"/>
          <w:lang w:val="en-US"/>
        </w:rPr>
      </w:pPr>
    </w:p>
    <w:p w14:paraId="0DD3D6B7" w14:textId="4DB27EC1" w:rsidR="000B1E5D" w:rsidRPr="007B2402" w:rsidRDefault="001D7281" w:rsidP="00DB1F30">
      <w:pPr>
        <w:numPr>
          <w:ilvl w:val="0"/>
          <w:numId w:val="6"/>
        </w:numPr>
        <w:spacing w:after="0" w:line="240" w:lineRule="auto"/>
        <w:jc w:val="both"/>
        <w:rPr>
          <w:rFonts w:eastAsia="Calibri" w:cs="Times New Roman"/>
          <w:b/>
          <w:szCs w:val="20"/>
          <w:lang w:val="en-US"/>
        </w:rPr>
      </w:pPr>
      <w:r w:rsidRPr="007B2402">
        <w:rPr>
          <w:rFonts w:eastAsia="SimSun" w:cs="Times New Roman"/>
          <w:szCs w:val="20"/>
          <w:lang w:val="en-US" w:eastAsia="zh-CN"/>
        </w:rPr>
        <w:t xml:space="preserve">On April 29, </w:t>
      </w:r>
      <w:r w:rsidR="000B1E5D" w:rsidRPr="007B2402">
        <w:rPr>
          <w:rFonts w:eastAsia="SimSun" w:cs="Times New Roman"/>
          <w:szCs w:val="20"/>
          <w:lang w:val="en-US" w:eastAsia="zh-CN"/>
        </w:rPr>
        <w:t xml:space="preserve">2010, </w:t>
      </w:r>
      <w:r w:rsidRPr="007B2402">
        <w:rPr>
          <w:rFonts w:eastAsia="SimSun" w:cs="Times New Roman"/>
          <w:szCs w:val="20"/>
          <w:lang w:val="en-US" w:eastAsia="zh-CN"/>
        </w:rPr>
        <w:t xml:space="preserve">the Federal Supreme Court </w:t>
      </w:r>
      <w:r w:rsidR="000B1E5D" w:rsidRPr="007B2402">
        <w:rPr>
          <w:rFonts w:eastAsia="Calibri" w:cs="Times New Roman"/>
          <w:szCs w:val="20"/>
          <w:lang w:val="en-US"/>
        </w:rPr>
        <w:t>decid</w:t>
      </w:r>
      <w:r w:rsidRPr="007B2402">
        <w:rPr>
          <w:rFonts w:eastAsia="Calibri" w:cs="Times New Roman"/>
          <w:szCs w:val="20"/>
          <w:lang w:val="en-US"/>
        </w:rPr>
        <w:t xml:space="preserve">ed, by seven votes to two, that the </w:t>
      </w:r>
      <w:r w:rsidR="00221E16" w:rsidRPr="007B2402">
        <w:rPr>
          <w:rFonts w:eastAsia="Calibri" w:cs="Times New Roman"/>
          <w:szCs w:val="20"/>
          <w:lang w:val="en-US"/>
        </w:rPr>
        <w:t>Amnesty Law</w:t>
      </w:r>
      <w:r w:rsidR="000B1E5D" w:rsidRPr="007B2402">
        <w:rPr>
          <w:rFonts w:eastAsia="Calibri" w:cs="Times New Roman"/>
          <w:szCs w:val="20"/>
          <w:lang w:val="en-US"/>
        </w:rPr>
        <w:t xml:space="preserve"> </w:t>
      </w:r>
      <w:r w:rsidRPr="007B2402">
        <w:rPr>
          <w:rFonts w:eastAsia="Calibri" w:cs="Times New Roman"/>
          <w:szCs w:val="20"/>
          <w:lang w:val="en-US"/>
        </w:rPr>
        <w:t>was</w:t>
      </w:r>
      <w:r w:rsidR="000B1E5D" w:rsidRPr="007B2402">
        <w:rPr>
          <w:rFonts w:eastAsia="Calibri" w:cs="Times New Roman"/>
          <w:szCs w:val="20"/>
          <w:lang w:val="en-US"/>
        </w:rPr>
        <w:t xml:space="preserve"> compatible </w:t>
      </w:r>
      <w:r w:rsidRPr="007B2402">
        <w:rPr>
          <w:rFonts w:eastAsia="Calibri" w:cs="Times New Roman"/>
          <w:szCs w:val="20"/>
          <w:lang w:val="en-US"/>
        </w:rPr>
        <w:t xml:space="preserve">with the 1988 Brazilian Constitution, reaffirming its effects. This decision was of an </w:t>
      </w:r>
      <w:r w:rsidR="000B1E5D" w:rsidRPr="007B2402">
        <w:rPr>
          <w:rFonts w:eastAsia="Calibri" w:cs="Times New Roman"/>
          <w:i/>
          <w:szCs w:val="20"/>
          <w:lang w:val="en-US"/>
        </w:rPr>
        <w:t>erga omnes</w:t>
      </w:r>
      <w:r w:rsidR="005B1590" w:rsidRPr="007B2402">
        <w:rPr>
          <w:rFonts w:eastAsia="Calibri" w:cs="Times New Roman"/>
          <w:szCs w:val="20"/>
          <w:lang w:val="en-US"/>
        </w:rPr>
        <w:t xml:space="preserve"> </w:t>
      </w:r>
      <w:r w:rsidRPr="007B2402">
        <w:rPr>
          <w:rFonts w:eastAsia="Calibri" w:cs="Times New Roman"/>
          <w:szCs w:val="20"/>
          <w:lang w:val="en-US"/>
        </w:rPr>
        <w:t>nature,</w:t>
      </w:r>
      <w:r w:rsidR="005B1590" w:rsidRPr="007B2402">
        <w:rPr>
          <w:rFonts w:eastAsia="Calibri" w:cs="Times New Roman"/>
          <w:szCs w:val="20"/>
          <w:lang w:val="en-US"/>
        </w:rPr>
        <w:t xml:space="preserve"> </w:t>
      </w:r>
      <w:r w:rsidRPr="007B2402">
        <w:rPr>
          <w:rFonts w:eastAsia="Calibri" w:cs="Times New Roman"/>
          <w:szCs w:val="20"/>
          <w:lang w:val="en-US"/>
        </w:rPr>
        <w:t>with binding effects for all the organs of the State.</w:t>
      </w:r>
      <w:r w:rsidR="000B1E5D" w:rsidRPr="007B2402">
        <w:rPr>
          <w:rFonts w:eastAsia="Calibri" w:cs="Times New Roman"/>
          <w:szCs w:val="20"/>
          <w:vertAlign w:val="superscript"/>
          <w:lang w:val="en-US"/>
        </w:rPr>
        <w:footnoteReference w:id="99"/>
      </w:r>
    </w:p>
    <w:p w14:paraId="12E0DA23" w14:textId="77777777" w:rsidR="000B1E5D" w:rsidRPr="007B2402" w:rsidRDefault="000B1E5D" w:rsidP="000B1E5D">
      <w:pPr>
        <w:spacing w:after="0" w:line="240" w:lineRule="auto"/>
        <w:jc w:val="both"/>
        <w:rPr>
          <w:rFonts w:eastAsia="Calibri" w:cs="Times New Roman"/>
          <w:b/>
          <w:szCs w:val="20"/>
          <w:lang w:val="en-US"/>
        </w:rPr>
      </w:pPr>
    </w:p>
    <w:p w14:paraId="571D3845" w14:textId="58B393F4" w:rsidR="005427CB" w:rsidRPr="007B2402" w:rsidRDefault="001D7281" w:rsidP="00DB1F30">
      <w:pPr>
        <w:numPr>
          <w:ilvl w:val="0"/>
          <w:numId w:val="6"/>
        </w:numPr>
        <w:spacing w:after="0" w:line="240" w:lineRule="auto"/>
        <w:jc w:val="both"/>
        <w:rPr>
          <w:rFonts w:eastAsia="Calibri" w:cs="Times New Roman"/>
          <w:b/>
          <w:szCs w:val="20"/>
          <w:lang w:val="en-US"/>
        </w:rPr>
      </w:pPr>
      <w:r w:rsidRPr="007B2402">
        <w:rPr>
          <w:rFonts w:eastAsia="SimSun" w:cs="Times New Roman"/>
          <w:szCs w:val="20"/>
          <w:lang w:val="en-US" w:eastAsia="zh-CN"/>
        </w:rPr>
        <w:t>This Court has already ruled</w:t>
      </w:r>
      <w:r w:rsidR="009A6089" w:rsidRPr="007B2402">
        <w:rPr>
          <w:rFonts w:eastAsia="SimSun" w:cs="Times New Roman"/>
          <w:szCs w:val="20"/>
          <w:lang w:val="en-US" w:eastAsia="zh-CN"/>
        </w:rPr>
        <w:t xml:space="preserve"> </w:t>
      </w:r>
      <w:r w:rsidRPr="007B2402">
        <w:rPr>
          <w:rFonts w:eastAsia="SimSun" w:cs="Times New Roman"/>
          <w:szCs w:val="20"/>
          <w:lang w:val="en-US" w:eastAsia="zh-CN"/>
        </w:rPr>
        <w:t xml:space="preserve">on the said law in the judgment handed down in the case of </w:t>
      </w:r>
      <w:r w:rsidR="005427CB" w:rsidRPr="007B2402">
        <w:rPr>
          <w:rFonts w:eastAsia="SimSun" w:cs="Times New Roman"/>
          <w:szCs w:val="20"/>
          <w:lang w:val="en-US" w:eastAsia="zh-CN"/>
        </w:rPr>
        <w:t>Gomes Lund</w:t>
      </w:r>
      <w:r w:rsidR="005B1590" w:rsidRPr="007B2402">
        <w:rPr>
          <w:rFonts w:eastAsia="SimSun" w:cs="Times New Roman"/>
          <w:szCs w:val="20"/>
          <w:lang w:val="en-US" w:eastAsia="zh-CN"/>
        </w:rPr>
        <w:t xml:space="preserve"> </w:t>
      </w:r>
      <w:r w:rsidR="00892CA3" w:rsidRPr="007B2402">
        <w:rPr>
          <w:rFonts w:eastAsia="SimSun" w:cs="Times New Roman"/>
          <w:i/>
          <w:szCs w:val="20"/>
          <w:lang w:val="en-US" w:eastAsia="zh-CN"/>
        </w:rPr>
        <w:t>et al.</w:t>
      </w:r>
      <w:r w:rsidR="005427CB" w:rsidRPr="007B2402">
        <w:rPr>
          <w:rFonts w:eastAsia="SimSun" w:cs="Times New Roman"/>
          <w:i/>
          <w:szCs w:val="20"/>
          <w:lang w:val="en-US" w:eastAsia="zh-CN"/>
        </w:rPr>
        <w:t xml:space="preserve"> </w:t>
      </w:r>
      <w:r w:rsidR="005427CB" w:rsidRPr="007B2402">
        <w:rPr>
          <w:rFonts w:eastAsia="SimSun" w:cs="Times New Roman"/>
          <w:szCs w:val="20"/>
          <w:lang w:val="en-US" w:eastAsia="zh-CN"/>
        </w:rPr>
        <w:t xml:space="preserve">(Guerrilha do Araguaia) </w:t>
      </w:r>
      <w:r w:rsidRPr="007B2402">
        <w:rPr>
          <w:rFonts w:eastAsia="SimSun" w:cs="Times New Roman"/>
          <w:i/>
          <w:iCs/>
          <w:szCs w:val="20"/>
          <w:lang w:val="en-US" w:eastAsia="zh-CN"/>
        </w:rPr>
        <w:t>v</w:t>
      </w:r>
      <w:r w:rsidR="005427CB" w:rsidRPr="007B2402">
        <w:rPr>
          <w:rFonts w:eastAsia="SimSun" w:cs="Times New Roman"/>
          <w:i/>
          <w:iCs/>
          <w:szCs w:val="20"/>
          <w:lang w:val="en-US" w:eastAsia="zh-CN"/>
        </w:rPr>
        <w:t>.</w:t>
      </w:r>
      <w:r w:rsidR="005427CB" w:rsidRPr="007B2402">
        <w:rPr>
          <w:rFonts w:eastAsia="SimSun" w:cs="Times New Roman"/>
          <w:szCs w:val="20"/>
          <w:lang w:val="en-US" w:eastAsia="zh-CN"/>
        </w:rPr>
        <w:t xml:space="preserve"> </w:t>
      </w:r>
      <w:r w:rsidR="00AF4344" w:rsidRPr="007B2402">
        <w:rPr>
          <w:rFonts w:eastAsia="SimSun" w:cs="Times New Roman"/>
          <w:szCs w:val="20"/>
          <w:lang w:val="en-US" w:eastAsia="zh-CN"/>
        </w:rPr>
        <w:t>Brazil</w:t>
      </w:r>
      <w:r w:rsidR="005427CB" w:rsidRPr="007B2402">
        <w:rPr>
          <w:rFonts w:eastAsia="SimSun" w:cs="Times New Roman"/>
          <w:szCs w:val="20"/>
          <w:lang w:val="en-US" w:eastAsia="zh-CN"/>
        </w:rPr>
        <w:t>:</w:t>
      </w:r>
    </w:p>
    <w:p w14:paraId="17049AD1" w14:textId="77777777" w:rsidR="005427CB" w:rsidRPr="007B2402" w:rsidRDefault="005427CB" w:rsidP="005427CB">
      <w:pPr>
        <w:spacing w:after="0" w:line="240" w:lineRule="auto"/>
        <w:jc w:val="both"/>
        <w:rPr>
          <w:rFonts w:eastAsia="Calibri" w:cs="Times New Roman"/>
          <w:b/>
          <w:szCs w:val="20"/>
          <w:lang w:val="en-US"/>
        </w:rPr>
      </w:pPr>
    </w:p>
    <w:p w14:paraId="26B3FF0C" w14:textId="2E73EFD5" w:rsidR="005427CB" w:rsidRPr="007B2402" w:rsidRDefault="00FB5D62" w:rsidP="00FB5D62">
      <w:pPr>
        <w:tabs>
          <w:tab w:val="left" w:pos="7290"/>
        </w:tabs>
        <w:spacing w:line="240" w:lineRule="auto"/>
        <w:ind w:left="720" w:right="540"/>
        <w:jc w:val="both"/>
        <w:rPr>
          <w:rFonts w:cs="Arial"/>
          <w:sz w:val="18"/>
          <w:szCs w:val="18"/>
          <w:lang w:val="en-US"/>
        </w:rPr>
      </w:pPr>
      <w:r w:rsidRPr="007B2402">
        <w:rPr>
          <w:rFonts w:cs="Arial"/>
          <w:sz w:val="18"/>
          <w:szCs w:val="18"/>
          <w:lang w:val="en-US"/>
        </w:rPr>
        <w:t>Under this law, to date, the State has not criminally investigated, prosecuted or punished those responsible for the human rights violations committed during the military regime […]. This is because “the interpretation [of the Amnesty Law] automatically absolves all the human rights violations that may have been perpetrated by agents of the political repression.</w:t>
      </w:r>
      <w:r w:rsidR="005427CB" w:rsidRPr="007B2402">
        <w:rPr>
          <w:rFonts w:eastAsia="SimSun" w:cs="Times New Roman"/>
          <w:sz w:val="18"/>
          <w:szCs w:val="18"/>
          <w:lang w:val="en-US" w:eastAsia="zh-CN"/>
        </w:rPr>
        <w:t>”</w:t>
      </w:r>
      <w:r w:rsidR="005427CB" w:rsidRPr="007B2402">
        <w:rPr>
          <w:rFonts w:eastAsia="Calibri" w:cs="Times New Roman"/>
          <w:sz w:val="18"/>
          <w:szCs w:val="18"/>
          <w:vertAlign w:val="superscript"/>
          <w:lang w:val="en-US"/>
        </w:rPr>
        <w:footnoteReference w:id="100"/>
      </w:r>
    </w:p>
    <w:p w14:paraId="4F2456DC" w14:textId="7EDD075C" w:rsidR="004F5D1A" w:rsidRPr="007B2402" w:rsidRDefault="004F5D1A" w:rsidP="005427CB">
      <w:pPr>
        <w:spacing w:after="0" w:line="240" w:lineRule="auto"/>
        <w:ind w:left="708" w:right="855"/>
        <w:jc w:val="both"/>
        <w:rPr>
          <w:rFonts w:eastAsia="SimSun" w:cs="Times New Roman"/>
          <w:sz w:val="18"/>
          <w:szCs w:val="18"/>
          <w:lang w:val="en-US" w:eastAsia="zh-CN"/>
        </w:rPr>
      </w:pPr>
      <w:r w:rsidRPr="007B2402">
        <w:rPr>
          <w:rFonts w:eastAsia="SimSun" w:cs="Times New Roman"/>
          <w:sz w:val="18"/>
          <w:szCs w:val="18"/>
          <w:lang w:val="en-US" w:eastAsia="zh-CN"/>
        </w:rPr>
        <w:t>[…]</w:t>
      </w:r>
    </w:p>
    <w:p w14:paraId="12634048" w14:textId="77777777" w:rsidR="004F5D1A" w:rsidRPr="007B2402" w:rsidRDefault="004F5D1A" w:rsidP="005427CB">
      <w:pPr>
        <w:spacing w:after="0" w:line="240" w:lineRule="auto"/>
        <w:ind w:left="708" w:right="855"/>
        <w:jc w:val="both"/>
        <w:rPr>
          <w:rFonts w:eastAsia="SimSun" w:cs="Times New Roman"/>
          <w:sz w:val="18"/>
          <w:szCs w:val="18"/>
          <w:lang w:val="en-US" w:eastAsia="zh-CN"/>
        </w:rPr>
      </w:pPr>
    </w:p>
    <w:p w14:paraId="6BA1E3C7" w14:textId="5A590292" w:rsidR="000B565F" w:rsidRPr="007B2402" w:rsidRDefault="0032299D" w:rsidP="0032299D">
      <w:pPr>
        <w:tabs>
          <w:tab w:val="left" w:pos="7290"/>
        </w:tabs>
        <w:spacing w:line="240" w:lineRule="auto"/>
        <w:ind w:left="720" w:right="540"/>
        <w:jc w:val="both"/>
        <w:rPr>
          <w:i/>
          <w:sz w:val="18"/>
          <w:szCs w:val="18"/>
          <w:lang w:val="en-US"/>
        </w:rPr>
      </w:pPr>
      <w:bookmarkStart w:id="145" w:name="_Hlk10823016"/>
      <w:r w:rsidRPr="007B2402">
        <w:rPr>
          <w:rFonts w:cs="Arial"/>
          <w:sz w:val="18"/>
          <w:szCs w:val="18"/>
          <w:lang w:val="en-US"/>
        </w:rPr>
        <w:t xml:space="preserve">Given its manifest incompatibility with the American Convention, the provisions of the Brazilian Amnesty Law that impede the investigation and punishment of gross human rights violations lack legal </w:t>
      </w:r>
      <w:r w:rsidR="009A6089" w:rsidRPr="007B2402">
        <w:rPr>
          <w:rFonts w:cs="Arial"/>
          <w:sz w:val="18"/>
          <w:szCs w:val="18"/>
          <w:lang w:val="en-US"/>
        </w:rPr>
        <w:t>force</w:t>
      </w:r>
      <w:r w:rsidRPr="007B2402">
        <w:rPr>
          <w:rFonts w:cs="Arial"/>
          <w:sz w:val="18"/>
          <w:szCs w:val="18"/>
          <w:lang w:val="en-US"/>
        </w:rPr>
        <w:t>. Consequently, they cannot continue to represent an obstacle to the investigation of the facts in this case, or to the identification and punishment of those responsible, and they cannot have an equal or similar impact on other cases of gross violations of human rights recognized in the American Convention that occurred in Brazil</w:t>
      </w:r>
      <w:bookmarkEnd w:id="145"/>
      <w:r w:rsidRPr="007B2402">
        <w:rPr>
          <w:i/>
          <w:sz w:val="18"/>
          <w:szCs w:val="18"/>
          <w:lang w:val="en-US"/>
        </w:rPr>
        <w:t>.</w:t>
      </w:r>
      <w:r w:rsidR="004F5D1A" w:rsidRPr="007B2402">
        <w:rPr>
          <w:rStyle w:val="Refdenotaalpie"/>
          <w:rFonts w:ascii="Verdana" w:eastAsia="SimSun" w:hAnsi="Verdana"/>
          <w:sz w:val="18"/>
          <w:szCs w:val="18"/>
          <w:lang w:val="en-US" w:eastAsia="zh-CN"/>
        </w:rPr>
        <w:footnoteReference w:id="101"/>
      </w:r>
    </w:p>
    <w:p w14:paraId="1FB00898" w14:textId="5FF5D8A3" w:rsidR="005427CB" w:rsidRPr="007B2402" w:rsidRDefault="0032299D"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 xml:space="preserve">With regard to </w:t>
      </w:r>
      <w:r w:rsidR="008F54BD" w:rsidRPr="007B2402">
        <w:rPr>
          <w:rFonts w:eastAsia="Calibri" w:cs="Times New Roman"/>
          <w:szCs w:val="20"/>
          <w:lang w:val="en-US"/>
        </w:rPr>
        <w:t xml:space="preserve">the </w:t>
      </w:r>
      <w:r w:rsidRPr="007B2402">
        <w:rPr>
          <w:rFonts w:eastAsia="Calibri" w:cs="Times New Roman"/>
          <w:szCs w:val="20"/>
          <w:lang w:val="en-US"/>
        </w:rPr>
        <w:t xml:space="preserve">ADPF </w:t>
      </w:r>
      <w:r w:rsidR="008F54BD" w:rsidRPr="007B2402">
        <w:rPr>
          <w:rFonts w:eastAsia="Calibri" w:cs="Times New Roman"/>
          <w:szCs w:val="20"/>
          <w:lang w:val="en-US"/>
        </w:rPr>
        <w:t>[</w:t>
      </w:r>
      <w:r w:rsidR="008F54BD" w:rsidRPr="007B2402">
        <w:rPr>
          <w:szCs w:val="20"/>
          <w:lang w:val="en-US"/>
        </w:rPr>
        <w:t xml:space="preserve">Action claiming </w:t>
      </w:r>
      <w:r w:rsidR="00B24B53" w:rsidRPr="007B2402">
        <w:rPr>
          <w:szCs w:val="20"/>
          <w:lang w:val="en-US"/>
        </w:rPr>
        <w:t>n</w:t>
      </w:r>
      <w:r w:rsidR="008F54BD" w:rsidRPr="007B2402">
        <w:rPr>
          <w:szCs w:val="20"/>
          <w:lang w:val="en-US"/>
        </w:rPr>
        <w:t xml:space="preserve">on-compliance </w:t>
      </w:r>
      <w:r w:rsidR="00B24B53" w:rsidRPr="007B2402">
        <w:rPr>
          <w:szCs w:val="20"/>
          <w:lang w:val="en-US"/>
        </w:rPr>
        <w:t>with</w:t>
      </w:r>
      <w:r w:rsidR="008F54BD" w:rsidRPr="007B2402">
        <w:rPr>
          <w:szCs w:val="20"/>
          <w:lang w:val="en-US"/>
        </w:rPr>
        <w:t xml:space="preserve"> a </w:t>
      </w:r>
      <w:r w:rsidR="00B24B53" w:rsidRPr="007B2402">
        <w:rPr>
          <w:szCs w:val="20"/>
          <w:lang w:val="en-US"/>
        </w:rPr>
        <w:t>f</w:t>
      </w:r>
      <w:r w:rsidR="008F54BD" w:rsidRPr="007B2402">
        <w:rPr>
          <w:szCs w:val="20"/>
          <w:lang w:val="en-US"/>
        </w:rPr>
        <w:t xml:space="preserve">undamental </w:t>
      </w:r>
      <w:r w:rsidR="00B24B53" w:rsidRPr="007B2402">
        <w:rPr>
          <w:szCs w:val="20"/>
          <w:lang w:val="en-US"/>
        </w:rPr>
        <w:t>p</w:t>
      </w:r>
      <w:r w:rsidR="008F54BD" w:rsidRPr="007B2402">
        <w:rPr>
          <w:szCs w:val="20"/>
          <w:lang w:val="en-US"/>
        </w:rPr>
        <w:t xml:space="preserve">recept] </w:t>
      </w:r>
      <w:r w:rsidRPr="007B2402">
        <w:rPr>
          <w:rFonts w:eastAsia="Calibri" w:cs="Times New Roman"/>
          <w:szCs w:val="20"/>
          <w:lang w:val="en-US"/>
        </w:rPr>
        <w:t>decision</w:t>
      </w:r>
      <w:r w:rsidR="003656C0" w:rsidRPr="007B2402">
        <w:rPr>
          <w:rFonts w:eastAsia="Calibri" w:cs="Times New Roman"/>
          <w:szCs w:val="20"/>
          <w:lang w:val="en-US"/>
        </w:rPr>
        <w:t xml:space="preserve"> No. 153</w:t>
      </w:r>
      <w:r w:rsidR="005427CB" w:rsidRPr="007B2402">
        <w:rPr>
          <w:rFonts w:eastAsia="Calibri" w:cs="Times New Roman"/>
          <w:szCs w:val="20"/>
          <w:lang w:val="en-US"/>
        </w:rPr>
        <w:t xml:space="preserve">, </w:t>
      </w:r>
      <w:r w:rsidRPr="007B2402">
        <w:rPr>
          <w:rFonts w:eastAsia="Calibri" w:cs="Times New Roman"/>
          <w:szCs w:val="20"/>
          <w:lang w:val="en-US"/>
        </w:rPr>
        <w:t xml:space="preserve">the Brazilian </w:t>
      </w:r>
      <w:r w:rsidR="005A2FF3" w:rsidRPr="007B2402">
        <w:rPr>
          <w:rFonts w:eastAsia="Calibri" w:cs="Times New Roman"/>
          <w:szCs w:val="20"/>
          <w:lang w:val="en-US"/>
        </w:rPr>
        <w:t>Bar</w:t>
      </w:r>
      <w:r w:rsidRPr="007B2402">
        <w:rPr>
          <w:rFonts w:eastAsia="Calibri" w:cs="Times New Roman"/>
          <w:szCs w:val="20"/>
          <w:lang w:val="en-US"/>
        </w:rPr>
        <w:t xml:space="preserve"> Association, the petitioner in that action, filed a </w:t>
      </w:r>
      <w:r w:rsidR="005A2FF3" w:rsidRPr="007B2402">
        <w:rPr>
          <w:rFonts w:eastAsia="Calibri" w:cs="Times New Roman"/>
          <w:szCs w:val="20"/>
          <w:lang w:val="en-US"/>
        </w:rPr>
        <w:t>motion for clarification (“</w:t>
      </w:r>
      <w:r w:rsidR="005427CB" w:rsidRPr="007B2402">
        <w:rPr>
          <w:rFonts w:eastAsia="Calibri" w:cs="Times New Roman"/>
          <w:i/>
          <w:szCs w:val="20"/>
          <w:lang w:val="en-US"/>
        </w:rPr>
        <w:t>embargos de declaração</w:t>
      </w:r>
      <w:r w:rsidR="005A2FF3" w:rsidRPr="007B2402">
        <w:rPr>
          <w:rFonts w:eastAsia="Calibri" w:cs="Times New Roman"/>
          <w:i/>
          <w:szCs w:val="20"/>
          <w:lang w:val="en-US"/>
        </w:rPr>
        <w:t>”</w:t>
      </w:r>
      <w:r w:rsidR="005427CB" w:rsidRPr="007B2402">
        <w:rPr>
          <w:rFonts w:eastAsia="Calibri" w:cs="Times New Roman"/>
          <w:szCs w:val="20"/>
          <w:lang w:val="en-US"/>
        </w:rPr>
        <w:t xml:space="preserve">) </w:t>
      </w:r>
      <w:r w:rsidRPr="007B2402">
        <w:rPr>
          <w:rFonts w:eastAsia="Calibri" w:cs="Times New Roman"/>
          <w:szCs w:val="20"/>
          <w:lang w:val="en-US"/>
        </w:rPr>
        <w:t xml:space="preserve">on March 16, </w:t>
      </w:r>
      <w:r w:rsidR="005427CB" w:rsidRPr="007B2402">
        <w:rPr>
          <w:rFonts w:eastAsia="Calibri" w:cs="Times New Roman"/>
          <w:szCs w:val="20"/>
          <w:lang w:val="en-US"/>
        </w:rPr>
        <w:t>2011</w:t>
      </w:r>
      <w:r w:rsidR="005A2FF3" w:rsidRPr="007B2402">
        <w:rPr>
          <w:rFonts w:eastAsia="Calibri" w:cs="Times New Roman"/>
          <w:szCs w:val="20"/>
          <w:lang w:val="en-US"/>
        </w:rPr>
        <w:t>,</w:t>
      </w:r>
      <w:r w:rsidR="005427CB" w:rsidRPr="007B2402">
        <w:rPr>
          <w:rFonts w:eastAsia="Calibri" w:cs="Times New Roman"/>
          <w:szCs w:val="20"/>
          <w:lang w:val="en-US"/>
        </w:rPr>
        <w:t xml:space="preserve"> </w:t>
      </w:r>
      <w:r w:rsidR="005A2FF3" w:rsidRPr="007B2402">
        <w:rPr>
          <w:rFonts w:eastAsia="Calibri" w:cs="Times New Roman"/>
          <w:szCs w:val="20"/>
          <w:lang w:val="en-US"/>
        </w:rPr>
        <w:t>that had not been decided</w:t>
      </w:r>
      <w:r w:rsidRPr="007B2402">
        <w:rPr>
          <w:rFonts w:eastAsia="Calibri" w:cs="Times New Roman"/>
          <w:szCs w:val="20"/>
          <w:lang w:val="en-US"/>
        </w:rPr>
        <w:t xml:space="preserve"> at the time</w:t>
      </w:r>
      <w:r w:rsidR="005A2FF3" w:rsidRPr="007B2402">
        <w:rPr>
          <w:rFonts w:eastAsia="Calibri" w:cs="Times New Roman"/>
          <w:szCs w:val="20"/>
          <w:lang w:val="en-US"/>
        </w:rPr>
        <w:t xml:space="preserve"> of</w:t>
      </w:r>
      <w:r w:rsidRPr="007B2402">
        <w:rPr>
          <w:rFonts w:eastAsia="Calibri" w:cs="Times New Roman"/>
          <w:szCs w:val="20"/>
          <w:lang w:val="en-US"/>
        </w:rPr>
        <w:t xml:space="preserve"> this judgment</w:t>
      </w:r>
      <w:r w:rsidR="005A2FF3" w:rsidRPr="007B2402">
        <w:rPr>
          <w:rFonts w:eastAsia="Calibri" w:cs="Times New Roman"/>
          <w:szCs w:val="20"/>
          <w:lang w:val="en-US"/>
        </w:rPr>
        <w:t>. Also, the judiciary continue to apply</w:t>
      </w:r>
      <w:r w:rsidRPr="007B2402">
        <w:rPr>
          <w:rFonts w:eastAsia="Calibri" w:cs="Times New Roman"/>
          <w:szCs w:val="20"/>
          <w:lang w:val="en-US"/>
        </w:rPr>
        <w:t xml:space="preserve"> Law </w:t>
      </w:r>
      <w:r w:rsidR="000B1E5D" w:rsidRPr="007B2402">
        <w:rPr>
          <w:rFonts w:eastAsia="Calibri" w:cs="Times New Roman"/>
          <w:szCs w:val="20"/>
          <w:lang w:val="en-US"/>
        </w:rPr>
        <w:t>No. 6683/79</w:t>
      </w:r>
      <w:r w:rsidRPr="007B2402">
        <w:rPr>
          <w:rFonts w:eastAsia="Calibri" w:cs="Times New Roman"/>
          <w:szCs w:val="20"/>
          <w:lang w:val="en-US"/>
        </w:rPr>
        <w:t>.</w:t>
      </w:r>
    </w:p>
    <w:p w14:paraId="3F467D4B" w14:textId="7E745BB2" w:rsidR="005427CB" w:rsidRPr="007B2402" w:rsidRDefault="005427CB" w:rsidP="005427CB">
      <w:pPr>
        <w:spacing w:after="0" w:line="240" w:lineRule="auto"/>
        <w:jc w:val="both"/>
        <w:rPr>
          <w:rFonts w:eastAsia="Calibri" w:cs="Times New Roman"/>
          <w:b/>
          <w:szCs w:val="20"/>
          <w:lang w:val="en-US"/>
        </w:rPr>
      </w:pPr>
      <w:r w:rsidRPr="007B2402">
        <w:rPr>
          <w:rFonts w:eastAsia="Calibri" w:cs="Times New Roman"/>
          <w:szCs w:val="20"/>
          <w:lang w:val="en-US"/>
        </w:rPr>
        <w:t xml:space="preserve"> </w:t>
      </w:r>
    </w:p>
    <w:p w14:paraId="0E418A6E" w14:textId="1CFBED9A" w:rsidR="005427CB" w:rsidRPr="007B2402" w:rsidRDefault="005A2FF3" w:rsidP="00E668B8">
      <w:pPr>
        <w:pStyle w:val="Ttulo2"/>
        <w:rPr>
          <w:b/>
          <w:lang w:val="en-US" w:eastAsia="zh-CN"/>
        </w:rPr>
      </w:pPr>
      <w:bookmarkStart w:id="146" w:name="_Toc506984110"/>
      <w:r w:rsidRPr="007B2402">
        <w:rPr>
          <w:b/>
          <w:lang w:val="en-US" w:eastAsia="zh-CN"/>
        </w:rPr>
        <w:t>Police investigation</w:t>
      </w:r>
      <w:r w:rsidR="008C1700" w:rsidRPr="007B2402">
        <w:rPr>
          <w:b/>
          <w:lang w:val="en-US" w:eastAsia="zh-CN"/>
        </w:rPr>
        <w:t xml:space="preserve"> No. 487/92 (</w:t>
      </w:r>
      <w:r w:rsidR="005427CB" w:rsidRPr="007B2402">
        <w:rPr>
          <w:b/>
          <w:lang w:val="en-US" w:eastAsia="zh-CN"/>
        </w:rPr>
        <w:t>S</w:t>
      </w:r>
      <w:r w:rsidR="005427CB" w:rsidRPr="007B2402">
        <w:rPr>
          <w:b/>
          <w:lang w:val="en-US"/>
        </w:rPr>
        <w:t>ã</w:t>
      </w:r>
      <w:r w:rsidR="00514C1C" w:rsidRPr="007B2402">
        <w:rPr>
          <w:b/>
          <w:lang w:val="en-US" w:eastAsia="zh-CN"/>
        </w:rPr>
        <w:t>o Paulo</w:t>
      </w:r>
      <w:r w:rsidRPr="007B2402">
        <w:rPr>
          <w:b/>
          <w:lang w:val="en-US" w:eastAsia="zh-CN"/>
        </w:rPr>
        <w:t xml:space="preserve"> state jurisdiction</w:t>
      </w:r>
      <w:r w:rsidR="008C1700" w:rsidRPr="007B2402">
        <w:rPr>
          <w:b/>
          <w:lang w:val="en-US" w:eastAsia="zh-CN"/>
        </w:rPr>
        <w:t>)</w:t>
      </w:r>
      <w:bookmarkEnd w:id="146"/>
    </w:p>
    <w:p w14:paraId="03684BD2" w14:textId="77777777" w:rsidR="005427CB" w:rsidRPr="007B2402" w:rsidRDefault="005427CB" w:rsidP="00514C1C">
      <w:pPr>
        <w:pStyle w:val="Textocomentario"/>
        <w:rPr>
          <w:rFonts w:eastAsia="Calibri" w:cs="Times New Roman"/>
          <w:noProof w:val="0"/>
          <w:lang w:val="en-US"/>
        </w:rPr>
      </w:pPr>
    </w:p>
    <w:p w14:paraId="5331710F" w14:textId="55C5093E" w:rsidR="005427CB" w:rsidRPr="007B2402" w:rsidRDefault="005A2FF3" w:rsidP="00DB1F30">
      <w:pPr>
        <w:numPr>
          <w:ilvl w:val="0"/>
          <w:numId w:val="6"/>
        </w:numPr>
        <w:spacing w:after="0" w:line="240" w:lineRule="auto"/>
        <w:jc w:val="both"/>
        <w:rPr>
          <w:rFonts w:eastAsia="Calibri" w:cs="Times New Roman"/>
          <w:b/>
          <w:szCs w:val="20"/>
          <w:lang w:val="en-US"/>
        </w:rPr>
      </w:pPr>
      <w:r w:rsidRPr="007B2402">
        <w:rPr>
          <w:rFonts w:eastAsia="Calibri" w:cs="Times New Roman"/>
          <w:szCs w:val="20"/>
          <w:lang w:val="en-US"/>
        </w:rPr>
        <w:lastRenderedPageBreak/>
        <w:t>At the</w:t>
      </w:r>
      <w:r w:rsidR="005427CB" w:rsidRPr="007B2402">
        <w:rPr>
          <w:rFonts w:eastAsia="Calibri" w:cs="Times New Roman"/>
          <w:szCs w:val="20"/>
          <w:lang w:val="en-US"/>
        </w:rPr>
        <w:t xml:space="preserve"> </w:t>
      </w:r>
      <w:r w:rsidRPr="007B2402">
        <w:rPr>
          <w:rFonts w:eastAsia="Calibri" w:cs="Times New Roman"/>
          <w:szCs w:val="20"/>
          <w:lang w:val="en-US"/>
        </w:rPr>
        <w:t xml:space="preserve">beginning of </w:t>
      </w:r>
      <w:r w:rsidR="005427CB" w:rsidRPr="007B2402">
        <w:rPr>
          <w:rFonts w:eastAsia="Calibri" w:cs="Times New Roman"/>
          <w:szCs w:val="20"/>
          <w:lang w:val="en-US"/>
        </w:rPr>
        <w:t>1992</w:t>
      </w:r>
      <w:r w:rsidRPr="007B2402">
        <w:rPr>
          <w:rFonts w:eastAsia="Calibri" w:cs="Times New Roman"/>
          <w:szCs w:val="20"/>
          <w:lang w:val="en-US"/>
        </w:rPr>
        <w:t>, an interview was published in the weekly magazine</w:t>
      </w:r>
      <w:r w:rsidR="005427CB" w:rsidRPr="007B2402">
        <w:rPr>
          <w:rFonts w:eastAsia="Calibri" w:cs="Times New Roman"/>
          <w:szCs w:val="20"/>
          <w:lang w:val="en-US"/>
        </w:rPr>
        <w:t xml:space="preserve"> “</w:t>
      </w:r>
      <w:r w:rsidR="005427CB" w:rsidRPr="007B2402">
        <w:rPr>
          <w:rFonts w:eastAsia="Calibri" w:cs="Times New Roman"/>
          <w:i/>
          <w:szCs w:val="20"/>
          <w:lang w:val="en-US"/>
        </w:rPr>
        <w:t>Isto é, senhor</w:t>
      </w:r>
      <w:r w:rsidRPr="007B2402">
        <w:rPr>
          <w:rFonts w:eastAsia="Calibri" w:cs="Times New Roman"/>
          <w:i/>
          <w:szCs w:val="20"/>
          <w:lang w:val="en-US"/>
        </w:rPr>
        <w:t>,</w:t>
      </w:r>
      <w:r w:rsidR="005427CB" w:rsidRPr="007B2402">
        <w:rPr>
          <w:rFonts w:eastAsia="Calibri" w:cs="Times New Roman"/>
          <w:i/>
          <w:szCs w:val="20"/>
          <w:lang w:val="en-US"/>
        </w:rPr>
        <w:t>”</w:t>
      </w:r>
      <w:r w:rsidRPr="007B2402">
        <w:rPr>
          <w:rFonts w:eastAsia="Calibri" w:cs="Times New Roman"/>
          <w:szCs w:val="20"/>
          <w:lang w:val="en-US"/>
        </w:rPr>
        <w:t xml:space="preserve"> in which</w:t>
      </w:r>
      <w:r w:rsidR="005427CB" w:rsidRPr="007B2402">
        <w:rPr>
          <w:rFonts w:eastAsia="Calibri" w:cs="Times New Roman"/>
          <w:szCs w:val="20"/>
          <w:lang w:val="en-US"/>
        </w:rPr>
        <w:t xml:space="preserve"> Pedro Antonio Mira Grancieri, </w:t>
      </w:r>
      <w:r w:rsidRPr="007B2402">
        <w:rPr>
          <w:rFonts w:eastAsia="Calibri" w:cs="Times New Roman"/>
          <w:szCs w:val="20"/>
          <w:lang w:val="en-US"/>
        </w:rPr>
        <w:t>known as</w:t>
      </w:r>
      <w:r w:rsidR="005427CB" w:rsidRPr="007B2402">
        <w:rPr>
          <w:rFonts w:eastAsia="Calibri" w:cs="Times New Roman"/>
          <w:szCs w:val="20"/>
          <w:lang w:val="en-US"/>
        </w:rPr>
        <w:t xml:space="preserve"> “</w:t>
      </w:r>
      <w:r w:rsidR="005427CB" w:rsidRPr="007B2402">
        <w:rPr>
          <w:rFonts w:eastAsia="Calibri" w:cs="Times New Roman"/>
          <w:i/>
          <w:iCs/>
          <w:szCs w:val="20"/>
          <w:lang w:val="en-US"/>
        </w:rPr>
        <w:t>Cap</w:t>
      </w:r>
      <w:r w:rsidR="00C74B40" w:rsidRPr="007B2402">
        <w:rPr>
          <w:rFonts w:eastAsia="Calibri" w:cs="Times New Roman"/>
          <w:i/>
          <w:iCs/>
          <w:szCs w:val="20"/>
          <w:lang w:val="en-US"/>
        </w:rPr>
        <w:t>tain</w:t>
      </w:r>
      <w:r w:rsidR="005427CB" w:rsidRPr="007B2402">
        <w:rPr>
          <w:rFonts w:eastAsia="Calibri" w:cs="Times New Roman"/>
          <w:i/>
          <w:iCs/>
          <w:szCs w:val="20"/>
          <w:lang w:val="en-US"/>
        </w:rPr>
        <w:t xml:space="preserve"> Ramiro</w:t>
      </w:r>
      <w:r w:rsidRPr="007B2402">
        <w:rPr>
          <w:rFonts w:eastAsia="Calibri" w:cs="Times New Roman"/>
          <w:szCs w:val="20"/>
          <w:lang w:val="en-US"/>
        </w:rPr>
        <w:t>,</w:t>
      </w:r>
      <w:r w:rsidR="005427CB" w:rsidRPr="007B2402">
        <w:rPr>
          <w:rFonts w:eastAsia="Calibri" w:cs="Times New Roman"/>
          <w:szCs w:val="20"/>
          <w:lang w:val="en-US"/>
        </w:rPr>
        <w:t>”</w:t>
      </w:r>
      <w:r w:rsidRPr="007B2402">
        <w:rPr>
          <w:rFonts w:eastAsia="Calibri" w:cs="Times New Roman"/>
          <w:szCs w:val="20"/>
          <w:lang w:val="en-US"/>
        </w:rPr>
        <w:t xml:space="preserve"> stated that he had been the only person responsible for the </w:t>
      </w:r>
      <w:r w:rsidR="009A6089" w:rsidRPr="007B2402">
        <w:rPr>
          <w:rFonts w:eastAsia="Calibri" w:cs="Times New Roman"/>
          <w:szCs w:val="20"/>
          <w:lang w:val="en-US"/>
        </w:rPr>
        <w:t xml:space="preserve">Vladimir </w:t>
      </w:r>
      <w:r w:rsidRPr="007B2402">
        <w:rPr>
          <w:rFonts w:eastAsia="Calibri" w:cs="Times New Roman"/>
          <w:szCs w:val="20"/>
          <w:lang w:val="en-US"/>
        </w:rPr>
        <w:t>Herzog’s interrogation.</w:t>
      </w:r>
      <w:r w:rsidR="005427CB" w:rsidRPr="007B2402">
        <w:rPr>
          <w:rFonts w:eastAsia="Calibri" w:cs="Times New Roman"/>
          <w:szCs w:val="20"/>
          <w:vertAlign w:val="superscript"/>
          <w:lang w:val="en-US"/>
        </w:rPr>
        <w:footnoteReference w:id="102"/>
      </w:r>
    </w:p>
    <w:p w14:paraId="2ACB2803" w14:textId="77777777" w:rsidR="005427CB" w:rsidRPr="007B2402" w:rsidRDefault="005427CB" w:rsidP="005427CB">
      <w:pPr>
        <w:spacing w:after="0" w:line="240" w:lineRule="auto"/>
        <w:jc w:val="both"/>
        <w:rPr>
          <w:rFonts w:eastAsia="Calibri" w:cs="Times New Roman"/>
          <w:b/>
          <w:szCs w:val="20"/>
          <w:lang w:val="en-US"/>
        </w:rPr>
      </w:pPr>
    </w:p>
    <w:p w14:paraId="4ECAD394" w14:textId="7048BA2F" w:rsidR="005427CB" w:rsidRPr="007B2402" w:rsidRDefault="005A2FF3" w:rsidP="00DB1F30">
      <w:pPr>
        <w:numPr>
          <w:ilvl w:val="0"/>
          <w:numId w:val="6"/>
        </w:numPr>
        <w:spacing w:after="0" w:line="240" w:lineRule="auto"/>
        <w:jc w:val="both"/>
        <w:rPr>
          <w:rFonts w:eastAsia="Calibri" w:cs="Times New Roman"/>
          <w:b/>
          <w:szCs w:val="20"/>
          <w:lang w:val="en-US"/>
        </w:rPr>
      </w:pPr>
      <w:r w:rsidRPr="007B2402">
        <w:rPr>
          <w:rFonts w:eastAsia="Calibri" w:cs="Times New Roman"/>
          <w:szCs w:val="20"/>
          <w:lang w:val="en-US"/>
        </w:rPr>
        <w:t>As a result of this</w:t>
      </w:r>
      <w:r w:rsidR="005427CB" w:rsidRPr="007B2402">
        <w:rPr>
          <w:rFonts w:eastAsia="Calibri" w:cs="Times New Roman"/>
          <w:szCs w:val="20"/>
          <w:lang w:val="en-US"/>
        </w:rPr>
        <w:t xml:space="preserve">, </w:t>
      </w:r>
      <w:r w:rsidRPr="007B2402">
        <w:rPr>
          <w:rFonts w:eastAsia="Calibri" w:cs="Times New Roman"/>
          <w:szCs w:val="20"/>
          <w:lang w:val="en-US"/>
        </w:rPr>
        <w:t xml:space="preserve">on </w:t>
      </w:r>
      <w:r w:rsidR="0029493C" w:rsidRPr="007B2402">
        <w:rPr>
          <w:rFonts w:eastAsia="Calibri" w:cs="Times New Roman"/>
          <w:szCs w:val="20"/>
          <w:lang w:val="en-US"/>
        </w:rPr>
        <w:t xml:space="preserve">April </w:t>
      </w:r>
      <w:r w:rsidRPr="007B2402">
        <w:rPr>
          <w:rFonts w:eastAsia="Calibri" w:cs="Times New Roman"/>
          <w:szCs w:val="20"/>
          <w:lang w:val="en-US"/>
        </w:rPr>
        <w:t>2</w:t>
      </w:r>
      <w:r w:rsidR="0029493C" w:rsidRPr="007B2402">
        <w:rPr>
          <w:rFonts w:eastAsia="Calibri" w:cs="Times New Roman"/>
          <w:szCs w:val="20"/>
          <w:lang w:val="en-US"/>
        </w:rPr>
        <w:t>7,</w:t>
      </w:r>
      <w:r w:rsidR="005427CB" w:rsidRPr="007B2402">
        <w:rPr>
          <w:rFonts w:eastAsia="Calibri" w:cs="Times New Roman"/>
          <w:szCs w:val="20"/>
          <w:lang w:val="en-US"/>
        </w:rPr>
        <w:t xml:space="preserve"> 1992</w:t>
      </w:r>
      <w:r w:rsidR="00094B39" w:rsidRPr="007B2402">
        <w:rPr>
          <w:rFonts w:eastAsia="Calibri" w:cs="Times New Roman"/>
          <w:szCs w:val="20"/>
          <w:lang w:val="en-US"/>
        </w:rPr>
        <w:t xml:space="preserve">, </w:t>
      </w:r>
      <w:r w:rsidR="005427CB" w:rsidRPr="007B2402">
        <w:rPr>
          <w:rFonts w:eastAsia="Calibri" w:cs="Times New Roman"/>
          <w:szCs w:val="20"/>
          <w:lang w:val="en-US"/>
        </w:rPr>
        <w:t xml:space="preserve">Hélio Bicudo, </w:t>
      </w:r>
      <w:r w:rsidRPr="007B2402">
        <w:rPr>
          <w:rFonts w:eastAsia="Calibri" w:cs="Times New Roman"/>
          <w:szCs w:val="20"/>
          <w:lang w:val="en-US"/>
        </w:rPr>
        <w:t xml:space="preserve">a federal member of Congress at the time, asked the Public Prosecution Service to investigate the participation of </w:t>
      </w:r>
      <w:r w:rsidR="003816DF" w:rsidRPr="007B2402">
        <w:rPr>
          <w:rFonts w:eastAsia="Calibri" w:cs="Times New Roman"/>
          <w:szCs w:val="20"/>
          <w:lang w:val="en-US"/>
        </w:rPr>
        <w:t>Mira Grancieri</w:t>
      </w:r>
      <w:r w:rsidR="005427CB" w:rsidRPr="007B2402">
        <w:rPr>
          <w:rFonts w:eastAsia="Calibri" w:cs="Times New Roman"/>
          <w:szCs w:val="20"/>
          <w:lang w:val="en-US"/>
        </w:rPr>
        <w:t xml:space="preserve"> </w:t>
      </w:r>
      <w:r w:rsidRPr="007B2402">
        <w:rPr>
          <w:rFonts w:eastAsia="Calibri" w:cs="Times New Roman"/>
          <w:szCs w:val="20"/>
          <w:lang w:val="en-US"/>
        </w:rPr>
        <w:t xml:space="preserve">in </w:t>
      </w:r>
      <w:r w:rsidR="005427CB" w:rsidRPr="007B2402">
        <w:rPr>
          <w:rFonts w:eastAsia="Calibri" w:cs="Times New Roman"/>
          <w:szCs w:val="20"/>
          <w:lang w:val="en-US"/>
        </w:rPr>
        <w:t>Vladimir Herzog</w:t>
      </w:r>
      <w:r w:rsidR="00A60081" w:rsidRPr="007B2402">
        <w:rPr>
          <w:rFonts w:eastAsia="Calibri" w:cs="Times New Roman"/>
          <w:szCs w:val="20"/>
          <w:lang w:val="en-US"/>
        </w:rPr>
        <w:t>’s death</w:t>
      </w:r>
      <w:r w:rsidRPr="007B2402">
        <w:rPr>
          <w:rFonts w:eastAsia="Calibri" w:cs="Times New Roman"/>
          <w:szCs w:val="20"/>
          <w:lang w:val="en-US"/>
        </w:rPr>
        <w:t>.</w:t>
      </w:r>
      <w:r w:rsidR="005427CB" w:rsidRPr="007B2402">
        <w:rPr>
          <w:rFonts w:eastAsia="Calibri" w:cs="Times New Roman"/>
          <w:szCs w:val="20"/>
          <w:vertAlign w:val="superscript"/>
          <w:lang w:val="en-US"/>
        </w:rPr>
        <w:footnoteReference w:id="103"/>
      </w:r>
      <w:r w:rsidR="005427CB" w:rsidRPr="007B2402">
        <w:rPr>
          <w:rFonts w:eastAsia="Calibri" w:cs="Times New Roman"/>
          <w:szCs w:val="20"/>
          <w:lang w:val="en-US"/>
        </w:rPr>
        <w:t xml:space="preserve"> </w:t>
      </w:r>
      <w:r w:rsidRPr="007B2402">
        <w:rPr>
          <w:rFonts w:eastAsia="Calibri" w:cs="Times New Roman"/>
          <w:szCs w:val="20"/>
          <w:lang w:val="en-US"/>
        </w:rPr>
        <w:t>On May 4,</w:t>
      </w:r>
      <w:r w:rsidR="005427CB" w:rsidRPr="007B2402">
        <w:rPr>
          <w:rFonts w:eastAsia="Calibri" w:cs="Times New Roman"/>
          <w:szCs w:val="20"/>
          <w:lang w:val="en-US"/>
        </w:rPr>
        <w:t xml:space="preserve"> 1992</w:t>
      </w:r>
      <w:r w:rsidRPr="007B2402">
        <w:rPr>
          <w:rFonts w:eastAsia="Calibri" w:cs="Times New Roman"/>
          <w:szCs w:val="20"/>
          <w:lang w:val="en-US"/>
        </w:rPr>
        <w:t>,</w:t>
      </w:r>
      <w:r w:rsidR="005427CB" w:rsidRPr="007B2402">
        <w:rPr>
          <w:rFonts w:eastAsia="Calibri" w:cs="Times New Roman"/>
          <w:szCs w:val="20"/>
          <w:lang w:val="en-US"/>
        </w:rPr>
        <w:t xml:space="preserve"> </w:t>
      </w:r>
      <w:r w:rsidRPr="007B2402">
        <w:rPr>
          <w:rFonts w:eastAsia="Calibri" w:cs="Times New Roman"/>
          <w:szCs w:val="20"/>
          <w:lang w:val="en-US"/>
        </w:rPr>
        <w:t>the Public Prosecution Service</w:t>
      </w:r>
      <w:r w:rsidR="005427CB" w:rsidRPr="007B2402">
        <w:rPr>
          <w:rFonts w:eastAsia="Calibri" w:cs="Times New Roman"/>
          <w:szCs w:val="20"/>
          <w:lang w:val="en-US"/>
        </w:rPr>
        <w:t xml:space="preserve"> </w:t>
      </w:r>
      <w:r w:rsidRPr="007B2402">
        <w:rPr>
          <w:rFonts w:eastAsia="Calibri" w:cs="Times New Roman"/>
          <w:szCs w:val="20"/>
          <w:lang w:val="en-US"/>
        </w:rPr>
        <w:t>requ</w:t>
      </w:r>
      <w:r w:rsidR="00A60081" w:rsidRPr="007B2402">
        <w:rPr>
          <w:rFonts w:eastAsia="Calibri" w:cs="Times New Roman"/>
          <w:szCs w:val="20"/>
          <w:lang w:val="en-US"/>
        </w:rPr>
        <w:t>ested</w:t>
      </w:r>
      <w:r w:rsidRPr="007B2402">
        <w:rPr>
          <w:rFonts w:eastAsia="Calibri" w:cs="Times New Roman"/>
          <w:szCs w:val="20"/>
          <w:lang w:val="en-US"/>
        </w:rPr>
        <w:t xml:space="preserve"> the police to open a police investigation</w:t>
      </w:r>
      <w:r w:rsidR="00593DE5" w:rsidRPr="007B2402">
        <w:rPr>
          <w:rFonts w:eastAsia="Calibri" w:cs="Times New Roman"/>
          <w:szCs w:val="20"/>
          <w:lang w:val="en-US"/>
        </w:rPr>
        <w:t>,</w:t>
      </w:r>
      <w:r w:rsidR="005B1590" w:rsidRPr="007B2402">
        <w:rPr>
          <w:rFonts w:eastAsia="Calibri" w:cs="Times New Roman"/>
          <w:szCs w:val="20"/>
          <w:lang w:val="en-US"/>
        </w:rPr>
        <w:t xml:space="preserve"> and </w:t>
      </w:r>
      <w:r w:rsidR="00A60081" w:rsidRPr="007B2402">
        <w:rPr>
          <w:rFonts w:eastAsia="Calibri" w:cs="Times New Roman"/>
          <w:szCs w:val="20"/>
          <w:lang w:val="en-US"/>
        </w:rPr>
        <w:t>required</w:t>
      </w:r>
      <w:r w:rsidRPr="007B2402">
        <w:rPr>
          <w:rFonts w:eastAsia="Calibri" w:cs="Times New Roman"/>
          <w:szCs w:val="20"/>
          <w:lang w:val="en-US"/>
        </w:rPr>
        <w:t xml:space="preserve"> that</w:t>
      </w:r>
      <w:r w:rsidR="005427CB" w:rsidRPr="007B2402">
        <w:rPr>
          <w:rFonts w:eastAsia="Calibri" w:cs="Times New Roman"/>
          <w:szCs w:val="20"/>
          <w:lang w:val="en-US"/>
        </w:rPr>
        <w:t xml:space="preserve"> Mira Grancieri </w:t>
      </w:r>
      <w:r w:rsidR="00A60081" w:rsidRPr="007B2402">
        <w:rPr>
          <w:rFonts w:eastAsia="Calibri" w:cs="Times New Roman"/>
          <w:szCs w:val="20"/>
          <w:lang w:val="en-US"/>
        </w:rPr>
        <w:t>be formally identified by witnesses.</w:t>
      </w:r>
      <w:r w:rsidR="005427CB" w:rsidRPr="007B2402">
        <w:rPr>
          <w:rFonts w:eastAsia="Calibri" w:cs="Times New Roman"/>
          <w:szCs w:val="20"/>
          <w:vertAlign w:val="superscript"/>
          <w:lang w:val="en-US"/>
        </w:rPr>
        <w:footnoteReference w:id="104"/>
      </w:r>
    </w:p>
    <w:p w14:paraId="5623C276" w14:textId="77777777" w:rsidR="005427CB" w:rsidRPr="007B2402" w:rsidRDefault="005427CB" w:rsidP="005427CB">
      <w:pPr>
        <w:spacing w:after="0" w:line="240" w:lineRule="auto"/>
        <w:jc w:val="both"/>
        <w:rPr>
          <w:rFonts w:eastAsia="Calibri" w:cs="Times New Roman"/>
          <w:b/>
          <w:szCs w:val="20"/>
          <w:lang w:val="en-US"/>
        </w:rPr>
      </w:pPr>
    </w:p>
    <w:p w14:paraId="34E7FFB6" w14:textId="6BCA387F" w:rsidR="005427CB" w:rsidRPr="007B2402" w:rsidRDefault="00A60081" w:rsidP="00DB1F30">
      <w:pPr>
        <w:numPr>
          <w:ilvl w:val="0"/>
          <w:numId w:val="6"/>
        </w:numPr>
        <w:spacing w:after="0" w:line="240" w:lineRule="auto"/>
        <w:jc w:val="both"/>
        <w:rPr>
          <w:rFonts w:eastAsia="Calibri" w:cs="Times New Roman"/>
          <w:b/>
          <w:szCs w:val="20"/>
          <w:lang w:val="en-US"/>
        </w:rPr>
      </w:pPr>
      <w:r w:rsidRPr="007B2402">
        <w:rPr>
          <w:rFonts w:eastAsia="Calibri" w:cs="Times New Roman"/>
          <w:szCs w:val="20"/>
          <w:lang w:val="en-US"/>
        </w:rPr>
        <w:t xml:space="preserve">Despite the progress made in the investigation, on July 21, 1992, </w:t>
      </w:r>
      <w:r w:rsidR="005427CB" w:rsidRPr="007B2402">
        <w:rPr>
          <w:rFonts w:eastAsia="Calibri" w:cs="Times New Roman"/>
          <w:szCs w:val="20"/>
          <w:lang w:val="en-US"/>
        </w:rPr>
        <w:t xml:space="preserve">Mira Grancieri </w:t>
      </w:r>
      <w:r w:rsidRPr="007B2402">
        <w:rPr>
          <w:rFonts w:eastAsia="Calibri" w:cs="Times New Roman"/>
          <w:szCs w:val="20"/>
          <w:lang w:val="en-US"/>
        </w:rPr>
        <w:t>filed an application for</w:t>
      </w:r>
      <w:r w:rsidR="005427CB" w:rsidRPr="007B2402">
        <w:rPr>
          <w:rFonts w:eastAsia="Calibri" w:cs="Times New Roman"/>
          <w:szCs w:val="20"/>
          <w:lang w:val="en-US"/>
        </w:rPr>
        <w:t xml:space="preserve"> </w:t>
      </w:r>
      <w:r w:rsidR="005427CB" w:rsidRPr="007B2402">
        <w:rPr>
          <w:rFonts w:eastAsia="Calibri" w:cs="Times New Roman"/>
          <w:i/>
          <w:szCs w:val="20"/>
          <w:lang w:val="en-US"/>
        </w:rPr>
        <w:t>habeas corpus</w:t>
      </w:r>
      <w:r w:rsidR="005427CB" w:rsidRPr="007B2402">
        <w:rPr>
          <w:rFonts w:eastAsia="Calibri" w:cs="Times New Roman"/>
          <w:szCs w:val="20"/>
          <w:lang w:val="en-US"/>
        </w:rPr>
        <w:t>, a</w:t>
      </w:r>
      <w:r w:rsidRPr="007B2402">
        <w:rPr>
          <w:rFonts w:eastAsia="Calibri" w:cs="Times New Roman"/>
          <w:szCs w:val="20"/>
          <w:lang w:val="en-US"/>
        </w:rPr>
        <w:t xml:space="preserve">rguing that the facts had already been examined by the military investigation </w:t>
      </w:r>
      <w:r w:rsidR="009A6089" w:rsidRPr="007B2402">
        <w:rPr>
          <w:rFonts w:eastAsia="Calibri" w:cs="Times New Roman"/>
          <w:szCs w:val="20"/>
          <w:lang w:val="en-US"/>
        </w:rPr>
        <w:t>which</w:t>
      </w:r>
      <w:r w:rsidRPr="007B2402">
        <w:rPr>
          <w:rFonts w:eastAsia="Calibri" w:cs="Times New Roman"/>
          <w:szCs w:val="20"/>
          <w:lang w:val="en-US"/>
        </w:rPr>
        <w:t xml:space="preserve"> had been closed, that the ordinary jurisdiction did not have competence to examine the facts, and that the </w:t>
      </w:r>
      <w:r w:rsidR="00221E16" w:rsidRPr="007B2402">
        <w:rPr>
          <w:rFonts w:eastAsia="Calibri" w:cs="Times New Roman"/>
          <w:szCs w:val="20"/>
          <w:lang w:val="en-US"/>
        </w:rPr>
        <w:t>Amnesty Law</w:t>
      </w:r>
      <w:r w:rsidR="005427CB" w:rsidRPr="007B2402">
        <w:rPr>
          <w:rFonts w:eastAsia="Calibri" w:cs="Times New Roman"/>
          <w:szCs w:val="20"/>
          <w:lang w:val="en-US"/>
        </w:rPr>
        <w:t xml:space="preserve"> </w:t>
      </w:r>
      <w:r w:rsidRPr="007B2402">
        <w:rPr>
          <w:rFonts w:eastAsia="Calibri" w:cs="Times New Roman"/>
          <w:szCs w:val="20"/>
          <w:lang w:val="en-US"/>
        </w:rPr>
        <w:t>prevented an investigation of the facts.</w:t>
      </w:r>
      <w:r w:rsidR="005427CB" w:rsidRPr="007B2402">
        <w:rPr>
          <w:rFonts w:eastAsia="Calibri" w:cs="Times New Roman"/>
          <w:szCs w:val="20"/>
          <w:vertAlign w:val="superscript"/>
          <w:lang w:val="en-US"/>
        </w:rPr>
        <w:footnoteReference w:id="105"/>
      </w:r>
      <w:r w:rsidR="005427CB" w:rsidRPr="007B2402">
        <w:rPr>
          <w:rFonts w:eastAsia="Calibri" w:cs="Times New Roman"/>
          <w:szCs w:val="20"/>
          <w:lang w:val="en-US"/>
        </w:rPr>
        <w:t xml:space="preserve"> </w:t>
      </w:r>
    </w:p>
    <w:p w14:paraId="4349B099" w14:textId="77777777" w:rsidR="005427CB" w:rsidRPr="007B2402" w:rsidRDefault="005427CB" w:rsidP="005427CB">
      <w:pPr>
        <w:spacing w:after="0" w:line="240" w:lineRule="auto"/>
        <w:jc w:val="both"/>
        <w:rPr>
          <w:rFonts w:eastAsia="Calibri" w:cs="Times New Roman"/>
          <w:b/>
          <w:szCs w:val="20"/>
          <w:lang w:val="en-US"/>
        </w:rPr>
      </w:pPr>
    </w:p>
    <w:p w14:paraId="7D08C25B" w14:textId="455349B2" w:rsidR="005427CB" w:rsidRPr="007B2402" w:rsidRDefault="005427CB" w:rsidP="00DB1F30">
      <w:pPr>
        <w:numPr>
          <w:ilvl w:val="0"/>
          <w:numId w:val="6"/>
        </w:numPr>
        <w:spacing w:after="0" w:line="240" w:lineRule="auto"/>
        <w:jc w:val="both"/>
        <w:rPr>
          <w:rFonts w:eastAsia="Calibri" w:cs="Times New Roman"/>
          <w:b/>
          <w:szCs w:val="20"/>
          <w:lang w:val="en-US"/>
        </w:rPr>
      </w:pPr>
      <w:r w:rsidRPr="007B2402">
        <w:rPr>
          <w:rFonts w:eastAsia="Calibri" w:cs="Times New Roman"/>
          <w:szCs w:val="20"/>
          <w:lang w:val="en-US"/>
        </w:rPr>
        <w:t xml:space="preserve"> </w:t>
      </w:r>
      <w:r w:rsidR="00A60081" w:rsidRPr="007B2402">
        <w:rPr>
          <w:rFonts w:eastAsia="Calibri" w:cs="Times New Roman"/>
          <w:szCs w:val="20"/>
          <w:lang w:val="en-US"/>
        </w:rPr>
        <w:t>On October 13,</w:t>
      </w:r>
      <w:r w:rsidRPr="007B2402">
        <w:rPr>
          <w:rFonts w:eastAsia="Calibri" w:cs="Times New Roman"/>
          <w:szCs w:val="20"/>
          <w:lang w:val="en-US"/>
        </w:rPr>
        <w:t xml:space="preserve"> 1992</w:t>
      </w:r>
      <w:r w:rsidR="00A60081" w:rsidRPr="007B2402">
        <w:rPr>
          <w:rFonts w:eastAsia="Calibri" w:cs="Times New Roman"/>
          <w:szCs w:val="20"/>
          <w:lang w:val="en-US"/>
        </w:rPr>
        <w:t xml:space="preserve">, the Fourth Chamber of the </w:t>
      </w:r>
      <w:r w:rsidRPr="007B2402">
        <w:rPr>
          <w:rFonts w:eastAsia="Calibri" w:cs="Times New Roman"/>
          <w:szCs w:val="20"/>
          <w:lang w:val="en-US"/>
        </w:rPr>
        <w:t>São Paulo</w:t>
      </w:r>
      <w:r w:rsidR="00A60081" w:rsidRPr="007B2402">
        <w:rPr>
          <w:rFonts w:eastAsia="Calibri" w:cs="Times New Roman"/>
          <w:szCs w:val="20"/>
          <w:lang w:val="en-US"/>
        </w:rPr>
        <w:t xml:space="preserve"> State Court unanimously agreed to grant </w:t>
      </w:r>
      <w:r w:rsidR="009A6089" w:rsidRPr="007B2402">
        <w:rPr>
          <w:rFonts w:eastAsia="Calibri" w:cs="Times New Roman"/>
          <w:szCs w:val="20"/>
          <w:lang w:val="en-US"/>
        </w:rPr>
        <w:t>a</w:t>
      </w:r>
      <w:r w:rsidR="00A60081" w:rsidRPr="007B2402">
        <w:rPr>
          <w:rFonts w:eastAsia="Calibri" w:cs="Times New Roman"/>
          <w:szCs w:val="20"/>
          <w:lang w:val="en-US"/>
        </w:rPr>
        <w:t xml:space="preserve"> writ of </w:t>
      </w:r>
      <w:r w:rsidRPr="007B2402">
        <w:rPr>
          <w:rFonts w:eastAsia="Calibri" w:cs="Times New Roman"/>
          <w:i/>
          <w:szCs w:val="20"/>
          <w:lang w:val="en-US"/>
        </w:rPr>
        <w:t>habeas corpus</w:t>
      </w:r>
      <w:r w:rsidR="005B1590" w:rsidRPr="007B2402">
        <w:rPr>
          <w:rFonts w:eastAsia="Calibri" w:cs="Times New Roman"/>
          <w:szCs w:val="20"/>
          <w:lang w:val="en-US"/>
        </w:rPr>
        <w:t xml:space="preserve"> and </w:t>
      </w:r>
      <w:r w:rsidRPr="007B2402">
        <w:rPr>
          <w:rFonts w:eastAsia="Calibri" w:cs="Times New Roman"/>
          <w:szCs w:val="20"/>
          <w:lang w:val="en-US"/>
        </w:rPr>
        <w:t>c</w:t>
      </w:r>
      <w:r w:rsidR="00A60081" w:rsidRPr="007B2402">
        <w:rPr>
          <w:rFonts w:eastAsia="Calibri" w:cs="Times New Roman"/>
          <w:szCs w:val="20"/>
          <w:lang w:val="en-US"/>
        </w:rPr>
        <w:t xml:space="preserve">losed the investigation in </w:t>
      </w:r>
      <w:r w:rsidR="00BA0BB7" w:rsidRPr="007B2402">
        <w:rPr>
          <w:rFonts w:eastAsia="Calibri" w:cs="Times New Roman"/>
          <w:szCs w:val="20"/>
          <w:lang w:val="en-US"/>
        </w:rPr>
        <w:t>application of</w:t>
      </w:r>
      <w:r w:rsidR="00A60081" w:rsidRPr="007B2402">
        <w:rPr>
          <w:rFonts w:eastAsia="Calibri" w:cs="Times New Roman"/>
          <w:szCs w:val="20"/>
          <w:lang w:val="en-US"/>
        </w:rPr>
        <w:t xml:space="preserve"> the </w:t>
      </w:r>
      <w:r w:rsidR="00221E16" w:rsidRPr="007B2402">
        <w:rPr>
          <w:rFonts w:eastAsia="Calibri" w:cs="Times New Roman"/>
          <w:szCs w:val="20"/>
          <w:lang w:val="en-US"/>
        </w:rPr>
        <w:t>Amnesty Law</w:t>
      </w:r>
      <w:r w:rsidR="00A60081" w:rsidRPr="007B2402">
        <w:rPr>
          <w:rFonts w:eastAsia="Calibri" w:cs="Times New Roman"/>
          <w:szCs w:val="20"/>
          <w:lang w:val="en-US"/>
        </w:rPr>
        <w:t>.</w:t>
      </w:r>
      <w:r w:rsidRPr="007B2402">
        <w:rPr>
          <w:rFonts w:eastAsia="Calibri" w:cs="Times New Roman"/>
          <w:szCs w:val="20"/>
          <w:vertAlign w:val="superscript"/>
          <w:lang w:val="en-US"/>
        </w:rPr>
        <w:footnoteReference w:id="106"/>
      </w:r>
      <w:r w:rsidRPr="007B2402">
        <w:rPr>
          <w:rFonts w:eastAsia="Calibri" w:cs="Times New Roman"/>
          <w:szCs w:val="20"/>
          <w:lang w:val="en-US"/>
        </w:rPr>
        <w:t xml:space="preserve"> </w:t>
      </w:r>
    </w:p>
    <w:p w14:paraId="54152906" w14:textId="68BCBE09" w:rsidR="005427CB" w:rsidRPr="007B2402" w:rsidRDefault="00A60081" w:rsidP="005427CB">
      <w:pPr>
        <w:spacing w:after="0" w:line="240" w:lineRule="auto"/>
        <w:jc w:val="both"/>
        <w:rPr>
          <w:rFonts w:eastAsia="Calibri" w:cs="Times New Roman"/>
          <w:b/>
          <w:szCs w:val="20"/>
          <w:lang w:val="en-US"/>
        </w:rPr>
      </w:pPr>
      <w:r w:rsidRPr="007B2402">
        <w:rPr>
          <w:rFonts w:eastAsia="Calibri" w:cs="Times New Roman"/>
          <w:b/>
          <w:szCs w:val="20"/>
          <w:lang w:val="en-US"/>
        </w:rPr>
        <w:t xml:space="preserve"> </w:t>
      </w:r>
    </w:p>
    <w:p w14:paraId="4AD3B0B5" w14:textId="34C71ED5" w:rsidR="005427CB" w:rsidRPr="007B2402" w:rsidRDefault="00BA0BB7" w:rsidP="00DB1F30">
      <w:pPr>
        <w:numPr>
          <w:ilvl w:val="0"/>
          <w:numId w:val="6"/>
        </w:numPr>
        <w:spacing w:after="0" w:line="240" w:lineRule="auto"/>
        <w:jc w:val="both"/>
        <w:rPr>
          <w:rFonts w:eastAsia="Calibri" w:cs="Times New Roman"/>
          <w:b/>
          <w:szCs w:val="20"/>
          <w:lang w:val="en-US"/>
        </w:rPr>
      </w:pPr>
      <w:r w:rsidRPr="007B2402">
        <w:rPr>
          <w:rFonts w:eastAsia="Calibri" w:cs="Times New Roman"/>
          <w:szCs w:val="20"/>
          <w:lang w:val="en-US"/>
        </w:rPr>
        <w:t>On January 28,</w:t>
      </w:r>
      <w:r w:rsidR="005427CB" w:rsidRPr="007B2402">
        <w:rPr>
          <w:rFonts w:eastAsia="Calibri" w:cs="Times New Roman"/>
          <w:szCs w:val="20"/>
          <w:lang w:val="en-US"/>
        </w:rPr>
        <w:t xml:space="preserve"> 1993</w:t>
      </w:r>
      <w:r w:rsidRPr="007B2402">
        <w:rPr>
          <w:rFonts w:eastAsia="Calibri" w:cs="Times New Roman"/>
          <w:szCs w:val="20"/>
          <w:lang w:val="en-US"/>
        </w:rPr>
        <w:t>,</w:t>
      </w:r>
      <w:r w:rsidR="005427CB" w:rsidRPr="007B2402">
        <w:rPr>
          <w:rFonts w:eastAsia="Calibri" w:cs="Times New Roman"/>
          <w:szCs w:val="20"/>
          <w:lang w:val="en-US"/>
        </w:rPr>
        <w:t xml:space="preserve"> </w:t>
      </w:r>
      <w:r w:rsidRPr="007B2402">
        <w:rPr>
          <w:rFonts w:eastAsia="Calibri" w:cs="Times New Roman"/>
          <w:szCs w:val="20"/>
          <w:lang w:val="en-US"/>
        </w:rPr>
        <w:t>the</w:t>
      </w:r>
      <w:r w:rsidR="005427CB" w:rsidRPr="007B2402">
        <w:rPr>
          <w:rFonts w:eastAsia="Calibri" w:cs="Times New Roman"/>
          <w:szCs w:val="20"/>
          <w:lang w:val="en-US"/>
        </w:rPr>
        <w:t xml:space="preserve"> São Paulo</w:t>
      </w:r>
      <w:r w:rsidRPr="007B2402">
        <w:rPr>
          <w:rFonts w:eastAsia="Calibri" w:cs="Times New Roman"/>
          <w:szCs w:val="20"/>
          <w:lang w:val="en-US"/>
        </w:rPr>
        <w:t xml:space="preserve"> Prosecutor General appealed the decision</w:t>
      </w:r>
      <w:r w:rsidR="005427CB" w:rsidRPr="007B2402">
        <w:rPr>
          <w:rFonts w:eastAsia="Calibri" w:cs="Times New Roman"/>
          <w:szCs w:val="20"/>
          <w:lang w:val="en-US"/>
        </w:rPr>
        <w:t xml:space="preserve"> </w:t>
      </w:r>
      <w:r w:rsidRPr="007B2402">
        <w:rPr>
          <w:rFonts w:eastAsia="Calibri" w:cs="Times New Roman"/>
          <w:szCs w:val="20"/>
          <w:lang w:val="en-US"/>
        </w:rPr>
        <w:t xml:space="preserve">on the basis that police investigations could not be paralyzed by an application for </w:t>
      </w:r>
      <w:r w:rsidR="005427CB" w:rsidRPr="007B2402">
        <w:rPr>
          <w:rFonts w:eastAsia="Calibri" w:cs="Times New Roman"/>
          <w:i/>
          <w:szCs w:val="20"/>
          <w:lang w:val="en-US"/>
        </w:rPr>
        <w:t>habeas corpus</w:t>
      </w:r>
      <w:r w:rsidRPr="007B2402">
        <w:rPr>
          <w:rFonts w:eastAsia="Calibri" w:cs="Times New Roman"/>
          <w:i/>
          <w:szCs w:val="20"/>
          <w:lang w:val="en-US"/>
        </w:rPr>
        <w:t>.</w:t>
      </w:r>
      <w:r w:rsidR="005427CB" w:rsidRPr="007B2402">
        <w:rPr>
          <w:rFonts w:eastAsia="Calibri" w:cs="Times New Roman"/>
          <w:szCs w:val="20"/>
          <w:vertAlign w:val="superscript"/>
          <w:lang w:val="en-US"/>
        </w:rPr>
        <w:footnoteReference w:id="107"/>
      </w:r>
      <w:r w:rsidR="005427CB" w:rsidRPr="007B2402">
        <w:rPr>
          <w:rFonts w:eastAsia="Calibri" w:cs="Times New Roman"/>
          <w:szCs w:val="20"/>
          <w:lang w:val="en-US"/>
        </w:rPr>
        <w:t xml:space="preserve"> </w:t>
      </w:r>
    </w:p>
    <w:p w14:paraId="362EEE50" w14:textId="77777777" w:rsidR="005427CB" w:rsidRPr="007B2402" w:rsidRDefault="005427CB" w:rsidP="005427CB">
      <w:pPr>
        <w:spacing w:after="0" w:line="240" w:lineRule="auto"/>
        <w:jc w:val="both"/>
        <w:rPr>
          <w:rFonts w:eastAsia="Calibri" w:cs="Times New Roman"/>
          <w:b/>
          <w:szCs w:val="20"/>
          <w:lang w:val="en-US"/>
        </w:rPr>
      </w:pPr>
    </w:p>
    <w:p w14:paraId="417955BE" w14:textId="34C3F6B1" w:rsidR="005427CB" w:rsidRPr="007B2402" w:rsidRDefault="00BA0BB7" w:rsidP="00DB1F30">
      <w:pPr>
        <w:numPr>
          <w:ilvl w:val="0"/>
          <w:numId w:val="6"/>
        </w:numPr>
        <w:spacing w:after="0" w:line="240" w:lineRule="auto"/>
        <w:jc w:val="both"/>
        <w:rPr>
          <w:rFonts w:eastAsia="Calibri" w:cs="Times New Roman"/>
          <w:b/>
          <w:szCs w:val="20"/>
          <w:lang w:val="en-US"/>
        </w:rPr>
      </w:pPr>
      <w:r w:rsidRPr="007B2402">
        <w:rPr>
          <w:rFonts w:eastAsia="Calibri" w:cs="Times New Roman"/>
          <w:szCs w:val="20"/>
          <w:lang w:val="en-US"/>
        </w:rPr>
        <w:t xml:space="preserve">Nevertheless, on August 18, </w:t>
      </w:r>
      <w:r w:rsidR="005427CB" w:rsidRPr="007B2402">
        <w:rPr>
          <w:rFonts w:eastAsia="Calibri" w:cs="Times New Roman"/>
          <w:szCs w:val="20"/>
          <w:lang w:val="en-US"/>
        </w:rPr>
        <w:t>1993</w:t>
      </w:r>
      <w:r w:rsidRPr="007B2402">
        <w:rPr>
          <w:rFonts w:eastAsia="Calibri" w:cs="Times New Roman"/>
          <w:szCs w:val="20"/>
          <w:lang w:val="en-US"/>
        </w:rPr>
        <w:t>,</w:t>
      </w:r>
      <w:r w:rsidR="005427CB" w:rsidRPr="007B2402">
        <w:rPr>
          <w:rFonts w:eastAsia="Calibri" w:cs="Times New Roman"/>
          <w:szCs w:val="20"/>
          <w:lang w:val="en-US"/>
        </w:rPr>
        <w:t xml:space="preserve"> </w:t>
      </w:r>
      <w:r w:rsidRPr="007B2402">
        <w:rPr>
          <w:rFonts w:eastAsia="Calibri" w:cs="Times New Roman"/>
          <w:szCs w:val="20"/>
          <w:lang w:val="en-US"/>
        </w:rPr>
        <w:t>the</w:t>
      </w:r>
      <w:r w:rsidR="005427CB" w:rsidRPr="007B2402">
        <w:rPr>
          <w:rFonts w:eastAsia="Calibri" w:cs="Times New Roman"/>
          <w:szCs w:val="20"/>
          <w:lang w:val="en-US"/>
        </w:rPr>
        <w:t xml:space="preserve"> </w:t>
      </w:r>
      <w:r w:rsidR="00F337BB" w:rsidRPr="007B2402">
        <w:rPr>
          <w:rFonts w:eastAsia="Calibri" w:cs="Times New Roman"/>
          <w:szCs w:val="20"/>
          <w:lang w:val="en-US"/>
        </w:rPr>
        <w:t>Superior Court of Justice</w:t>
      </w:r>
      <w:r w:rsidR="005427CB" w:rsidRPr="007B2402">
        <w:rPr>
          <w:rFonts w:eastAsia="Calibri" w:cs="Times New Roman"/>
          <w:szCs w:val="20"/>
          <w:lang w:val="en-US"/>
        </w:rPr>
        <w:t xml:space="preserve"> confirm</w:t>
      </w:r>
      <w:r w:rsidRPr="007B2402">
        <w:rPr>
          <w:rFonts w:eastAsia="Calibri" w:cs="Times New Roman"/>
          <w:szCs w:val="20"/>
          <w:lang w:val="en-US"/>
        </w:rPr>
        <w:t>ed the trial judge’s decision. The justices ruled that formal procedural requirements had not been met and rejected the appeal.</w:t>
      </w:r>
      <w:r w:rsidR="005427CB" w:rsidRPr="007B2402">
        <w:rPr>
          <w:rFonts w:eastAsia="Calibri" w:cs="Times New Roman"/>
          <w:szCs w:val="20"/>
          <w:vertAlign w:val="superscript"/>
          <w:lang w:val="en-US"/>
        </w:rPr>
        <w:footnoteReference w:id="108"/>
      </w:r>
      <w:r w:rsidR="00B02AAB" w:rsidRPr="007B2402">
        <w:rPr>
          <w:rFonts w:eastAsia="Calibri" w:cs="Times New Roman"/>
          <w:szCs w:val="20"/>
          <w:lang w:val="en-US"/>
        </w:rPr>
        <w:t xml:space="preserve"> </w:t>
      </w:r>
    </w:p>
    <w:p w14:paraId="66DB3C54" w14:textId="77777777" w:rsidR="005427CB" w:rsidRPr="007B2402" w:rsidRDefault="005427CB" w:rsidP="001A52AF">
      <w:pPr>
        <w:pStyle w:val="Textocomentario"/>
        <w:rPr>
          <w:rFonts w:eastAsia="Calibri" w:cs="Times New Roman"/>
          <w:noProof w:val="0"/>
          <w:lang w:val="en-US"/>
        </w:rPr>
      </w:pPr>
    </w:p>
    <w:p w14:paraId="03A64859" w14:textId="2E5C6D71" w:rsidR="005427CB" w:rsidRPr="007B2402" w:rsidRDefault="0025614B" w:rsidP="00E668B8">
      <w:pPr>
        <w:pStyle w:val="Ttulo2"/>
        <w:rPr>
          <w:rFonts w:eastAsia="SimSun"/>
          <w:b/>
          <w:lang w:val="en-US" w:eastAsia="zh-CN"/>
        </w:rPr>
      </w:pPr>
      <w:bookmarkStart w:id="147" w:name="_Toc506984111"/>
      <w:r w:rsidRPr="007B2402">
        <w:rPr>
          <w:b/>
          <w:lang w:val="en-US"/>
        </w:rPr>
        <w:t>Acknowledgement of responsibility under Law</w:t>
      </w:r>
      <w:r w:rsidR="005427CB" w:rsidRPr="007B2402">
        <w:rPr>
          <w:b/>
          <w:lang w:val="en-US"/>
        </w:rPr>
        <w:t xml:space="preserve"> No. </w:t>
      </w:r>
      <w:r w:rsidRPr="007B2402">
        <w:rPr>
          <w:b/>
          <w:lang w:val="en-US"/>
        </w:rPr>
        <w:t>9,140</w:t>
      </w:r>
      <w:r w:rsidR="005427CB" w:rsidRPr="007B2402">
        <w:rPr>
          <w:b/>
          <w:lang w:val="en-US"/>
        </w:rPr>
        <w:t>/1995</w:t>
      </w:r>
      <w:bookmarkEnd w:id="147"/>
    </w:p>
    <w:p w14:paraId="1D322C0A" w14:textId="77777777" w:rsidR="005427CB" w:rsidRPr="007B2402" w:rsidRDefault="005427CB" w:rsidP="001A52AF">
      <w:pPr>
        <w:pStyle w:val="Textocomentario"/>
        <w:rPr>
          <w:rFonts w:eastAsia="Calibri" w:cs="Times New Roman"/>
          <w:noProof w:val="0"/>
          <w:lang w:val="en-US"/>
        </w:rPr>
      </w:pPr>
    </w:p>
    <w:p w14:paraId="28D04DD5" w14:textId="576D2768" w:rsidR="005427CB" w:rsidRPr="007B2402" w:rsidRDefault="0025614B" w:rsidP="00DB1F30">
      <w:pPr>
        <w:numPr>
          <w:ilvl w:val="0"/>
          <w:numId w:val="6"/>
        </w:numPr>
        <w:spacing w:after="0" w:line="240" w:lineRule="auto"/>
        <w:jc w:val="both"/>
        <w:rPr>
          <w:rFonts w:eastAsia="Calibri" w:cs="Times New Roman"/>
          <w:b/>
          <w:szCs w:val="20"/>
          <w:lang w:val="en-US"/>
        </w:rPr>
      </w:pPr>
      <w:r w:rsidRPr="007B2402">
        <w:rPr>
          <w:rFonts w:eastAsia="Calibri" w:cs="Times New Roman"/>
          <w:szCs w:val="20"/>
          <w:lang w:val="en-US"/>
        </w:rPr>
        <w:t>On December 4,</w:t>
      </w:r>
      <w:r w:rsidR="005427CB" w:rsidRPr="007B2402">
        <w:rPr>
          <w:rFonts w:eastAsia="Calibri" w:cs="Times New Roman"/>
          <w:szCs w:val="20"/>
          <w:lang w:val="en-US"/>
        </w:rPr>
        <w:t xml:space="preserve"> 1995</w:t>
      </w:r>
      <w:r w:rsidRPr="007B2402">
        <w:rPr>
          <w:rFonts w:eastAsia="Calibri" w:cs="Times New Roman"/>
          <w:szCs w:val="20"/>
          <w:lang w:val="en-US"/>
        </w:rPr>
        <w:t>,</w:t>
      </w:r>
      <w:r w:rsidR="005427CB" w:rsidRPr="007B2402">
        <w:rPr>
          <w:rFonts w:eastAsia="Calibri" w:cs="Times New Roman"/>
          <w:szCs w:val="20"/>
          <w:lang w:val="en-US"/>
        </w:rPr>
        <w:t xml:space="preserve"> </w:t>
      </w:r>
      <w:r w:rsidRPr="007B2402">
        <w:rPr>
          <w:rFonts w:eastAsia="Calibri" w:cs="Times New Roman"/>
          <w:szCs w:val="20"/>
          <w:lang w:val="en-US"/>
        </w:rPr>
        <w:t>Law</w:t>
      </w:r>
      <w:r w:rsidR="005427CB" w:rsidRPr="007B2402">
        <w:rPr>
          <w:rFonts w:eastAsia="Calibri" w:cs="Times New Roman"/>
          <w:szCs w:val="20"/>
          <w:lang w:val="en-US"/>
        </w:rPr>
        <w:t xml:space="preserve"> No. </w:t>
      </w:r>
      <w:r w:rsidRPr="007B2402">
        <w:rPr>
          <w:rFonts w:eastAsia="Calibri" w:cs="Times New Roman"/>
          <w:szCs w:val="20"/>
          <w:lang w:val="en-US"/>
        </w:rPr>
        <w:t>9,140</w:t>
      </w:r>
      <w:r w:rsidR="005427CB" w:rsidRPr="007B2402">
        <w:rPr>
          <w:rFonts w:eastAsia="Calibri" w:cs="Times New Roman"/>
          <w:szCs w:val="20"/>
          <w:lang w:val="en-US"/>
        </w:rPr>
        <w:t>/1995</w:t>
      </w:r>
      <w:r w:rsidRPr="007B2402">
        <w:rPr>
          <w:rFonts w:eastAsia="Calibri" w:cs="Times New Roman"/>
          <w:szCs w:val="20"/>
          <w:lang w:val="en-US"/>
        </w:rPr>
        <w:t xml:space="preserve"> was promulgated in which the State acknowledged its responsibility, </w:t>
      </w:r>
      <w:r w:rsidRPr="007B2402">
        <w:rPr>
          <w:rFonts w:eastAsia="Calibri" w:cs="Times New Roman"/>
          <w:i/>
          <w:iCs/>
          <w:szCs w:val="20"/>
          <w:lang w:val="en-US"/>
        </w:rPr>
        <w:t>inter alia</w:t>
      </w:r>
      <w:r w:rsidRPr="007B2402">
        <w:rPr>
          <w:rFonts w:eastAsia="Calibri" w:cs="Times New Roman"/>
          <w:szCs w:val="20"/>
          <w:lang w:val="en-US"/>
        </w:rPr>
        <w:t>, for the “</w:t>
      </w:r>
      <w:r w:rsidR="00D668E2" w:rsidRPr="007B2402">
        <w:rPr>
          <w:rFonts w:eastAsia="Calibri" w:cs="Times New Roman"/>
          <w:szCs w:val="20"/>
          <w:lang w:val="en-US"/>
        </w:rPr>
        <w:t>murder</w:t>
      </w:r>
      <w:r w:rsidRPr="007B2402">
        <w:rPr>
          <w:rFonts w:eastAsia="Calibri" w:cs="Times New Roman"/>
          <w:szCs w:val="20"/>
          <w:lang w:val="en-US"/>
        </w:rPr>
        <w:t xml:space="preserve"> of political opponents” over the period September 2, 1961 to August 15, </w:t>
      </w:r>
      <w:r w:rsidR="005427CB" w:rsidRPr="007B2402">
        <w:rPr>
          <w:rFonts w:eastAsia="Calibri" w:cs="Times New Roman"/>
          <w:szCs w:val="20"/>
          <w:lang w:val="en-US"/>
        </w:rPr>
        <w:t xml:space="preserve">1979. </w:t>
      </w:r>
    </w:p>
    <w:p w14:paraId="5A46A1D2" w14:textId="77777777" w:rsidR="005427CB" w:rsidRPr="007B2402" w:rsidRDefault="005427CB" w:rsidP="005427CB">
      <w:pPr>
        <w:spacing w:after="0" w:line="240" w:lineRule="auto"/>
        <w:jc w:val="both"/>
        <w:rPr>
          <w:rFonts w:eastAsia="Calibri" w:cs="Times New Roman"/>
          <w:b/>
          <w:szCs w:val="20"/>
          <w:lang w:val="en-US"/>
        </w:rPr>
      </w:pPr>
    </w:p>
    <w:p w14:paraId="59B584AB" w14:textId="2C118CF3" w:rsidR="0025614B" w:rsidRPr="007B2402" w:rsidRDefault="0025614B"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 xml:space="preserve">The Law also created </w:t>
      </w:r>
      <w:r w:rsidR="006B47D1" w:rsidRPr="007B2402">
        <w:rPr>
          <w:rFonts w:eastAsia="Calibri" w:cs="Times New Roman"/>
          <w:szCs w:val="20"/>
          <w:lang w:val="en-US"/>
        </w:rPr>
        <w:t>the Special Commission on Political Deaths and Disappear</w:t>
      </w:r>
      <w:r w:rsidR="00334D32" w:rsidRPr="007B2402">
        <w:rPr>
          <w:rFonts w:eastAsia="Calibri" w:cs="Times New Roman"/>
          <w:szCs w:val="20"/>
          <w:lang w:val="en-US"/>
        </w:rPr>
        <w:t>anc</w:t>
      </w:r>
      <w:r w:rsidR="006B47D1" w:rsidRPr="007B2402">
        <w:rPr>
          <w:rFonts w:eastAsia="Calibri" w:cs="Times New Roman"/>
          <w:szCs w:val="20"/>
          <w:lang w:val="en-US"/>
        </w:rPr>
        <w:t xml:space="preserve">es </w:t>
      </w:r>
      <w:r w:rsidR="005427CB" w:rsidRPr="007B2402">
        <w:rPr>
          <w:rFonts w:eastAsia="Calibri" w:cs="Times New Roman"/>
          <w:szCs w:val="20"/>
          <w:lang w:val="en-US"/>
        </w:rPr>
        <w:t xml:space="preserve">(CEMDP). </w:t>
      </w:r>
      <w:r w:rsidRPr="007B2402">
        <w:rPr>
          <w:rFonts w:eastAsia="Calibri" w:cs="Times New Roman"/>
          <w:szCs w:val="20"/>
          <w:lang w:val="en-US"/>
        </w:rPr>
        <w:t>Among other matters, the Commission was mandated with identifying individuals: (a) who, because they had participated, or had been accused of participating, in political activities had died from unnatural causes in police establishments or similar places; (b) who had died due to police repression</w:t>
      </w:r>
      <w:r w:rsidR="00717415" w:rsidRPr="007B2402">
        <w:rPr>
          <w:rFonts w:eastAsia="Calibri" w:cs="Times New Roman"/>
          <w:szCs w:val="20"/>
          <w:lang w:val="en-US"/>
        </w:rPr>
        <w:t xml:space="preserve"> during public demonstrations or armed conflicts with the </w:t>
      </w:r>
      <w:r w:rsidR="00717415" w:rsidRPr="007B2402">
        <w:rPr>
          <w:rFonts w:eastAsia="Calibri" w:cs="Times New Roman"/>
          <w:szCs w:val="20"/>
          <w:lang w:val="en-US"/>
        </w:rPr>
        <w:lastRenderedPageBreak/>
        <w:t xml:space="preserve">security forces, and (c) who had died as a result of suicide committed due to fear of imminent arrest or as a result of the psychological consequences </w:t>
      </w:r>
      <w:r w:rsidR="00C74B40" w:rsidRPr="007B2402">
        <w:rPr>
          <w:rFonts w:eastAsia="Calibri" w:cs="Times New Roman"/>
          <w:szCs w:val="20"/>
          <w:lang w:val="en-US"/>
        </w:rPr>
        <w:t xml:space="preserve">of </w:t>
      </w:r>
      <w:r w:rsidR="00717415" w:rsidRPr="007B2402">
        <w:rPr>
          <w:rFonts w:eastAsia="Calibri" w:cs="Times New Roman"/>
          <w:szCs w:val="20"/>
          <w:lang w:val="en-US"/>
        </w:rPr>
        <w:t>acts of torture perpetrated by agents of the security forces.</w:t>
      </w:r>
    </w:p>
    <w:p w14:paraId="33587A48" w14:textId="77777777" w:rsidR="005427CB" w:rsidRPr="007B2402" w:rsidRDefault="005427CB" w:rsidP="005427CB">
      <w:pPr>
        <w:spacing w:after="0" w:line="240" w:lineRule="auto"/>
        <w:jc w:val="both"/>
        <w:rPr>
          <w:rFonts w:eastAsia="Calibri" w:cs="Times New Roman"/>
          <w:szCs w:val="20"/>
          <w:lang w:val="en-US"/>
        </w:rPr>
      </w:pPr>
    </w:p>
    <w:p w14:paraId="6457F5D8" w14:textId="17DF20CD" w:rsidR="005427CB" w:rsidRPr="007B2402" w:rsidRDefault="00717415" w:rsidP="00717415">
      <w:pPr>
        <w:numPr>
          <w:ilvl w:val="0"/>
          <w:numId w:val="6"/>
        </w:numPr>
        <w:spacing w:after="0" w:line="240" w:lineRule="auto"/>
        <w:jc w:val="both"/>
        <w:rPr>
          <w:rFonts w:eastAsia="Calibri" w:cs="Times New Roman"/>
          <w:b/>
          <w:szCs w:val="20"/>
          <w:lang w:val="en-US"/>
        </w:rPr>
      </w:pPr>
      <w:r w:rsidRPr="007B2402">
        <w:rPr>
          <w:rFonts w:eastAsia="Calibri" w:cs="Times New Roman"/>
          <w:szCs w:val="20"/>
          <w:lang w:val="en-US"/>
        </w:rPr>
        <w:t>Law</w:t>
      </w:r>
      <w:r w:rsidR="005427CB" w:rsidRPr="007B2402">
        <w:rPr>
          <w:rFonts w:eastAsia="Calibri" w:cs="Times New Roman"/>
          <w:szCs w:val="20"/>
          <w:lang w:val="en-US"/>
        </w:rPr>
        <w:t xml:space="preserve"> </w:t>
      </w:r>
      <w:r w:rsidR="00A103EA" w:rsidRPr="007B2402">
        <w:rPr>
          <w:rFonts w:eastAsia="Calibri" w:cs="Times New Roman"/>
          <w:szCs w:val="20"/>
          <w:lang w:val="en-US"/>
        </w:rPr>
        <w:t>N</w:t>
      </w:r>
      <w:r w:rsidR="005E4438" w:rsidRPr="007B2402">
        <w:rPr>
          <w:rFonts w:eastAsia="Calibri" w:cs="Times New Roman"/>
          <w:szCs w:val="20"/>
          <w:lang w:val="en-US"/>
        </w:rPr>
        <w:t>o.</w:t>
      </w:r>
      <w:r w:rsidR="00A103EA" w:rsidRPr="007B2402">
        <w:rPr>
          <w:rFonts w:eastAsia="Calibri" w:cs="Times New Roman"/>
          <w:szCs w:val="20"/>
          <w:lang w:val="en-US"/>
        </w:rPr>
        <w:t xml:space="preserve"> </w:t>
      </w:r>
      <w:r w:rsidR="0025614B" w:rsidRPr="007B2402">
        <w:rPr>
          <w:rFonts w:eastAsia="Calibri" w:cs="Times New Roman"/>
          <w:szCs w:val="20"/>
          <w:lang w:val="en-US"/>
        </w:rPr>
        <w:t>9,140</w:t>
      </w:r>
      <w:r w:rsidR="005427CB" w:rsidRPr="007B2402">
        <w:rPr>
          <w:rFonts w:eastAsia="Calibri" w:cs="Times New Roman"/>
          <w:szCs w:val="20"/>
          <w:lang w:val="en-US"/>
        </w:rPr>
        <w:t xml:space="preserve">/95 </w:t>
      </w:r>
      <w:r w:rsidRPr="007B2402">
        <w:rPr>
          <w:rFonts w:eastAsia="Calibri" w:cs="Times New Roman"/>
          <w:szCs w:val="20"/>
          <w:lang w:val="en-US"/>
        </w:rPr>
        <w:t>also determined that the Special Commission could award pecuniary compensation to the next of kin of those who died or were disappeared for political reasons. In this regard, it established a mathematical formula and a minimum sum of</w:t>
      </w:r>
      <w:r w:rsidRPr="007B2402">
        <w:rPr>
          <w:rFonts w:eastAsia="Calibri" w:cs="Times New Roman"/>
          <w:b/>
          <w:szCs w:val="20"/>
          <w:lang w:val="en-US"/>
        </w:rPr>
        <w:t xml:space="preserve"> </w:t>
      </w:r>
      <w:r w:rsidR="005E4438" w:rsidRPr="007B2402">
        <w:rPr>
          <w:rFonts w:eastAsia="Calibri" w:cs="Times New Roman"/>
          <w:szCs w:val="20"/>
          <w:lang w:val="en-US"/>
        </w:rPr>
        <w:t>R$100.000</w:t>
      </w:r>
      <w:r w:rsidRPr="007B2402">
        <w:rPr>
          <w:rFonts w:eastAsia="Calibri" w:cs="Times New Roman"/>
          <w:szCs w:val="20"/>
          <w:lang w:val="en-US"/>
        </w:rPr>
        <w:t>.</w:t>
      </w:r>
      <w:r w:rsidR="00C66F4D" w:rsidRPr="007B2402">
        <w:rPr>
          <w:rFonts w:eastAsia="Calibri" w:cs="Times New Roman"/>
          <w:szCs w:val="20"/>
          <w:vertAlign w:val="superscript"/>
          <w:lang w:val="en-US"/>
        </w:rPr>
        <w:footnoteReference w:id="109"/>
      </w:r>
    </w:p>
    <w:p w14:paraId="1D7F4992" w14:textId="77777777" w:rsidR="005427CB" w:rsidRPr="007B2402" w:rsidRDefault="005427CB" w:rsidP="005427CB">
      <w:pPr>
        <w:spacing w:after="0" w:line="240" w:lineRule="auto"/>
        <w:jc w:val="both"/>
        <w:rPr>
          <w:rFonts w:eastAsia="Calibri" w:cs="Times New Roman"/>
          <w:b/>
          <w:szCs w:val="20"/>
          <w:lang w:val="en-US"/>
        </w:rPr>
      </w:pPr>
    </w:p>
    <w:p w14:paraId="3736214F" w14:textId="1429730B" w:rsidR="005427CB" w:rsidRPr="007B2402" w:rsidRDefault="00717415" w:rsidP="00DB1F30">
      <w:pPr>
        <w:numPr>
          <w:ilvl w:val="0"/>
          <w:numId w:val="6"/>
        </w:numPr>
        <w:spacing w:after="0" w:line="240" w:lineRule="auto"/>
        <w:jc w:val="both"/>
        <w:rPr>
          <w:rFonts w:eastAsia="Calibri" w:cs="Times New Roman"/>
          <w:b/>
          <w:szCs w:val="20"/>
          <w:lang w:val="en-US"/>
        </w:rPr>
      </w:pPr>
      <w:r w:rsidRPr="007B2402">
        <w:rPr>
          <w:rFonts w:eastAsia="Calibri" w:cs="Times New Roman"/>
          <w:szCs w:val="20"/>
          <w:lang w:val="en-US"/>
        </w:rPr>
        <w:t>Based on that law</w:t>
      </w:r>
      <w:r w:rsidR="005427CB" w:rsidRPr="007B2402">
        <w:rPr>
          <w:rFonts w:eastAsia="Calibri" w:cs="Times New Roman"/>
          <w:szCs w:val="20"/>
          <w:lang w:val="en-US"/>
        </w:rPr>
        <w:t>, Clarice Herzog requ</w:t>
      </w:r>
      <w:r w:rsidRPr="007B2402">
        <w:rPr>
          <w:rFonts w:eastAsia="Calibri" w:cs="Times New Roman"/>
          <w:szCs w:val="20"/>
          <w:lang w:val="en-US"/>
        </w:rPr>
        <w:t>est</w:t>
      </w:r>
      <w:r w:rsidR="00C74B40" w:rsidRPr="007B2402">
        <w:rPr>
          <w:rFonts w:eastAsia="Calibri" w:cs="Times New Roman"/>
          <w:szCs w:val="20"/>
          <w:lang w:val="en-US"/>
        </w:rPr>
        <w:t>ed</w:t>
      </w:r>
      <w:r w:rsidRPr="007B2402">
        <w:rPr>
          <w:rFonts w:eastAsia="Calibri" w:cs="Times New Roman"/>
          <w:szCs w:val="20"/>
          <w:lang w:val="en-US"/>
        </w:rPr>
        <w:t xml:space="preserve"> acknowledgeme</w:t>
      </w:r>
      <w:r w:rsidR="00827817" w:rsidRPr="007B2402">
        <w:rPr>
          <w:rFonts w:eastAsia="Calibri" w:cs="Times New Roman"/>
          <w:szCs w:val="20"/>
          <w:lang w:val="en-US"/>
        </w:rPr>
        <w:t>n</w:t>
      </w:r>
      <w:r w:rsidRPr="007B2402">
        <w:rPr>
          <w:rFonts w:eastAsia="Calibri" w:cs="Times New Roman"/>
          <w:szCs w:val="20"/>
          <w:lang w:val="en-US"/>
        </w:rPr>
        <w:t xml:space="preserve">t that </w:t>
      </w:r>
      <w:r w:rsidR="005427CB" w:rsidRPr="007B2402">
        <w:rPr>
          <w:rFonts w:eastAsia="Calibri" w:cs="Times New Roman"/>
          <w:szCs w:val="20"/>
          <w:lang w:val="en-US"/>
        </w:rPr>
        <w:t>Vladimir Herzog ha</w:t>
      </w:r>
      <w:r w:rsidRPr="007B2402">
        <w:rPr>
          <w:rFonts w:eastAsia="Calibri" w:cs="Times New Roman"/>
          <w:szCs w:val="20"/>
          <w:lang w:val="en-US"/>
        </w:rPr>
        <w:t xml:space="preserve">d been tortured and </w:t>
      </w:r>
      <w:r w:rsidR="00D668E2" w:rsidRPr="007B2402">
        <w:rPr>
          <w:rFonts w:eastAsia="Calibri" w:cs="Times New Roman"/>
          <w:szCs w:val="20"/>
          <w:lang w:val="en-US"/>
        </w:rPr>
        <w:t>murdered</w:t>
      </w:r>
      <w:r w:rsidRPr="007B2402">
        <w:rPr>
          <w:rFonts w:eastAsia="Calibri" w:cs="Times New Roman"/>
          <w:szCs w:val="20"/>
          <w:lang w:val="en-US"/>
        </w:rPr>
        <w:t xml:space="preserve"> in the São Paulo</w:t>
      </w:r>
      <w:r w:rsidR="005427CB" w:rsidRPr="007B2402">
        <w:rPr>
          <w:rFonts w:eastAsia="Calibri" w:cs="Times New Roman"/>
          <w:szCs w:val="20"/>
          <w:lang w:val="en-US"/>
        </w:rPr>
        <w:t xml:space="preserve"> DOI/CODI. </w:t>
      </w:r>
      <w:r w:rsidRPr="007B2402">
        <w:rPr>
          <w:rFonts w:eastAsia="Calibri" w:cs="Times New Roman"/>
          <w:szCs w:val="20"/>
          <w:lang w:val="en-US"/>
        </w:rPr>
        <w:t xml:space="preserve">Her request was approved in April </w:t>
      </w:r>
      <w:r w:rsidR="005427CB" w:rsidRPr="007B2402">
        <w:rPr>
          <w:rFonts w:eastAsia="Calibri" w:cs="Times New Roman"/>
          <w:szCs w:val="20"/>
          <w:lang w:val="en-US"/>
        </w:rPr>
        <w:t>1996</w:t>
      </w:r>
      <w:r w:rsidR="005427CB" w:rsidRPr="007B2402">
        <w:rPr>
          <w:rFonts w:eastAsia="Calibri" w:cs="Times New Roman"/>
          <w:szCs w:val="20"/>
          <w:vertAlign w:val="superscript"/>
          <w:lang w:val="en-US"/>
        </w:rPr>
        <w:footnoteReference w:id="110"/>
      </w:r>
      <w:r w:rsidR="005B1590" w:rsidRPr="007B2402">
        <w:rPr>
          <w:rFonts w:eastAsia="Calibri" w:cs="Times New Roman"/>
          <w:szCs w:val="20"/>
          <w:lang w:val="en-US"/>
        </w:rPr>
        <w:t xml:space="preserve"> and</w:t>
      </w:r>
      <w:r w:rsidRPr="007B2402">
        <w:rPr>
          <w:rFonts w:eastAsia="Calibri" w:cs="Times New Roman"/>
          <w:szCs w:val="20"/>
          <w:lang w:val="en-US"/>
        </w:rPr>
        <w:t xml:space="preserve">, in 1997, she received </w:t>
      </w:r>
      <w:r w:rsidR="005427CB" w:rsidRPr="007B2402">
        <w:rPr>
          <w:rFonts w:eastAsia="Calibri" w:cs="Times New Roman"/>
          <w:szCs w:val="20"/>
          <w:lang w:val="en-US"/>
        </w:rPr>
        <w:t>R$1</w:t>
      </w:r>
      <w:r w:rsidR="00710075" w:rsidRPr="007B2402">
        <w:rPr>
          <w:rFonts w:eastAsia="Calibri" w:cs="Times New Roman"/>
          <w:szCs w:val="20"/>
          <w:lang w:val="en-US"/>
        </w:rPr>
        <w:t>00,000.00</w:t>
      </w:r>
      <w:r w:rsidR="005427CB" w:rsidRPr="007B2402">
        <w:rPr>
          <w:rFonts w:eastAsia="Calibri" w:cs="Times New Roman"/>
          <w:szCs w:val="20"/>
          <w:lang w:val="en-US"/>
        </w:rPr>
        <w:t xml:space="preserve"> (equivalent</w:t>
      </w:r>
      <w:r w:rsidRPr="007B2402">
        <w:rPr>
          <w:rFonts w:eastAsia="Calibri" w:cs="Times New Roman"/>
          <w:szCs w:val="20"/>
          <w:lang w:val="en-US"/>
        </w:rPr>
        <w:t xml:space="preserve"> to approximately</w:t>
      </w:r>
      <w:r w:rsidR="003B4082" w:rsidRPr="007B2402">
        <w:rPr>
          <w:rFonts w:eastAsia="Calibri" w:cs="Times New Roman"/>
          <w:szCs w:val="20"/>
          <w:lang w:val="en-US"/>
        </w:rPr>
        <w:t xml:space="preserve"> </w:t>
      </w:r>
      <w:r w:rsidR="005427CB" w:rsidRPr="007B2402">
        <w:rPr>
          <w:rFonts w:eastAsia="Calibri" w:cs="Times New Roman"/>
          <w:szCs w:val="20"/>
          <w:lang w:val="en-US"/>
        </w:rPr>
        <w:t>US$1</w:t>
      </w:r>
      <w:r w:rsidR="00710075" w:rsidRPr="007B2402">
        <w:rPr>
          <w:rFonts w:eastAsia="Calibri" w:cs="Times New Roman"/>
          <w:szCs w:val="20"/>
          <w:lang w:val="en-US"/>
        </w:rPr>
        <w:t>00,000.00</w:t>
      </w:r>
      <w:r w:rsidR="003B4082" w:rsidRPr="007B2402">
        <w:rPr>
          <w:rFonts w:eastAsia="Calibri" w:cs="Times New Roman"/>
          <w:szCs w:val="20"/>
          <w:lang w:val="en-US"/>
        </w:rPr>
        <w:t xml:space="preserve"> </w:t>
      </w:r>
      <w:r w:rsidRPr="007B2402">
        <w:rPr>
          <w:rFonts w:eastAsia="Calibri" w:cs="Times New Roman"/>
          <w:szCs w:val="20"/>
          <w:lang w:val="en-US"/>
        </w:rPr>
        <w:t>at the time</w:t>
      </w:r>
      <w:r w:rsidR="005427CB" w:rsidRPr="007B2402">
        <w:rPr>
          <w:rFonts w:eastAsia="Calibri" w:cs="Times New Roman"/>
          <w:szCs w:val="20"/>
          <w:lang w:val="en-US"/>
        </w:rPr>
        <w:t>)</w:t>
      </w:r>
      <w:r w:rsidR="00827817" w:rsidRPr="007B2402">
        <w:rPr>
          <w:rFonts w:eastAsia="Calibri" w:cs="Times New Roman"/>
          <w:szCs w:val="20"/>
          <w:lang w:val="en-US"/>
        </w:rPr>
        <w:t xml:space="preserve"> as compensation</w:t>
      </w:r>
      <w:r w:rsidRPr="007B2402">
        <w:rPr>
          <w:rFonts w:eastAsia="Calibri" w:cs="Times New Roman"/>
          <w:szCs w:val="20"/>
          <w:lang w:val="en-US"/>
        </w:rPr>
        <w:t>.</w:t>
      </w:r>
      <w:r w:rsidR="005427CB" w:rsidRPr="007B2402">
        <w:rPr>
          <w:rFonts w:eastAsia="Calibri" w:cs="Times New Roman"/>
          <w:szCs w:val="20"/>
          <w:vertAlign w:val="superscript"/>
          <w:lang w:val="en-US"/>
        </w:rPr>
        <w:footnoteReference w:id="111"/>
      </w:r>
      <w:r w:rsidR="005427CB" w:rsidRPr="007B2402">
        <w:rPr>
          <w:rFonts w:eastAsia="Calibri" w:cs="Times New Roman"/>
          <w:szCs w:val="20"/>
          <w:lang w:val="en-US"/>
        </w:rPr>
        <w:t xml:space="preserve"> </w:t>
      </w:r>
    </w:p>
    <w:p w14:paraId="32A8A12D" w14:textId="77777777" w:rsidR="005427CB" w:rsidRPr="007B2402" w:rsidRDefault="005427CB" w:rsidP="005427CB">
      <w:pPr>
        <w:spacing w:after="0" w:line="240" w:lineRule="auto"/>
        <w:jc w:val="both"/>
        <w:rPr>
          <w:rFonts w:eastAsia="Calibri" w:cs="Times New Roman"/>
          <w:b/>
          <w:szCs w:val="20"/>
          <w:lang w:val="en-US"/>
        </w:rPr>
      </w:pPr>
    </w:p>
    <w:p w14:paraId="0A3C0E26" w14:textId="78A7B3D2" w:rsidR="005427CB" w:rsidRPr="007B2402" w:rsidRDefault="00827817" w:rsidP="00827817">
      <w:pPr>
        <w:numPr>
          <w:ilvl w:val="0"/>
          <w:numId w:val="6"/>
        </w:numPr>
        <w:spacing w:after="0" w:line="240" w:lineRule="auto"/>
        <w:jc w:val="both"/>
        <w:rPr>
          <w:rFonts w:eastAsia="Calibri" w:cs="Times New Roman"/>
          <w:b/>
          <w:szCs w:val="20"/>
          <w:lang w:val="en-US"/>
        </w:rPr>
      </w:pPr>
      <w:r w:rsidRPr="007B2402">
        <w:rPr>
          <w:rFonts w:eastAsia="Calibri" w:cs="Times New Roman"/>
          <w:szCs w:val="20"/>
          <w:lang w:val="en-US"/>
        </w:rPr>
        <w:t xml:space="preserve">Subsequently, in 2007, the Special Commission published a </w:t>
      </w:r>
      <w:r w:rsidR="00C74B40" w:rsidRPr="007B2402">
        <w:rPr>
          <w:rFonts w:eastAsia="Calibri" w:cs="Times New Roman"/>
          <w:szCs w:val="20"/>
          <w:lang w:val="en-US"/>
        </w:rPr>
        <w:t>report</w:t>
      </w:r>
      <w:r w:rsidRPr="007B2402">
        <w:rPr>
          <w:rFonts w:eastAsia="Calibri" w:cs="Times New Roman"/>
          <w:szCs w:val="20"/>
          <w:lang w:val="en-US"/>
        </w:rPr>
        <w:t xml:space="preserve"> </w:t>
      </w:r>
      <w:r w:rsidR="00C74B40" w:rsidRPr="007B2402">
        <w:rPr>
          <w:rFonts w:eastAsia="Calibri" w:cs="Times New Roman"/>
          <w:szCs w:val="20"/>
          <w:lang w:val="en-US"/>
        </w:rPr>
        <w:t>entitled</w:t>
      </w:r>
      <w:r w:rsidR="005427CB" w:rsidRPr="007B2402">
        <w:rPr>
          <w:rFonts w:eastAsia="Calibri" w:cs="Times New Roman"/>
          <w:szCs w:val="20"/>
          <w:lang w:val="en-US"/>
        </w:rPr>
        <w:t xml:space="preserve"> “</w:t>
      </w:r>
      <w:r w:rsidR="005427CB" w:rsidRPr="007B2402">
        <w:rPr>
          <w:rFonts w:eastAsia="Calibri" w:cs="Times New Roman"/>
          <w:i/>
          <w:szCs w:val="20"/>
          <w:lang w:val="en-US"/>
        </w:rPr>
        <w:t>Direito à Memória e à Verdade</w:t>
      </w:r>
      <w:r w:rsidR="005427CB" w:rsidRPr="007B2402">
        <w:rPr>
          <w:rFonts w:eastAsia="Calibri" w:cs="Times New Roman"/>
          <w:szCs w:val="20"/>
          <w:lang w:val="en-US"/>
        </w:rPr>
        <w:t xml:space="preserve">” </w:t>
      </w:r>
      <w:r w:rsidRPr="007B2402">
        <w:rPr>
          <w:rFonts w:eastAsia="Calibri" w:cs="Times New Roman"/>
          <w:szCs w:val="20"/>
          <w:lang w:val="en-US"/>
        </w:rPr>
        <w:t xml:space="preserve">(The Right to Memory and to Truth) in which it analyzed the general context in which the last Brazilian dictatorship occurred and also cases of specific victims of State terrorism, including </w:t>
      </w:r>
      <w:r w:rsidR="005427CB" w:rsidRPr="007B2402">
        <w:rPr>
          <w:rFonts w:eastAsia="Calibri" w:cs="Times New Roman"/>
          <w:szCs w:val="20"/>
          <w:lang w:val="en-US"/>
        </w:rPr>
        <w:t>Vladimir Herzog</w:t>
      </w:r>
      <w:r w:rsidRPr="007B2402">
        <w:rPr>
          <w:rFonts w:eastAsia="Calibri" w:cs="Times New Roman"/>
          <w:szCs w:val="20"/>
          <w:lang w:val="en-US"/>
        </w:rPr>
        <w:t>.</w:t>
      </w:r>
      <w:r w:rsidR="005427CB" w:rsidRPr="007B2402">
        <w:rPr>
          <w:rFonts w:eastAsia="Calibri" w:cs="Times New Roman"/>
          <w:szCs w:val="20"/>
          <w:vertAlign w:val="superscript"/>
          <w:lang w:val="en-US"/>
        </w:rPr>
        <w:footnoteReference w:id="112"/>
      </w:r>
    </w:p>
    <w:p w14:paraId="3CF77044" w14:textId="77777777" w:rsidR="005427CB" w:rsidRPr="007B2402" w:rsidRDefault="005427CB" w:rsidP="005427CB">
      <w:pPr>
        <w:spacing w:after="0" w:line="240" w:lineRule="auto"/>
        <w:jc w:val="both"/>
        <w:rPr>
          <w:rFonts w:eastAsia="Calibri" w:cs="Times New Roman"/>
          <w:b/>
          <w:szCs w:val="20"/>
          <w:lang w:val="en-US"/>
        </w:rPr>
      </w:pPr>
    </w:p>
    <w:p w14:paraId="7B9ABDD6" w14:textId="680C2A3F" w:rsidR="005427CB" w:rsidRPr="007B2402" w:rsidRDefault="00827817"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Regarding</w:t>
      </w:r>
      <w:r w:rsidR="005427CB" w:rsidRPr="007B2402">
        <w:rPr>
          <w:rFonts w:eastAsia="Calibri" w:cs="Times New Roman"/>
          <w:szCs w:val="20"/>
          <w:lang w:val="en-US"/>
        </w:rPr>
        <w:t xml:space="preserve"> Vladimir Herzog, </w:t>
      </w:r>
      <w:r w:rsidRPr="007B2402">
        <w:rPr>
          <w:rFonts w:eastAsia="Calibri" w:cs="Times New Roman"/>
          <w:szCs w:val="20"/>
          <w:lang w:val="en-US"/>
        </w:rPr>
        <w:t>the Special Commission concluded that</w:t>
      </w:r>
      <w:r w:rsidR="005427CB" w:rsidRPr="007B2402">
        <w:rPr>
          <w:rFonts w:eastAsia="Calibri" w:cs="Times New Roman"/>
          <w:szCs w:val="20"/>
          <w:lang w:val="en-US"/>
        </w:rPr>
        <w:t>:</w:t>
      </w:r>
    </w:p>
    <w:p w14:paraId="7A71B279" w14:textId="77777777" w:rsidR="005427CB" w:rsidRPr="007B2402" w:rsidRDefault="005427CB" w:rsidP="005427CB">
      <w:pPr>
        <w:spacing w:after="0" w:line="240" w:lineRule="auto"/>
        <w:ind w:right="1325" w:firstLine="709"/>
        <w:jc w:val="both"/>
        <w:rPr>
          <w:rFonts w:eastAsia="Calibri" w:cs="Times New Roman"/>
          <w:szCs w:val="20"/>
          <w:lang w:val="en-US"/>
        </w:rPr>
      </w:pPr>
      <w:r w:rsidRPr="007B2402">
        <w:rPr>
          <w:rFonts w:eastAsia="Calibri" w:cs="Times New Roman"/>
          <w:szCs w:val="20"/>
          <w:lang w:val="en-US"/>
        </w:rPr>
        <w:t xml:space="preserve"> </w:t>
      </w:r>
    </w:p>
    <w:p w14:paraId="76D8D659" w14:textId="566E3071" w:rsidR="005427CB" w:rsidRPr="007B2402" w:rsidRDefault="00827817" w:rsidP="005427CB">
      <w:pPr>
        <w:spacing w:after="0" w:line="240" w:lineRule="auto"/>
        <w:ind w:left="709" w:right="855"/>
        <w:jc w:val="both"/>
        <w:rPr>
          <w:rFonts w:eastAsia="Calibri" w:cs="Times New Roman"/>
          <w:sz w:val="18"/>
          <w:szCs w:val="18"/>
          <w:lang w:val="en-US"/>
        </w:rPr>
      </w:pPr>
      <w:r w:rsidRPr="007B2402">
        <w:rPr>
          <w:rFonts w:eastAsia="Calibri" w:cs="Times New Roman"/>
          <w:sz w:val="18"/>
          <w:szCs w:val="18"/>
          <w:lang w:val="en-US"/>
        </w:rPr>
        <w:t>The case of</w:t>
      </w:r>
      <w:r w:rsidR="005427CB" w:rsidRPr="007B2402">
        <w:rPr>
          <w:rFonts w:eastAsia="Calibri" w:cs="Times New Roman"/>
          <w:sz w:val="18"/>
          <w:szCs w:val="18"/>
          <w:lang w:val="en-US"/>
        </w:rPr>
        <w:t xml:space="preserve"> Vladimir Herzog </w:t>
      </w:r>
      <w:r w:rsidR="00B66CEC" w:rsidRPr="007B2402">
        <w:rPr>
          <w:rFonts w:eastAsia="Calibri" w:cs="Times New Roman"/>
          <w:sz w:val="18"/>
          <w:szCs w:val="18"/>
          <w:lang w:val="en-US"/>
        </w:rPr>
        <w:t xml:space="preserve">caused nation-wide commotion that changed the attitude of civil society owing to the acts of torture perpetrated against political prisoners. </w:t>
      </w:r>
    </w:p>
    <w:p w14:paraId="77A4010D" w14:textId="77777777" w:rsidR="005427CB" w:rsidRPr="007B2402" w:rsidRDefault="005427CB" w:rsidP="005427CB">
      <w:pPr>
        <w:spacing w:after="0" w:line="240" w:lineRule="auto"/>
        <w:ind w:left="709" w:right="855"/>
        <w:jc w:val="both"/>
        <w:rPr>
          <w:rFonts w:eastAsia="Calibri" w:cs="Times New Roman"/>
          <w:sz w:val="18"/>
          <w:szCs w:val="18"/>
          <w:lang w:val="en-US"/>
        </w:rPr>
      </w:pPr>
    </w:p>
    <w:p w14:paraId="343A2B08" w14:textId="63D0A73C" w:rsidR="00747080" w:rsidRPr="007B2402" w:rsidRDefault="005427CB" w:rsidP="005427CB">
      <w:pPr>
        <w:spacing w:after="0" w:line="240" w:lineRule="auto"/>
        <w:ind w:left="709" w:right="855"/>
        <w:jc w:val="both"/>
        <w:rPr>
          <w:rFonts w:eastAsia="Calibri" w:cs="Times New Roman"/>
          <w:sz w:val="18"/>
          <w:szCs w:val="18"/>
          <w:lang w:val="en-US"/>
        </w:rPr>
      </w:pPr>
      <w:r w:rsidRPr="007B2402">
        <w:rPr>
          <w:rFonts w:eastAsia="Calibri" w:cs="Times New Roman"/>
          <w:sz w:val="18"/>
          <w:szCs w:val="18"/>
          <w:lang w:val="en-US"/>
        </w:rPr>
        <w:t xml:space="preserve">[…] </w:t>
      </w:r>
      <w:r w:rsidR="00B66CEC" w:rsidRPr="007B2402">
        <w:rPr>
          <w:rFonts w:eastAsia="Calibri" w:cs="Times New Roman"/>
          <w:sz w:val="18"/>
          <w:szCs w:val="18"/>
          <w:lang w:val="en-US"/>
        </w:rPr>
        <w:t>The death of</w:t>
      </w:r>
      <w:r w:rsidRPr="007B2402">
        <w:rPr>
          <w:rFonts w:eastAsia="Calibri" w:cs="Times New Roman"/>
          <w:sz w:val="18"/>
          <w:szCs w:val="18"/>
          <w:lang w:val="en-US"/>
        </w:rPr>
        <w:t xml:space="preserve"> Vladimir Herzog oc</w:t>
      </w:r>
      <w:r w:rsidR="00B66CEC" w:rsidRPr="007B2402">
        <w:rPr>
          <w:rFonts w:eastAsia="Calibri" w:cs="Times New Roman"/>
          <w:sz w:val="18"/>
          <w:szCs w:val="18"/>
          <w:lang w:val="en-US"/>
        </w:rPr>
        <w:t xml:space="preserve">curred when press censure </w:t>
      </w:r>
      <w:r w:rsidR="00747080" w:rsidRPr="007B2402">
        <w:rPr>
          <w:rFonts w:eastAsia="Calibri" w:cs="Times New Roman"/>
          <w:sz w:val="18"/>
          <w:szCs w:val="18"/>
          <w:lang w:val="en-US"/>
        </w:rPr>
        <w:t xml:space="preserve">was beginning to ease up and the general public began to lose its fear of dissent and protest. The repercussion of the accusations significantly damaged the credibility of the military regime and resulted in the rise of a strong </w:t>
      </w:r>
      <w:r w:rsidR="00C74B40" w:rsidRPr="007B2402">
        <w:rPr>
          <w:rFonts w:eastAsia="Calibri" w:cs="Times New Roman"/>
          <w:sz w:val="18"/>
          <w:szCs w:val="18"/>
          <w:lang w:val="en-US"/>
        </w:rPr>
        <w:t>feeling</w:t>
      </w:r>
      <w:r w:rsidR="00747080" w:rsidRPr="007B2402">
        <w:rPr>
          <w:rFonts w:eastAsia="Calibri" w:cs="Times New Roman"/>
          <w:sz w:val="18"/>
          <w:szCs w:val="18"/>
          <w:lang w:val="en-US"/>
        </w:rPr>
        <w:t xml:space="preserve"> of indignation in all the opinion-forming media. The fals</w:t>
      </w:r>
      <w:r w:rsidR="00E916D9" w:rsidRPr="007B2402">
        <w:rPr>
          <w:rFonts w:eastAsia="Calibri" w:cs="Times New Roman"/>
          <w:sz w:val="18"/>
          <w:szCs w:val="18"/>
          <w:lang w:val="en-US"/>
        </w:rPr>
        <w:t>ity of the alleged suicide became even clearer from the photographs that showed the journalist hanged in the São Paulo DOI–CODI offices, where he had gone to make a statement in response to a summons received the previous evening.</w:t>
      </w:r>
    </w:p>
    <w:p w14:paraId="688825D0" w14:textId="77777777" w:rsidR="005427CB" w:rsidRPr="007B2402" w:rsidRDefault="005427CB" w:rsidP="00E916D9">
      <w:pPr>
        <w:spacing w:after="0" w:line="240" w:lineRule="auto"/>
        <w:ind w:right="855"/>
        <w:jc w:val="both"/>
        <w:rPr>
          <w:rFonts w:eastAsia="Calibri" w:cs="Times New Roman"/>
          <w:sz w:val="18"/>
          <w:szCs w:val="18"/>
          <w:lang w:val="en-US"/>
        </w:rPr>
      </w:pPr>
    </w:p>
    <w:p w14:paraId="2DE8F9FB" w14:textId="2A59F106" w:rsidR="00E916D9" w:rsidRPr="007B2402" w:rsidRDefault="005427CB" w:rsidP="005427CB">
      <w:pPr>
        <w:spacing w:after="0" w:line="240" w:lineRule="auto"/>
        <w:ind w:left="709" w:right="855"/>
        <w:jc w:val="both"/>
        <w:rPr>
          <w:rFonts w:eastAsia="Calibri" w:cs="Times New Roman"/>
          <w:sz w:val="18"/>
          <w:szCs w:val="18"/>
          <w:lang w:val="en-US"/>
        </w:rPr>
      </w:pPr>
      <w:r w:rsidRPr="007B2402">
        <w:rPr>
          <w:rFonts w:eastAsia="Calibri" w:cs="Times New Roman"/>
          <w:sz w:val="18"/>
          <w:szCs w:val="18"/>
          <w:lang w:val="en-US"/>
        </w:rPr>
        <w:t xml:space="preserve">[…] Vladimir Herzog </w:t>
      </w:r>
      <w:r w:rsidR="00E916D9" w:rsidRPr="007B2402">
        <w:rPr>
          <w:rFonts w:eastAsia="Calibri" w:cs="Times New Roman"/>
          <w:sz w:val="18"/>
          <w:szCs w:val="18"/>
          <w:lang w:val="en-US"/>
        </w:rPr>
        <w:t xml:space="preserve">was placed on the list of individuals being monitored by the law enforcement agencies because they were suspected of belonging to the PCB. He was summoned to appear voluntarily before the DOI-CODI in Tutoia Street, Paraiso district, at 8 a.m. on October 25, 1875. The same day, about 15 hours later, his jailers allegedly found him dead, hanged with </w:t>
      </w:r>
      <w:r w:rsidR="00C74B40" w:rsidRPr="007B2402">
        <w:rPr>
          <w:rFonts w:eastAsia="Calibri" w:cs="Times New Roman"/>
          <w:sz w:val="18"/>
          <w:szCs w:val="18"/>
          <w:lang w:val="en-US"/>
        </w:rPr>
        <w:t>the</w:t>
      </w:r>
      <w:r w:rsidR="00E916D9" w:rsidRPr="007B2402">
        <w:rPr>
          <w:rFonts w:eastAsia="Calibri" w:cs="Times New Roman"/>
          <w:sz w:val="18"/>
          <w:szCs w:val="18"/>
          <w:lang w:val="en-US"/>
        </w:rPr>
        <w:t xml:space="preserve"> belt of the prison one-piece suit, with his feet on the ground, </w:t>
      </w:r>
      <w:r w:rsidR="00D64B8A" w:rsidRPr="007B2402">
        <w:rPr>
          <w:rFonts w:eastAsia="Calibri" w:cs="Times New Roman"/>
          <w:sz w:val="18"/>
          <w:szCs w:val="18"/>
          <w:lang w:val="en-US"/>
        </w:rPr>
        <w:t>partially</w:t>
      </w:r>
      <w:r w:rsidR="00E916D9" w:rsidRPr="007B2402">
        <w:rPr>
          <w:rFonts w:eastAsia="Calibri" w:cs="Times New Roman"/>
          <w:sz w:val="18"/>
          <w:szCs w:val="18"/>
          <w:lang w:val="en-US"/>
        </w:rPr>
        <w:t xml:space="preserve"> suspended. Those detained with him were unanimous in declaring that the obligatory one-piece suit </w:t>
      </w:r>
      <w:r w:rsidR="00DC1B8C" w:rsidRPr="007B2402">
        <w:rPr>
          <w:rFonts w:eastAsia="Calibri" w:cs="Times New Roman"/>
          <w:sz w:val="18"/>
          <w:szCs w:val="18"/>
          <w:lang w:val="en-US"/>
        </w:rPr>
        <w:t>they all wore did not include a belt.</w:t>
      </w:r>
      <w:r w:rsidR="00E916D9" w:rsidRPr="007B2402">
        <w:rPr>
          <w:rFonts w:eastAsia="Calibri" w:cs="Times New Roman"/>
          <w:sz w:val="18"/>
          <w:szCs w:val="18"/>
          <w:lang w:val="en-US"/>
        </w:rPr>
        <w:t xml:space="preserve"> </w:t>
      </w:r>
    </w:p>
    <w:p w14:paraId="35642FB3" w14:textId="77777777" w:rsidR="005427CB" w:rsidRPr="007B2402" w:rsidRDefault="005427CB" w:rsidP="005427CB">
      <w:pPr>
        <w:spacing w:after="0" w:line="240" w:lineRule="auto"/>
        <w:ind w:left="709" w:right="855"/>
        <w:jc w:val="both"/>
        <w:rPr>
          <w:rFonts w:eastAsia="Calibri" w:cs="Times New Roman"/>
          <w:sz w:val="18"/>
          <w:szCs w:val="18"/>
          <w:lang w:val="en-US"/>
        </w:rPr>
      </w:pPr>
    </w:p>
    <w:p w14:paraId="5F86C7BB" w14:textId="76DCECCD" w:rsidR="005427CB" w:rsidRPr="007B2402" w:rsidRDefault="00B0525F" w:rsidP="00194BA0">
      <w:pPr>
        <w:spacing w:after="0" w:line="240" w:lineRule="auto"/>
        <w:ind w:left="709" w:right="855"/>
        <w:jc w:val="both"/>
        <w:rPr>
          <w:rFonts w:eastAsia="Calibri" w:cs="Times New Roman"/>
          <w:sz w:val="18"/>
          <w:szCs w:val="18"/>
          <w:lang w:val="en-US"/>
        </w:rPr>
      </w:pPr>
      <w:r w:rsidRPr="007B2402">
        <w:rPr>
          <w:rFonts w:eastAsia="Calibri" w:cs="Times New Roman"/>
          <w:sz w:val="18"/>
          <w:szCs w:val="18"/>
          <w:lang w:val="en-US"/>
        </w:rPr>
        <w:t>That</w:t>
      </w:r>
      <w:r w:rsidR="00DC1B8C" w:rsidRPr="007B2402">
        <w:rPr>
          <w:rFonts w:eastAsia="Calibri" w:cs="Times New Roman"/>
          <w:sz w:val="18"/>
          <w:szCs w:val="18"/>
          <w:lang w:val="en-US"/>
        </w:rPr>
        <w:t xml:space="preserve"> </w:t>
      </w:r>
      <w:r w:rsidRPr="007B2402">
        <w:rPr>
          <w:rFonts w:eastAsia="Calibri" w:cs="Times New Roman"/>
          <w:sz w:val="18"/>
          <w:szCs w:val="18"/>
          <w:lang w:val="en-US"/>
        </w:rPr>
        <w:t>farce</w:t>
      </w:r>
      <w:r w:rsidR="00DC1B8C" w:rsidRPr="007B2402">
        <w:rPr>
          <w:rFonts w:eastAsia="Calibri" w:cs="Times New Roman"/>
          <w:sz w:val="18"/>
          <w:szCs w:val="18"/>
          <w:lang w:val="en-US"/>
        </w:rPr>
        <w:t xml:space="preserve"> was finally exposed when the statements of George Duque Estrada and Leandro Konder, journalists detained in the same place, were published. They testified that they had heard </w:t>
      </w:r>
      <w:r w:rsidR="00C74B40" w:rsidRPr="007B2402">
        <w:rPr>
          <w:rFonts w:eastAsia="Calibri" w:cs="Times New Roman"/>
          <w:sz w:val="18"/>
          <w:szCs w:val="18"/>
          <w:lang w:val="en-US"/>
        </w:rPr>
        <w:t xml:space="preserve">Vladimir </w:t>
      </w:r>
      <w:r w:rsidR="00DC1B8C" w:rsidRPr="007B2402">
        <w:rPr>
          <w:rFonts w:eastAsia="Calibri" w:cs="Times New Roman"/>
          <w:sz w:val="18"/>
          <w:szCs w:val="18"/>
          <w:lang w:val="en-US"/>
        </w:rPr>
        <w:t xml:space="preserve">Herzog’s cries when he was being tortured. Clear evidence of torture was identified by the Jewish funeral committee in charge of preparing the body for burial. This was the reason </w:t>
      </w:r>
      <w:r w:rsidR="00C74B40" w:rsidRPr="007B2402">
        <w:rPr>
          <w:rFonts w:eastAsia="Calibri" w:cs="Times New Roman"/>
          <w:sz w:val="18"/>
          <w:szCs w:val="18"/>
          <w:lang w:val="en-US"/>
        </w:rPr>
        <w:t xml:space="preserve">Vladimir </w:t>
      </w:r>
      <w:r w:rsidR="00DC1B8C" w:rsidRPr="007B2402">
        <w:rPr>
          <w:rFonts w:eastAsia="Calibri" w:cs="Times New Roman"/>
          <w:sz w:val="18"/>
          <w:szCs w:val="18"/>
          <w:lang w:val="en-US"/>
        </w:rPr>
        <w:t>Herzog was not buried in the area of the cemetery kept for those who had committed suicide, according to the religious precepts of Judaism. Lastly, the contradictory statements of the forensic physicians, Harry Shibata, Arildo de Toledo Viana and Armando Canger Rodrígues, during the court action filed by the family</w:t>
      </w:r>
      <w:r w:rsidR="00C74B40" w:rsidRPr="007B2402">
        <w:rPr>
          <w:rFonts w:eastAsia="Calibri" w:cs="Times New Roman"/>
          <w:sz w:val="18"/>
          <w:szCs w:val="18"/>
          <w:lang w:val="en-US"/>
        </w:rPr>
        <w:t>,</w:t>
      </w:r>
      <w:r w:rsidR="00DC1B8C" w:rsidRPr="007B2402">
        <w:rPr>
          <w:rFonts w:eastAsia="Calibri" w:cs="Times New Roman"/>
          <w:sz w:val="18"/>
          <w:szCs w:val="18"/>
          <w:lang w:val="en-US"/>
        </w:rPr>
        <w:t xml:space="preserve"> also contributed to demolish the false version of suicide. When the </w:t>
      </w:r>
      <w:r w:rsidR="00DC1B8C" w:rsidRPr="007B2402">
        <w:rPr>
          <w:rFonts w:eastAsia="Calibri" w:cs="Times New Roman"/>
          <w:sz w:val="18"/>
          <w:szCs w:val="18"/>
          <w:lang w:val="en-US"/>
        </w:rPr>
        <w:lastRenderedPageBreak/>
        <w:t xml:space="preserve">media were notified of his death, the journalists </w:t>
      </w:r>
      <w:r w:rsidR="00194BA0" w:rsidRPr="007B2402">
        <w:rPr>
          <w:rFonts w:eastAsia="Calibri" w:cs="Times New Roman"/>
          <w:sz w:val="18"/>
          <w:szCs w:val="18"/>
          <w:lang w:val="en-US"/>
        </w:rPr>
        <w:t xml:space="preserve">brought many newsrooms in São Paulo to a halt, and the company owners had to negotiate with them so that they would ensure that the following day’s edition could go out. The journalists’ </w:t>
      </w:r>
      <w:r w:rsidR="00F427EA" w:rsidRPr="007B2402">
        <w:rPr>
          <w:rFonts w:eastAsia="Calibri" w:cs="Times New Roman"/>
          <w:sz w:val="18"/>
          <w:szCs w:val="18"/>
          <w:lang w:val="en-US"/>
        </w:rPr>
        <w:t>association</w:t>
      </w:r>
      <w:r w:rsidR="00194BA0" w:rsidRPr="007B2402">
        <w:rPr>
          <w:rFonts w:eastAsia="Calibri" w:cs="Times New Roman"/>
          <w:sz w:val="18"/>
          <w:szCs w:val="18"/>
          <w:lang w:val="en-US"/>
        </w:rPr>
        <w:t xml:space="preserve"> declared a permanent vigil and a religious ceremony was organized in the Cathedral, which the Commander of the Second Army, General Ednardo D´Avila Melo tried to prevent by closing the avenues that led to the center of São Paulo. Nevertheless, thousands of people crammed into the overcrowded Cathedral and part of the square outside during the ecumenical service held by Cardinal </w:t>
      </w:r>
      <w:r w:rsidR="005427CB" w:rsidRPr="007B2402">
        <w:rPr>
          <w:rFonts w:eastAsia="Calibri" w:cs="Times New Roman"/>
          <w:sz w:val="18"/>
          <w:szCs w:val="18"/>
          <w:lang w:val="en-US"/>
        </w:rPr>
        <w:t xml:space="preserve">Don Paulo Evaristo, </w:t>
      </w:r>
      <w:r w:rsidR="00194BA0" w:rsidRPr="007B2402">
        <w:rPr>
          <w:rFonts w:eastAsia="Calibri" w:cs="Times New Roman"/>
          <w:sz w:val="18"/>
          <w:szCs w:val="18"/>
          <w:lang w:val="en-US"/>
        </w:rPr>
        <w:t>Rabbi</w:t>
      </w:r>
      <w:r w:rsidR="005427CB" w:rsidRPr="007B2402">
        <w:rPr>
          <w:rFonts w:eastAsia="Calibri" w:cs="Times New Roman"/>
          <w:sz w:val="18"/>
          <w:szCs w:val="18"/>
          <w:lang w:val="en-US"/>
        </w:rPr>
        <w:t xml:space="preserve"> Henry Sobel</w:t>
      </w:r>
      <w:r w:rsidR="005B1590" w:rsidRPr="007B2402">
        <w:rPr>
          <w:rFonts w:eastAsia="Calibri" w:cs="Times New Roman"/>
          <w:sz w:val="18"/>
          <w:szCs w:val="18"/>
          <w:lang w:val="en-US"/>
        </w:rPr>
        <w:t xml:space="preserve"> and </w:t>
      </w:r>
      <w:r w:rsidR="00194BA0" w:rsidRPr="007B2402">
        <w:rPr>
          <w:rFonts w:eastAsia="Calibri" w:cs="Times New Roman"/>
          <w:sz w:val="18"/>
          <w:szCs w:val="18"/>
          <w:lang w:val="en-US"/>
        </w:rPr>
        <w:t>the Reverend</w:t>
      </w:r>
      <w:r w:rsidR="005427CB" w:rsidRPr="007B2402">
        <w:rPr>
          <w:rFonts w:eastAsia="Calibri" w:cs="Times New Roman"/>
          <w:sz w:val="18"/>
          <w:szCs w:val="18"/>
          <w:lang w:val="en-US"/>
        </w:rPr>
        <w:t xml:space="preserve"> Jaime Wright, </w:t>
      </w:r>
      <w:r w:rsidR="00194BA0" w:rsidRPr="007B2402">
        <w:rPr>
          <w:rFonts w:eastAsia="Calibri" w:cs="Times New Roman"/>
          <w:sz w:val="18"/>
          <w:szCs w:val="18"/>
          <w:lang w:val="en-US"/>
        </w:rPr>
        <w:t xml:space="preserve">brother of the disappeared politician, </w:t>
      </w:r>
      <w:r w:rsidR="005427CB" w:rsidRPr="007B2402">
        <w:rPr>
          <w:rFonts w:eastAsia="Calibri" w:cs="Times New Roman"/>
          <w:sz w:val="18"/>
          <w:szCs w:val="18"/>
          <w:lang w:val="en-US"/>
        </w:rPr>
        <w:t>Paulo Stuart Wright</w:t>
      </w:r>
      <w:r w:rsidR="00194BA0" w:rsidRPr="007B2402">
        <w:rPr>
          <w:rFonts w:eastAsia="Calibri" w:cs="Times New Roman"/>
          <w:sz w:val="18"/>
          <w:szCs w:val="18"/>
          <w:lang w:val="en-US"/>
        </w:rPr>
        <w:t>.</w:t>
      </w:r>
    </w:p>
    <w:p w14:paraId="50A94BBE" w14:textId="77777777" w:rsidR="005427CB" w:rsidRPr="007B2402" w:rsidRDefault="005427CB" w:rsidP="005427CB">
      <w:pPr>
        <w:spacing w:after="0" w:line="240" w:lineRule="auto"/>
        <w:ind w:left="709" w:right="855"/>
        <w:jc w:val="both"/>
        <w:rPr>
          <w:rFonts w:eastAsia="Calibri" w:cs="Times New Roman"/>
          <w:sz w:val="18"/>
          <w:szCs w:val="18"/>
          <w:lang w:val="en-US"/>
        </w:rPr>
      </w:pPr>
    </w:p>
    <w:p w14:paraId="09CB86B4" w14:textId="55DEA9A4" w:rsidR="005427CB" w:rsidRPr="007B2402" w:rsidRDefault="00194BA0" w:rsidP="000A63CA">
      <w:pPr>
        <w:spacing w:after="0" w:line="240" w:lineRule="auto"/>
        <w:ind w:left="709" w:right="855"/>
        <w:jc w:val="both"/>
        <w:rPr>
          <w:rFonts w:eastAsia="Calibri" w:cs="Times New Roman"/>
          <w:sz w:val="18"/>
          <w:szCs w:val="18"/>
          <w:lang w:val="en-US"/>
        </w:rPr>
      </w:pPr>
      <w:r w:rsidRPr="007B2402">
        <w:rPr>
          <w:rFonts w:eastAsia="Calibri" w:cs="Times New Roman"/>
          <w:sz w:val="18"/>
          <w:szCs w:val="18"/>
          <w:lang w:val="en-US"/>
        </w:rPr>
        <w:t>I</w:t>
      </w:r>
      <w:r w:rsidR="005427CB" w:rsidRPr="007B2402">
        <w:rPr>
          <w:rFonts w:eastAsia="Calibri" w:cs="Times New Roman"/>
          <w:sz w:val="18"/>
          <w:szCs w:val="18"/>
          <w:lang w:val="en-US"/>
        </w:rPr>
        <w:t xml:space="preserve">n 1978, </w:t>
      </w:r>
      <w:r w:rsidRPr="007B2402">
        <w:rPr>
          <w:rFonts w:eastAsia="Calibri" w:cs="Times New Roman"/>
          <w:sz w:val="18"/>
          <w:szCs w:val="18"/>
          <w:lang w:val="en-US"/>
        </w:rPr>
        <w:t xml:space="preserve">the courts ruled that the Union was responsible for his death. Accordingly, the processing of </w:t>
      </w:r>
      <w:r w:rsidR="00F427EA" w:rsidRPr="007B2402">
        <w:rPr>
          <w:rFonts w:eastAsia="Calibri" w:cs="Times New Roman"/>
          <w:sz w:val="18"/>
          <w:szCs w:val="18"/>
          <w:lang w:val="en-US"/>
        </w:rPr>
        <w:t xml:space="preserve">Vladimir </w:t>
      </w:r>
      <w:r w:rsidRPr="007B2402">
        <w:rPr>
          <w:rFonts w:eastAsia="Calibri" w:cs="Times New Roman"/>
          <w:sz w:val="18"/>
          <w:szCs w:val="18"/>
          <w:lang w:val="en-US"/>
        </w:rPr>
        <w:t xml:space="preserve">Herzog’s case by the CEMDP was undisputed, and was approved unanimously in the initial months of the Special Commission’s existence. Unfortunately, </w:t>
      </w:r>
      <w:r w:rsidR="000A63CA" w:rsidRPr="007B2402">
        <w:rPr>
          <w:rFonts w:eastAsia="Calibri" w:cs="Times New Roman"/>
          <w:sz w:val="18"/>
          <w:szCs w:val="18"/>
          <w:lang w:val="en-US"/>
        </w:rPr>
        <w:t>the report presented by the Ministry of the Marine to the Minister of Justice Mauricio Correa in 1993 when the democratic rule of law had been in force in our country for five years preferred to adhere to the version of the dictatorship: “he committed suicide on October 25, 1975, by hanging himself in his cell in the</w:t>
      </w:r>
      <w:r w:rsidR="00F427EA" w:rsidRPr="007B2402">
        <w:rPr>
          <w:rFonts w:eastAsia="Calibri" w:cs="Times New Roman"/>
          <w:sz w:val="18"/>
          <w:szCs w:val="18"/>
          <w:lang w:val="en-US"/>
        </w:rPr>
        <w:t xml:space="preserve"> Second Army’s</w:t>
      </w:r>
      <w:r w:rsidR="000A63CA" w:rsidRPr="007B2402">
        <w:rPr>
          <w:rFonts w:eastAsia="Calibri" w:cs="Times New Roman"/>
          <w:sz w:val="18"/>
          <w:szCs w:val="18"/>
          <w:lang w:val="en-US"/>
        </w:rPr>
        <w:t xml:space="preserve"> </w:t>
      </w:r>
      <w:r w:rsidR="005427CB" w:rsidRPr="007B2402">
        <w:rPr>
          <w:rFonts w:eastAsia="Calibri" w:cs="Times New Roman"/>
          <w:sz w:val="18"/>
          <w:szCs w:val="18"/>
          <w:lang w:val="en-US"/>
        </w:rPr>
        <w:t>DOI</w:t>
      </w:r>
      <w:r w:rsidR="000A63CA" w:rsidRPr="007B2402">
        <w:rPr>
          <w:rFonts w:eastAsia="Calibri" w:cs="Times New Roman"/>
          <w:sz w:val="18"/>
          <w:szCs w:val="18"/>
          <w:lang w:val="en-US"/>
        </w:rPr>
        <w:t>-</w:t>
      </w:r>
      <w:r w:rsidR="005427CB" w:rsidRPr="007B2402">
        <w:rPr>
          <w:rFonts w:eastAsia="Calibri" w:cs="Times New Roman"/>
          <w:sz w:val="18"/>
          <w:szCs w:val="18"/>
          <w:lang w:val="en-US"/>
        </w:rPr>
        <w:t xml:space="preserve">CODI, </w:t>
      </w:r>
      <w:r w:rsidR="000A63CA" w:rsidRPr="007B2402">
        <w:rPr>
          <w:rFonts w:eastAsia="Calibri" w:cs="Times New Roman"/>
          <w:sz w:val="18"/>
          <w:szCs w:val="18"/>
          <w:lang w:val="en-US"/>
        </w:rPr>
        <w:t xml:space="preserve">as described in the </w:t>
      </w:r>
      <w:r w:rsidR="005427CB" w:rsidRPr="007B2402">
        <w:rPr>
          <w:rFonts w:eastAsia="Calibri" w:cs="Times New Roman"/>
          <w:sz w:val="18"/>
          <w:szCs w:val="18"/>
          <w:lang w:val="en-US"/>
        </w:rPr>
        <w:t>IPM</w:t>
      </w:r>
      <w:r w:rsidR="005B1590" w:rsidRPr="007B2402">
        <w:rPr>
          <w:rFonts w:eastAsia="Calibri" w:cs="Times New Roman"/>
          <w:sz w:val="18"/>
          <w:szCs w:val="18"/>
          <w:lang w:val="en-US"/>
        </w:rPr>
        <w:t xml:space="preserve"> and </w:t>
      </w:r>
      <w:r w:rsidR="000A63CA" w:rsidRPr="007B2402">
        <w:rPr>
          <w:rFonts w:eastAsia="Calibri" w:cs="Times New Roman"/>
          <w:sz w:val="18"/>
          <w:szCs w:val="18"/>
          <w:lang w:val="en-US"/>
        </w:rPr>
        <w:t xml:space="preserve">rulings issued by competent organs of the </w:t>
      </w:r>
      <w:r w:rsidR="005427CB" w:rsidRPr="007B2402">
        <w:rPr>
          <w:rFonts w:eastAsia="Calibri" w:cs="Times New Roman"/>
          <w:sz w:val="18"/>
          <w:szCs w:val="18"/>
          <w:lang w:val="en-US"/>
        </w:rPr>
        <w:t>São Paulo</w:t>
      </w:r>
      <w:r w:rsidR="000A63CA" w:rsidRPr="007B2402">
        <w:rPr>
          <w:rFonts w:eastAsia="Calibri" w:cs="Times New Roman"/>
          <w:sz w:val="18"/>
          <w:szCs w:val="18"/>
          <w:lang w:val="en-US"/>
        </w:rPr>
        <w:t xml:space="preserve"> Public Security Secretariat</w:t>
      </w:r>
      <w:r w:rsidR="005427CB" w:rsidRPr="007B2402">
        <w:rPr>
          <w:rFonts w:eastAsia="Calibri" w:cs="Times New Roman"/>
          <w:sz w:val="18"/>
          <w:szCs w:val="18"/>
          <w:lang w:val="en-US"/>
        </w:rPr>
        <w:t>.”</w:t>
      </w:r>
    </w:p>
    <w:p w14:paraId="5FFB503A" w14:textId="77777777" w:rsidR="005427CB" w:rsidRPr="007B2402" w:rsidRDefault="005427CB" w:rsidP="005427CB">
      <w:pPr>
        <w:spacing w:after="0" w:line="240" w:lineRule="auto"/>
        <w:ind w:left="709" w:right="855"/>
        <w:jc w:val="both"/>
        <w:rPr>
          <w:rFonts w:eastAsia="Calibri" w:cs="Times New Roman"/>
          <w:sz w:val="18"/>
          <w:szCs w:val="18"/>
          <w:lang w:val="en-US"/>
        </w:rPr>
      </w:pPr>
    </w:p>
    <w:p w14:paraId="47419AAF" w14:textId="340EC4EC" w:rsidR="005427CB" w:rsidRPr="007B2402" w:rsidRDefault="006E2694" w:rsidP="005427CB">
      <w:pPr>
        <w:spacing w:after="0" w:line="240" w:lineRule="auto"/>
        <w:ind w:left="709" w:right="855"/>
        <w:jc w:val="both"/>
        <w:rPr>
          <w:rFonts w:eastAsia="Calibri" w:cs="Times New Roman"/>
          <w:sz w:val="18"/>
          <w:szCs w:val="18"/>
          <w:lang w:val="en-US"/>
        </w:rPr>
      </w:pPr>
      <w:r w:rsidRPr="007B2402">
        <w:rPr>
          <w:rFonts w:eastAsia="Calibri" w:cs="Times New Roman"/>
          <w:sz w:val="18"/>
          <w:szCs w:val="18"/>
          <w:lang w:val="en-US"/>
        </w:rPr>
        <w:t>I</w:t>
      </w:r>
      <w:r w:rsidR="005427CB" w:rsidRPr="007B2402">
        <w:rPr>
          <w:rFonts w:eastAsia="Calibri" w:cs="Times New Roman"/>
          <w:sz w:val="18"/>
          <w:szCs w:val="18"/>
          <w:lang w:val="en-US"/>
        </w:rPr>
        <w:t xml:space="preserve">n 1979, </w:t>
      </w:r>
      <w:r w:rsidRPr="007B2402">
        <w:rPr>
          <w:rFonts w:eastAsia="Calibri" w:cs="Times New Roman"/>
          <w:sz w:val="18"/>
          <w:szCs w:val="18"/>
          <w:lang w:val="en-US"/>
        </w:rPr>
        <w:t>in honor of</w:t>
      </w:r>
      <w:r w:rsidR="005427CB" w:rsidRPr="007B2402">
        <w:rPr>
          <w:rFonts w:eastAsia="Calibri" w:cs="Times New Roman"/>
          <w:sz w:val="18"/>
          <w:szCs w:val="18"/>
          <w:lang w:val="en-US"/>
        </w:rPr>
        <w:t xml:space="preserve"> Vlado –</w:t>
      </w:r>
      <w:r w:rsidRPr="007B2402">
        <w:rPr>
          <w:rFonts w:eastAsia="Calibri" w:cs="Times New Roman"/>
          <w:sz w:val="18"/>
          <w:szCs w:val="18"/>
          <w:lang w:val="en-US"/>
        </w:rPr>
        <w:t xml:space="preserve"> as he was known </w:t>
      </w:r>
      <w:r w:rsidR="00F427EA" w:rsidRPr="007B2402">
        <w:rPr>
          <w:rFonts w:eastAsia="Calibri" w:cs="Times New Roman"/>
          <w:sz w:val="18"/>
          <w:szCs w:val="18"/>
          <w:lang w:val="en-US"/>
        </w:rPr>
        <w:t>to</w:t>
      </w:r>
      <w:r w:rsidRPr="007B2402">
        <w:rPr>
          <w:rFonts w:eastAsia="Calibri" w:cs="Times New Roman"/>
          <w:sz w:val="18"/>
          <w:szCs w:val="18"/>
          <w:lang w:val="en-US"/>
        </w:rPr>
        <w:t xml:space="preserve"> his colleagues</w:t>
      </w:r>
      <w:r w:rsidR="00A8458F" w:rsidRPr="007B2402">
        <w:rPr>
          <w:rFonts w:eastAsia="Calibri" w:cs="Times New Roman"/>
          <w:sz w:val="18"/>
          <w:szCs w:val="18"/>
          <w:lang w:val="en-US"/>
        </w:rPr>
        <w:t xml:space="preserve"> – the</w:t>
      </w:r>
      <w:r w:rsidRPr="007B2402">
        <w:rPr>
          <w:rFonts w:eastAsia="Calibri" w:cs="Times New Roman"/>
          <w:sz w:val="18"/>
          <w:szCs w:val="18"/>
          <w:lang w:val="en-US"/>
        </w:rPr>
        <w:t xml:space="preserve"> Professional Journalists</w:t>
      </w:r>
      <w:r w:rsidR="00A8458F" w:rsidRPr="007B2402">
        <w:rPr>
          <w:rFonts w:eastAsia="Calibri" w:cs="Times New Roman"/>
          <w:sz w:val="18"/>
          <w:szCs w:val="18"/>
          <w:lang w:val="en-US"/>
        </w:rPr>
        <w:t xml:space="preserve">’ </w:t>
      </w:r>
      <w:r w:rsidR="00F427EA" w:rsidRPr="007B2402">
        <w:rPr>
          <w:rFonts w:eastAsia="Calibri" w:cs="Times New Roman"/>
          <w:sz w:val="18"/>
          <w:szCs w:val="18"/>
          <w:lang w:val="en-US"/>
        </w:rPr>
        <w:t>Association</w:t>
      </w:r>
      <w:r w:rsidRPr="007B2402">
        <w:rPr>
          <w:rFonts w:eastAsia="Calibri" w:cs="Times New Roman"/>
          <w:sz w:val="18"/>
          <w:szCs w:val="18"/>
          <w:lang w:val="en-US"/>
        </w:rPr>
        <w:t xml:space="preserve"> of </w:t>
      </w:r>
      <w:r w:rsidR="006E2CFF" w:rsidRPr="007B2402">
        <w:rPr>
          <w:rFonts w:eastAsia="Calibri" w:cs="Times New Roman"/>
          <w:sz w:val="18"/>
          <w:szCs w:val="18"/>
          <w:lang w:val="en-US"/>
        </w:rPr>
        <w:t xml:space="preserve">the </w:t>
      </w:r>
      <w:r w:rsidRPr="007B2402">
        <w:rPr>
          <w:rFonts w:eastAsia="Calibri" w:cs="Times New Roman"/>
          <w:sz w:val="18"/>
          <w:szCs w:val="18"/>
          <w:lang w:val="en-US"/>
        </w:rPr>
        <w:t>s</w:t>
      </w:r>
      <w:r w:rsidR="00AF4344" w:rsidRPr="007B2402">
        <w:rPr>
          <w:rFonts w:eastAsia="Calibri" w:cs="Times New Roman"/>
          <w:sz w:val="18"/>
          <w:szCs w:val="18"/>
          <w:lang w:val="en-US"/>
        </w:rPr>
        <w:t>tate</w:t>
      </w:r>
      <w:r w:rsidR="005427CB" w:rsidRPr="007B2402">
        <w:rPr>
          <w:rFonts w:eastAsia="Calibri" w:cs="Times New Roman"/>
          <w:sz w:val="18"/>
          <w:szCs w:val="18"/>
          <w:lang w:val="en-US"/>
        </w:rPr>
        <w:t xml:space="preserve"> </w:t>
      </w:r>
      <w:r w:rsidRPr="007B2402">
        <w:rPr>
          <w:rFonts w:eastAsia="Calibri" w:cs="Times New Roman"/>
          <w:sz w:val="18"/>
          <w:szCs w:val="18"/>
          <w:lang w:val="en-US"/>
        </w:rPr>
        <w:t>of</w:t>
      </w:r>
      <w:r w:rsidR="005427CB" w:rsidRPr="007B2402">
        <w:rPr>
          <w:rFonts w:eastAsia="Calibri" w:cs="Times New Roman"/>
          <w:sz w:val="18"/>
          <w:szCs w:val="18"/>
          <w:lang w:val="en-US"/>
        </w:rPr>
        <w:t xml:space="preserve"> São Paulo </w:t>
      </w:r>
      <w:r w:rsidRPr="007B2402">
        <w:rPr>
          <w:rFonts w:eastAsia="Calibri" w:cs="Times New Roman"/>
          <w:sz w:val="18"/>
          <w:szCs w:val="18"/>
          <w:lang w:val="en-US"/>
        </w:rPr>
        <w:t xml:space="preserve">created the </w:t>
      </w:r>
      <w:r w:rsidR="005427CB" w:rsidRPr="007B2402">
        <w:rPr>
          <w:rFonts w:eastAsia="Calibri" w:cs="Times New Roman"/>
          <w:sz w:val="18"/>
          <w:szCs w:val="18"/>
          <w:lang w:val="en-US"/>
        </w:rPr>
        <w:t>Vladimir Herzog Amn</w:t>
      </w:r>
      <w:r w:rsidRPr="007B2402">
        <w:rPr>
          <w:rFonts w:eastAsia="Calibri" w:cs="Times New Roman"/>
          <w:sz w:val="18"/>
          <w:szCs w:val="18"/>
          <w:lang w:val="en-US"/>
        </w:rPr>
        <w:t>esty and Human Rights journalistic prize</w:t>
      </w:r>
      <w:r w:rsidR="00227D38" w:rsidRPr="007B2402">
        <w:rPr>
          <w:rFonts w:eastAsia="Calibri" w:cs="Times New Roman"/>
          <w:sz w:val="18"/>
          <w:szCs w:val="18"/>
          <w:lang w:val="en-US"/>
        </w:rPr>
        <w:t>.”</w:t>
      </w:r>
      <w:r w:rsidR="005427CB" w:rsidRPr="007B2402">
        <w:rPr>
          <w:rFonts w:eastAsia="Calibri" w:cs="Times New Roman"/>
          <w:sz w:val="18"/>
          <w:szCs w:val="18"/>
          <w:vertAlign w:val="superscript"/>
          <w:lang w:val="en-US"/>
        </w:rPr>
        <w:footnoteReference w:id="113"/>
      </w:r>
    </w:p>
    <w:p w14:paraId="3AD80EB4" w14:textId="77777777" w:rsidR="005427CB" w:rsidRPr="007B2402" w:rsidRDefault="005427CB" w:rsidP="005427CB">
      <w:pPr>
        <w:spacing w:after="0" w:line="240" w:lineRule="auto"/>
        <w:ind w:left="709" w:firstLine="709"/>
        <w:jc w:val="both"/>
        <w:rPr>
          <w:rFonts w:eastAsia="Calibri" w:cs="Times New Roman"/>
          <w:b/>
          <w:szCs w:val="20"/>
          <w:lang w:val="en-US"/>
        </w:rPr>
      </w:pPr>
    </w:p>
    <w:p w14:paraId="0DB8F526" w14:textId="5BCD096E" w:rsidR="005427CB" w:rsidRPr="007B2402" w:rsidRDefault="00A8458F" w:rsidP="00E668B8">
      <w:pPr>
        <w:pStyle w:val="Ttulo2"/>
        <w:rPr>
          <w:rFonts w:eastAsia="SimSun"/>
          <w:b/>
          <w:lang w:val="en-US" w:eastAsia="zh-CN"/>
        </w:rPr>
      </w:pPr>
      <w:bookmarkStart w:id="148" w:name="_Toc506984112"/>
      <w:r w:rsidRPr="007B2402">
        <w:rPr>
          <w:b/>
          <w:lang w:val="en-US"/>
        </w:rPr>
        <w:t>Actions of the Federal</w:t>
      </w:r>
      <w:r w:rsidR="006B47D1" w:rsidRPr="007B2402">
        <w:rPr>
          <w:b/>
          <w:lang w:val="en-US"/>
        </w:rPr>
        <w:t xml:space="preserve"> Public Prosecution Service</w:t>
      </w:r>
      <w:r w:rsidR="005427CB" w:rsidRPr="007B2402">
        <w:rPr>
          <w:b/>
          <w:lang w:val="en-US"/>
        </w:rPr>
        <w:t xml:space="preserve"> (</w:t>
      </w:r>
      <w:r w:rsidRPr="007B2402">
        <w:rPr>
          <w:b/>
          <w:lang w:val="en-US"/>
        </w:rPr>
        <w:t>Proceeding</w:t>
      </w:r>
      <w:r w:rsidR="005427CB" w:rsidRPr="007B2402">
        <w:rPr>
          <w:b/>
          <w:lang w:val="en-US"/>
        </w:rPr>
        <w:t xml:space="preserve"> No. 2008.61.81.013434-2)</w:t>
      </w:r>
      <w:bookmarkEnd w:id="148"/>
    </w:p>
    <w:p w14:paraId="0BA1598C" w14:textId="77777777" w:rsidR="005427CB" w:rsidRPr="007B2402" w:rsidRDefault="005427CB" w:rsidP="005427CB">
      <w:pPr>
        <w:spacing w:after="0" w:line="240" w:lineRule="auto"/>
        <w:jc w:val="both"/>
        <w:rPr>
          <w:rFonts w:eastAsia="Calibri" w:cs="Times New Roman"/>
          <w:b/>
          <w:szCs w:val="20"/>
          <w:lang w:val="en-US"/>
        </w:rPr>
      </w:pPr>
    </w:p>
    <w:p w14:paraId="47F4FFD0" w14:textId="3B5174AE" w:rsidR="005427CB" w:rsidRPr="007B2402" w:rsidRDefault="0062568D" w:rsidP="00A8458F">
      <w:pPr>
        <w:numPr>
          <w:ilvl w:val="0"/>
          <w:numId w:val="6"/>
        </w:numPr>
        <w:spacing w:after="0" w:line="240" w:lineRule="auto"/>
        <w:jc w:val="both"/>
        <w:rPr>
          <w:rFonts w:eastAsia="Calibri" w:cs="Times New Roman"/>
          <w:b/>
          <w:szCs w:val="20"/>
          <w:lang w:val="en-US"/>
        </w:rPr>
      </w:pPr>
      <w:r w:rsidRPr="007B2402">
        <w:rPr>
          <w:rFonts w:eastAsia="Calibri" w:cs="Times New Roman"/>
          <w:szCs w:val="20"/>
          <w:lang w:val="en-US"/>
        </w:rPr>
        <w:t>Based on</w:t>
      </w:r>
      <w:r w:rsidR="00A8458F" w:rsidRPr="007B2402">
        <w:rPr>
          <w:rFonts w:eastAsia="Calibri" w:cs="Times New Roman"/>
          <w:szCs w:val="20"/>
          <w:lang w:val="en-US"/>
        </w:rPr>
        <w:t xml:space="preserve"> the facts </w:t>
      </w:r>
      <w:r w:rsidRPr="007B2402">
        <w:rPr>
          <w:rFonts w:eastAsia="Calibri" w:cs="Times New Roman"/>
          <w:szCs w:val="20"/>
          <w:lang w:val="en-US"/>
        </w:rPr>
        <w:t>described</w:t>
      </w:r>
      <w:r w:rsidR="00A8458F" w:rsidRPr="007B2402">
        <w:rPr>
          <w:rFonts w:eastAsia="Calibri" w:cs="Times New Roman"/>
          <w:szCs w:val="20"/>
          <w:lang w:val="en-US"/>
        </w:rPr>
        <w:t xml:space="preserve"> in the CEMDP report, on November 21, 2007, the lawyer, </w:t>
      </w:r>
      <w:r w:rsidR="005427CB" w:rsidRPr="007B2402">
        <w:rPr>
          <w:rFonts w:eastAsia="Calibri" w:cs="Times New Roman"/>
          <w:szCs w:val="20"/>
          <w:lang w:val="en-US"/>
        </w:rPr>
        <w:t>Fábio Konder Comparato</w:t>
      </w:r>
      <w:r w:rsidR="00A8458F" w:rsidRPr="007B2402">
        <w:rPr>
          <w:rFonts w:eastAsia="Calibri" w:cs="Times New Roman"/>
          <w:szCs w:val="20"/>
          <w:lang w:val="en-US"/>
        </w:rPr>
        <w:t>,</w:t>
      </w:r>
      <w:r w:rsidR="005427CB" w:rsidRPr="007B2402">
        <w:rPr>
          <w:rFonts w:eastAsia="Calibri" w:cs="Times New Roman"/>
          <w:szCs w:val="20"/>
          <w:lang w:val="en-US"/>
        </w:rPr>
        <w:t xml:space="preserve"> </w:t>
      </w:r>
      <w:r w:rsidR="00A8458F" w:rsidRPr="007B2402">
        <w:rPr>
          <w:rFonts w:eastAsia="Calibri" w:cs="Times New Roman"/>
          <w:szCs w:val="20"/>
          <w:lang w:val="en-US"/>
        </w:rPr>
        <w:t>requested the Federal</w:t>
      </w:r>
      <w:r w:rsidR="005427CB" w:rsidRPr="007B2402">
        <w:rPr>
          <w:rFonts w:eastAsia="Calibri" w:cs="Times New Roman"/>
          <w:szCs w:val="20"/>
          <w:lang w:val="en-US"/>
        </w:rPr>
        <w:t xml:space="preserve"> </w:t>
      </w:r>
      <w:r w:rsidR="005A2FF3" w:rsidRPr="007B2402">
        <w:rPr>
          <w:rFonts w:eastAsia="Calibri" w:cs="Times New Roman"/>
          <w:szCs w:val="20"/>
          <w:lang w:val="en-US"/>
        </w:rPr>
        <w:t>Public Prosecution Service</w:t>
      </w:r>
      <w:r w:rsidR="00A8458F" w:rsidRPr="007B2402">
        <w:rPr>
          <w:rFonts w:eastAsia="Calibri" w:cs="Times New Roman"/>
          <w:szCs w:val="20"/>
          <w:lang w:val="en-US"/>
        </w:rPr>
        <w:t xml:space="preserve"> to investigate the criminal acts and abuse perpetrated against political opponents of the military regime, understanding that the legal framework then in force obliged the State to investigate and punish any crimes against humanity that had been committed.</w:t>
      </w:r>
      <w:r w:rsidR="005427CB" w:rsidRPr="007B2402">
        <w:rPr>
          <w:rFonts w:eastAsia="Calibri" w:cs="Times New Roman"/>
          <w:szCs w:val="20"/>
          <w:vertAlign w:val="superscript"/>
          <w:lang w:val="en-US"/>
        </w:rPr>
        <w:footnoteReference w:id="114"/>
      </w:r>
    </w:p>
    <w:p w14:paraId="1D06B1FF" w14:textId="77777777" w:rsidR="005427CB" w:rsidRPr="007B2402" w:rsidRDefault="005427CB" w:rsidP="005427CB">
      <w:pPr>
        <w:spacing w:after="0" w:line="240" w:lineRule="auto"/>
        <w:jc w:val="both"/>
        <w:rPr>
          <w:rFonts w:eastAsia="Calibri" w:cs="Times New Roman"/>
          <w:b/>
          <w:szCs w:val="20"/>
          <w:lang w:val="en-US"/>
        </w:rPr>
      </w:pPr>
    </w:p>
    <w:p w14:paraId="24E7388A" w14:textId="67ADCE62" w:rsidR="005427CB" w:rsidRPr="007B2402" w:rsidRDefault="00A8458F"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 xml:space="preserve">Initially, the request was examined by members of the </w:t>
      </w:r>
      <w:r w:rsidR="006B47D1" w:rsidRPr="007B2402">
        <w:rPr>
          <w:rFonts w:eastAsia="Calibri" w:cs="Times New Roman"/>
          <w:szCs w:val="20"/>
          <w:lang w:val="en-US"/>
        </w:rPr>
        <w:t>Federal Public Prosecution Service</w:t>
      </w:r>
      <w:r w:rsidR="005427CB" w:rsidRPr="007B2402">
        <w:rPr>
          <w:rFonts w:eastAsia="Calibri" w:cs="Times New Roman"/>
          <w:szCs w:val="20"/>
          <w:lang w:val="en-US"/>
        </w:rPr>
        <w:t xml:space="preserve"> </w:t>
      </w:r>
      <w:r w:rsidR="0062568D" w:rsidRPr="007B2402">
        <w:rPr>
          <w:rFonts w:eastAsia="Calibri" w:cs="Times New Roman"/>
          <w:szCs w:val="20"/>
          <w:lang w:val="en-US"/>
        </w:rPr>
        <w:t>who did not have</w:t>
      </w:r>
      <w:r w:rsidRPr="007B2402">
        <w:rPr>
          <w:rFonts w:eastAsia="Calibri" w:cs="Times New Roman"/>
          <w:szCs w:val="20"/>
          <w:lang w:val="en-US"/>
        </w:rPr>
        <w:t xml:space="preserve"> </w:t>
      </w:r>
      <w:r w:rsidR="002D49E9" w:rsidRPr="007B2402">
        <w:rPr>
          <w:rFonts w:eastAsia="Calibri" w:cs="Times New Roman"/>
          <w:szCs w:val="20"/>
          <w:lang w:val="en-US"/>
        </w:rPr>
        <w:t xml:space="preserve">jurisdiction </w:t>
      </w:r>
      <w:r w:rsidR="0062568D" w:rsidRPr="007B2402">
        <w:rPr>
          <w:rFonts w:eastAsia="Calibri" w:cs="Times New Roman"/>
          <w:szCs w:val="20"/>
          <w:lang w:val="en-US"/>
        </w:rPr>
        <w:t>for</w:t>
      </w:r>
      <w:r w:rsidRPr="007B2402">
        <w:rPr>
          <w:rFonts w:eastAsia="Calibri" w:cs="Times New Roman"/>
          <w:szCs w:val="20"/>
          <w:lang w:val="en-US"/>
        </w:rPr>
        <w:t xml:space="preserve"> criminal matters. Consequently, </w:t>
      </w:r>
      <w:r w:rsidR="002D49E9" w:rsidRPr="007B2402">
        <w:rPr>
          <w:rFonts w:eastAsia="Calibri" w:cs="Times New Roman"/>
          <w:szCs w:val="20"/>
          <w:lang w:val="en-US"/>
        </w:rPr>
        <w:t xml:space="preserve">on March 5, 2008, </w:t>
      </w:r>
      <w:r w:rsidRPr="007B2402">
        <w:rPr>
          <w:rFonts w:eastAsia="Calibri" w:cs="Times New Roman"/>
          <w:szCs w:val="20"/>
          <w:lang w:val="en-US"/>
        </w:rPr>
        <w:t xml:space="preserve">the </w:t>
      </w:r>
      <w:r w:rsidR="002A6E04" w:rsidRPr="007B2402">
        <w:rPr>
          <w:rFonts w:eastAsia="Calibri" w:cs="Times New Roman"/>
          <w:szCs w:val="20"/>
          <w:lang w:val="en-US"/>
        </w:rPr>
        <w:t xml:space="preserve">Prosecutor </w:t>
      </w:r>
      <w:r w:rsidR="002D49E9" w:rsidRPr="007B2402">
        <w:rPr>
          <w:rFonts w:eastAsia="Calibri" w:cs="Times New Roman"/>
          <w:szCs w:val="20"/>
          <w:lang w:val="en-US"/>
        </w:rPr>
        <w:t>of the Republic</w:t>
      </w:r>
      <w:r w:rsidR="0062568D" w:rsidRPr="007B2402">
        <w:rPr>
          <w:rFonts w:eastAsia="Calibri" w:cs="Times New Roman"/>
          <w:szCs w:val="20"/>
          <w:lang w:val="en-US"/>
        </w:rPr>
        <w:t xml:space="preserve">, </w:t>
      </w:r>
      <w:r w:rsidR="005427CB" w:rsidRPr="007B2402">
        <w:rPr>
          <w:rFonts w:eastAsia="Calibri" w:cs="Times New Roman"/>
          <w:szCs w:val="20"/>
          <w:lang w:val="en-US"/>
        </w:rPr>
        <w:t>Eugenia Augusta Gonzaga Favero</w:t>
      </w:r>
      <w:r w:rsidR="0062568D" w:rsidRPr="007B2402">
        <w:rPr>
          <w:rFonts w:eastAsia="Calibri" w:cs="Times New Roman"/>
          <w:szCs w:val="20"/>
          <w:lang w:val="en-US"/>
        </w:rPr>
        <w:t>,</w:t>
      </w:r>
      <w:r w:rsidR="005B1590" w:rsidRPr="007B2402">
        <w:rPr>
          <w:rFonts w:eastAsia="Calibri" w:cs="Times New Roman"/>
          <w:szCs w:val="20"/>
          <w:lang w:val="en-US"/>
        </w:rPr>
        <w:t xml:space="preserve"> and </w:t>
      </w:r>
      <w:r w:rsidR="002D49E9" w:rsidRPr="007B2402">
        <w:rPr>
          <w:rFonts w:eastAsia="Calibri" w:cs="Times New Roman"/>
          <w:szCs w:val="20"/>
          <w:lang w:val="en-US"/>
        </w:rPr>
        <w:t xml:space="preserve">the Regional </w:t>
      </w:r>
      <w:r w:rsidR="002A6E04" w:rsidRPr="007B2402">
        <w:rPr>
          <w:rFonts w:eastAsia="Calibri" w:cs="Times New Roman"/>
          <w:szCs w:val="20"/>
          <w:lang w:val="en-US"/>
        </w:rPr>
        <w:t>Prosecutor</w:t>
      </w:r>
      <w:r w:rsidR="002D49E9" w:rsidRPr="007B2402">
        <w:rPr>
          <w:rFonts w:eastAsia="Calibri" w:cs="Times New Roman"/>
          <w:szCs w:val="20"/>
          <w:lang w:val="en-US"/>
        </w:rPr>
        <w:t xml:space="preserve"> of the Republic</w:t>
      </w:r>
      <w:r w:rsidR="0062568D" w:rsidRPr="007B2402">
        <w:rPr>
          <w:rFonts w:eastAsia="Calibri" w:cs="Times New Roman"/>
          <w:szCs w:val="20"/>
          <w:lang w:val="en-US"/>
        </w:rPr>
        <w:t>,</w:t>
      </w:r>
      <w:r w:rsidR="002D49E9" w:rsidRPr="007B2402">
        <w:rPr>
          <w:rFonts w:eastAsia="Calibri" w:cs="Times New Roman"/>
          <w:szCs w:val="20"/>
          <w:lang w:val="en-US"/>
        </w:rPr>
        <w:t xml:space="preserve"> </w:t>
      </w:r>
      <w:r w:rsidR="005427CB" w:rsidRPr="007B2402">
        <w:rPr>
          <w:rFonts w:eastAsia="Calibri" w:cs="Times New Roman"/>
          <w:szCs w:val="20"/>
          <w:lang w:val="en-US"/>
        </w:rPr>
        <w:t>Marlon Alberto Weichert</w:t>
      </w:r>
      <w:r w:rsidR="0062568D" w:rsidRPr="007B2402">
        <w:rPr>
          <w:rFonts w:eastAsia="Calibri" w:cs="Times New Roman"/>
          <w:szCs w:val="20"/>
          <w:lang w:val="en-US"/>
        </w:rPr>
        <w:t>,</w:t>
      </w:r>
      <w:r w:rsidR="002D49E9" w:rsidRPr="007B2402">
        <w:rPr>
          <w:rFonts w:eastAsia="Calibri" w:cs="Times New Roman"/>
          <w:szCs w:val="20"/>
          <w:lang w:val="en-US"/>
        </w:rPr>
        <w:t xml:space="preserve"> requested that the proceedings be forwarded to one of the members </w:t>
      </w:r>
      <w:r w:rsidRPr="007B2402">
        <w:rPr>
          <w:rFonts w:eastAsia="Calibri" w:cs="Times New Roman"/>
          <w:szCs w:val="20"/>
          <w:lang w:val="en-US"/>
        </w:rPr>
        <w:t xml:space="preserve">of the </w:t>
      </w:r>
      <w:r w:rsidR="005A2FF3" w:rsidRPr="007B2402">
        <w:rPr>
          <w:rFonts w:eastAsia="Calibri" w:cs="Times New Roman"/>
          <w:szCs w:val="20"/>
          <w:lang w:val="en-US"/>
        </w:rPr>
        <w:t>Public Prosecution Service</w:t>
      </w:r>
      <w:r w:rsidR="005427CB" w:rsidRPr="007B2402">
        <w:rPr>
          <w:rFonts w:eastAsia="Calibri" w:cs="Times New Roman"/>
          <w:szCs w:val="20"/>
          <w:lang w:val="en-US"/>
        </w:rPr>
        <w:t xml:space="preserve"> </w:t>
      </w:r>
      <w:r w:rsidR="002D49E9" w:rsidRPr="007B2402">
        <w:rPr>
          <w:rFonts w:eastAsia="Calibri" w:cs="Times New Roman"/>
          <w:szCs w:val="20"/>
          <w:lang w:val="en-US"/>
        </w:rPr>
        <w:t xml:space="preserve">with jurisdiction for criminal matters. At that time, they expressly asked for an investigation </w:t>
      </w:r>
      <w:r w:rsidR="0062568D" w:rsidRPr="007B2402">
        <w:rPr>
          <w:rFonts w:eastAsia="Calibri" w:cs="Times New Roman"/>
          <w:szCs w:val="20"/>
          <w:lang w:val="en-US"/>
        </w:rPr>
        <w:t>into</w:t>
      </w:r>
      <w:r w:rsidR="002D49E9" w:rsidRPr="007B2402">
        <w:rPr>
          <w:rFonts w:eastAsia="Calibri" w:cs="Times New Roman"/>
          <w:szCs w:val="20"/>
          <w:lang w:val="en-US"/>
        </w:rPr>
        <w:t xml:space="preserve"> the crimes </w:t>
      </w:r>
      <w:r w:rsidR="0062568D" w:rsidRPr="007B2402">
        <w:rPr>
          <w:rFonts w:eastAsia="Calibri" w:cs="Times New Roman"/>
          <w:szCs w:val="20"/>
          <w:lang w:val="en-US"/>
        </w:rPr>
        <w:t xml:space="preserve">committed </w:t>
      </w:r>
      <w:r w:rsidR="002D49E9" w:rsidRPr="007B2402">
        <w:rPr>
          <w:rFonts w:eastAsia="Calibri" w:cs="Times New Roman"/>
          <w:szCs w:val="20"/>
          <w:lang w:val="en-US"/>
        </w:rPr>
        <w:t xml:space="preserve">against </w:t>
      </w:r>
      <w:r w:rsidR="005427CB" w:rsidRPr="007B2402">
        <w:rPr>
          <w:rFonts w:eastAsia="Calibri" w:cs="Times New Roman"/>
          <w:szCs w:val="20"/>
          <w:lang w:val="en-US"/>
        </w:rPr>
        <w:t xml:space="preserve">Vladimir Herzog, </w:t>
      </w:r>
      <w:r w:rsidR="002D49E9" w:rsidRPr="007B2402">
        <w:rPr>
          <w:rFonts w:eastAsia="Calibri" w:cs="Times New Roman"/>
          <w:szCs w:val="20"/>
          <w:lang w:val="en-US"/>
        </w:rPr>
        <w:t>affirming that the state jurisdiction</w:t>
      </w:r>
      <w:r w:rsidR="0062568D" w:rsidRPr="007B2402">
        <w:rPr>
          <w:rFonts w:eastAsia="Calibri" w:cs="Times New Roman"/>
          <w:szCs w:val="20"/>
          <w:lang w:val="en-US"/>
        </w:rPr>
        <w:t>’s ruling</w:t>
      </w:r>
      <w:r w:rsidR="002D49E9" w:rsidRPr="007B2402">
        <w:rPr>
          <w:rFonts w:eastAsia="Calibri" w:cs="Times New Roman"/>
          <w:szCs w:val="20"/>
          <w:lang w:val="en-US"/>
        </w:rPr>
        <w:t xml:space="preserve"> was null and void.</w:t>
      </w:r>
      <w:r w:rsidR="005427CB" w:rsidRPr="007B2402">
        <w:rPr>
          <w:rFonts w:eastAsia="Calibri" w:cs="Times New Roman"/>
          <w:szCs w:val="20"/>
          <w:vertAlign w:val="superscript"/>
          <w:lang w:val="en-US"/>
        </w:rPr>
        <w:footnoteReference w:id="115"/>
      </w:r>
    </w:p>
    <w:p w14:paraId="5570C2C0" w14:textId="77777777" w:rsidR="005427CB" w:rsidRPr="007B2402" w:rsidRDefault="005427CB" w:rsidP="005427CB">
      <w:pPr>
        <w:spacing w:after="0" w:line="240" w:lineRule="auto"/>
        <w:jc w:val="both"/>
        <w:rPr>
          <w:rFonts w:eastAsia="Calibri" w:cs="Times New Roman"/>
          <w:szCs w:val="20"/>
          <w:lang w:val="en-US"/>
        </w:rPr>
      </w:pPr>
    </w:p>
    <w:p w14:paraId="61EC1790" w14:textId="63642581" w:rsidR="005427CB" w:rsidRPr="007B2402" w:rsidRDefault="005427CB" w:rsidP="00DB1F30">
      <w:pPr>
        <w:numPr>
          <w:ilvl w:val="0"/>
          <w:numId w:val="6"/>
        </w:numPr>
        <w:spacing w:after="0" w:line="240" w:lineRule="auto"/>
        <w:jc w:val="both"/>
        <w:rPr>
          <w:rFonts w:eastAsia="Calibri" w:cs="Times New Roman"/>
          <w:szCs w:val="20"/>
          <w:lang w:val="en-US"/>
        </w:rPr>
      </w:pPr>
      <w:bookmarkStart w:id="149" w:name="_Hlk11739512"/>
      <w:r w:rsidRPr="007B2402">
        <w:rPr>
          <w:rFonts w:eastAsia="Calibri" w:cs="Times New Roman"/>
          <w:szCs w:val="20"/>
          <w:lang w:val="en-US"/>
        </w:rPr>
        <w:t>A</w:t>
      </w:r>
      <w:r w:rsidR="002D49E9" w:rsidRPr="007B2402">
        <w:rPr>
          <w:rFonts w:eastAsia="Calibri" w:cs="Times New Roman"/>
          <w:szCs w:val="20"/>
          <w:lang w:val="en-US"/>
        </w:rPr>
        <w:t xml:space="preserve">s a result of this request, on September 12, 2008, </w:t>
      </w:r>
      <w:r w:rsidR="002A6E04" w:rsidRPr="007B2402">
        <w:rPr>
          <w:rFonts w:eastAsia="Calibri" w:cs="Times New Roman"/>
          <w:szCs w:val="20"/>
          <w:lang w:val="en-US"/>
        </w:rPr>
        <w:t>Prosecutor</w:t>
      </w:r>
      <w:r w:rsidRPr="007B2402">
        <w:rPr>
          <w:rFonts w:eastAsia="Calibri" w:cs="Times New Roman"/>
          <w:szCs w:val="20"/>
          <w:lang w:val="en-US"/>
        </w:rPr>
        <w:t xml:space="preserve"> Fábio Elizeu Gaspar </w:t>
      </w:r>
      <w:r w:rsidR="0062568D" w:rsidRPr="007B2402">
        <w:rPr>
          <w:rFonts w:eastAsia="Calibri" w:cs="Times New Roman"/>
          <w:szCs w:val="20"/>
          <w:lang w:val="en-US"/>
        </w:rPr>
        <w:t>filed</w:t>
      </w:r>
      <w:r w:rsidR="002A6E04" w:rsidRPr="007B2402">
        <w:rPr>
          <w:rFonts w:eastAsia="Calibri" w:cs="Times New Roman"/>
          <w:szCs w:val="20"/>
          <w:lang w:val="en-US"/>
        </w:rPr>
        <w:t xml:space="preserve"> a </w:t>
      </w:r>
      <w:r w:rsidR="0062568D" w:rsidRPr="007B2402">
        <w:rPr>
          <w:rFonts w:eastAsia="Calibri" w:cs="Times New Roman"/>
          <w:szCs w:val="20"/>
          <w:lang w:val="en-US"/>
        </w:rPr>
        <w:t>motion</w:t>
      </w:r>
      <w:r w:rsidR="002A6E04" w:rsidRPr="007B2402">
        <w:rPr>
          <w:rFonts w:eastAsia="Calibri" w:cs="Times New Roman"/>
          <w:szCs w:val="20"/>
          <w:lang w:val="en-US"/>
        </w:rPr>
        <w:t xml:space="preserve"> requ</w:t>
      </w:r>
      <w:r w:rsidR="0062568D" w:rsidRPr="007B2402">
        <w:rPr>
          <w:rFonts w:eastAsia="Calibri" w:cs="Times New Roman"/>
          <w:szCs w:val="20"/>
          <w:lang w:val="en-US"/>
        </w:rPr>
        <w:t>esting</w:t>
      </w:r>
      <w:r w:rsidR="002A6E04" w:rsidRPr="007B2402">
        <w:rPr>
          <w:rFonts w:eastAsia="Calibri" w:cs="Times New Roman"/>
          <w:szCs w:val="20"/>
          <w:lang w:val="en-US"/>
        </w:rPr>
        <w:t xml:space="preserve"> the Federal Court to close the investigation.</w:t>
      </w:r>
      <w:r w:rsidRPr="007B2402">
        <w:rPr>
          <w:rFonts w:eastAsia="Calibri" w:cs="Times New Roman"/>
          <w:szCs w:val="20"/>
          <w:vertAlign w:val="superscript"/>
          <w:lang w:val="en-US"/>
        </w:rPr>
        <w:footnoteReference w:id="116"/>
      </w:r>
      <w:r w:rsidRPr="007B2402">
        <w:rPr>
          <w:rFonts w:eastAsia="Calibri" w:cs="Times New Roman"/>
          <w:szCs w:val="20"/>
          <w:lang w:val="en-US"/>
        </w:rPr>
        <w:t xml:space="preserve"> </w:t>
      </w:r>
    </w:p>
    <w:p w14:paraId="3950EB05" w14:textId="77777777" w:rsidR="005427CB" w:rsidRPr="007B2402" w:rsidRDefault="005427CB" w:rsidP="005427CB">
      <w:pPr>
        <w:spacing w:after="0" w:line="240" w:lineRule="auto"/>
        <w:jc w:val="both"/>
        <w:rPr>
          <w:rFonts w:eastAsia="Calibri" w:cs="Times New Roman"/>
          <w:szCs w:val="20"/>
          <w:lang w:val="en-US"/>
        </w:rPr>
      </w:pPr>
    </w:p>
    <w:p w14:paraId="7054F462" w14:textId="2F8A1F38" w:rsidR="005427CB" w:rsidRPr="007B2402" w:rsidRDefault="002A6E04" w:rsidP="002A6E04">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 xml:space="preserve">In this </w:t>
      </w:r>
      <w:r w:rsidR="0062568D" w:rsidRPr="007B2402">
        <w:rPr>
          <w:rFonts w:eastAsia="Calibri" w:cs="Times New Roman"/>
          <w:szCs w:val="20"/>
          <w:lang w:val="en-US"/>
        </w:rPr>
        <w:t>motion,</w:t>
      </w:r>
      <w:r w:rsidRPr="007B2402">
        <w:rPr>
          <w:rFonts w:eastAsia="Calibri" w:cs="Times New Roman"/>
          <w:szCs w:val="20"/>
          <w:lang w:val="en-US"/>
        </w:rPr>
        <w:t xml:space="preserve"> he acknowledged that the murder of </w:t>
      </w:r>
      <w:r w:rsidR="005427CB" w:rsidRPr="007B2402">
        <w:rPr>
          <w:rFonts w:eastAsia="Calibri" w:cs="Times New Roman"/>
          <w:szCs w:val="20"/>
          <w:lang w:val="en-US"/>
        </w:rPr>
        <w:t xml:space="preserve">Vladimir Herzog </w:t>
      </w:r>
      <w:r w:rsidRPr="007B2402">
        <w:rPr>
          <w:rFonts w:eastAsia="Calibri" w:cs="Times New Roman"/>
          <w:szCs w:val="20"/>
          <w:lang w:val="en-US"/>
        </w:rPr>
        <w:t>had the characteristics of a crime against humanity, and stated that he</w:t>
      </w:r>
      <w:r w:rsidR="006421E4" w:rsidRPr="007B2402">
        <w:rPr>
          <w:rFonts w:eastAsia="Calibri" w:cs="Times New Roman"/>
          <w:szCs w:val="20"/>
          <w:lang w:val="en-US"/>
        </w:rPr>
        <w:t xml:space="preserve"> had</w:t>
      </w:r>
      <w:r w:rsidRPr="007B2402">
        <w:rPr>
          <w:rFonts w:eastAsia="Calibri" w:cs="Times New Roman"/>
          <w:szCs w:val="20"/>
          <w:lang w:val="en-US"/>
        </w:rPr>
        <w:t xml:space="preserve"> “no difficulty in concluding </w:t>
      </w:r>
      <w:r w:rsidRPr="007B2402">
        <w:rPr>
          <w:rFonts w:eastAsia="Calibri" w:cs="Times New Roman"/>
          <w:szCs w:val="20"/>
          <w:lang w:val="en-US"/>
        </w:rPr>
        <w:lastRenderedPageBreak/>
        <w:t>that the murder of Vladimir Herzog ha</w:t>
      </w:r>
      <w:r w:rsidR="006421E4" w:rsidRPr="007B2402">
        <w:rPr>
          <w:rFonts w:eastAsia="Calibri" w:cs="Times New Roman"/>
          <w:szCs w:val="20"/>
          <w:lang w:val="en-US"/>
        </w:rPr>
        <w:t>s</w:t>
      </w:r>
      <w:r w:rsidRPr="007B2402">
        <w:rPr>
          <w:rFonts w:eastAsia="Calibri" w:cs="Times New Roman"/>
          <w:szCs w:val="20"/>
          <w:lang w:val="en-US"/>
        </w:rPr>
        <w:t xml:space="preserve"> all the characteristics of the so-called crimes against humanity, and can </w:t>
      </w:r>
      <w:r w:rsidR="00B82BC2" w:rsidRPr="007B2402">
        <w:rPr>
          <w:rFonts w:eastAsia="Calibri" w:cs="Times New Roman"/>
          <w:szCs w:val="20"/>
          <w:lang w:val="en-US"/>
        </w:rPr>
        <w:t>be fully</w:t>
      </w:r>
      <w:r w:rsidRPr="007B2402">
        <w:rPr>
          <w:rFonts w:eastAsia="Calibri" w:cs="Times New Roman"/>
          <w:szCs w:val="20"/>
          <w:lang w:val="en-US"/>
        </w:rPr>
        <w:t xml:space="preserve"> characterized as such.” Nevertheless, he understood that the law did not include a definition that characterized it </w:t>
      </w:r>
      <w:r w:rsidR="00B82BC2" w:rsidRPr="007B2402">
        <w:rPr>
          <w:rFonts w:eastAsia="Calibri" w:cs="Times New Roman"/>
          <w:szCs w:val="20"/>
          <w:lang w:val="en-US"/>
        </w:rPr>
        <w:t>in this way</w:t>
      </w:r>
      <w:r w:rsidRPr="007B2402">
        <w:rPr>
          <w:rFonts w:eastAsia="Calibri" w:cs="Times New Roman"/>
          <w:szCs w:val="20"/>
          <w:lang w:val="en-US"/>
        </w:rPr>
        <w:t>.</w:t>
      </w:r>
      <w:r w:rsidR="005427CB" w:rsidRPr="007B2402">
        <w:rPr>
          <w:rFonts w:eastAsia="Calibri" w:cs="Times New Roman"/>
          <w:szCs w:val="20"/>
          <w:vertAlign w:val="superscript"/>
          <w:lang w:val="en-US"/>
        </w:rPr>
        <w:footnoteReference w:id="117"/>
      </w:r>
    </w:p>
    <w:p w14:paraId="06303E14" w14:textId="77777777" w:rsidR="005427CB" w:rsidRPr="007B2402" w:rsidRDefault="005427CB" w:rsidP="005427CB">
      <w:pPr>
        <w:spacing w:after="0" w:line="240" w:lineRule="auto"/>
        <w:jc w:val="both"/>
        <w:rPr>
          <w:rFonts w:eastAsia="Calibri" w:cs="Times New Roman"/>
          <w:szCs w:val="20"/>
          <w:lang w:val="en-US"/>
        </w:rPr>
      </w:pPr>
    </w:p>
    <w:p w14:paraId="03CA3D17" w14:textId="3C6D85A0" w:rsidR="005427CB" w:rsidRPr="007B2402" w:rsidRDefault="002A6E04" w:rsidP="002A6E04">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 xml:space="preserve">The prosecutor also considered that the </w:t>
      </w:r>
      <w:r w:rsidR="00221E16" w:rsidRPr="007B2402">
        <w:rPr>
          <w:rFonts w:eastAsia="Calibri" w:cs="Times New Roman"/>
          <w:szCs w:val="20"/>
          <w:lang w:val="en-US"/>
        </w:rPr>
        <w:t>Amnesty Law</w:t>
      </w:r>
      <w:r w:rsidR="005427CB" w:rsidRPr="007B2402">
        <w:rPr>
          <w:rFonts w:eastAsia="Calibri" w:cs="Times New Roman"/>
          <w:szCs w:val="20"/>
          <w:lang w:val="en-US"/>
        </w:rPr>
        <w:t xml:space="preserve"> </w:t>
      </w:r>
      <w:r w:rsidRPr="007B2402">
        <w:rPr>
          <w:rFonts w:eastAsia="Calibri" w:cs="Times New Roman"/>
          <w:szCs w:val="20"/>
          <w:lang w:val="en-US"/>
        </w:rPr>
        <w:t>was not applicable to the case. In his words: “The law is quite clear. Amnesty is granted for political crimes, and crimes related to political crimes and electoral crimes. The murder of Vladimir Herzog may be considered an i</w:t>
      </w:r>
      <w:r w:rsidR="00D93FAE" w:rsidRPr="007B2402">
        <w:rPr>
          <w:rFonts w:eastAsia="Calibri" w:cs="Times New Roman"/>
          <w:szCs w:val="20"/>
          <w:lang w:val="en-US"/>
        </w:rPr>
        <w:t>nadmissible</w:t>
      </w:r>
      <w:r w:rsidRPr="007B2402">
        <w:rPr>
          <w:rFonts w:eastAsia="Calibri" w:cs="Times New Roman"/>
          <w:szCs w:val="20"/>
          <w:lang w:val="en-US"/>
        </w:rPr>
        <w:t xml:space="preserve"> political crime, never a</w:t>
      </w:r>
      <w:r w:rsidR="00D93FAE" w:rsidRPr="007B2402">
        <w:rPr>
          <w:rFonts w:eastAsia="Calibri" w:cs="Times New Roman"/>
          <w:szCs w:val="20"/>
          <w:lang w:val="en-US"/>
        </w:rPr>
        <w:t>n admissible</w:t>
      </w:r>
      <w:r w:rsidRPr="007B2402">
        <w:rPr>
          <w:rFonts w:eastAsia="Calibri" w:cs="Times New Roman"/>
          <w:szCs w:val="20"/>
          <w:lang w:val="en-US"/>
        </w:rPr>
        <w:t xml:space="preserve"> </w:t>
      </w:r>
      <w:r w:rsidR="00173A99" w:rsidRPr="007B2402">
        <w:rPr>
          <w:rFonts w:eastAsia="Calibri" w:cs="Times New Roman"/>
          <w:szCs w:val="20"/>
          <w:lang w:val="en-US"/>
        </w:rPr>
        <w:t>one.” He also indicated that the amnesty did not extinguish the possibility of punishing the crime committed.</w:t>
      </w:r>
      <w:r w:rsidR="005427CB" w:rsidRPr="007B2402">
        <w:rPr>
          <w:rFonts w:eastAsia="Calibri" w:cs="Times New Roman"/>
          <w:szCs w:val="20"/>
          <w:vertAlign w:val="superscript"/>
          <w:lang w:val="en-US"/>
        </w:rPr>
        <w:footnoteReference w:id="118"/>
      </w:r>
      <w:r w:rsidR="00173A99" w:rsidRPr="007B2402">
        <w:rPr>
          <w:rFonts w:eastAsia="Calibri" w:cs="Times New Roman"/>
          <w:iCs/>
          <w:szCs w:val="20"/>
          <w:lang w:val="en-US"/>
        </w:rPr>
        <w:t xml:space="preserve"> However, he concluded</w:t>
      </w:r>
      <w:r w:rsidR="00173A99" w:rsidRPr="007B2402">
        <w:rPr>
          <w:rFonts w:eastAsia="Calibri" w:cs="Times New Roman"/>
          <w:szCs w:val="20"/>
          <w:lang w:val="en-US"/>
        </w:rPr>
        <w:t xml:space="preserve"> that it was not possible to conduct the criminal investigation, because</w:t>
      </w:r>
      <w:r w:rsidR="00991008" w:rsidRPr="007B2402">
        <w:rPr>
          <w:rFonts w:eastAsia="Calibri" w:cs="Times New Roman"/>
          <w:szCs w:val="20"/>
          <w:lang w:val="en-US"/>
        </w:rPr>
        <w:t xml:space="preserve"> substantial</w:t>
      </w:r>
      <w:r w:rsidR="00173A99" w:rsidRPr="007B2402">
        <w:rPr>
          <w:rFonts w:eastAsia="Calibri" w:cs="Times New Roman"/>
          <w:szCs w:val="20"/>
          <w:lang w:val="en-US"/>
        </w:rPr>
        <w:t xml:space="preserve"> </w:t>
      </w:r>
      <w:r w:rsidR="00173A99" w:rsidRPr="007B2402">
        <w:rPr>
          <w:rFonts w:eastAsia="Calibri" w:cs="Times New Roman"/>
          <w:i/>
          <w:iCs/>
          <w:szCs w:val="20"/>
          <w:lang w:val="en-US"/>
        </w:rPr>
        <w:t>res judicata</w:t>
      </w:r>
      <w:r w:rsidR="00173A99" w:rsidRPr="007B2402">
        <w:rPr>
          <w:rFonts w:eastAsia="Calibri" w:cs="Times New Roman"/>
          <w:szCs w:val="20"/>
          <w:lang w:val="en-US"/>
        </w:rPr>
        <w:t xml:space="preserve"> existed</w:t>
      </w:r>
      <w:r w:rsidR="00D93FAE" w:rsidRPr="007B2402">
        <w:rPr>
          <w:rFonts w:eastAsia="Calibri" w:cs="Times New Roman"/>
          <w:szCs w:val="20"/>
          <w:lang w:val="en-US"/>
        </w:rPr>
        <w:t>.</w:t>
      </w:r>
      <w:r w:rsidR="005427CB" w:rsidRPr="007B2402">
        <w:rPr>
          <w:rFonts w:eastAsia="Calibri" w:cs="Times New Roman"/>
          <w:szCs w:val="20"/>
          <w:vertAlign w:val="superscript"/>
          <w:lang w:val="en-US"/>
        </w:rPr>
        <w:footnoteReference w:id="119"/>
      </w:r>
      <w:r w:rsidR="005B1590" w:rsidRPr="007B2402">
        <w:rPr>
          <w:rFonts w:eastAsia="Calibri" w:cs="Times New Roman"/>
          <w:szCs w:val="20"/>
          <w:lang w:val="en-US"/>
        </w:rPr>
        <w:t xml:space="preserve"> </w:t>
      </w:r>
      <w:r w:rsidR="00D93FAE" w:rsidRPr="007B2402">
        <w:rPr>
          <w:rFonts w:eastAsia="Calibri" w:cs="Times New Roman"/>
          <w:szCs w:val="20"/>
          <w:lang w:val="en-US"/>
        </w:rPr>
        <w:t>M</w:t>
      </w:r>
      <w:r w:rsidR="00173A99" w:rsidRPr="007B2402">
        <w:rPr>
          <w:rFonts w:eastAsia="Calibri" w:cs="Times New Roman"/>
          <w:szCs w:val="20"/>
          <w:lang w:val="en-US"/>
        </w:rPr>
        <w:t xml:space="preserve">oreover, </w:t>
      </w:r>
      <w:r w:rsidR="00D93FAE" w:rsidRPr="007B2402">
        <w:rPr>
          <w:rFonts w:eastAsia="Calibri" w:cs="Times New Roman"/>
          <w:szCs w:val="20"/>
          <w:lang w:val="en-US"/>
        </w:rPr>
        <w:t>a</w:t>
      </w:r>
      <w:r w:rsidR="00173A99" w:rsidRPr="007B2402">
        <w:rPr>
          <w:rFonts w:eastAsia="Calibri" w:cs="Times New Roman"/>
          <w:szCs w:val="20"/>
          <w:lang w:val="en-US"/>
        </w:rPr>
        <w:t xml:space="preserve"> statute of limitations was </w:t>
      </w:r>
      <w:r w:rsidR="00D93FAE" w:rsidRPr="007B2402">
        <w:rPr>
          <w:rFonts w:eastAsia="Calibri" w:cs="Times New Roman"/>
          <w:szCs w:val="20"/>
          <w:lang w:val="en-US"/>
        </w:rPr>
        <w:t>applicable</w:t>
      </w:r>
      <w:r w:rsidR="00173A99" w:rsidRPr="007B2402">
        <w:rPr>
          <w:rFonts w:eastAsia="Calibri" w:cs="Times New Roman"/>
          <w:szCs w:val="20"/>
          <w:lang w:val="en-US"/>
        </w:rPr>
        <w:t xml:space="preserve"> as regards the possible punishment</w:t>
      </w:r>
      <w:r w:rsidR="005427CB" w:rsidRPr="007B2402">
        <w:rPr>
          <w:rFonts w:eastAsia="Calibri" w:cs="Times New Roman"/>
          <w:szCs w:val="20"/>
          <w:vertAlign w:val="superscript"/>
          <w:lang w:val="en-US"/>
        </w:rPr>
        <w:footnoteReference w:id="120"/>
      </w:r>
      <w:r w:rsidR="00173A99" w:rsidRPr="007B2402">
        <w:rPr>
          <w:rFonts w:eastAsia="Calibri" w:cs="Times New Roman"/>
          <w:szCs w:val="20"/>
          <w:lang w:val="en-US"/>
        </w:rPr>
        <w:t xml:space="preserve"> whether or not the judge had jurisdiction.</w:t>
      </w:r>
      <w:r w:rsidR="005427CB" w:rsidRPr="007B2402">
        <w:rPr>
          <w:rFonts w:eastAsia="Calibri" w:cs="Times New Roman"/>
          <w:szCs w:val="20"/>
          <w:vertAlign w:val="superscript"/>
          <w:lang w:val="en-US"/>
        </w:rPr>
        <w:footnoteReference w:id="121"/>
      </w:r>
    </w:p>
    <w:p w14:paraId="00965B33" w14:textId="77777777" w:rsidR="005427CB" w:rsidRPr="007B2402" w:rsidRDefault="005427CB" w:rsidP="005427CB">
      <w:pPr>
        <w:spacing w:after="0" w:line="240" w:lineRule="auto"/>
        <w:jc w:val="both"/>
        <w:rPr>
          <w:rFonts w:eastAsia="Calibri" w:cs="Times New Roman"/>
          <w:szCs w:val="20"/>
          <w:lang w:val="en-US"/>
        </w:rPr>
      </w:pPr>
    </w:p>
    <w:p w14:paraId="23355DB7" w14:textId="117A10A3" w:rsidR="005427CB" w:rsidRPr="007B2402" w:rsidRDefault="00173A99" w:rsidP="00173A99">
      <w:pPr>
        <w:numPr>
          <w:ilvl w:val="0"/>
          <w:numId w:val="6"/>
        </w:numPr>
        <w:spacing w:after="0" w:line="240" w:lineRule="auto"/>
        <w:jc w:val="both"/>
        <w:rPr>
          <w:rFonts w:eastAsia="Calibri" w:cs="Arial"/>
          <w:i/>
          <w:szCs w:val="20"/>
          <w:lang w:val="en-US"/>
        </w:rPr>
      </w:pPr>
      <w:r w:rsidRPr="007B2402">
        <w:rPr>
          <w:rFonts w:eastAsia="Calibri" w:cs="Times New Roman"/>
          <w:szCs w:val="20"/>
          <w:lang w:val="en-US"/>
        </w:rPr>
        <w:t xml:space="preserve">Regarding the </w:t>
      </w:r>
      <w:r w:rsidR="00D93FAE" w:rsidRPr="007B2402">
        <w:rPr>
          <w:rFonts w:eastAsia="Calibri" w:cs="Times New Roman"/>
          <w:szCs w:val="20"/>
          <w:lang w:val="en-US"/>
        </w:rPr>
        <w:t>application of statutory limitations to</w:t>
      </w:r>
      <w:r w:rsidRPr="007B2402">
        <w:rPr>
          <w:rFonts w:eastAsia="Calibri" w:cs="Times New Roman"/>
          <w:szCs w:val="20"/>
          <w:lang w:val="en-US"/>
        </w:rPr>
        <w:t xml:space="preserve"> the criminal action, he considered that the fact that </w:t>
      </w:r>
      <w:r w:rsidR="00AF4344" w:rsidRPr="007B2402">
        <w:rPr>
          <w:rFonts w:eastAsia="Calibri" w:cs="Times New Roman"/>
          <w:szCs w:val="20"/>
          <w:lang w:val="en-US"/>
        </w:rPr>
        <w:t>Brazil</w:t>
      </w:r>
      <w:r w:rsidR="005427CB" w:rsidRPr="007B2402">
        <w:rPr>
          <w:rFonts w:eastAsia="Calibri" w:cs="Times New Roman"/>
          <w:szCs w:val="20"/>
          <w:lang w:val="en-US"/>
        </w:rPr>
        <w:t xml:space="preserve"> </w:t>
      </w:r>
      <w:r w:rsidRPr="007B2402">
        <w:rPr>
          <w:rFonts w:eastAsia="Calibri" w:cs="Times New Roman"/>
          <w:szCs w:val="20"/>
          <w:lang w:val="en-US"/>
        </w:rPr>
        <w:t xml:space="preserve">was a party to the Pact of </w:t>
      </w:r>
      <w:r w:rsidR="005427CB" w:rsidRPr="007B2402">
        <w:rPr>
          <w:rFonts w:eastAsia="Calibri" w:cs="Times New Roman"/>
          <w:szCs w:val="20"/>
          <w:lang w:val="en-US"/>
        </w:rPr>
        <w:t xml:space="preserve">San José </w:t>
      </w:r>
      <w:r w:rsidRPr="007B2402">
        <w:rPr>
          <w:rFonts w:eastAsia="Calibri" w:cs="Times New Roman"/>
          <w:szCs w:val="20"/>
          <w:lang w:val="en-US"/>
        </w:rPr>
        <w:t>did not necessarily mean that the</w:t>
      </w:r>
      <w:r w:rsidR="005427CB" w:rsidRPr="007B2402">
        <w:rPr>
          <w:rFonts w:eastAsia="Calibri" w:cs="Times New Roman"/>
          <w:szCs w:val="20"/>
          <w:lang w:val="en-US"/>
        </w:rPr>
        <w:t xml:space="preserve"> </w:t>
      </w:r>
      <w:r w:rsidRPr="007B2402">
        <w:rPr>
          <w:rFonts w:eastAsia="Calibri" w:cs="Times New Roman"/>
          <w:szCs w:val="20"/>
          <w:lang w:val="en-US"/>
        </w:rPr>
        <w:t xml:space="preserve">crime was not subject to </w:t>
      </w:r>
      <w:r w:rsidR="00D93FAE" w:rsidRPr="007B2402">
        <w:rPr>
          <w:rFonts w:eastAsia="Calibri" w:cs="Times New Roman"/>
          <w:szCs w:val="20"/>
          <w:lang w:val="en-US"/>
        </w:rPr>
        <w:t>the statute of limitations</w:t>
      </w:r>
      <w:r w:rsidRPr="007B2402">
        <w:rPr>
          <w:rFonts w:eastAsia="Calibri" w:cs="Times New Roman"/>
          <w:szCs w:val="20"/>
          <w:lang w:val="en-US"/>
        </w:rPr>
        <w:t xml:space="preserve"> in this specific case, because the treaty “does not establish clearly any hypothesis of imprescriptibility for the past.” In addition, it was his opinion that international custom “</w:t>
      </w:r>
      <w:r w:rsidR="000F08E5" w:rsidRPr="007B2402">
        <w:rPr>
          <w:rFonts w:eastAsia="Calibri" w:cs="Times New Roman"/>
          <w:szCs w:val="20"/>
          <w:lang w:val="en-US"/>
        </w:rPr>
        <w:t>cannot overrule</w:t>
      </w:r>
      <w:r w:rsidRPr="007B2402">
        <w:rPr>
          <w:rFonts w:eastAsia="Calibri" w:cs="Times New Roman"/>
          <w:szCs w:val="20"/>
          <w:lang w:val="en-US"/>
        </w:rPr>
        <w:t xml:space="preserve"> domestic proceedings” and that imprescriptibility could not </w:t>
      </w:r>
      <w:r w:rsidR="00D93FAE" w:rsidRPr="007B2402">
        <w:rPr>
          <w:rFonts w:eastAsia="Calibri" w:cs="Times New Roman"/>
          <w:szCs w:val="20"/>
          <w:lang w:val="en-US"/>
        </w:rPr>
        <w:t xml:space="preserve">be </w:t>
      </w:r>
      <w:r w:rsidRPr="007B2402">
        <w:rPr>
          <w:rFonts w:eastAsia="Calibri" w:cs="Times New Roman"/>
          <w:szCs w:val="20"/>
          <w:lang w:val="en-US"/>
        </w:rPr>
        <w:t>established based on international custom, because th</w:t>
      </w:r>
      <w:r w:rsidR="00D93FAE" w:rsidRPr="007B2402">
        <w:rPr>
          <w:rFonts w:eastAsia="Calibri" w:cs="Times New Roman"/>
          <w:szCs w:val="20"/>
          <w:lang w:val="en-US"/>
        </w:rPr>
        <w:t>at</w:t>
      </w:r>
      <w:r w:rsidRPr="007B2402">
        <w:rPr>
          <w:rFonts w:eastAsia="Calibri" w:cs="Times New Roman"/>
          <w:szCs w:val="20"/>
          <w:lang w:val="en-US"/>
        </w:rPr>
        <w:t xml:space="preserve"> would </w:t>
      </w:r>
      <w:r w:rsidR="000F08E5" w:rsidRPr="007B2402">
        <w:rPr>
          <w:rFonts w:eastAsia="Calibri" w:cs="Times New Roman"/>
          <w:szCs w:val="20"/>
          <w:lang w:val="en-US"/>
        </w:rPr>
        <w:t>lead to lack of legal certainty.</w:t>
      </w:r>
      <w:r w:rsidR="005427CB" w:rsidRPr="007B2402">
        <w:rPr>
          <w:rFonts w:eastAsia="Calibri" w:cs="Arial"/>
          <w:szCs w:val="20"/>
          <w:vertAlign w:val="superscript"/>
          <w:lang w:val="en-US"/>
        </w:rPr>
        <w:footnoteReference w:id="122"/>
      </w:r>
      <w:r w:rsidR="00A62EB1" w:rsidRPr="007B2402">
        <w:rPr>
          <w:rFonts w:eastAsia="Calibri" w:cs="Arial"/>
          <w:szCs w:val="20"/>
          <w:lang w:val="en-US"/>
        </w:rPr>
        <w:t xml:space="preserve"> </w:t>
      </w:r>
    </w:p>
    <w:p w14:paraId="5158F312" w14:textId="77777777" w:rsidR="005427CB" w:rsidRPr="007B2402" w:rsidRDefault="005427CB" w:rsidP="005427CB">
      <w:pPr>
        <w:spacing w:after="0" w:line="240" w:lineRule="auto"/>
        <w:ind w:firstLine="709"/>
        <w:jc w:val="both"/>
        <w:rPr>
          <w:rFonts w:eastAsia="Calibri" w:cs="Times New Roman"/>
          <w:i/>
          <w:szCs w:val="20"/>
          <w:lang w:val="en-US"/>
        </w:rPr>
      </w:pPr>
    </w:p>
    <w:p w14:paraId="5C71EAB8" w14:textId="379399C8" w:rsidR="005427CB" w:rsidRPr="007B2402" w:rsidRDefault="000F08E5" w:rsidP="00DB1F30">
      <w:pPr>
        <w:numPr>
          <w:ilvl w:val="0"/>
          <w:numId w:val="6"/>
        </w:numPr>
        <w:spacing w:after="0" w:line="240" w:lineRule="auto"/>
        <w:jc w:val="both"/>
        <w:rPr>
          <w:rFonts w:eastAsia="Calibri" w:cs="Times New Roman"/>
          <w:b/>
          <w:szCs w:val="20"/>
          <w:lang w:val="en-US"/>
        </w:rPr>
      </w:pPr>
      <w:r w:rsidRPr="007B2402">
        <w:rPr>
          <w:rFonts w:eastAsia="Calibri" w:cs="Times New Roman"/>
          <w:szCs w:val="20"/>
          <w:lang w:val="en-US"/>
        </w:rPr>
        <w:t>Lastly, he understood that there was no incompatibility between the domestic organ</w:t>
      </w:r>
      <w:r w:rsidR="00D93FAE" w:rsidRPr="007B2402">
        <w:rPr>
          <w:rFonts w:eastAsia="Calibri" w:cs="Times New Roman"/>
          <w:szCs w:val="20"/>
          <w:lang w:val="en-US"/>
        </w:rPr>
        <w:t>’s decision</w:t>
      </w:r>
      <w:r w:rsidRPr="007B2402">
        <w:rPr>
          <w:rFonts w:eastAsia="Calibri" w:cs="Times New Roman"/>
          <w:szCs w:val="20"/>
          <w:lang w:val="en-US"/>
        </w:rPr>
        <w:t xml:space="preserve"> and the international obligations of the State, because they </w:t>
      </w:r>
      <w:r w:rsidR="00991008" w:rsidRPr="007B2402">
        <w:rPr>
          <w:rFonts w:eastAsia="Calibri" w:cs="Times New Roman"/>
          <w:szCs w:val="20"/>
          <w:lang w:val="en-US"/>
        </w:rPr>
        <w:t>we</w:t>
      </w:r>
      <w:r w:rsidRPr="007B2402">
        <w:rPr>
          <w:rFonts w:eastAsia="Calibri" w:cs="Times New Roman"/>
          <w:szCs w:val="20"/>
          <w:lang w:val="en-US"/>
        </w:rPr>
        <w:t>re two different systems.</w:t>
      </w:r>
      <w:r w:rsidR="005427CB" w:rsidRPr="007B2402">
        <w:rPr>
          <w:rFonts w:eastAsia="Calibri" w:cs="Times New Roman"/>
          <w:szCs w:val="20"/>
          <w:vertAlign w:val="superscript"/>
          <w:lang w:val="en-US"/>
        </w:rPr>
        <w:footnoteReference w:id="123"/>
      </w:r>
      <w:r w:rsidR="005427CB" w:rsidRPr="007B2402">
        <w:rPr>
          <w:rFonts w:eastAsia="Calibri" w:cs="Times New Roman"/>
          <w:szCs w:val="20"/>
          <w:lang w:val="en-US"/>
        </w:rPr>
        <w:t xml:space="preserve"> </w:t>
      </w:r>
    </w:p>
    <w:bookmarkEnd w:id="149"/>
    <w:p w14:paraId="194669AA" w14:textId="77777777" w:rsidR="005427CB" w:rsidRPr="007B2402" w:rsidRDefault="005427CB" w:rsidP="005427CB">
      <w:pPr>
        <w:ind w:left="720"/>
        <w:contextualSpacing/>
        <w:rPr>
          <w:rFonts w:eastAsia="Calibri" w:cs="Times New Roman"/>
          <w:szCs w:val="20"/>
          <w:lang w:val="en-US"/>
        </w:rPr>
      </w:pPr>
    </w:p>
    <w:p w14:paraId="50FBF09A" w14:textId="240DAFDC" w:rsidR="005427CB" w:rsidRPr="007B2402" w:rsidRDefault="00991008" w:rsidP="005427CB">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 xml:space="preserve">In response to his request, the federal judge, </w:t>
      </w:r>
      <w:r w:rsidR="005427CB" w:rsidRPr="007B2402">
        <w:rPr>
          <w:rFonts w:eastAsia="Calibri" w:cs="Times New Roman"/>
          <w:szCs w:val="20"/>
          <w:lang w:val="en-US"/>
        </w:rPr>
        <w:t xml:space="preserve">Paula Mantovani Avelino, </w:t>
      </w:r>
      <w:r w:rsidRPr="007B2402">
        <w:rPr>
          <w:rFonts w:eastAsia="Calibri" w:cs="Times New Roman"/>
          <w:szCs w:val="20"/>
          <w:lang w:val="en-US"/>
        </w:rPr>
        <w:t xml:space="preserve">accepted the </w:t>
      </w:r>
      <w:r w:rsidR="00950FF5" w:rsidRPr="007B2402">
        <w:rPr>
          <w:rFonts w:eastAsia="Calibri" w:cs="Times New Roman"/>
          <w:szCs w:val="20"/>
          <w:lang w:val="en-US"/>
        </w:rPr>
        <w:t>arguments</w:t>
      </w:r>
      <w:r w:rsidRPr="007B2402">
        <w:rPr>
          <w:rFonts w:eastAsia="Calibri" w:cs="Times New Roman"/>
          <w:szCs w:val="20"/>
          <w:lang w:val="en-US"/>
        </w:rPr>
        <w:t xml:space="preserve"> </w:t>
      </w:r>
      <w:r w:rsidR="00A8458F" w:rsidRPr="007B2402">
        <w:rPr>
          <w:rFonts w:eastAsia="Calibri" w:cs="Times New Roman"/>
          <w:szCs w:val="20"/>
          <w:lang w:val="en-US"/>
        </w:rPr>
        <w:t xml:space="preserve">of the </w:t>
      </w:r>
      <w:r w:rsidR="005A2FF3" w:rsidRPr="007B2402">
        <w:rPr>
          <w:rFonts w:eastAsia="Calibri" w:cs="Times New Roman"/>
          <w:szCs w:val="20"/>
          <w:lang w:val="en-US"/>
        </w:rPr>
        <w:t>Public Prosecution Service</w:t>
      </w:r>
      <w:r w:rsidRPr="007B2402">
        <w:rPr>
          <w:rFonts w:eastAsia="Calibri" w:cs="Times New Roman"/>
          <w:szCs w:val="20"/>
          <w:lang w:val="en-US"/>
        </w:rPr>
        <w:t xml:space="preserve">, understanding that </w:t>
      </w:r>
      <w:r w:rsidRPr="007B2402">
        <w:rPr>
          <w:rFonts w:eastAsia="Calibri" w:cs="Times New Roman"/>
          <w:i/>
          <w:iCs/>
          <w:szCs w:val="20"/>
          <w:lang w:val="en-US"/>
        </w:rPr>
        <w:t>res judicata</w:t>
      </w:r>
      <w:r w:rsidRPr="007B2402">
        <w:rPr>
          <w:rFonts w:eastAsia="Calibri" w:cs="Times New Roman"/>
          <w:szCs w:val="20"/>
          <w:lang w:val="en-US"/>
        </w:rPr>
        <w:t xml:space="preserve"> existed in the case</w:t>
      </w:r>
      <w:r w:rsidR="00D93FAE" w:rsidRPr="007B2402">
        <w:rPr>
          <w:rFonts w:eastAsia="Calibri" w:cs="Times New Roman"/>
          <w:szCs w:val="20"/>
          <w:lang w:val="en-US"/>
        </w:rPr>
        <w:t xml:space="preserve"> and this </w:t>
      </w:r>
      <w:r w:rsidRPr="007B2402">
        <w:rPr>
          <w:rFonts w:eastAsia="Calibri" w:cs="Times New Roman"/>
          <w:szCs w:val="20"/>
          <w:lang w:val="en-US"/>
        </w:rPr>
        <w:t>made it impossible to continue to</w:t>
      </w:r>
      <w:r w:rsidR="00950FF5" w:rsidRPr="007B2402">
        <w:rPr>
          <w:rFonts w:eastAsia="Calibri" w:cs="Times New Roman"/>
          <w:szCs w:val="20"/>
          <w:lang w:val="en-US"/>
        </w:rPr>
        <w:t xml:space="preserve"> the</w:t>
      </w:r>
      <w:r w:rsidRPr="007B2402">
        <w:rPr>
          <w:rFonts w:eastAsia="Calibri" w:cs="Times New Roman"/>
          <w:szCs w:val="20"/>
          <w:lang w:val="en-US"/>
        </w:rPr>
        <w:t xml:space="preserve"> investigation since the criminal action had extinguished: “Since substantial </w:t>
      </w:r>
      <w:r w:rsidRPr="007B2402">
        <w:rPr>
          <w:rFonts w:eastAsia="Calibri" w:cs="Times New Roman"/>
          <w:i/>
          <w:iCs/>
          <w:szCs w:val="20"/>
          <w:lang w:val="en-US"/>
        </w:rPr>
        <w:t>res judicata</w:t>
      </w:r>
      <w:r w:rsidRPr="007B2402">
        <w:rPr>
          <w:rFonts w:eastAsia="Calibri" w:cs="Times New Roman"/>
          <w:szCs w:val="20"/>
          <w:lang w:val="en-US"/>
        </w:rPr>
        <w:t xml:space="preserve"> exists</w:t>
      </w:r>
      <w:r w:rsidR="00950FF5" w:rsidRPr="007B2402">
        <w:rPr>
          <w:rFonts w:eastAsia="Calibri" w:cs="Times New Roman"/>
          <w:szCs w:val="20"/>
          <w:lang w:val="en-US"/>
        </w:rPr>
        <w:t>,</w:t>
      </w:r>
      <w:r w:rsidRPr="007B2402">
        <w:rPr>
          <w:rFonts w:eastAsia="Calibri" w:cs="Times New Roman"/>
          <w:szCs w:val="20"/>
          <w:lang w:val="en-US"/>
        </w:rPr>
        <w:t xml:space="preserve"> the possibility of punishing the crime has terminated irremediably</w:t>
      </w:r>
      <w:r w:rsidR="0068208E" w:rsidRPr="007B2402">
        <w:rPr>
          <w:rFonts w:eastAsia="Calibri" w:cs="Times New Roman"/>
          <w:szCs w:val="20"/>
          <w:lang w:val="en-US"/>
        </w:rPr>
        <w:t xml:space="preserve"> </w:t>
      </w:r>
      <w:r w:rsidR="004514FE" w:rsidRPr="007B2402">
        <w:rPr>
          <w:rFonts w:eastAsia="Calibri" w:cs="Times New Roman"/>
          <w:szCs w:val="20"/>
          <w:lang w:val="en-US"/>
        </w:rPr>
        <w:t>and this</w:t>
      </w:r>
      <w:r w:rsidR="0068208E" w:rsidRPr="007B2402">
        <w:rPr>
          <w:rFonts w:eastAsia="Calibri" w:cs="Times New Roman"/>
          <w:szCs w:val="20"/>
          <w:lang w:val="en-US"/>
        </w:rPr>
        <w:t xml:space="preserve">, </w:t>
      </w:r>
      <w:r w:rsidR="004514FE" w:rsidRPr="007B2402">
        <w:rPr>
          <w:rFonts w:eastAsia="Calibri" w:cs="Times New Roman"/>
          <w:szCs w:val="20"/>
          <w:lang w:val="en-US"/>
        </w:rPr>
        <w:t>in</w:t>
      </w:r>
      <w:r w:rsidR="0068208E" w:rsidRPr="007B2402">
        <w:rPr>
          <w:rFonts w:eastAsia="Calibri" w:cs="Times New Roman"/>
          <w:szCs w:val="20"/>
          <w:lang w:val="en-US"/>
        </w:rPr>
        <w:t xml:space="preserve"> itself, would prevent opening a new proceeding to investigate the same facts.</w:t>
      </w:r>
      <w:r w:rsidR="005427CB" w:rsidRPr="007B2402">
        <w:rPr>
          <w:rFonts w:eastAsia="Calibri" w:cs="Times New Roman"/>
          <w:szCs w:val="20"/>
          <w:lang w:val="en-US"/>
        </w:rPr>
        <w:t>”</w:t>
      </w:r>
      <w:r w:rsidR="005427CB" w:rsidRPr="007B2402">
        <w:rPr>
          <w:rFonts w:eastAsia="Calibri" w:cs="Times New Roman"/>
          <w:szCs w:val="20"/>
          <w:vertAlign w:val="superscript"/>
          <w:lang w:val="en-US"/>
        </w:rPr>
        <w:footnoteReference w:id="124"/>
      </w:r>
      <w:r w:rsidR="0068208E" w:rsidRPr="007B2402">
        <w:rPr>
          <w:rFonts w:eastAsia="Calibri" w:cs="Times New Roman"/>
          <w:szCs w:val="20"/>
          <w:lang w:val="en-US"/>
        </w:rPr>
        <w:t xml:space="preserve"> She also affirmed that the acts perpetrated against</w:t>
      </w:r>
      <w:r w:rsidR="005427CB" w:rsidRPr="007B2402">
        <w:rPr>
          <w:rFonts w:eastAsia="Calibri" w:cs="Times New Roman"/>
          <w:szCs w:val="20"/>
          <w:lang w:val="en-US"/>
        </w:rPr>
        <w:t xml:space="preserve"> </w:t>
      </w:r>
      <w:r w:rsidR="0068208E" w:rsidRPr="007B2402">
        <w:rPr>
          <w:rFonts w:eastAsia="Calibri" w:cs="Times New Roman"/>
          <w:szCs w:val="20"/>
          <w:lang w:val="en-US"/>
        </w:rPr>
        <w:t xml:space="preserve">Vladimir </w:t>
      </w:r>
      <w:r w:rsidR="005427CB" w:rsidRPr="007B2402">
        <w:rPr>
          <w:rFonts w:eastAsia="Calibri" w:cs="Times New Roman"/>
          <w:szCs w:val="20"/>
          <w:lang w:val="en-US"/>
        </w:rPr>
        <w:t xml:space="preserve">Herzog </w:t>
      </w:r>
      <w:r w:rsidR="0068208E" w:rsidRPr="007B2402">
        <w:rPr>
          <w:rFonts w:eastAsia="Calibri" w:cs="Times New Roman"/>
          <w:szCs w:val="20"/>
          <w:lang w:val="en-US"/>
        </w:rPr>
        <w:t xml:space="preserve">should not be considered crimes against humanity because such crimes had not been defined by law at the time of the </w:t>
      </w:r>
      <w:r w:rsidR="00950FF5" w:rsidRPr="007B2402">
        <w:rPr>
          <w:rFonts w:eastAsia="Calibri" w:cs="Times New Roman"/>
          <w:szCs w:val="20"/>
          <w:lang w:val="en-US"/>
        </w:rPr>
        <w:t>even</w:t>
      </w:r>
      <w:r w:rsidR="0068208E" w:rsidRPr="007B2402">
        <w:rPr>
          <w:rFonts w:eastAsia="Calibri" w:cs="Times New Roman"/>
          <w:szCs w:val="20"/>
          <w:lang w:val="en-US"/>
        </w:rPr>
        <w:t xml:space="preserve">ts. Her ruling also indicated that “the domestic legal order in force does not admit the creation of crimes by </w:t>
      </w:r>
      <w:r w:rsidR="00950FF5" w:rsidRPr="007B2402">
        <w:rPr>
          <w:rFonts w:eastAsia="Calibri" w:cs="Times New Roman"/>
          <w:szCs w:val="20"/>
          <w:lang w:val="en-US"/>
        </w:rPr>
        <w:t>subordinate legislation</w:t>
      </w:r>
      <w:r w:rsidR="0068208E" w:rsidRPr="007B2402">
        <w:rPr>
          <w:rFonts w:eastAsia="Calibri" w:cs="Times New Roman"/>
          <w:szCs w:val="20"/>
          <w:lang w:val="en-US"/>
        </w:rPr>
        <w:t xml:space="preserve">, provisional measure, </w:t>
      </w:r>
      <w:r w:rsidR="00950FF5" w:rsidRPr="007B2402">
        <w:rPr>
          <w:rFonts w:eastAsia="Calibri" w:cs="Times New Roman"/>
          <w:szCs w:val="20"/>
          <w:lang w:val="en-US"/>
        </w:rPr>
        <w:t xml:space="preserve">or </w:t>
      </w:r>
      <w:r w:rsidR="0068208E" w:rsidRPr="007B2402">
        <w:rPr>
          <w:rFonts w:eastAsia="Calibri" w:cs="Times New Roman"/>
          <w:szCs w:val="20"/>
          <w:lang w:val="en-US"/>
        </w:rPr>
        <w:t>legislative decree or decision</w:t>
      </w:r>
      <w:r w:rsidR="004514FE" w:rsidRPr="007B2402">
        <w:rPr>
          <w:rFonts w:eastAsia="Calibri" w:cs="Times New Roman"/>
          <w:szCs w:val="20"/>
          <w:lang w:val="en-US"/>
        </w:rPr>
        <w:t>; thus,</w:t>
      </w:r>
      <w:r w:rsidR="0068208E" w:rsidRPr="007B2402">
        <w:rPr>
          <w:rFonts w:eastAsia="Calibri" w:cs="Times New Roman"/>
          <w:szCs w:val="20"/>
          <w:lang w:val="en-US"/>
        </w:rPr>
        <w:t xml:space="preserve"> </w:t>
      </w:r>
      <w:hyperlink r:id="rId8" w:history="1">
        <w:r w:rsidR="0068208E" w:rsidRPr="007B2402">
          <w:rPr>
            <w:rStyle w:val="Hipervnculo"/>
            <w:i/>
            <w:iCs/>
            <w:color w:val="auto"/>
            <w:u w:val="none"/>
            <w:lang w:val="en-US"/>
          </w:rPr>
          <w:t>a fortiori</w:t>
        </w:r>
      </w:hyperlink>
      <w:r w:rsidR="0068208E" w:rsidRPr="007B2402">
        <w:rPr>
          <w:rStyle w:val="tagtrans"/>
          <w:lang w:val="en-US"/>
        </w:rPr>
        <w:t xml:space="preserve"> </w:t>
      </w:r>
      <w:r w:rsidR="004514FE" w:rsidRPr="007B2402">
        <w:rPr>
          <w:rStyle w:val="tagtrans"/>
          <w:lang w:val="en-US"/>
        </w:rPr>
        <w:t>it is not possible to conclude that a custom may be used to this end, however entrenched this is.</w:t>
      </w:r>
      <w:r w:rsidR="005427CB" w:rsidRPr="007B2402">
        <w:rPr>
          <w:rFonts w:eastAsia="Calibri" w:cs="Times New Roman"/>
          <w:szCs w:val="20"/>
          <w:lang w:val="en-US"/>
        </w:rPr>
        <w:t>”</w:t>
      </w:r>
      <w:r w:rsidR="005427CB" w:rsidRPr="007B2402">
        <w:rPr>
          <w:rFonts w:eastAsia="Calibri" w:cs="Times New Roman"/>
          <w:szCs w:val="20"/>
          <w:vertAlign w:val="superscript"/>
          <w:lang w:val="en-US"/>
        </w:rPr>
        <w:footnoteReference w:id="125"/>
      </w:r>
    </w:p>
    <w:p w14:paraId="0199EA88" w14:textId="77777777" w:rsidR="004514FE" w:rsidRPr="007B2402" w:rsidRDefault="004514FE" w:rsidP="004514FE">
      <w:pPr>
        <w:spacing w:after="0" w:line="240" w:lineRule="auto"/>
        <w:jc w:val="both"/>
        <w:rPr>
          <w:rFonts w:eastAsia="Calibri" w:cs="Times New Roman"/>
          <w:szCs w:val="20"/>
          <w:lang w:val="en-US"/>
        </w:rPr>
      </w:pPr>
    </w:p>
    <w:p w14:paraId="6C4A1F6E" w14:textId="7A634A85" w:rsidR="005427CB" w:rsidRPr="007B2402" w:rsidRDefault="005427CB" w:rsidP="004514FE">
      <w:pPr>
        <w:numPr>
          <w:ilvl w:val="0"/>
          <w:numId w:val="6"/>
        </w:numPr>
        <w:spacing w:after="0" w:line="240" w:lineRule="auto"/>
        <w:jc w:val="both"/>
        <w:rPr>
          <w:rFonts w:eastAsia="Calibri" w:cs="Times New Roman"/>
          <w:b/>
          <w:szCs w:val="20"/>
          <w:lang w:val="en-US"/>
        </w:rPr>
      </w:pPr>
      <w:r w:rsidRPr="007B2402">
        <w:rPr>
          <w:rFonts w:eastAsia="Calibri" w:cs="Times New Roman"/>
          <w:szCs w:val="20"/>
          <w:lang w:val="en-US"/>
        </w:rPr>
        <w:t xml:space="preserve"> </w:t>
      </w:r>
      <w:r w:rsidR="004514FE" w:rsidRPr="007B2402">
        <w:rPr>
          <w:rFonts w:eastAsia="Calibri" w:cs="Times New Roman"/>
          <w:szCs w:val="20"/>
          <w:lang w:val="en-US"/>
        </w:rPr>
        <w:t xml:space="preserve">Lastly, according to this judge, the action </w:t>
      </w:r>
      <w:r w:rsidR="00950FF5" w:rsidRPr="007B2402">
        <w:rPr>
          <w:rFonts w:eastAsia="Calibri" w:cs="Times New Roman"/>
          <w:szCs w:val="20"/>
          <w:lang w:val="en-US"/>
        </w:rPr>
        <w:t>had been extinguished</w:t>
      </w:r>
      <w:r w:rsidR="004514FE" w:rsidRPr="007B2402">
        <w:rPr>
          <w:rFonts w:eastAsia="Calibri" w:cs="Times New Roman"/>
          <w:szCs w:val="20"/>
          <w:lang w:val="en-US"/>
        </w:rPr>
        <w:t xml:space="preserve"> because, in her opinion: “homicide and genocide, and also torture […] are not imprescriptible crimes in the Constitution and other provisions of the laws in force.</w:t>
      </w:r>
      <w:r w:rsidRPr="007B2402">
        <w:rPr>
          <w:rFonts w:eastAsia="Calibri" w:cs="Times New Roman"/>
          <w:szCs w:val="20"/>
          <w:lang w:val="en-US"/>
        </w:rPr>
        <w:t>”</w:t>
      </w:r>
      <w:r w:rsidRPr="007B2402">
        <w:rPr>
          <w:rFonts w:eastAsia="Calibri" w:cs="Times New Roman"/>
          <w:szCs w:val="20"/>
          <w:vertAlign w:val="superscript"/>
          <w:lang w:val="en-US"/>
        </w:rPr>
        <w:footnoteReference w:id="126"/>
      </w:r>
      <w:r w:rsidR="004514FE" w:rsidRPr="007B2402">
        <w:rPr>
          <w:rFonts w:eastAsia="Calibri" w:cs="Times New Roman"/>
          <w:szCs w:val="20"/>
          <w:lang w:val="en-US"/>
        </w:rPr>
        <w:t xml:space="preserve"> Thus, she decided to close the proceeding on January 9,</w:t>
      </w:r>
      <w:r w:rsidRPr="007B2402">
        <w:rPr>
          <w:rFonts w:eastAsia="Calibri" w:cs="Times New Roman"/>
          <w:szCs w:val="20"/>
          <w:lang w:val="en-US"/>
        </w:rPr>
        <w:t xml:space="preserve"> 2009</w:t>
      </w:r>
      <w:r w:rsidR="004514FE" w:rsidRPr="007B2402">
        <w:rPr>
          <w:rFonts w:eastAsia="Calibri" w:cs="Times New Roman"/>
          <w:szCs w:val="20"/>
          <w:lang w:val="en-US"/>
        </w:rPr>
        <w:t>.</w:t>
      </w:r>
      <w:r w:rsidRPr="007B2402">
        <w:rPr>
          <w:rFonts w:eastAsia="Calibri" w:cs="Times New Roman"/>
          <w:szCs w:val="20"/>
          <w:vertAlign w:val="superscript"/>
          <w:lang w:val="en-US"/>
        </w:rPr>
        <w:footnoteReference w:id="127"/>
      </w:r>
    </w:p>
    <w:p w14:paraId="72A4B6D8" w14:textId="77777777" w:rsidR="005427CB" w:rsidRPr="007B2402" w:rsidRDefault="005427CB" w:rsidP="005427CB">
      <w:pPr>
        <w:spacing w:after="0" w:line="240" w:lineRule="auto"/>
        <w:jc w:val="both"/>
        <w:rPr>
          <w:rFonts w:eastAsia="Calibri" w:cs="Times New Roman"/>
          <w:b/>
          <w:szCs w:val="20"/>
          <w:lang w:val="en-US"/>
        </w:rPr>
      </w:pPr>
    </w:p>
    <w:p w14:paraId="34076E49" w14:textId="7707C92A" w:rsidR="005427CB" w:rsidRPr="007B2402" w:rsidRDefault="004514FE" w:rsidP="00E668B8">
      <w:pPr>
        <w:pStyle w:val="Ttulo2"/>
        <w:rPr>
          <w:rFonts w:eastAsia="SimSun"/>
          <w:b/>
          <w:lang w:val="en-US" w:eastAsia="zh-CN"/>
        </w:rPr>
      </w:pPr>
      <w:bookmarkStart w:id="150" w:name="_Toc506984113"/>
      <w:r w:rsidRPr="007B2402">
        <w:rPr>
          <w:b/>
          <w:lang w:val="en-US"/>
        </w:rPr>
        <w:t>Civil action filed by the Federal Public Prosecution Service in</w:t>
      </w:r>
      <w:r w:rsidR="005427CB" w:rsidRPr="007B2402">
        <w:rPr>
          <w:b/>
          <w:lang w:val="en-US"/>
        </w:rPr>
        <w:t xml:space="preserve"> 2008</w:t>
      </w:r>
      <w:bookmarkEnd w:id="150"/>
    </w:p>
    <w:p w14:paraId="1C1EBD10" w14:textId="77777777" w:rsidR="005427CB" w:rsidRPr="007B2402" w:rsidRDefault="005427CB" w:rsidP="005427CB">
      <w:pPr>
        <w:spacing w:after="0" w:line="240" w:lineRule="auto"/>
        <w:jc w:val="both"/>
        <w:rPr>
          <w:rFonts w:eastAsia="Calibri" w:cs="Times New Roman"/>
          <w:b/>
          <w:szCs w:val="20"/>
          <w:lang w:val="en-US"/>
        </w:rPr>
      </w:pPr>
    </w:p>
    <w:p w14:paraId="6247E0C8" w14:textId="422CC3C6" w:rsidR="005427CB" w:rsidRPr="007B2402" w:rsidRDefault="00903E87" w:rsidP="00903E87">
      <w:pPr>
        <w:numPr>
          <w:ilvl w:val="0"/>
          <w:numId w:val="6"/>
        </w:numPr>
        <w:spacing w:after="0" w:line="240" w:lineRule="auto"/>
        <w:jc w:val="both"/>
        <w:rPr>
          <w:rFonts w:eastAsia="Calibri" w:cs="Times New Roman"/>
          <w:b/>
          <w:szCs w:val="20"/>
          <w:lang w:val="en-US"/>
        </w:rPr>
      </w:pPr>
      <w:r w:rsidRPr="007B2402">
        <w:rPr>
          <w:rFonts w:eastAsia="Calibri" w:cs="Times New Roman"/>
          <w:szCs w:val="20"/>
          <w:lang w:val="en-US"/>
        </w:rPr>
        <w:t>On May 14,</w:t>
      </w:r>
      <w:r w:rsidR="005427CB" w:rsidRPr="007B2402">
        <w:rPr>
          <w:rFonts w:eastAsia="Calibri" w:cs="Times New Roman"/>
          <w:szCs w:val="20"/>
          <w:lang w:val="en-US"/>
        </w:rPr>
        <w:t xml:space="preserve"> 2008, </w:t>
      </w:r>
      <w:r w:rsidRPr="007B2402">
        <w:rPr>
          <w:rFonts w:eastAsia="Calibri" w:cs="Times New Roman"/>
          <w:szCs w:val="20"/>
          <w:lang w:val="en-US"/>
        </w:rPr>
        <w:t>the Federal Public Prosecution Service</w:t>
      </w:r>
      <w:r w:rsidR="005427CB" w:rsidRPr="007B2402">
        <w:rPr>
          <w:rFonts w:eastAsia="Calibri" w:cs="Times New Roman"/>
          <w:szCs w:val="20"/>
          <w:lang w:val="en-US"/>
        </w:rPr>
        <w:t xml:space="preserve"> </w:t>
      </w:r>
      <w:r w:rsidRPr="007B2402">
        <w:rPr>
          <w:rFonts w:eastAsia="Calibri" w:cs="Times New Roman"/>
          <w:szCs w:val="20"/>
          <w:lang w:val="en-US"/>
        </w:rPr>
        <w:t>filed a public civil action</w:t>
      </w:r>
      <w:r w:rsidR="005427CB" w:rsidRPr="007B2402">
        <w:rPr>
          <w:rFonts w:eastAsia="Calibri" w:cs="Times New Roman"/>
          <w:szCs w:val="20"/>
          <w:lang w:val="en-US"/>
        </w:rPr>
        <w:t xml:space="preserve"> </w:t>
      </w:r>
      <w:r w:rsidRPr="007B2402">
        <w:rPr>
          <w:rFonts w:eastAsia="Calibri" w:cs="Times New Roman"/>
          <w:szCs w:val="20"/>
          <w:lang w:val="en-US"/>
        </w:rPr>
        <w:t xml:space="preserve">against the Union and against the former commanders of the </w:t>
      </w:r>
      <w:r w:rsidR="005427CB" w:rsidRPr="007B2402">
        <w:rPr>
          <w:rFonts w:eastAsia="Calibri" w:cs="Times New Roman"/>
          <w:szCs w:val="20"/>
          <w:lang w:val="en-US"/>
        </w:rPr>
        <w:t>DOI/CODI/SP, Audir Santos Maciel</w:t>
      </w:r>
      <w:r w:rsidR="005B1590" w:rsidRPr="007B2402">
        <w:rPr>
          <w:rFonts w:eastAsia="Calibri" w:cs="Times New Roman"/>
          <w:szCs w:val="20"/>
          <w:lang w:val="en-US"/>
        </w:rPr>
        <w:t xml:space="preserve"> and </w:t>
      </w:r>
      <w:r w:rsidR="005427CB" w:rsidRPr="007B2402">
        <w:rPr>
          <w:rFonts w:eastAsia="Calibri" w:cs="Times New Roman"/>
          <w:szCs w:val="20"/>
          <w:lang w:val="en-US"/>
        </w:rPr>
        <w:t xml:space="preserve">Carlos Alberto Brilhante Ustra. </w:t>
      </w:r>
      <w:r w:rsidRPr="007B2402">
        <w:rPr>
          <w:rFonts w:eastAsia="Calibri" w:cs="Times New Roman"/>
          <w:szCs w:val="20"/>
          <w:lang w:val="en-US"/>
        </w:rPr>
        <w:t>The</w:t>
      </w:r>
      <w:r w:rsidR="005427CB" w:rsidRPr="007B2402">
        <w:rPr>
          <w:rFonts w:eastAsia="Calibri" w:cs="Times New Roman"/>
          <w:szCs w:val="20"/>
          <w:lang w:val="en-US"/>
        </w:rPr>
        <w:t xml:space="preserve"> </w:t>
      </w:r>
      <w:r w:rsidRPr="007B2402">
        <w:rPr>
          <w:rFonts w:eastAsia="Calibri" w:cs="Times New Roman"/>
          <w:szCs w:val="20"/>
          <w:lang w:val="en-US"/>
        </w:rPr>
        <w:t>purpose of the action was</w:t>
      </w:r>
      <w:r w:rsidR="00513729" w:rsidRPr="007B2402">
        <w:rPr>
          <w:rFonts w:eastAsia="Calibri" w:cs="Times New Roman"/>
          <w:szCs w:val="20"/>
          <w:lang w:val="en-US"/>
        </w:rPr>
        <w:t xml:space="preserve"> for the cour</w:t>
      </w:r>
      <w:r w:rsidR="008F54BD" w:rsidRPr="007B2402">
        <w:rPr>
          <w:rFonts w:eastAsia="Calibri" w:cs="Times New Roman"/>
          <w:szCs w:val="20"/>
          <w:lang w:val="en-US"/>
        </w:rPr>
        <w:t>t</w:t>
      </w:r>
      <w:r w:rsidR="005427CB" w:rsidRPr="007B2402">
        <w:rPr>
          <w:rFonts w:eastAsia="Calibri" w:cs="Times New Roman"/>
          <w:szCs w:val="20"/>
          <w:lang w:val="en-US"/>
        </w:rPr>
        <w:t xml:space="preserve">: </w:t>
      </w:r>
      <w:r w:rsidRPr="007B2402">
        <w:rPr>
          <w:rFonts w:eastAsia="Calibri" w:cs="Times New Roman"/>
          <w:szCs w:val="20"/>
          <w:lang w:val="en-US"/>
        </w:rPr>
        <w:t>(</w:t>
      </w:r>
      <w:r w:rsidR="005427CB" w:rsidRPr="007B2402">
        <w:rPr>
          <w:rFonts w:eastAsia="Calibri" w:cs="Times New Roman"/>
          <w:szCs w:val="20"/>
          <w:lang w:val="en-US"/>
        </w:rPr>
        <w:t xml:space="preserve">1) </w:t>
      </w:r>
      <w:r w:rsidR="008F54BD" w:rsidRPr="007B2402">
        <w:rPr>
          <w:rFonts w:eastAsia="Calibri" w:cs="Times New Roman"/>
          <w:szCs w:val="20"/>
          <w:lang w:val="en-US"/>
        </w:rPr>
        <w:t>to declare that</w:t>
      </w:r>
      <w:r w:rsidRPr="007B2402">
        <w:rPr>
          <w:rFonts w:eastAsia="Calibri" w:cs="Times New Roman"/>
          <w:szCs w:val="20"/>
          <w:lang w:val="en-US"/>
        </w:rPr>
        <w:t xml:space="preserve"> the Brazilian Army</w:t>
      </w:r>
      <w:r w:rsidR="008F54BD" w:rsidRPr="007B2402">
        <w:rPr>
          <w:rFonts w:eastAsia="Calibri" w:cs="Times New Roman"/>
          <w:szCs w:val="20"/>
          <w:lang w:val="en-US"/>
        </w:rPr>
        <w:t xml:space="preserve"> was</w:t>
      </w:r>
      <w:r w:rsidRPr="007B2402">
        <w:rPr>
          <w:rFonts w:eastAsia="Calibri" w:cs="Times New Roman"/>
          <w:szCs w:val="20"/>
          <w:lang w:val="en-US"/>
        </w:rPr>
        <w:t xml:space="preserve"> oblig</w:t>
      </w:r>
      <w:r w:rsidR="008F54BD" w:rsidRPr="007B2402">
        <w:rPr>
          <w:rFonts w:eastAsia="Calibri" w:cs="Times New Roman"/>
          <w:szCs w:val="20"/>
          <w:lang w:val="en-US"/>
        </w:rPr>
        <w:t>ed</w:t>
      </w:r>
      <w:r w:rsidRPr="007B2402">
        <w:rPr>
          <w:rFonts w:eastAsia="Calibri" w:cs="Times New Roman"/>
          <w:szCs w:val="20"/>
          <w:lang w:val="en-US"/>
        </w:rPr>
        <w:t xml:space="preserve"> to release all the information it h</w:t>
      </w:r>
      <w:r w:rsidR="008F54BD" w:rsidRPr="007B2402">
        <w:rPr>
          <w:rFonts w:eastAsia="Calibri" w:cs="Times New Roman"/>
          <w:szCs w:val="20"/>
          <w:lang w:val="en-US"/>
        </w:rPr>
        <w:t>el</w:t>
      </w:r>
      <w:r w:rsidRPr="007B2402">
        <w:rPr>
          <w:rFonts w:eastAsia="Calibri" w:cs="Times New Roman"/>
          <w:szCs w:val="20"/>
          <w:lang w:val="en-US"/>
        </w:rPr>
        <w:t>d concerning the activities that took place in the</w:t>
      </w:r>
      <w:r w:rsidR="008F54BD" w:rsidRPr="007B2402">
        <w:rPr>
          <w:rFonts w:eastAsia="Calibri" w:cs="Times New Roman"/>
          <w:szCs w:val="20"/>
          <w:lang w:val="en-US"/>
        </w:rPr>
        <w:t xml:space="preserve"> Second Army’s</w:t>
      </w:r>
      <w:r w:rsidRPr="007B2402">
        <w:rPr>
          <w:rFonts w:eastAsia="Calibri" w:cs="Times New Roman"/>
          <w:b/>
          <w:szCs w:val="20"/>
          <w:lang w:val="en-US"/>
        </w:rPr>
        <w:t xml:space="preserve"> </w:t>
      </w:r>
      <w:r w:rsidR="005427CB" w:rsidRPr="007B2402">
        <w:rPr>
          <w:rFonts w:eastAsia="Calibri" w:cs="Times New Roman"/>
          <w:szCs w:val="20"/>
          <w:lang w:val="en-US"/>
        </w:rPr>
        <w:t xml:space="preserve">DOI/CODI </w:t>
      </w:r>
      <w:r w:rsidRPr="007B2402">
        <w:rPr>
          <w:rFonts w:eastAsia="Calibri" w:cs="Times New Roman"/>
          <w:szCs w:val="20"/>
          <w:lang w:val="en-US"/>
        </w:rPr>
        <w:t>between</w:t>
      </w:r>
      <w:r w:rsidR="005427CB" w:rsidRPr="007B2402">
        <w:rPr>
          <w:rFonts w:eastAsia="Calibri" w:cs="Times New Roman"/>
          <w:szCs w:val="20"/>
          <w:lang w:val="en-US"/>
        </w:rPr>
        <w:t xml:space="preserve"> 1970</w:t>
      </w:r>
      <w:r w:rsidR="005B1590" w:rsidRPr="007B2402">
        <w:rPr>
          <w:rFonts w:eastAsia="Calibri" w:cs="Times New Roman"/>
          <w:szCs w:val="20"/>
          <w:lang w:val="en-US"/>
        </w:rPr>
        <w:t xml:space="preserve"> and </w:t>
      </w:r>
      <w:r w:rsidR="005427CB" w:rsidRPr="007B2402">
        <w:rPr>
          <w:rFonts w:eastAsia="Calibri" w:cs="Times New Roman"/>
          <w:szCs w:val="20"/>
          <w:lang w:val="en-US"/>
        </w:rPr>
        <w:t xml:space="preserve">1985; </w:t>
      </w:r>
      <w:r w:rsidRPr="007B2402">
        <w:rPr>
          <w:rFonts w:eastAsia="Calibri" w:cs="Times New Roman"/>
          <w:szCs w:val="20"/>
          <w:lang w:val="en-US"/>
        </w:rPr>
        <w:t>(</w:t>
      </w:r>
      <w:r w:rsidR="005427CB" w:rsidRPr="007B2402">
        <w:rPr>
          <w:rFonts w:eastAsia="Calibri" w:cs="Times New Roman"/>
          <w:szCs w:val="20"/>
          <w:lang w:val="en-US"/>
        </w:rPr>
        <w:t xml:space="preserve">2) </w:t>
      </w:r>
      <w:r w:rsidR="008F54BD" w:rsidRPr="007B2402">
        <w:rPr>
          <w:rFonts w:eastAsia="Calibri" w:cs="Times New Roman"/>
          <w:szCs w:val="20"/>
          <w:lang w:val="en-US"/>
        </w:rPr>
        <w:t xml:space="preserve">to declare </w:t>
      </w:r>
      <w:r w:rsidRPr="007B2402">
        <w:rPr>
          <w:rFonts w:eastAsia="Calibri" w:cs="Times New Roman"/>
          <w:szCs w:val="20"/>
          <w:lang w:val="en-US"/>
        </w:rPr>
        <w:t xml:space="preserve">that the Union had failed to take the necessary measures to make reparation for </w:t>
      </w:r>
      <w:r w:rsidR="008F54BD" w:rsidRPr="007B2402">
        <w:rPr>
          <w:rFonts w:eastAsia="Calibri" w:cs="Times New Roman"/>
          <w:szCs w:val="20"/>
          <w:lang w:val="en-US"/>
        </w:rPr>
        <w:t xml:space="preserve">damages </w:t>
      </w:r>
      <w:r w:rsidR="00513729" w:rsidRPr="007B2402">
        <w:rPr>
          <w:rFonts w:eastAsia="Calibri" w:cs="Times New Roman"/>
          <w:szCs w:val="20"/>
          <w:lang w:val="en-US"/>
        </w:rPr>
        <w:t>in relation to payment of the compensation established in</w:t>
      </w:r>
      <w:r w:rsidR="005427CB" w:rsidRPr="007B2402">
        <w:rPr>
          <w:rFonts w:eastAsia="Calibri" w:cs="Times New Roman"/>
          <w:szCs w:val="20"/>
          <w:lang w:val="en-US"/>
        </w:rPr>
        <w:t xml:space="preserve"> L</w:t>
      </w:r>
      <w:r w:rsidR="00513729" w:rsidRPr="007B2402">
        <w:rPr>
          <w:rFonts w:eastAsia="Calibri" w:cs="Times New Roman"/>
          <w:szCs w:val="20"/>
          <w:lang w:val="en-US"/>
        </w:rPr>
        <w:t>aw</w:t>
      </w:r>
      <w:r w:rsidR="005427CB" w:rsidRPr="007B2402">
        <w:rPr>
          <w:rFonts w:eastAsia="Calibri" w:cs="Times New Roman"/>
          <w:szCs w:val="20"/>
          <w:lang w:val="en-US"/>
        </w:rPr>
        <w:t xml:space="preserve"> No. </w:t>
      </w:r>
      <w:r w:rsidR="0025614B" w:rsidRPr="007B2402">
        <w:rPr>
          <w:rFonts w:eastAsia="Calibri" w:cs="Times New Roman"/>
          <w:szCs w:val="20"/>
          <w:lang w:val="en-US"/>
        </w:rPr>
        <w:t>9,140</w:t>
      </w:r>
      <w:r w:rsidR="005427CB" w:rsidRPr="007B2402">
        <w:rPr>
          <w:rFonts w:eastAsia="Calibri" w:cs="Times New Roman"/>
          <w:szCs w:val="20"/>
          <w:lang w:val="en-US"/>
        </w:rPr>
        <w:t xml:space="preserve">/95; </w:t>
      </w:r>
      <w:r w:rsidR="00513729" w:rsidRPr="007B2402">
        <w:rPr>
          <w:rFonts w:eastAsia="Calibri" w:cs="Times New Roman"/>
          <w:szCs w:val="20"/>
          <w:lang w:val="en-US"/>
        </w:rPr>
        <w:t>(</w:t>
      </w:r>
      <w:r w:rsidR="005427CB" w:rsidRPr="007B2402">
        <w:rPr>
          <w:rFonts w:eastAsia="Calibri" w:cs="Times New Roman"/>
          <w:szCs w:val="20"/>
          <w:lang w:val="en-US"/>
        </w:rPr>
        <w:t>3)</w:t>
      </w:r>
      <w:r w:rsidR="008F54BD" w:rsidRPr="007B2402">
        <w:rPr>
          <w:rFonts w:eastAsia="Calibri" w:cs="Times New Roman"/>
          <w:szCs w:val="20"/>
          <w:lang w:val="en-US"/>
        </w:rPr>
        <w:t xml:space="preserve"> to declare</w:t>
      </w:r>
      <w:r w:rsidR="005427CB" w:rsidRPr="007B2402">
        <w:rPr>
          <w:rFonts w:eastAsia="Calibri" w:cs="Times New Roman"/>
          <w:szCs w:val="20"/>
          <w:lang w:val="en-US"/>
        </w:rPr>
        <w:t xml:space="preserve"> </w:t>
      </w:r>
      <w:r w:rsidR="00513729" w:rsidRPr="007B2402">
        <w:rPr>
          <w:rFonts w:eastAsia="Calibri" w:cs="Times New Roman"/>
          <w:szCs w:val="20"/>
          <w:lang w:val="en-US"/>
        </w:rPr>
        <w:t>the responsibility of the former commanders, and (4) to sentence the commanders to make various reparations and be removed from public functions.</w:t>
      </w:r>
      <w:r w:rsidR="005427CB" w:rsidRPr="007B2402">
        <w:rPr>
          <w:rFonts w:eastAsia="Calibri" w:cs="Times New Roman"/>
          <w:szCs w:val="20"/>
          <w:vertAlign w:val="superscript"/>
          <w:lang w:val="en-US"/>
        </w:rPr>
        <w:footnoteReference w:id="128"/>
      </w:r>
    </w:p>
    <w:p w14:paraId="7A874DEA" w14:textId="77777777" w:rsidR="005427CB" w:rsidRPr="007B2402" w:rsidRDefault="005427CB" w:rsidP="005427CB">
      <w:pPr>
        <w:spacing w:after="0" w:line="240" w:lineRule="auto"/>
        <w:jc w:val="both"/>
        <w:rPr>
          <w:rFonts w:eastAsia="Calibri" w:cs="Times New Roman"/>
          <w:b/>
          <w:szCs w:val="20"/>
          <w:lang w:val="en-US"/>
        </w:rPr>
      </w:pPr>
    </w:p>
    <w:p w14:paraId="33C5147A" w14:textId="11EC9B2F" w:rsidR="005427CB" w:rsidRPr="007B2402" w:rsidRDefault="00513729" w:rsidP="00513729">
      <w:pPr>
        <w:numPr>
          <w:ilvl w:val="0"/>
          <w:numId w:val="6"/>
        </w:numPr>
        <w:spacing w:after="0" w:line="240" w:lineRule="auto"/>
        <w:jc w:val="both"/>
        <w:rPr>
          <w:rFonts w:eastAsia="Calibri" w:cs="Times New Roman"/>
          <w:b/>
          <w:szCs w:val="20"/>
          <w:lang w:val="en-US"/>
        </w:rPr>
      </w:pPr>
      <w:r w:rsidRPr="007B2402">
        <w:rPr>
          <w:rFonts w:eastAsia="Calibri" w:cs="Times New Roman"/>
          <w:szCs w:val="20"/>
          <w:lang w:val="en-US"/>
        </w:rPr>
        <w:t>On May 5,</w:t>
      </w:r>
      <w:r w:rsidR="005427CB" w:rsidRPr="007B2402">
        <w:rPr>
          <w:rFonts w:eastAsia="Calibri" w:cs="Times New Roman"/>
          <w:szCs w:val="20"/>
          <w:lang w:val="en-US"/>
        </w:rPr>
        <w:t xml:space="preserve"> 2010</w:t>
      </w:r>
      <w:r w:rsidRPr="007B2402">
        <w:rPr>
          <w:rFonts w:eastAsia="Calibri" w:cs="Times New Roman"/>
          <w:szCs w:val="20"/>
          <w:lang w:val="en-US"/>
        </w:rPr>
        <w:t>, the Eighth Federal Court of</w:t>
      </w:r>
      <w:r w:rsidR="005427CB" w:rsidRPr="007B2402">
        <w:rPr>
          <w:rFonts w:eastAsia="Calibri" w:cs="Times New Roman"/>
          <w:szCs w:val="20"/>
          <w:lang w:val="en-US"/>
        </w:rPr>
        <w:t xml:space="preserve"> São Paulo </w:t>
      </w:r>
      <w:r w:rsidRPr="007B2402">
        <w:rPr>
          <w:rFonts w:eastAsia="Calibri" w:cs="Times New Roman"/>
          <w:szCs w:val="20"/>
          <w:lang w:val="en-US"/>
        </w:rPr>
        <w:t>declared the public civil action inadmissible arguing that the action was inappropriate, and also based on the</w:t>
      </w:r>
      <w:r w:rsidR="005427CB" w:rsidRPr="007B2402">
        <w:rPr>
          <w:rFonts w:eastAsia="Calibri" w:cs="Times New Roman"/>
          <w:szCs w:val="20"/>
          <w:lang w:val="en-US"/>
        </w:rPr>
        <w:t xml:space="preserve"> </w:t>
      </w:r>
      <w:r w:rsidR="00221E16" w:rsidRPr="007B2402">
        <w:rPr>
          <w:rFonts w:eastAsia="Calibri" w:cs="Times New Roman"/>
          <w:szCs w:val="20"/>
          <w:lang w:val="en-US"/>
        </w:rPr>
        <w:t>Amnesty Law</w:t>
      </w:r>
      <w:r w:rsidRPr="007B2402">
        <w:rPr>
          <w:rFonts w:eastAsia="Calibri" w:cs="Times New Roman"/>
          <w:szCs w:val="20"/>
          <w:lang w:val="en-US"/>
        </w:rPr>
        <w:t>.</w:t>
      </w:r>
      <w:r w:rsidR="005427CB" w:rsidRPr="007B2402">
        <w:rPr>
          <w:rFonts w:eastAsia="Calibri" w:cs="Times New Roman"/>
          <w:szCs w:val="20"/>
          <w:vertAlign w:val="superscript"/>
          <w:lang w:val="en-US"/>
        </w:rPr>
        <w:footnoteReference w:id="129"/>
      </w:r>
      <w:r w:rsidRPr="007B2402">
        <w:rPr>
          <w:rFonts w:eastAsia="Calibri" w:cs="Times New Roman"/>
          <w:szCs w:val="20"/>
          <w:lang w:val="en-US"/>
        </w:rPr>
        <w:t xml:space="preserve"> The court considered that the action filed by </w:t>
      </w:r>
      <w:r w:rsidR="00903E87" w:rsidRPr="007B2402">
        <w:rPr>
          <w:rFonts w:eastAsia="Calibri" w:cs="Times New Roman"/>
          <w:szCs w:val="20"/>
          <w:lang w:val="en-US"/>
        </w:rPr>
        <w:t>the Federal Public Prosecution Service</w:t>
      </w:r>
      <w:r w:rsidR="005427CB" w:rsidRPr="007B2402">
        <w:rPr>
          <w:rFonts w:eastAsia="Calibri" w:cs="Times New Roman"/>
          <w:szCs w:val="20"/>
          <w:lang w:val="en-US"/>
        </w:rPr>
        <w:t xml:space="preserve"> </w:t>
      </w:r>
      <w:r w:rsidRPr="007B2402">
        <w:rPr>
          <w:rFonts w:eastAsia="Calibri" w:cs="Times New Roman"/>
          <w:szCs w:val="20"/>
          <w:lang w:val="en-US"/>
        </w:rPr>
        <w:t>could not impos</w:t>
      </w:r>
      <w:r w:rsidR="008F54BD" w:rsidRPr="007B2402">
        <w:rPr>
          <w:rFonts w:eastAsia="Calibri" w:cs="Times New Roman"/>
          <w:szCs w:val="20"/>
          <w:lang w:val="en-US"/>
        </w:rPr>
        <w:t>e</w:t>
      </w:r>
      <w:r w:rsidRPr="007B2402">
        <w:rPr>
          <w:rFonts w:eastAsia="Calibri" w:cs="Times New Roman"/>
          <w:szCs w:val="20"/>
          <w:lang w:val="en-US"/>
        </w:rPr>
        <w:t xml:space="preserve"> </w:t>
      </w:r>
      <w:r w:rsidR="008F54BD" w:rsidRPr="007B2402">
        <w:rPr>
          <w:rFonts w:eastAsia="Calibri" w:cs="Times New Roman"/>
          <w:szCs w:val="20"/>
          <w:lang w:val="en-US"/>
        </w:rPr>
        <w:t xml:space="preserve">an </w:t>
      </w:r>
      <w:r w:rsidRPr="007B2402">
        <w:rPr>
          <w:rFonts w:eastAsia="Calibri" w:cs="Times New Roman"/>
          <w:szCs w:val="20"/>
          <w:lang w:val="en-US"/>
        </w:rPr>
        <w:t xml:space="preserve">obligation “to </w:t>
      </w:r>
      <w:r w:rsidR="008F54BD" w:rsidRPr="007B2402">
        <w:rPr>
          <w:rFonts w:eastAsia="Calibri" w:cs="Times New Roman"/>
          <w:szCs w:val="20"/>
          <w:lang w:val="en-US"/>
        </w:rPr>
        <w:t>act</w:t>
      </w:r>
      <w:r w:rsidRPr="007B2402">
        <w:rPr>
          <w:rFonts w:eastAsia="Calibri" w:cs="Times New Roman"/>
          <w:szCs w:val="20"/>
          <w:lang w:val="en-US"/>
        </w:rPr>
        <w:t xml:space="preserve">,” and could not produce effects that were </w:t>
      </w:r>
      <w:r w:rsidR="002F41B9" w:rsidRPr="007B2402">
        <w:rPr>
          <w:rFonts w:eastAsia="Calibri" w:cs="Times New Roman"/>
          <w:szCs w:val="20"/>
          <w:lang w:val="en-US"/>
        </w:rPr>
        <w:t>typical of, and inherent in, an application for</w:t>
      </w:r>
      <w:r w:rsidR="002F41B9" w:rsidRPr="007B2402">
        <w:rPr>
          <w:rFonts w:eastAsia="Calibri" w:cs="Times New Roman"/>
          <w:b/>
          <w:szCs w:val="20"/>
          <w:lang w:val="en-US"/>
        </w:rPr>
        <w:t xml:space="preserve"> </w:t>
      </w:r>
      <w:r w:rsidR="005427CB" w:rsidRPr="007B2402">
        <w:rPr>
          <w:rFonts w:eastAsia="Calibri" w:cs="Times New Roman"/>
          <w:i/>
          <w:szCs w:val="20"/>
          <w:lang w:val="en-US"/>
        </w:rPr>
        <w:t>habeas data</w:t>
      </w:r>
      <w:r w:rsidR="002F41B9" w:rsidRPr="007B2402">
        <w:rPr>
          <w:rFonts w:eastAsia="Calibri" w:cs="Times New Roman"/>
          <w:i/>
          <w:szCs w:val="20"/>
          <w:lang w:val="en-US"/>
        </w:rPr>
        <w:t>.</w:t>
      </w:r>
      <w:r w:rsidR="005427CB" w:rsidRPr="007B2402">
        <w:rPr>
          <w:rFonts w:eastAsia="Calibri" w:cs="Times New Roman"/>
          <w:szCs w:val="20"/>
          <w:vertAlign w:val="superscript"/>
          <w:lang w:val="en-US"/>
        </w:rPr>
        <w:footnoteReference w:id="130"/>
      </w:r>
    </w:p>
    <w:p w14:paraId="2AAF5993" w14:textId="77777777" w:rsidR="005427CB" w:rsidRPr="007B2402" w:rsidRDefault="005427CB" w:rsidP="005427CB">
      <w:pPr>
        <w:spacing w:after="0" w:line="240" w:lineRule="auto"/>
        <w:jc w:val="both"/>
        <w:rPr>
          <w:rFonts w:eastAsia="Calibri" w:cs="Times New Roman"/>
          <w:b/>
          <w:szCs w:val="20"/>
          <w:lang w:val="en-US"/>
        </w:rPr>
      </w:pPr>
    </w:p>
    <w:p w14:paraId="240C1A4C" w14:textId="4A87E602" w:rsidR="005427CB" w:rsidRPr="007B2402" w:rsidRDefault="002F41B9" w:rsidP="002F41B9">
      <w:pPr>
        <w:numPr>
          <w:ilvl w:val="0"/>
          <w:numId w:val="6"/>
        </w:numPr>
        <w:spacing w:after="0" w:line="240" w:lineRule="auto"/>
        <w:jc w:val="both"/>
        <w:rPr>
          <w:rFonts w:eastAsia="Calibri" w:cs="Times New Roman"/>
          <w:b/>
          <w:szCs w:val="20"/>
          <w:lang w:val="en-US"/>
        </w:rPr>
      </w:pPr>
      <w:r w:rsidRPr="007B2402">
        <w:rPr>
          <w:rFonts w:eastAsia="Calibri" w:cs="Times New Roman"/>
          <w:szCs w:val="20"/>
          <w:lang w:val="en-US"/>
        </w:rPr>
        <w:t>Regarding the application of the</w:t>
      </w:r>
      <w:r w:rsidR="005427CB" w:rsidRPr="007B2402">
        <w:rPr>
          <w:rFonts w:eastAsia="Calibri" w:cs="Times New Roman"/>
          <w:szCs w:val="20"/>
          <w:lang w:val="en-US"/>
        </w:rPr>
        <w:t xml:space="preserve"> </w:t>
      </w:r>
      <w:r w:rsidR="00221E16" w:rsidRPr="007B2402">
        <w:rPr>
          <w:rFonts w:eastAsia="Calibri" w:cs="Times New Roman"/>
          <w:szCs w:val="20"/>
          <w:lang w:val="en-US"/>
        </w:rPr>
        <w:t>Amnesty Law</w:t>
      </w:r>
      <w:r w:rsidR="005427CB" w:rsidRPr="007B2402">
        <w:rPr>
          <w:rFonts w:eastAsia="Calibri" w:cs="Times New Roman"/>
          <w:szCs w:val="20"/>
          <w:lang w:val="en-US"/>
        </w:rPr>
        <w:t xml:space="preserve">, </w:t>
      </w:r>
      <w:r w:rsidRPr="007B2402">
        <w:rPr>
          <w:rFonts w:eastAsia="Calibri" w:cs="Times New Roman"/>
          <w:szCs w:val="20"/>
          <w:lang w:val="en-US"/>
        </w:rPr>
        <w:t xml:space="preserve">the court founded its </w:t>
      </w:r>
      <w:r w:rsidR="008F54BD" w:rsidRPr="007B2402">
        <w:rPr>
          <w:rFonts w:eastAsia="Calibri" w:cs="Times New Roman"/>
          <w:szCs w:val="20"/>
          <w:lang w:val="en-US"/>
        </w:rPr>
        <w:t>ruling</w:t>
      </w:r>
      <w:r w:rsidRPr="007B2402">
        <w:rPr>
          <w:rFonts w:eastAsia="Calibri" w:cs="Times New Roman"/>
          <w:szCs w:val="20"/>
          <w:lang w:val="en-US"/>
        </w:rPr>
        <w:t xml:space="preserve"> on the decision of the Federal Supreme Court in ADPF </w:t>
      </w:r>
      <w:r w:rsidR="00CD3355" w:rsidRPr="007B2402">
        <w:rPr>
          <w:rFonts w:eastAsia="Calibri" w:cs="Times New Roman"/>
          <w:szCs w:val="20"/>
          <w:lang w:val="en-US"/>
        </w:rPr>
        <w:t>No. 153</w:t>
      </w:r>
      <w:r w:rsidR="005427CB" w:rsidRPr="007B2402">
        <w:rPr>
          <w:rFonts w:eastAsia="Calibri" w:cs="Times New Roman"/>
          <w:szCs w:val="20"/>
          <w:lang w:val="en-US"/>
        </w:rPr>
        <w:t>, argu</w:t>
      </w:r>
      <w:r w:rsidRPr="007B2402">
        <w:rPr>
          <w:rFonts w:eastAsia="Calibri" w:cs="Times New Roman"/>
          <w:szCs w:val="20"/>
          <w:lang w:val="en-US"/>
        </w:rPr>
        <w:t xml:space="preserve">ing that the said decision was binding “for everyone.” It added that the amnesty was “broad, general and unlimited” and therefore ended all civil and criminal </w:t>
      </w:r>
      <w:r w:rsidR="00B24B53" w:rsidRPr="007B2402">
        <w:rPr>
          <w:rFonts w:eastAsia="Calibri" w:cs="Times New Roman"/>
          <w:szCs w:val="20"/>
          <w:lang w:val="en-US"/>
        </w:rPr>
        <w:t>consequences</w:t>
      </w:r>
      <w:r w:rsidRPr="007B2402">
        <w:rPr>
          <w:rFonts w:eastAsia="Calibri" w:cs="Times New Roman"/>
          <w:szCs w:val="20"/>
          <w:lang w:val="en-US"/>
        </w:rPr>
        <w:t xml:space="preserve"> of the facts amnestied.</w:t>
      </w:r>
      <w:r w:rsidR="005427CB" w:rsidRPr="007B2402">
        <w:rPr>
          <w:rFonts w:eastAsia="Calibri" w:cs="Times New Roman"/>
          <w:szCs w:val="20"/>
          <w:vertAlign w:val="superscript"/>
          <w:lang w:val="en-US"/>
        </w:rPr>
        <w:footnoteReference w:id="131"/>
      </w:r>
      <w:r w:rsidR="005427CB" w:rsidRPr="007B2402">
        <w:rPr>
          <w:rFonts w:eastAsia="Calibri" w:cs="Times New Roman"/>
          <w:b/>
          <w:szCs w:val="20"/>
          <w:lang w:val="en-US"/>
        </w:rPr>
        <w:t xml:space="preserve"> </w:t>
      </w:r>
      <w:r w:rsidRPr="007B2402">
        <w:rPr>
          <w:rFonts w:eastAsia="Calibri" w:cs="Times New Roman"/>
          <w:szCs w:val="20"/>
          <w:lang w:val="en-US"/>
        </w:rPr>
        <w:t>T</w:t>
      </w:r>
      <w:r w:rsidR="005A2FF3" w:rsidRPr="007B2402">
        <w:rPr>
          <w:rFonts w:eastAsia="Calibri" w:cs="Times New Roman"/>
          <w:szCs w:val="20"/>
          <w:lang w:val="en-US"/>
        </w:rPr>
        <w:t>he Public Prosecution Service</w:t>
      </w:r>
      <w:r w:rsidR="005427CB" w:rsidRPr="007B2402">
        <w:rPr>
          <w:rFonts w:eastAsia="Calibri" w:cs="Times New Roman"/>
          <w:szCs w:val="20"/>
          <w:lang w:val="en-US"/>
        </w:rPr>
        <w:t xml:space="preserve"> </w:t>
      </w:r>
      <w:r w:rsidRPr="007B2402">
        <w:rPr>
          <w:rFonts w:eastAsia="Calibri" w:cs="Times New Roman"/>
          <w:szCs w:val="20"/>
          <w:lang w:val="en-US"/>
        </w:rPr>
        <w:t>filed</w:t>
      </w:r>
      <w:r w:rsidR="00B24B53" w:rsidRPr="007B2402">
        <w:rPr>
          <w:rFonts w:eastAsia="Calibri" w:cs="Times New Roman"/>
          <w:szCs w:val="20"/>
          <w:lang w:val="en-US"/>
        </w:rPr>
        <w:t xml:space="preserve"> </w:t>
      </w:r>
      <w:r w:rsidRPr="007B2402">
        <w:rPr>
          <w:rFonts w:eastAsia="Calibri" w:cs="Times New Roman"/>
          <w:szCs w:val="20"/>
          <w:lang w:val="en-US"/>
        </w:rPr>
        <w:t xml:space="preserve">an appeal against this ruling on June 25, </w:t>
      </w:r>
      <w:r w:rsidR="005427CB" w:rsidRPr="007B2402">
        <w:rPr>
          <w:rFonts w:eastAsia="Calibri" w:cs="Times New Roman"/>
          <w:szCs w:val="20"/>
          <w:lang w:val="en-US"/>
        </w:rPr>
        <w:t>2010</w:t>
      </w:r>
      <w:r w:rsidRPr="007B2402">
        <w:rPr>
          <w:rFonts w:eastAsia="Calibri" w:cs="Times New Roman"/>
          <w:szCs w:val="20"/>
          <w:lang w:val="en-US"/>
        </w:rPr>
        <w:t>.</w:t>
      </w:r>
      <w:r w:rsidR="005427CB" w:rsidRPr="007B2402">
        <w:rPr>
          <w:rFonts w:eastAsia="Calibri" w:cs="Times New Roman"/>
          <w:szCs w:val="20"/>
          <w:vertAlign w:val="superscript"/>
          <w:lang w:val="en-US"/>
        </w:rPr>
        <w:footnoteReference w:id="132"/>
      </w:r>
      <w:r w:rsidRPr="007B2402">
        <w:rPr>
          <w:rFonts w:eastAsia="Calibri" w:cs="Times New Roman"/>
          <w:szCs w:val="20"/>
          <w:lang w:val="en-US"/>
        </w:rPr>
        <w:t xml:space="preserve"> No final decision had been taken on the appeal at the date of this judgment.</w:t>
      </w:r>
      <w:r w:rsidR="005427CB" w:rsidRPr="007B2402">
        <w:rPr>
          <w:rFonts w:eastAsia="Calibri" w:cs="Times New Roman"/>
          <w:szCs w:val="20"/>
          <w:vertAlign w:val="superscript"/>
          <w:lang w:val="en-US"/>
        </w:rPr>
        <w:footnoteReference w:id="133"/>
      </w:r>
      <w:r w:rsidR="005427CB" w:rsidRPr="007B2402">
        <w:rPr>
          <w:rFonts w:eastAsia="Calibri" w:cs="Times New Roman"/>
          <w:szCs w:val="20"/>
          <w:lang w:val="en-US"/>
        </w:rPr>
        <w:t xml:space="preserve"> </w:t>
      </w:r>
    </w:p>
    <w:p w14:paraId="7F598A6E" w14:textId="77777777" w:rsidR="005427CB" w:rsidRPr="007B2402" w:rsidRDefault="005427CB" w:rsidP="00633C31">
      <w:pPr>
        <w:pStyle w:val="Textocomentario"/>
        <w:rPr>
          <w:rFonts w:eastAsia="Calibri" w:cs="Times New Roman"/>
          <w:noProof w:val="0"/>
          <w:lang w:val="en-US"/>
        </w:rPr>
      </w:pPr>
    </w:p>
    <w:p w14:paraId="2920A056" w14:textId="702268A0" w:rsidR="005427CB" w:rsidRPr="007B2402" w:rsidRDefault="002F41B9" w:rsidP="00E668B8">
      <w:pPr>
        <w:pStyle w:val="Ttulo2"/>
        <w:rPr>
          <w:rFonts w:eastAsia="SimSun"/>
          <w:b/>
          <w:lang w:val="en-US" w:eastAsia="zh-CN"/>
        </w:rPr>
      </w:pPr>
      <w:bookmarkStart w:id="151" w:name="_Toc506984114"/>
      <w:r w:rsidRPr="007B2402">
        <w:rPr>
          <w:b/>
          <w:lang w:val="en-US"/>
        </w:rPr>
        <w:t>Actions of the</w:t>
      </w:r>
      <w:r w:rsidR="005B1590" w:rsidRPr="007B2402">
        <w:rPr>
          <w:b/>
          <w:lang w:val="en-US"/>
        </w:rPr>
        <w:t xml:space="preserve"> </w:t>
      </w:r>
      <w:r w:rsidR="007E15B0" w:rsidRPr="007B2402">
        <w:rPr>
          <w:b/>
          <w:lang w:val="en-US"/>
        </w:rPr>
        <w:t>National Truth Commission</w:t>
      </w:r>
      <w:r w:rsidR="005427CB" w:rsidRPr="007B2402">
        <w:rPr>
          <w:b/>
          <w:lang w:val="en-US"/>
        </w:rPr>
        <w:t xml:space="preserve"> (CNV)</w:t>
      </w:r>
      <w:bookmarkEnd w:id="151"/>
    </w:p>
    <w:p w14:paraId="63B3DF2D" w14:textId="77777777" w:rsidR="005427CB" w:rsidRPr="007B2402" w:rsidRDefault="005427CB" w:rsidP="00633C31">
      <w:pPr>
        <w:pStyle w:val="Textocomentario"/>
        <w:rPr>
          <w:rFonts w:eastAsia="Calibri" w:cs="Times New Roman"/>
          <w:noProof w:val="0"/>
          <w:lang w:val="en-US"/>
        </w:rPr>
      </w:pPr>
    </w:p>
    <w:p w14:paraId="0685BCAF" w14:textId="66933531" w:rsidR="005427CB" w:rsidRPr="007B2402" w:rsidRDefault="002F41B9" w:rsidP="00DB1F30">
      <w:pPr>
        <w:numPr>
          <w:ilvl w:val="0"/>
          <w:numId w:val="6"/>
        </w:numPr>
        <w:spacing w:after="0" w:line="240" w:lineRule="auto"/>
        <w:jc w:val="both"/>
        <w:rPr>
          <w:rFonts w:eastAsia="Calibri" w:cs="Times New Roman"/>
          <w:b/>
          <w:szCs w:val="20"/>
          <w:lang w:val="en-US"/>
        </w:rPr>
      </w:pPr>
      <w:r w:rsidRPr="007B2402">
        <w:rPr>
          <w:rFonts w:eastAsia="Calibri" w:cs="Times New Roman"/>
          <w:szCs w:val="20"/>
          <w:lang w:val="en-US"/>
        </w:rPr>
        <w:t xml:space="preserve">On </w:t>
      </w:r>
      <w:r w:rsidR="00375567" w:rsidRPr="007B2402">
        <w:rPr>
          <w:rFonts w:eastAsia="Calibri" w:cs="Times New Roman"/>
          <w:szCs w:val="20"/>
          <w:lang w:val="en-US"/>
        </w:rPr>
        <w:t xml:space="preserve">November </w:t>
      </w:r>
      <w:r w:rsidRPr="007B2402">
        <w:rPr>
          <w:rFonts w:eastAsia="Calibri" w:cs="Times New Roman"/>
          <w:szCs w:val="20"/>
          <w:lang w:val="en-US"/>
        </w:rPr>
        <w:t>1</w:t>
      </w:r>
      <w:r w:rsidR="00375567" w:rsidRPr="007B2402">
        <w:rPr>
          <w:rFonts w:eastAsia="Calibri" w:cs="Times New Roman"/>
          <w:szCs w:val="20"/>
          <w:lang w:val="en-US"/>
        </w:rPr>
        <w:t>8,</w:t>
      </w:r>
      <w:r w:rsidR="005427CB" w:rsidRPr="007B2402">
        <w:rPr>
          <w:rFonts w:eastAsia="Calibri" w:cs="Times New Roman"/>
          <w:szCs w:val="20"/>
          <w:lang w:val="en-US"/>
        </w:rPr>
        <w:t xml:space="preserve"> 2011</w:t>
      </w:r>
      <w:r w:rsidRPr="007B2402">
        <w:rPr>
          <w:rFonts w:eastAsia="Calibri" w:cs="Times New Roman"/>
          <w:szCs w:val="20"/>
          <w:lang w:val="en-US"/>
        </w:rPr>
        <w:t xml:space="preserve">, </w:t>
      </w:r>
      <w:r w:rsidR="00513729" w:rsidRPr="007B2402">
        <w:rPr>
          <w:rFonts w:eastAsia="Calibri" w:cs="Times New Roman"/>
          <w:szCs w:val="20"/>
          <w:lang w:val="en-US"/>
        </w:rPr>
        <w:t xml:space="preserve">Law </w:t>
      </w:r>
      <w:r w:rsidR="005427CB" w:rsidRPr="007B2402">
        <w:rPr>
          <w:rFonts w:eastAsia="Calibri" w:cs="Times New Roman"/>
          <w:szCs w:val="20"/>
          <w:lang w:val="en-US"/>
        </w:rPr>
        <w:t>No. 12</w:t>
      </w:r>
      <w:r w:rsidR="00B24B53" w:rsidRPr="007B2402">
        <w:rPr>
          <w:rFonts w:eastAsia="Calibri" w:cs="Times New Roman"/>
          <w:szCs w:val="20"/>
          <w:lang w:val="en-US"/>
        </w:rPr>
        <w:t>,</w:t>
      </w:r>
      <w:r w:rsidR="005427CB" w:rsidRPr="007B2402">
        <w:rPr>
          <w:rFonts w:eastAsia="Calibri" w:cs="Times New Roman"/>
          <w:szCs w:val="20"/>
          <w:lang w:val="en-US"/>
        </w:rPr>
        <w:t>528/2011</w:t>
      </w:r>
      <w:r w:rsidRPr="007B2402">
        <w:rPr>
          <w:rFonts w:eastAsia="Calibri" w:cs="Times New Roman"/>
          <w:szCs w:val="20"/>
          <w:lang w:val="en-US"/>
        </w:rPr>
        <w:t xml:space="preserve"> was promulgated creating </w:t>
      </w:r>
      <w:r w:rsidR="00AF4344" w:rsidRPr="007B2402">
        <w:rPr>
          <w:rFonts w:eastAsia="Calibri" w:cs="Times New Roman"/>
          <w:szCs w:val="20"/>
          <w:lang w:val="en-US"/>
        </w:rPr>
        <w:t xml:space="preserve">the </w:t>
      </w:r>
      <w:r w:rsidR="007E15B0" w:rsidRPr="007B2402">
        <w:rPr>
          <w:rFonts w:eastAsia="Calibri" w:cs="Times New Roman"/>
          <w:szCs w:val="20"/>
          <w:lang w:val="en-US"/>
        </w:rPr>
        <w:t>National Truth Commission</w:t>
      </w:r>
      <w:r w:rsidR="005427CB" w:rsidRPr="007B2402">
        <w:rPr>
          <w:rFonts w:eastAsia="Calibri" w:cs="Times New Roman"/>
          <w:szCs w:val="20"/>
          <w:lang w:val="en-US"/>
        </w:rPr>
        <w:t xml:space="preserve"> (CNV). </w:t>
      </w:r>
      <w:r w:rsidRPr="007B2402">
        <w:rPr>
          <w:rFonts w:eastAsia="Calibri" w:cs="Times New Roman"/>
          <w:szCs w:val="20"/>
          <w:lang w:val="en-US"/>
        </w:rPr>
        <w:t xml:space="preserve">The purpose of the Commission was “to examine and to </w:t>
      </w:r>
      <w:r w:rsidR="00B24B53" w:rsidRPr="007B2402">
        <w:rPr>
          <w:rFonts w:eastAsia="Calibri" w:cs="Times New Roman"/>
          <w:szCs w:val="20"/>
          <w:lang w:val="en-US"/>
        </w:rPr>
        <w:t xml:space="preserve">shed light </w:t>
      </w:r>
      <w:r w:rsidR="00B24B53" w:rsidRPr="007B2402">
        <w:rPr>
          <w:rFonts w:eastAsia="Calibri" w:cs="Times New Roman"/>
          <w:szCs w:val="20"/>
          <w:lang w:val="en-US"/>
        </w:rPr>
        <w:lastRenderedPageBreak/>
        <w:t>on</w:t>
      </w:r>
      <w:r w:rsidRPr="007B2402">
        <w:rPr>
          <w:rFonts w:eastAsia="Calibri" w:cs="Times New Roman"/>
          <w:szCs w:val="20"/>
          <w:lang w:val="en-US"/>
        </w:rPr>
        <w:t xml:space="preserve"> </w:t>
      </w:r>
      <w:r w:rsidR="00B24B53" w:rsidRPr="007B2402">
        <w:rPr>
          <w:rFonts w:eastAsia="Calibri" w:cs="Times New Roman"/>
          <w:szCs w:val="20"/>
          <w:lang w:val="en-US"/>
        </w:rPr>
        <w:t xml:space="preserve">the </w:t>
      </w:r>
      <w:r w:rsidRPr="007B2402">
        <w:rPr>
          <w:rFonts w:eastAsia="Calibri" w:cs="Times New Roman"/>
          <w:szCs w:val="20"/>
          <w:lang w:val="en-US"/>
        </w:rPr>
        <w:t xml:space="preserve">gross human rights violations” </w:t>
      </w:r>
      <w:r w:rsidR="00B24B53" w:rsidRPr="007B2402">
        <w:rPr>
          <w:rFonts w:eastAsia="Calibri" w:cs="Times New Roman"/>
          <w:szCs w:val="20"/>
          <w:lang w:val="en-US"/>
        </w:rPr>
        <w:t>committed</w:t>
      </w:r>
      <w:r w:rsidRPr="007B2402">
        <w:rPr>
          <w:rFonts w:eastAsia="Calibri" w:cs="Times New Roman"/>
          <w:szCs w:val="20"/>
          <w:lang w:val="en-US"/>
        </w:rPr>
        <w:t xml:space="preserve"> between September 18, 1946, and October 6, 1988. It functioned from May 2012 to December </w:t>
      </w:r>
      <w:r w:rsidR="005427CB" w:rsidRPr="007B2402">
        <w:rPr>
          <w:rFonts w:eastAsia="Calibri" w:cs="Times New Roman"/>
          <w:szCs w:val="20"/>
          <w:lang w:val="en-US"/>
        </w:rPr>
        <w:t>2014</w:t>
      </w:r>
      <w:r w:rsidRPr="007B2402">
        <w:rPr>
          <w:rFonts w:eastAsia="Calibri" w:cs="Times New Roman"/>
          <w:szCs w:val="20"/>
          <w:lang w:val="en-US"/>
        </w:rPr>
        <w:t>.</w:t>
      </w:r>
      <w:r w:rsidR="005427CB" w:rsidRPr="007B2402">
        <w:rPr>
          <w:rFonts w:eastAsia="Calibri" w:cs="Times New Roman"/>
          <w:szCs w:val="20"/>
          <w:vertAlign w:val="superscript"/>
          <w:lang w:val="en-US"/>
        </w:rPr>
        <w:footnoteReference w:id="134"/>
      </w:r>
    </w:p>
    <w:p w14:paraId="53A4384D" w14:textId="77777777" w:rsidR="005427CB" w:rsidRPr="007B2402" w:rsidRDefault="005427CB" w:rsidP="005427CB">
      <w:pPr>
        <w:spacing w:after="0" w:line="240" w:lineRule="auto"/>
        <w:jc w:val="both"/>
        <w:rPr>
          <w:rFonts w:eastAsia="Calibri" w:cs="Times New Roman"/>
          <w:b/>
          <w:szCs w:val="20"/>
          <w:lang w:val="en-US"/>
        </w:rPr>
      </w:pPr>
    </w:p>
    <w:p w14:paraId="5E10BAB0" w14:textId="78F3C0C9" w:rsidR="005427CB" w:rsidRPr="007B2402" w:rsidRDefault="002F41B9" w:rsidP="002F41B9">
      <w:pPr>
        <w:numPr>
          <w:ilvl w:val="0"/>
          <w:numId w:val="6"/>
        </w:numPr>
        <w:spacing w:after="0" w:line="240" w:lineRule="auto"/>
        <w:jc w:val="both"/>
        <w:rPr>
          <w:rFonts w:eastAsia="Calibri" w:cs="Times New Roman"/>
          <w:b/>
          <w:szCs w:val="20"/>
          <w:lang w:val="en-US"/>
        </w:rPr>
      </w:pPr>
      <w:r w:rsidRPr="007B2402">
        <w:rPr>
          <w:rFonts w:eastAsia="Calibri" w:cs="Times New Roman"/>
          <w:szCs w:val="20"/>
          <w:lang w:val="en-US"/>
        </w:rPr>
        <w:t xml:space="preserve">This Commission </w:t>
      </w:r>
      <w:r w:rsidR="00B24B53" w:rsidRPr="007B2402">
        <w:rPr>
          <w:rFonts w:eastAsia="Calibri" w:cs="Times New Roman"/>
          <w:szCs w:val="20"/>
          <w:lang w:val="en-US"/>
        </w:rPr>
        <w:t>ordered</w:t>
      </w:r>
      <w:r w:rsidRPr="007B2402">
        <w:rPr>
          <w:rFonts w:eastAsia="Calibri" w:cs="Times New Roman"/>
          <w:szCs w:val="20"/>
          <w:lang w:val="en-US"/>
        </w:rPr>
        <w:t xml:space="preserve"> another expert </w:t>
      </w:r>
      <w:r w:rsidR="00B24B53" w:rsidRPr="007B2402">
        <w:rPr>
          <w:rFonts w:eastAsia="Calibri" w:cs="Times New Roman"/>
          <w:szCs w:val="20"/>
          <w:lang w:val="en-US"/>
        </w:rPr>
        <w:t>appraisal</w:t>
      </w:r>
      <w:r w:rsidRPr="007B2402">
        <w:rPr>
          <w:rFonts w:eastAsia="Calibri" w:cs="Times New Roman"/>
          <w:szCs w:val="20"/>
          <w:lang w:val="en-US"/>
        </w:rPr>
        <w:t xml:space="preserve"> of the photographs of </w:t>
      </w:r>
      <w:r w:rsidR="005427CB" w:rsidRPr="007B2402">
        <w:rPr>
          <w:rFonts w:eastAsia="Calibri" w:cs="Times New Roman"/>
          <w:szCs w:val="20"/>
          <w:lang w:val="en-US"/>
        </w:rPr>
        <w:t>Vladimir Herzog</w:t>
      </w:r>
      <w:r w:rsidRPr="007B2402">
        <w:rPr>
          <w:rFonts w:eastAsia="Calibri" w:cs="Times New Roman"/>
          <w:szCs w:val="20"/>
          <w:lang w:val="en-US"/>
        </w:rPr>
        <w:t>’s body</w:t>
      </w:r>
      <w:r w:rsidR="005427CB" w:rsidRPr="007B2402">
        <w:rPr>
          <w:rFonts w:eastAsia="Calibri" w:cs="Times New Roman"/>
          <w:szCs w:val="20"/>
          <w:lang w:val="en-US"/>
        </w:rPr>
        <w:t>.</w:t>
      </w:r>
      <w:r w:rsidRPr="007B2402">
        <w:rPr>
          <w:rFonts w:eastAsia="Calibri" w:cs="Times New Roman"/>
          <w:szCs w:val="20"/>
          <w:lang w:val="en-US"/>
        </w:rPr>
        <w:t xml:space="preserve"> The </w:t>
      </w:r>
      <w:r w:rsidR="00B24B53" w:rsidRPr="007B2402">
        <w:rPr>
          <w:rFonts w:eastAsia="Calibri" w:cs="Times New Roman"/>
          <w:szCs w:val="20"/>
          <w:lang w:val="en-US"/>
        </w:rPr>
        <w:t>appraisal</w:t>
      </w:r>
      <w:r w:rsidRPr="007B2402">
        <w:rPr>
          <w:rFonts w:eastAsia="Calibri" w:cs="Times New Roman"/>
          <w:szCs w:val="20"/>
          <w:lang w:val="en-US"/>
        </w:rPr>
        <w:t xml:space="preserve"> concluded that the marks on his throat and chest </w:t>
      </w:r>
      <w:r w:rsidR="00442747" w:rsidRPr="007B2402">
        <w:rPr>
          <w:rFonts w:eastAsia="Calibri" w:cs="Times New Roman"/>
          <w:szCs w:val="20"/>
          <w:lang w:val="en-US"/>
        </w:rPr>
        <w:t xml:space="preserve">were typical of death by mechanical asphyxiation and not by self-inflicted hanging. In this regard, it indicated: “In September 2014, the Commission’s team of experts concluded its indirect expert report on the death of Vladimir Herzog. The experts indicated the existence of two grooves in the journalist’s neck, both made while he was still alive. One of them was typical of strangling, while the other was characteristic of hanging sites (sites prepared to simulate hangings). The evidence of two different marks in the cervical region was decisive for the experts to determine that: first, Vladimir Herzog was strangled, probably with the belt cited by the forensic expert and, then, a gallows system was devised, one end of the belt was tied to the protective grillwork of the window, and the other </w:t>
      </w:r>
      <w:r w:rsidR="00957906" w:rsidRPr="007B2402">
        <w:rPr>
          <w:rFonts w:eastAsia="Calibri" w:cs="Times New Roman"/>
          <w:szCs w:val="20"/>
          <w:lang w:val="en-US"/>
        </w:rPr>
        <w:t xml:space="preserve">to Vladimir Herzog’s neck by a slip knot. The body was </w:t>
      </w:r>
      <w:r w:rsidR="00D64B8A" w:rsidRPr="007B2402">
        <w:rPr>
          <w:rFonts w:eastAsia="Calibri" w:cs="Times New Roman"/>
          <w:szCs w:val="20"/>
          <w:lang w:val="en-US"/>
        </w:rPr>
        <w:t>the</w:t>
      </w:r>
      <w:r w:rsidR="0019492B" w:rsidRPr="007B2402">
        <w:rPr>
          <w:rFonts w:eastAsia="Calibri" w:cs="Times New Roman"/>
          <w:szCs w:val="20"/>
          <w:lang w:val="en-US"/>
        </w:rPr>
        <w:t>n</w:t>
      </w:r>
      <w:r w:rsidR="00D64B8A" w:rsidRPr="007B2402">
        <w:rPr>
          <w:rFonts w:eastAsia="Calibri" w:cs="Times New Roman"/>
          <w:szCs w:val="20"/>
          <w:lang w:val="en-US"/>
        </w:rPr>
        <w:t xml:space="preserve"> </w:t>
      </w:r>
      <w:r w:rsidR="00957906" w:rsidRPr="007B2402">
        <w:rPr>
          <w:rFonts w:eastAsia="Calibri" w:cs="Times New Roman"/>
          <w:szCs w:val="20"/>
          <w:lang w:val="en-US"/>
        </w:rPr>
        <w:t xml:space="preserve">placed in </w:t>
      </w:r>
      <w:r w:rsidR="00D64B8A" w:rsidRPr="007B2402">
        <w:rPr>
          <w:rFonts w:eastAsia="Calibri" w:cs="Times New Roman"/>
          <w:szCs w:val="20"/>
          <w:lang w:val="en-US"/>
        </w:rPr>
        <w:t>partial</w:t>
      </w:r>
      <w:r w:rsidR="00957906" w:rsidRPr="007B2402">
        <w:rPr>
          <w:rFonts w:eastAsia="Calibri" w:cs="Times New Roman"/>
          <w:szCs w:val="20"/>
          <w:lang w:val="en-US"/>
        </w:rPr>
        <w:t xml:space="preserve"> suspension</w:t>
      </w:r>
      <w:r w:rsidR="00D64B8A" w:rsidRPr="007B2402">
        <w:rPr>
          <w:rFonts w:eastAsia="Calibri" w:cs="Times New Roman"/>
          <w:szCs w:val="20"/>
          <w:lang w:val="en-US"/>
        </w:rPr>
        <w:t xml:space="preserve"> to simulate an actual hanging.</w:t>
      </w:r>
      <w:r w:rsidR="0087319D" w:rsidRPr="007B2402">
        <w:rPr>
          <w:rFonts w:eastAsia="Calibri" w:cs="Times New Roman"/>
          <w:szCs w:val="20"/>
          <w:lang w:val="en-US"/>
        </w:rPr>
        <w:t>”</w:t>
      </w:r>
      <w:r w:rsidR="005427CB" w:rsidRPr="007B2402">
        <w:rPr>
          <w:rFonts w:eastAsia="Calibri" w:cs="Times New Roman"/>
          <w:szCs w:val="20"/>
          <w:vertAlign w:val="superscript"/>
          <w:lang w:val="en-US"/>
        </w:rPr>
        <w:footnoteReference w:id="135"/>
      </w:r>
      <w:r w:rsidR="005427CB" w:rsidRPr="007B2402">
        <w:rPr>
          <w:rFonts w:eastAsia="Calibri" w:cs="Times New Roman"/>
          <w:szCs w:val="20"/>
          <w:lang w:val="en-US"/>
        </w:rPr>
        <w:t xml:space="preserve"> </w:t>
      </w:r>
    </w:p>
    <w:p w14:paraId="42D6CE2D" w14:textId="77777777" w:rsidR="005427CB" w:rsidRPr="007B2402" w:rsidRDefault="005427CB" w:rsidP="005427CB">
      <w:pPr>
        <w:spacing w:after="0" w:line="240" w:lineRule="auto"/>
        <w:jc w:val="both"/>
        <w:rPr>
          <w:rFonts w:eastAsia="Calibri" w:cs="Times New Roman"/>
          <w:b/>
          <w:szCs w:val="20"/>
          <w:lang w:val="en-US"/>
        </w:rPr>
      </w:pPr>
    </w:p>
    <w:p w14:paraId="45B05ED4" w14:textId="40FAD66F" w:rsidR="005427CB" w:rsidRPr="007B2402" w:rsidRDefault="0086226A" w:rsidP="00DB1F30">
      <w:pPr>
        <w:numPr>
          <w:ilvl w:val="0"/>
          <w:numId w:val="6"/>
        </w:numPr>
        <w:spacing w:after="0" w:line="240" w:lineRule="auto"/>
        <w:jc w:val="both"/>
        <w:rPr>
          <w:rFonts w:eastAsia="Calibri" w:cs="Times New Roman"/>
          <w:b/>
          <w:szCs w:val="20"/>
          <w:lang w:val="en-US"/>
        </w:rPr>
      </w:pPr>
      <w:r w:rsidRPr="007B2402">
        <w:rPr>
          <w:rFonts w:eastAsia="Calibri" w:cs="Times New Roman"/>
          <w:szCs w:val="20"/>
          <w:lang w:val="en-US"/>
        </w:rPr>
        <w:t>Consequently, it was determined that the cause of death was homicide by strangling. The team also examined the letter that the journalist had supposedly written just before he die</w:t>
      </w:r>
      <w:r w:rsidR="00EE108E" w:rsidRPr="007B2402">
        <w:rPr>
          <w:rFonts w:eastAsia="Calibri" w:cs="Times New Roman"/>
          <w:szCs w:val="20"/>
          <w:lang w:val="en-US"/>
        </w:rPr>
        <w:t>d</w:t>
      </w:r>
      <w:r w:rsidRPr="007B2402">
        <w:rPr>
          <w:rFonts w:eastAsia="Calibri" w:cs="Times New Roman"/>
          <w:szCs w:val="20"/>
          <w:lang w:val="en-US"/>
        </w:rPr>
        <w:t xml:space="preserve"> and concluded that the wording was not spontaneous, but had been copied from a model.</w:t>
      </w:r>
      <w:r w:rsidR="005427CB" w:rsidRPr="007B2402">
        <w:rPr>
          <w:rFonts w:eastAsia="Calibri" w:cs="Times New Roman"/>
          <w:szCs w:val="20"/>
          <w:vertAlign w:val="superscript"/>
          <w:lang w:val="en-US"/>
        </w:rPr>
        <w:footnoteReference w:id="136"/>
      </w:r>
    </w:p>
    <w:p w14:paraId="1A32B3A0" w14:textId="77777777" w:rsidR="005427CB" w:rsidRPr="007B2402" w:rsidRDefault="005427CB" w:rsidP="005427CB">
      <w:pPr>
        <w:spacing w:after="0" w:line="240" w:lineRule="auto"/>
        <w:jc w:val="both"/>
        <w:rPr>
          <w:rFonts w:eastAsia="Calibri" w:cs="Times New Roman"/>
          <w:b/>
          <w:szCs w:val="20"/>
          <w:lang w:val="en-US"/>
        </w:rPr>
      </w:pPr>
    </w:p>
    <w:p w14:paraId="2621B4FA" w14:textId="03628BA0" w:rsidR="005427CB" w:rsidRPr="007B2402" w:rsidRDefault="00B34A75" w:rsidP="00DB1F30">
      <w:pPr>
        <w:numPr>
          <w:ilvl w:val="0"/>
          <w:numId w:val="6"/>
        </w:numPr>
        <w:spacing w:after="0" w:line="240" w:lineRule="auto"/>
        <w:jc w:val="both"/>
        <w:rPr>
          <w:rFonts w:eastAsia="Calibri" w:cs="Times New Roman"/>
          <w:b/>
          <w:szCs w:val="20"/>
          <w:lang w:val="en-US"/>
        </w:rPr>
      </w:pPr>
      <w:r w:rsidRPr="007B2402">
        <w:rPr>
          <w:rFonts w:eastAsia="Calibri" w:cs="Times New Roman"/>
          <w:szCs w:val="20"/>
          <w:lang w:val="en-US"/>
        </w:rPr>
        <w:t xml:space="preserve">In keeping with its </w:t>
      </w:r>
      <w:r w:rsidR="00EE108E" w:rsidRPr="007B2402">
        <w:rPr>
          <w:rFonts w:eastAsia="Calibri" w:cs="Times New Roman"/>
          <w:szCs w:val="20"/>
          <w:lang w:val="en-US"/>
        </w:rPr>
        <w:t>p</w:t>
      </w:r>
      <w:r w:rsidRPr="007B2402">
        <w:rPr>
          <w:rFonts w:eastAsia="Calibri" w:cs="Times New Roman"/>
          <w:szCs w:val="20"/>
          <w:lang w:val="en-US"/>
        </w:rPr>
        <w:t>owers, the National Truth Commission request</w:t>
      </w:r>
      <w:r w:rsidR="00EE108E" w:rsidRPr="007B2402">
        <w:rPr>
          <w:rFonts w:eastAsia="Calibri" w:cs="Times New Roman"/>
          <w:szCs w:val="20"/>
          <w:lang w:val="en-US"/>
        </w:rPr>
        <w:t>ed</w:t>
      </w:r>
      <w:r w:rsidRPr="007B2402">
        <w:rPr>
          <w:rFonts w:eastAsia="Calibri" w:cs="Times New Roman"/>
          <w:szCs w:val="20"/>
          <w:lang w:val="en-US"/>
        </w:rPr>
        <w:t xml:space="preserve"> rectification of the cause of death recorded on V</w:t>
      </w:r>
      <w:r w:rsidR="00B0525F" w:rsidRPr="007B2402">
        <w:rPr>
          <w:rFonts w:eastAsia="Calibri" w:cs="Times New Roman"/>
          <w:szCs w:val="20"/>
          <w:lang w:val="en-US"/>
        </w:rPr>
        <w:t>la</w:t>
      </w:r>
      <w:r w:rsidRPr="007B2402">
        <w:rPr>
          <w:rFonts w:eastAsia="Calibri" w:cs="Times New Roman"/>
          <w:szCs w:val="20"/>
          <w:lang w:val="en-US"/>
        </w:rPr>
        <w:t xml:space="preserve">dimir Herzog’s death certificate. On September 24, </w:t>
      </w:r>
      <w:r w:rsidR="005427CB" w:rsidRPr="007B2402">
        <w:rPr>
          <w:rFonts w:eastAsia="Calibri" w:cs="Times New Roman"/>
          <w:szCs w:val="20"/>
          <w:lang w:val="en-US"/>
        </w:rPr>
        <w:t xml:space="preserve">2013, </w:t>
      </w:r>
      <w:r w:rsidRPr="007B2402">
        <w:rPr>
          <w:rFonts w:eastAsia="Calibri" w:cs="Times New Roman"/>
          <w:szCs w:val="20"/>
          <w:lang w:val="en-US"/>
        </w:rPr>
        <w:t>the</w:t>
      </w:r>
      <w:r w:rsidR="005427CB" w:rsidRPr="007B2402">
        <w:rPr>
          <w:rFonts w:eastAsia="Calibri" w:cs="Times New Roman"/>
          <w:szCs w:val="20"/>
          <w:lang w:val="en-US"/>
        </w:rPr>
        <w:t xml:space="preserve"> </w:t>
      </w:r>
      <w:r w:rsidR="00AF4344" w:rsidRPr="007B2402">
        <w:rPr>
          <w:rFonts w:eastAsia="Calibri" w:cs="Times New Roman"/>
          <w:szCs w:val="20"/>
          <w:lang w:val="en-US"/>
        </w:rPr>
        <w:t>judge</w:t>
      </w:r>
      <w:r w:rsidR="005427CB" w:rsidRPr="007B2402">
        <w:rPr>
          <w:rFonts w:eastAsia="Calibri" w:cs="Times New Roman"/>
          <w:szCs w:val="20"/>
          <w:lang w:val="en-US"/>
        </w:rPr>
        <w:t xml:space="preserve"> </w:t>
      </w:r>
      <w:r w:rsidRPr="007B2402">
        <w:rPr>
          <w:rFonts w:eastAsia="Calibri" w:cs="Times New Roman"/>
          <w:szCs w:val="20"/>
          <w:lang w:val="en-US"/>
        </w:rPr>
        <w:t xml:space="preserve">ordered that the </w:t>
      </w:r>
      <w:r w:rsidR="00EE108E" w:rsidRPr="007B2402">
        <w:rPr>
          <w:rFonts w:eastAsia="Calibri" w:cs="Times New Roman"/>
          <w:szCs w:val="20"/>
          <w:lang w:val="en-US"/>
        </w:rPr>
        <w:t xml:space="preserve">Civil </w:t>
      </w:r>
      <w:r w:rsidRPr="007B2402">
        <w:rPr>
          <w:rFonts w:eastAsia="Calibri" w:cs="Times New Roman"/>
          <w:szCs w:val="20"/>
          <w:lang w:val="en-US"/>
        </w:rPr>
        <w:t xml:space="preserve">Registry record that the death of </w:t>
      </w:r>
      <w:r w:rsidR="005427CB" w:rsidRPr="007B2402">
        <w:rPr>
          <w:rFonts w:eastAsia="Calibri" w:cs="Times New Roman"/>
          <w:szCs w:val="20"/>
          <w:lang w:val="en-US"/>
        </w:rPr>
        <w:t xml:space="preserve">Vladimir Herzog </w:t>
      </w:r>
      <w:r w:rsidRPr="007B2402">
        <w:rPr>
          <w:rFonts w:eastAsia="Calibri" w:cs="Times New Roman"/>
          <w:szCs w:val="20"/>
          <w:lang w:val="en-US"/>
        </w:rPr>
        <w:t>occurred as a result of injuries and ill-treatment suffered in the</w:t>
      </w:r>
      <w:r w:rsidR="005427CB" w:rsidRPr="007B2402">
        <w:rPr>
          <w:rFonts w:eastAsia="Calibri" w:cs="Times New Roman"/>
          <w:szCs w:val="20"/>
          <w:lang w:val="en-US"/>
        </w:rPr>
        <w:t xml:space="preserve"> DOI/CODI/SP</w:t>
      </w:r>
      <w:r w:rsidRPr="007B2402">
        <w:rPr>
          <w:rFonts w:eastAsia="Calibri" w:cs="Times New Roman"/>
          <w:szCs w:val="20"/>
          <w:lang w:val="en-US"/>
        </w:rPr>
        <w:t>.</w:t>
      </w:r>
      <w:r w:rsidR="005427CB" w:rsidRPr="007B2402">
        <w:rPr>
          <w:rFonts w:eastAsia="Calibri" w:cs="Times New Roman"/>
          <w:szCs w:val="20"/>
          <w:vertAlign w:val="superscript"/>
          <w:lang w:val="en-US"/>
        </w:rPr>
        <w:footnoteReference w:id="137"/>
      </w:r>
      <w:r w:rsidR="005427CB" w:rsidRPr="007B2402">
        <w:rPr>
          <w:rFonts w:eastAsia="Calibri" w:cs="Times New Roman"/>
          <w:szCs w:val="20"/>
          <w:lang w:val="en-US"/>
        </w:rPr>
        <w:t xml:space="preserve"> </w:t>
      </w:r>
      <w:r w:rsidRPr="007B2402">
        <w:rPr>
          <w:rFonts w:eastAsia="Calibri" w:cs="Times New Roman"/>
          <w:szCs w:val="20"/>
          <w:lang w:val="en-US"/>
        </w:rPr>
        <w:t xml:space="preserve">The Truth Commission’s final report stated that there could be no doubt that </w:t>
      </w:r>
      <w:r w:rsidR="005427CB" w:rsidRPr="007B2402">
        <w:rPr>
          <w:rFonts w:eastAsia="Calibri" w:cs="Times New Roman"/>
          <w:szCs w:val="20"/>
          <w:lang w:val="en-US"/>
        </w:rPr>
        <w:t>Vladimir Herzog ha</w:t>
      </w:r>
      <w:r w:rsidRPr="007B2402">
        <w:rPr>
          <w:rFonts w:eastAsia="Calibri" w:cs="Times New Roman"/>
          <w:szCs w:val="20"/>
          <w:lang w:val="en-US"/>
        </w:rPr>
        <w:t xml:space="preserve">d been unlawfully detained, tortured and murdered by agents </w:t>
      </w:r>
      <w:r w:rsidR="006E2CFF" w:rsidRPr="007B2402">
        <w:rPr>
          <w:rFonts w:eastAsia="Calibri" w:cs="Times New Roman"/>
          <w:szCs w:val="20"/>
          <w:lang w:val="en-US"/>
        </w:rPr>
        <w:t xml:space="preserve">of the </w:t>
      </w:r>
      <w:r w:rsidR="00AF4344" w:rsidRPr="007B2402">
        <w:rPr>
          <w:rFonts w:eastAsia="Calibri" w:cs="Times New Roman"/>
          <w:szCs w:val="20"/>
          <w:lang w:val="en-US"/>
        </w:rPr>
        <w:t>State</w:t>
      </w:r>
      <w:r w:rsidR="005427CB" w:rsidRPr="007B2402">
        <w:rPr>
          <w:rFonts w:eastAsia="Calibri" w:cs="Times New Roman"/>
          <w:szCs w:val="20"/>
          <w:lang w:val="en-US"/>
        </w:rPr>
        <w:t xml:space="preserve"> </w:t>
      </w:r>
      <w:r w:rsidRPr="007B2402">
        <w:rPr>
          <w:rFonts w:eastAsia="Calibri" w:cs="Times New Roman"/>
          <w:szCs w:val="20"/>
          <w:lang w:val="en-US"/>
        </w:rPr>
        <w:t>in the</w:t>
      </w:r>
      <w:r w:rsidR="005427CB" w:rsidRPr="007B2402">
        <w:rPr>
          <w:rFonts w:eastAsia="Calibri" w:cs="Times New Roman"/>
          <w:szCs w:val="20"/>
          <w:lang w:val="en-US"/>
        </w:rPr>
        <w:t xml:space="preserve"> DOI/CODI/SP </w:t>
      </w:r>
      <w:r w:rsidR="00221E16" w:rsidRPr="007B2402">
        <w:rPr>
          <w:rFonts w:eastAsia="Calibri" w:cs="Times New Roman"/>
          <w:szCs w:val="20"/>
          <w:lang w:val="en-US"/>
        </w:rPr>
        <w:t>on October 25,</w:t>
      </w:r>
      <w:r w:rsidR="005427CB" w:rsidRPr="007B2402">
        <w:rPr>
          <w:rFonts w:eastAsia="Calibri" w:cs="Times New Roman"/>
          <w:szCs w:val="20"/>
          <w:lang w:val="en-US"/>
        </w:rPr>
        <w:t xml:space="preserve"> 1975</w:t>
      </w:r>
      <w:r w:rsidRPr="007B2402">
        <w:rPr>
          <w:rFonts w:eastAsia="Calibri" w:cs="Times New Roman"/>
          <w:szCs w:val="20"/>
          <w:lang w:val="en-US"/>
        </w:rPr>
        <w:t>.</w:t>
      </w:r>
      <w:r w:rsidR="005427CB" w:rsidRPr="007B2402">
        <w:rPr>
          <w:rFonts w:eastAsia="Calibri" w:cs="Times New Roman"/>
          <w:szCs w:val="20"/>
          <w:vertAlign w:val="superscript"/>
          <w:lang w:val="en-US"/>
        </w:rPr>
        <w:footnoteReference w:id="138"/>
      </w:r>
      <w:r w:rsidR="005427CB" w:rsidRPr="007B2402">
        <w:rPr>
          <w:rFonts w:eastAsia="Calibri" w:cs="Times New Roman"/>
          <w:szCs w:val="20"/>
          <w:lang w:val="en-US"/>
        </w:rPr>
        <w:t xml:space="preserve"> </w:t>
      </w:r>
    </w:p>
    <w:p w14:paraId="7628A8F8" w14:textId="77777777" w:rsidR="000744A8" w:rsidRPr="007B2402" w:rsidRDefault="000744A8" w:rsidP="00AA77AE">
      <w:pPr>
        <w:pStyle w:val="Textocomentario"/>
        <w:rPr>
          <w:rFonts w:eastAsia="Calibri" w:cs="Times New Roman"/>
          <w:noProof w:val="0"/>
          <w:lang w:val="en-US"/>
        </w:rPr>
      </w:pPr>
    </w:p>
    <w:p w14:paraId="10E71D3F" w14:textId="3963E0D1" w:rsidR="00C663C4" w:rsidRPr="007B2402" w:rsidRDefault="00C663C4" w:rsidP="0059049C">
      <w:pPr>
        <w:pStyle w:val="Ttulo1"/>
        <w:rPr>
          <w:lang w:val="en-US"/>
        </w:rPr>
      </w:pPr>
      <w:bookmarkStart w:id="152" w:name="_Toc506984115"/>
      <w:r w:rsidRPr="007B2402">
        <w:rPr>
          <w:lang w:val="en-US"/>
        </w:rPr>
        <w:t>VII</w:t>
      </w:r>
      <w:r w:rsidR="0059049C" w:rsidRPr="007B2402">
        <w:rPr>
          <w:lang w:val="en-US"/>
        </w:rPr>
        <w:t xml:space="preserve"> </w:t>
      </w:r>
      <w:r w:rsidR="0059049C" w:rsidRPr="007B2402">
        <w:rPr>
          <w:lang w:val="en-US"/>
        </w:rPr>
        <w:br/>
      </w:r>
      <w:r w:rsidR="00B34A75" w:rsidRPr="007B2402">
        <w:rPr>
          <w:lang w:val="en-US"/>
        </w:rPr>
        <w:t>MERITS</w:t>
      </w:r>
      <w:bookmarkEnd w:id="152"/>
    </w:p>
    <w:p w14:paraId="0D59A3C6" w14:textId="77777777" w:rsidR="00FA38CA" w:rsidRPr="007B2402" w:rsidRDefault="00FA38CA" w:rsidP="00FA38CA">
      <w:pPr>
        <w:widowControl w:val="0"/>
        <w:tabs>
          <w:tab w:val="left" w:pos="567"/>
        </w:tabs>
        <w:adjustRightInd w:val="0"/>
        <w:spacing w:after="0" w:line="240" w:lineRule="auto"/>
        <w:jc w:val="both"/>
        <w:textAlignment w:val="baseline"/>
        <w:rPr>
          <w:lang w:val="en-US"/>
        </w:rPr>
      </w:pPr>
    </w:p>
    <w:p w14:paraId="6C8CB601" w14:textId="30D11ECA" w:rsidR="00B34A75" w:rsidRPr="007B2402" w:rsidRDefault="00AF4344" w:rsidP="007B6DD5">
      <w:pPr>
        <w:pStyle w:val="Prrafodelista"/>
        <w:widowControl w:val="0"/>
        <w:numPr>
          <w:ilvl w:val="0"/>
          <w:numId w:val="6"/>
        </w:numPr>
        <w:tabs>
          <w:tab w:val="left" w:pos="0"/>
        </w:tabs>
        <w:adjustRightInd w:val="0"/>
        <w:textAlignment w:val="baseline"/>
        <w:rPr>
          <w:lang w:val="en-US"/>
        </w:rPr>
      </w:pPr>
      <w:r w:rsidRPr="007B2402">
        <w:rPr>
          <w:lang w:val="en-US"/>
        </w:rPr>
        <w:t>The Court</w:t>
      </w:r>
      <w:r w:rsidR="007F2818" w:rsidRPr="007B2402">
        <w:rPr>
          <w:lang w:val="en-US"/>
        </w:rPr>
        <w:t xml:space="preserve"> </w:t>
      </w:r>
      <w:r w:rsidR="00B34A75" w:rsidRPr="007B2402">
        <w:rPr>
          <w:lang w:val="en-US"/>
        </w:rPr>
        <w:t xml:space="preserve">will now proceed to examine the international responsibility of the State based on its international obligations </w:t>
      </w:r>
      <w:r w:rsidR="00EE108E" w:rsidRPr="007B2402">
        <w:rPr>
          <w:lang w:val="en-US"/>
        </w:rPr>
        <w:t>under</w:t>
      </w:r>
      <w:r w:rsidR="00B34A75" w:rsidRPr="007B2402">
        <w:rPr>
          <w:lang w:val="en-US"/>
        </w:rPr>
        <w:t xml:space="preserve"> </w:t>
      </w:r>
      <w:r w:rsidRPr="007B2402">
        <w:rPr>
          <w:lang w:val="en-US"/>
        </w:rPr>
        <w:t>the American Convention</w:t>
      </w:r>
      <w:r w:rsidR="005B1590" w:rsidRPr="007B2402">
        <w:rPr>
          <w:lang w:val="en-US"/>
        </w:rPr>
        <w:t xml:space="preserve"> and</w:t>
      </w:r>
      <w:r w:rsidRPr="007B2402">
        <w:rPr>
          <w:lang w:val="en-US"/>
        </w:rPr>
        <w:t xml:space="preserve"> the </w:t>
      </w:r>
      <w:r w:rsidR="00375567" w:rsidRPr="007B2402">
        <w:rPr>
          <w:lang w:val="en-US"/>
        </w:rPr>
        <w:t>Inter-American Convention to Prevent and Punish Torture</w:t>
      </w:r>
      <w:r w:rsidR="007F2818" w:rsidRPr="007B2402">
        <w:rPr>
          <w:lang w:val="en-US"/>
        </w:rPr>
        <w:t xml:space="preserve"> </w:t>
      </w:r>
      <w:r w:rsidR="00B34A75" w:rsidRPr="007B2402">
        <w:rPr>
          <w:lang w:val="en-US"/>
        </w:rPr>
        <w:t xml:space="preserve">in relation to the alleged failure to investigate, prosecute and eventually punish those responsible for the torture and murder of </w:t>
      </w:r>
      <w:r w:rsidR="007F2818" w:rsidRPr="007B2402">
        <w:rPr>
          <w:lang w:val="en-US"/>
        </w:rPr>
        <w:t xml:space="preserve">Vladimir Herzog. </w:t>
      </w:r>
      <w:r w:rsidR="00B34A75" w:rsidRPr="007B2402">
        <w:rPr>
          <w:lang w:val="en-US"/>
        </w:rPr>
        <w:t>In addition</w:t>
      </w:r>
      <w:r w:rsidR="00E16C08" w:rsidRPr="007B2402">
        <w:rPr>
          <w:i/>
          <w:iCs/>
          <w:lang w:val="en-US"/>
        </w:rPr>
        <w:t xml:space="preserve">, </w:t>
      </w:r>
      <w:r w:rsidRPr="007B2402">
        <w:rPr>
          <w:lang w:val="en-US"/>
        </w:rPr>
        <w:t>the Court</w:t>
      </w:r>
      <w:r w:rsidR="00E16C08" w:rsidRPr="007B2402">
        <w:rPr>
          <w:lang w:val="en-US"/>
        </w:rPr>
        <w:t xml:space="preserve"> </w:t>
      </w:r>
      <w:r w:rsidR="00B34A75" w:rsidRPr="007B2402">
        <w:rPr>
          <w:lang w:val="en-US"/>
        </w:rPr>
        <w:t xml:space="preserve">will examinne the alleged failure to comply with the right to know the truth owing to the dissemination of the false version of </w:t>
      </w:r>
      <w:r w:rsidR="00EE108E" w:rsidRPr="007B2402">
        <w:rPr>
          <w:lang w:val="en-US"/>
        </w:rPr>
        <w:t xml:space="preserve">Vladimir </w:t>
      </w:r>
      <w:r w:rsidR="00B34A75" w:rsidRPr="007B2402">
        <w:rPr>
          <w:lang w:val="en-US"/>
        </w:rPr>
        <w:t xml:space="preserve">Herzog’s death, and the State’s refusal to hand over military documents and the consquent failure to identify the perpetrators of Mr. Herzog’s death. Lastly, the Court will determine whether the right to personal integrity of the members of </w:t>
      </w:r>
      <w:r w:rsidR="00B34A75" w:rsidRPr="007B2402">
        <w:rPr>
          <w:rFonts w:eastAsia="Calibri" w:cs="Times New Roman"/>
          <w:szCs w:val="20"/>
          <w:lang w:val="en-US"/>
        </w:rPr>
        <w:t>Vladimir Herzog’s family has been violated owing to the failure to investigate and punish those responsible.</w:t>
      </w:r>
    </w:p>
    <w:p w14:paraId="0C6961E4" w14:textId="77777777" w:rsidR="009C13EB" w:rsidRPr="007B2402" w:rsidRDefault="009C13EB" w:rsidP="00E16C08">
      <w:pPr>
        <w:pStyle w:val="Prrafodelista"/>
        <w:ind w:left="0"/>
        <w:rPr>
          <w:rFonts w:eastAsia="Calibri" w:cs="Times New Roman"/>
          <w:szCs w:val="20"/>
          <w:lang w:val="en-US"/>
        </w:rPr>
      </w:pPr>
    </w:p>
    <w:p w14:paraId="41DD2C76" w14:textId="70704745" w:rsidR="001041B4" w:rsidRPr="007B2402" w:rsidRDefault="00C663C4" w:rsidP="001041B4">
      <w:pPr>
        <w:spacing w:after="0" w:line="240" w:lineRule="auto"/>
        <w:jc w:val="center"/>
        <w:outlineLvl w:val="0"/>
        <w:rPr>
          <w:rFonts w:eastAsia="Calibri" w:cs="Times New Roman"/>
          <w:b/>
          <w:szCs w:val="20"/>
          <w:lang w:val="en-US"/>
        </w:rPr>
      </w:pPr>
      <w:bookmarkStart w:id="153" w:name="_Toc506984116"/>
      <w:r w:rsidRPr="007B2402">
        <w:rPr>
          <w:rFonts w:eastAsia="Calibri" w:cs="Times New Roman"/>
          <w:b/>
          <w:szCs w:val="20"/>
          <w:lang w:val="en-US"/>
        </w:rPr>
        <w:lastRenderedPageBreak/>
        <w:t>VII</w:t>
      </w:r>
      <w:r w:rsidR="00D20621" w:rsidRPr="007B2402">
        <w:rPr>
          <w:rFonts w:eastAsia="Calibri" w:cs="Times New Roman"/>
          <w:b/>
          <w:szCs w:val="20"/>
          <w:lang w:val="en-US"/>
        </w:rPr>
        <w:t>-</w:t>
      </w:r>
      <w:r w:rsidRPr="007B2402">
        <w:rPr>
          <w:rFonts w:eastAsia="Calibri" w:cs="Times New Roman"/>
          <w:b/>
          <w:szCs w:val="20"/>
          <w:lang w:val="en-US"/>
        </w:rPr>
        <w:t>1</w:t>
      </w:r>
      <w:r w:rsidR="0059049C" w:rsidRPr="007B2402">
        <w:rPr>
          <w:rFonts w:eastAsia="Calibri" w:cs="Times New Roman"/>
          <w:b/>
          <w:szCs w:val="20"/>
          <w:lang w:val="en-US"/>
        </w:rPr>
        <w:t xml:space="preserve"> </w:t>
      </w:r>
      <w:r w:rsidR="00E668B8" w:rsidRPr="007B2402">
        <w:rPr>
          <w:rFonts w:eastAsia="Calibri" w:cs="Times New Roman"/>
          <w:b/>
          <w:szCs w:val="20"/>
          <w:lang w:val="en-US"/>
        </w:rPr>
        <w:br/>
      </w:r>
      <w:r w:rsidR="00BF1A22" w:rsidRPr="007B2402">
        <w:rPr>
          <w:rFonts w:eastAsia="Calibri" w:cs="Times New Roman"/>
          <w:b/>
          <w:szCs w:val="20"/>
          <w:lang w:val="en-US"/>
        </w:rPr>
        <w:t>RIGHTS TO JUDICIAL GUARANTEES AND JUDICIAL PROTECTION</w:t>
      </w:r>
      <w:bookmarkEnd w:id="153"/>
    </w:p>
    <w:p w14:paraId="5CFF9364" w14:textId="6196E6B9" w:rsidR="001041B4" w:rsidRPr="007B2402" w:rsidRDefault="001041B4" w:rsidP="001041B4">
      <w:pPr>
        <w:spacing w:after="0" w:line="240" w:lineRule="auto"/>
        <w:jc w:val="center"/>
        <w:outlineLvl w:val="0"/>
        <w:rPr>
          <w:rFonts w:eastAsia="Calibri" w:cs="Times New Roman"/>
          <w:b/>
          <w:szCs w:val="20"/>
          <w:lang w:val="en-US"/>
        </w:rPr>
      </w:pPr>
      <w:bookmarkStart w:id="154" w:name="_Toc505939154"/>
      <w:bookmarkStart w:id="155" w:name="_Toc506496137"/>
      <w:bookmarkStart w:id="156" w:name="_Toc506902761"/>
      <w:bookmarkStart w:id="157" w:name="_Toc506984117"/>
      <w:r w:rsidRPr="007B2402">
        <w:rPr>
          <w:rFonts w:eastAsia="Calibri" w:cs="Times New Roman"/>
          <w:b/>
          <w:szCs w:val="20"/>
          <w:lang w:val="en-US"/>
        </w:rPr>
        <w:t>(</w:t>
      </w:r>
      <w:r w:rsidR="00AF4344" w:rsidRPr="007B2402">
        <w:rPr>
          <w:rFonts w:eastAsia="Calibri" w:cs="Times New Roman"/>
          <w:b/>
          <w:szCs w:val="20"/>
          <w:lang w:val="en-US"/>
        </w:rPr>
        <w:t>Article</w:t>
      </w:r>
      <w:r w:rsidRPr="007B2402">
        <w:rPr>
          <w:rFonts w:eastAsia="Calibri" w:cs="Times New Roman"/>
          <w:b/>
          <w:szCs w:val="20"/>
          <w:lang w:val="en-US"/>
        </w:rPr>
        <w:t>s 8</w:t>
      </w:r>
      <w:r w:rsidRPr="007B2402">
        <w:rPr>
          <w:rFonts w:eastAsia="Calibri" w:cs="Times New Roman"/>
          <w:b/>
          <w:szCs w:val="20"/>
          <w:vertAlign w:val="superscript"/>
          <w:lang w:val="en-US"/>
        </w:rPr>
        <w:footnoteReference w:id="139"/>
      </w:r>
      <w:r w:rsidR="005B1590" w:rsidRPr="007B2402">
        <w:rPr>
          <w:rFonts w:eastAsia="Calibri" w:cs="Times New Roman"/>
          <w:b/>
          <w:szCs w:val="20"/>
          <w:lang w:val="en-US"/>
        </w:rPr>
        <w:t xml:space="preserve"> and </w:t>
      </w:r>
      <w:r w:rsidRPr="007B2402">
        <w:rPr>
          <w:rFonts w:eastAsia="Calibri" w:cs="Times New Roman"/>
          <w:b/>
          <w:szCs w:val="20"/>
          <w:lang w:val="en-US"/>
        </w:rPr>
        <w:t>25</w:t>
      </w:r>
      <w:r w:rsidR="00BF1A22" w:rsidRPr="007B2402">
        <w:rPr>
          <w:rFonts w:eastAsia="Calibri" w:cs="Times New Roman"/>
          <w:b/>
          <w:szCs w:val="20"/>
          <w:lang w:val="en-US"/>
        </w:rPr>
        <w:t>,</w:t>
      </w:r>
      <w:r w:rsidRPr="007B2402">
        <w:rPr>
          <w:rFonts w:eastAsia="Calibri" w:cs="Times New Roman"/>
          <w:b/>
          <w:szCs w:val="20"/>
          <w:vertAlign w:val="superscript"/>
          <w:lang w:val="en-US"/>
        </w:rPr>
        <w:footnoteReference w:id="140"/>
      </w:r>
      <w:r w:rsidRPr="007B2402">
        <w:rPr>
          <w:rFonts w:eastAsia="Calibri" w:cs="Times New Roman"/>
          <w:b/>
          <w:szCs w:val="20"/>
          <w:lang w:val="en-US"/>
        </w:rPr>
        <w:t xml:space="preserve"> </w:t>
      </w:r>
      <w:r w:rsidR="00BF1A22" w:rsidRPr="007B2402">
        <w:rPr>
          <w:rFonts w:eastAsia="Calibri" w:cs="Times New Roman"/>
          <w:b/>
          <w:szCs w:val="20"/>
          <w:lang w:val="en-US"/>
        </w:rPr>
        <w:t>in relation to Article</w:t>
      </w:r>
      <w:r w:rsidR="00AF4344" w:rsidRPr="007B2402">
        <w:rPr>
          <w:rFonts w:eastAsia="Calibri" w:cs="Times New Roman"/>
          <w:b/>
          <w:szCs w:val="20"/>
          <w:lang w:val="en-US"/>
        </w:rPr>
        <w:t>s</w:t>
      </w:r>
      <w:r w:rsidRPr="007B2402">
        <w:rPr>
          <w:rFonts w:eastAsia="Calibri" w:cs="Times New Roman"/>
          <w:b/>
          <w:szCs w:val="20"/>
          <w:lang w:val="en-US"/>
        </w:rPr>
        <w:t xml:space="preserve"> </w:t>
      </w:r>
      <w:r w:rsidR="00375567" w:rsidRPr="007B2402">
        <w:rPr>
          <w:rFonts w:eastAsia="Calibri" w:cs="Times New Roman"/>
          <w:b/>
          <w:szCs w:val="20"/>
          <w:lang w:val="en-US"/>
        </w:rPr>
        <w:t>1(1)</w:t>
      </w:r>
      <w:r w:rsidRPr="007B2402">
        <w:rPr>
          <w:rFonts w:eastAsia="Calibri" w:cs="Times New Roman"/>
          <w:b/>
          <w:szCs w:val="20"/>
          <w:vertAlign w:val="superscript"/>
          <w:lang w:val="en-US"/>
        </w:rPr>
        <w:footnoteReference w:id="141"/>
      </w:r>
      <w:r w:rsidR="005B1590" w:rsidRPr="007B2402">
        <w:rPr>
          <w:rFonts w:eastAsia="Calibri" w:cs="Times New Roman"/>
          <w:b/>
          <w:szCs w:val="20"/>
          <w:lang w:val="en-US"/>
        </w:rPr>
        <w:t xml:space="preserve"> and </w:t>
      </w:r>
      <w:r w:rsidRPr="007B2402">
        <w:rPr>
          <w:rFonts w:eastAsia="Calibri" w:cs="Times New Roman"/>
          <w:b/>
          <w:szCs w:val="20"/>
          <w:lang w:val="en-US"/>
        </w:rPr>
        <w:t>2</w:t>
      </w:r>
      <w:r w:rsidRPr="007B2402">
        <w:rPr>
          <w:rFonts w:eastAsia="Calibri" w:cs="Times New Roman"/>
          <w:b/>
          <w:szCs w:val="20"/>
          <w:vertAlign w:val="superscript"/>
          <w:lang w:val="en-US"/>
        </w:rPr>
        <w:footnoteReference w:id="142"/>
      </w:r>
      <w:r w:rsidR="00AF4344" w:rsidRPr="007B2402">
        <w:rPr>
          <w:rFonts w:eastAsia="Calibri" w:cs="Times New Roman"/>
          <w:b/>
          <w:szCs w:val="20"/>
          <w:lang w:val="en-US"/>
        </w:rPr>
        <w:t xml:space="preserve"> of the American Convention</w:t>
      </w:r>
      <w:r w:rsidRPr="007B2402">
        <w:rPr>
          <w:rFonts w:eastAsia="Calibri" w:cs="Times New Roman"/>
          <w:b/>
          <w:szCs w:val="20"/>
          <w:lang w:val="en-US"/>
        </w:rPr>
        <w:t>,</w:t>
      </w:r>
      <w:r w:rsidR="005B1590" w:rsidRPr="007B2402">
        <w:rPr>
          <w:rFonts w:eastAsia="Calibri" w:cs="Times New Roman"/>
          <w:b/>
          <w:szCs w:val="20"/>
          <w:lang w:val="en-US"/>
        </w:rPr>
        <w:t xml:space="preserve"> </w:t>
      </w:r>
      <w:r w:rsidR="00BF1A22" w:rsidRPr="007B2402">
        <w:rPr>
          <w:rFonts w:eastAsia="Calibri" w:cs="Times New Roman"/>
          <w:b/>
          <w:szCs w:val="20"/>
          <w:lang w:val="en-US"/>
        </w:rPr>
        <w:t>and Articles</w:t>
      </w:r>
      <w:r w:rsidRPr="007B2402">
        <w:rPr>
          <w:rFonts w:eastAsia="Calibri" w:cs="Times New Roman"/>
          <w:b/>
          <w:szCs w:val="20"/>
          <w:lang w:val="en-US"/>
        </w:rPr>
        <w:t xml:space="preserve"> </w:t>
      </w:r>
      <w:r w:rsidR="0049125E" w:rsidRPr="007B2402">
        <w:rPr>
          <w:rFonts w:eastAsia="Calibri" w:cs="Times New Roman"/>
          <w:b/>
          <w:szCs w:val="20"/>
          <w:lang w:val="en-US"/>
        </w:rPr>
        <w:t>1</w:t>
      </w:r>
      <w:r w:rsidR="00BF1A22" w:rsidRPr="007B2402">
        <w:rPr>
          <w:rFonts w:eastAsia="Calibri" w:cs="Times New Roman"/>
          <w:b/>
          <w:szCs w:val="20"/>
          <w:lang w:val="en-US"/>
        </w:rPr>
        <w:t>,</w:t>
      </w:r>
      <w:r w:rsidRPr="007B2402">
        <w:rPr>
          <w:rFonts w:eastAsia="Calibri" w:cs="Times New Roman"/>
          <w:b/>
          <w:szCs w:val="20"/>
          <w:vertAlign w:val="superscript"/>
          <w:lang w:val="en-US"/>
        </w:rPr>
        <w:footnoteReference w:id="143"/>
      </w:r>
      <w:r w:rsidRPr="007B2402">
        <w:rPr>
          <w:rFonts w:eastAsia="Calibri" w:cs="Times New Roman"/>
          <w:b/>
          <w:szCs w:val="20"/>
          <w:lang w:val="en-US"/>
        </w:rPr>
        <w:t xml:space="preserve"> 6</w:t>
      </w:r>
      <w:r w:rsidRPr="007B2402">
        <w:rPr>
          <w:rFonts w:eastAsia="Calibri" w:cs="Times New Roman"/>
          <w:b/>
          <w:szCs w:val="20"/>
          <w:vertAlign w:val="superscript"/>
          <w:lang w:val="en-US"/>
        </w:rPr>
        <w:footnoteReference w:id="144"/>
      </w:r>
      <w:r w:rsidR="005B1590" w:rsidRPr="007B2402">
        <w:rPr>
          <w:rFonts w:eastAsia="Calibri" w:cs="Times New Roman"/>
          <w:b/>
          <w:szCs w:val="20"/>
          <w:lang w:val="en-US"/>
        </w:rPr>
        <w:t xml:space="preserve"> and </w:t>
      </w:r>
      <w:r w:rsidRPr="007B2402">
        <w:rPr>
          <w:rFonts w:eastAsia="Calibri" w:cs="Times New Roman"/>
          <w:b/>
          <w:szCs w:val="20"/>
          <w:lang w:val="en-US"/>
        </w:rPr>
        <w:t>8</w:t>
      </w:r>
      <w:r w:rsidRPr="007B2402">
        <w:rPr>
          <w:rFonts w:eastAsia="Calibri" w:cs="Times New Roman"/>
          <w:b/>
          <w:szCs w:val="20"/>
          <w:vertAlign w:val="superscript"/>
          <w:lang w:val="en-US"/>
        </w:rPr>
        <w:footnoteReference w:id="145"/>
      </w:r>
      <w:r w:rsidR="00AF4344" w:rsidRPr="007B2402">
        <w:rPr>
          <w:rFonts w:eastAsia="Calibri" w:cs="Times New Roman"/>
          <w:b/>
          <w:szCs w:val="20"/>
          <w:lang w:val="en-US"/>
        </w:rPr>
        <w:t xml:space="preserve"> of the </w:t>
      </w:r>
      <w:r w:rsidR="00375567" w:rsidRPr="007B2402">
        <w:rPr>
          <w:rFonts w:eastAsia="Calibri" w:cs="Times New Roman"/>
          <w:b/>
          <w:szCs w:val="20"/>
          <w:lang w:val="en-US"/>
        </w:rPr>
        <w:t>Inter-American Convention to Prevent and Punish Torture</w:t>
      </w:r>
      <w:r w:rsidRPr="007B2402">
        <w:rPr>
          <w:rFonts w:eastAsia="Calibri" w:cs="Times New Roman"/>
          <w:b/>
          <w:szCs w:val="20"/>
          <w:lang w:val="en-US"/>
        </w:rPr>
        <w:t>)</w:t>
      </w:r>
      <w:bookmarkEnd w:id="154"/>
      <w:bookmarkEnd w:id="155"/>
      <w:bookmarkEnd w:id="156"/>
      <w:bookmarkEnd w:id="157"/>
    </w:p>
    <w:p w14:paraId="751E4203" w14:textId="77777777" w:rsidR="00EE108E" w:rsidRPr="007B2402" w:rsidRDefault="00EE108E" w:rsidP="001041B4">
      <w:pPr>
        <w:spacing w:after="0" w:line="240" w:lineRule="auto"/>
        <w:jc w:val="center"/>
        <w:outlineLvl w:val="0"/>
        <w:rPr>
          <w:rFonts w:eastAsia="Calibri" w:cs="Times New Roman"/>
          <w:b/>
          <w:szCs w:val="20"/>
          <w:lang w:val="en-US"/>
        </w:rPr>
      </w:pPr>
    </w:p>
    <w:p w14:paraId="7961728E" w14:textId="72C88031" w:rsidR="00C663C4" w:rsidRPr="007B2402" w:rsidRDefault="002761AC" w:rsidP="00AA77AE">
      <w:pPr>
        <w:pStyle w:val="Ttulo2"/>
        <w:numPr>
          <w:ilvl w:val="0"/>
          <w:numId w:val="25"/>
        </w:numPr>
        <w:ind w:left="0" w:firstLine="0"/>
        <w:rPr>
          <w:b/>
          <w:lang w:val="en-US"/>
        </w:rPr>
      </w:pPr>
      <w:bookmarkStart w:id="159" w:name="_Toc506984118"/>
      <w:r w:rsidRPr="007B2402">
        <w:rPr>
          <w:b/>
          <w:lang w:val="en-US"/>
        </w:rPr>
        <w:t>Arguments</w:t>
      </w:r>
      <w:r w:rsidR="00C663C4" w:rsidRPr="007B2402">
        <w:rPr>
          <w:b/>
          <w:lang w:val="en-US"/>
        </w:rPr>
        <w:t xml:space="preserve"> </w:t>
      </w:r>
      <w:r w:rsidR="00283370" w:rsidRPr="007B2402">
        <w:rPr>
          <w:b/>
          <w:lang w:val="en-US"/>
        </w:rPr>
        <w:t>of the parties and of</w:t>
      </w:r>
      <w:r w:rsidR="005B1590" w:rsidRPr="007B2402">
        <w:rPr>
          <w:b/>
          <w:lang w:val="en-US"/>
        </w:rPr>
        <w:t xml:space="preserve"> the </w:t>
      </w:r>
      <w:r w:rsidR="00AF4344" w:rsidRPr="007B2402">
        <w:rPr>
          <w:b/>
          <w:lang w:val="en-US"/>
        </w:rPr>
        <w:t>Commission</w:t>
      </w:r>
      <w:bookmarkEnd w:id="159"/>
      <w:r w:rsidR="00C663C4" w:rsidRPr="007B2402">
        <w:rPr>
          <w:b/>
          <w:lang w:val="en-US"/>
        </w:rPr>
        <w:t xml:space="preserve"> </w:t>
      </w:r>
    </w:p>
    <w:p w14:paraId="2A74A2E1" w14:textId="77777777" w:rsidR="00C663C4" w:rsidRPr="007B2402" w:rsidRDefault="00C663C4" w:rsidP="00AA77AE">
      <w:pPr>
        <w:pStyle w:val="Textocomentario"/>
        <w:rPr>
          <w:rFonts w:eastAsia="Calibri" w:cs="Times New Roman"/>
          <w:noProof w:val="0"/>
          <w:lang w:val="en-US"/>
        </w:rPr>
      </w:pPr>
    </w:p>
    <w:p w14:paraId="57995DCA" w14:textId="026A4ABC" w:rsidR="000744A8" w:rsidRPr="007B2402" w:rsidRDefault="00AF4344" w:rsidP="00DB1F30">
      <w:pPr>
        <w:pStyle w:val="Prrafodelista"/>
        <w:numPr>
          <w:ilvl w:val="0"/>
          <w:numId w:val="6"/>
        </w:numPr>
        <w:rPr>
          <w:rFonts w:eastAsia="Calibri" w:cs="Times New Roman"/>
          <w:b/>
          <w:szCs w:val="20"/>
          <w:lang w:val="en-US"/>
        </w:rPr>
      </w:pPr>
      <w:r w:rsidRPr="007B2402">
        <w:rPr>
          <w:rFonts w:eastAsia="Calibri" w:cs="Times New Roman"/>
          <w:szCs w:val="20"/>
          <w:lang w:val="en-US"/>
        </w:rPr>
        <w:t xml:space="preserve">The </w:t>
      </w:r>
      <w:r w:rsidRPr="007B2402">
        <w:rPr>
          <w:rFonts w:eastAsia="Calibri" w:cs="Times New Roman"/>
          <w:b/>
          <w:i/>
          <w:szCs w:val="20"/>
          <w:lang w:val="en-US"/>
        </w:rPr>
        <w:t>Commission</w:t>
      </w:r>
      <w:r w:rsidR="000744A8" w:rsidRPr="007B2402">
        <w:rPr>
          <w:rFonts w:eastAsia="Calibri" w:cs="Times New Roman"/>
          <w:szCs w:val="20"/>
          <w:lang w:val="en-US"/>
        </w:rPr>
        <w:t xml:space="preserve"> a</w:t>
      </w:r>
      <w:r w:rsidR="00BD00C6" w:rsidRPr="007B2402">
        <w:rPr>
          <w:rFonts w:eastAsia="Calibri" w:cs="Times New Roman"/>
          <w:szCs w:val="20"/>
          <w:lang w:val="en-US"/>
        </w:rPr>
        <w:t>rgued that the detention, torture</w:t>
      </w:r>
      <w:r w:rsidR="000744A8" w:rsidRPr="007B2402">
        <w:rPr>
          <w:rFonts w:eastAsia="Calibri" w:cs="Times New Roman"/>
          <w:szCs w:val="20"/>
          <w:lang w:val="en-US"/>
        </w:rPr>
        <w:t xml:space="preserve"> </w:t>
      </w:r>
      <w:r w:rsidR="00BD00C6" w:rsidRPr="007B2402">
        <w:rPr>
          <w:rFonts w:eastAsia="Calibri" w:cs="Times New Roman"/>
          <w:szCs w:val="20"/>
          <w:lang w:val="en-US"/>
        </w:rPr>
        <w:t xml:space="preserve">and </w:t>
      </w:r>
      <w:r w:rsidR="00D668E2" w:rsidRPr="007B2402">
        <w:rPr>
          <w:rFonts w:eastAsia="Calibri" w:cs="Times New Roman"/>
          <w:szCs w:val="20"/>
          <w:lang w:val="en-US"/>
        </w:rPr>
        <w:t>murder</w:t>
      </w:r>
      <w:r w:rsidR="00BD00C6" w:rsidRPr="007B2402">
        <w:rPr>
          <w:rFonts w:eastAsia="Calibri" w:cs="Times New Roman"/>
          <w:szCs w:val="20"/>
          <w:lang w:val="en-US"/>
        </w:rPr>
        <w:t xml:space="preserve"> of</w:t>
      </w:r>
      <w:r w:rsidR="000744A8" w:rsidRPr="007B2402">
        <w:rPr>
          <w:rFonts w:eastAsia="Calibri" w:cs="Times New Roman"/>
          <w:szCs w:val="20"/>
          <w:lang w:val="en-US"/>
        </w:rPr>
        <w:t xml:space="preserve"> Vladimir Herzog </w:t>
      </w:r>
      <w:r w:rsidR="00BD00C6" w:rsidRPr="007B2402">
        <w:rPr>
          <w:rFonts w:eastAsia="Calibri" w:cs="Times New Roman"/>
          <w:szCs w:val="20"/>
          <w:lang w:val="en-US"/>
        </w:rPr>
        <w:t xml:space="preserve">took place in the context of gross human rights violations during the Brazilian military </w:t>
      </w:r>
      <w:r w:rsidR="00BD00C6" w:rsidRPr="007B2402">
        <w:rPr>
          <w:rFonts w:eastAsia="Calibri" w:cs="Times New Roman"/>
          <w:szCs w:val="20"/>
          <w:lang w:val="en-US"/>
        </w:rPr>
        <w:lastRenderedPageBreak/>
        <w:t>dictatorship and, partiularly, within an acknowledged systematic pattern of represssive actions against the Brazilia</w:t>
      </w:r>
      <w:r w:rsidR="004D347B" w:rsidRPr="007B2402">
        <w:rPr>
          <w:rFonts w:eastAsia="Calibri" w:cs="Times New Roman"/>
          <w:szCs w:val="20"/>
          <w:lang w:val="en-US"/>
        </w:rPr>
        <w:t>n</w:t>
      </w:r>
      <w:r w:rsidR="00BD00C6" w:rsidRPr="007B2402">
        <w:rPr>
          <w:rFonts w:eastAsia="Calibri" w:cs="Times New Roman"/>
          <w:szCs w:val="20"/>
          <w:lang w:val="en-US"/>
        </w:rPr>
        <w:t xml:space="preserve"> Communist Party </w:t>
      </w:r>
      <w:r w:rsidR="000744A8" w:rsidRPr="007B2402">
        <w:rPr>
          <w:rFonts w:eastAsia="Calibri" w:cs="Times New Roman"/>
          <w:szCs w:val="20"/>
          <w:lang w:val="en-US"/>
        </w:rPr>
        <w:t xml:space="preserve">(PCB). </w:t>
      </w:r>
      <w:r w:rsidR="00BD00C6" w:rsidRPr="007B2402">
        <w:rPr>
          <w:rFonts w:eastAsia="Calibri" w:cs="Times New Roman"/>
          <w:szCs w:val="20"/>
          <w:lang w:val="en-US"/>
        </w:rPr>
        <w:t xml:space="preserve">It also indicated that the actions were aimed at punishing the supposed political </w:t>
      </w:r>
      <w:r w:rsidR="005511EC" w:rsidRPr="007B2402">
        <w:rPr>
          <w:rFonts w:eastAsia="Calibri" w:cs="Times New Roman"/>
          <w:szCs w:val="20"/>
          <w:lang w:val="en-US"/>
        </w:rPr>
        <w:t>opinions and activism of the journalist and had the effect of threatening and intimidating other journalis</w:t>
      </w:r>
      <w:r w:rsidR="004D347B" w:rsidRPr="007B2402">
        <w:rPr>
          <w:rFonts w:eastAsia="Calibri" w:cs="Times New Roman"/>
          <w:szCs w:val="20"/>
          <w:lang w:val="en-US"/>
        </w:rPr>
        <w:t>t</w:t>
      </w:r>
      <w:r w:rsidR="005511EC" w:rsidRPr="007B2402">
        <w:rPr>
          <w:rFonts w:eastAsia="Calibri" w:cs="Times New Roman"/>
          <w:szCs w:val="20"/>
          <w:lang w:val="en-US"/>
        </w:rPr>
        <w:t>s who were critical of the military regime.</w:t>
      </w:r>
    </w:p>
    <w:p w14:paraId="31AFF63C" w14:textId="77777777" w:rsidR="000744A8" w:rsidRPr="007B2402" w:rsidRDefault="000744A8" w:rsidP="000744A8">
      <w:pPr>
        <w:spacing w:after="0" w:line="240" w:lineRule="auto"/>
        <w:jc w:val="both"/>
        <w:rPr>
          <w:rFonts w:eastAsia="Calibri" w:cs="Times New Roman"/>
          <w:b/>
          <w:szCs w:val="20"/>
          <w:lang w:val="en-US"/>
        </w:rPr>
      </w:pPr>
    </w:p>
    <w:p w14:paraId="31DA2297" w14:textId="6EF927BE" w:rsidR="005511EC" w:rsidRPr="007B2402" w:rsidRDefault="005511EC" w:rsidP="00DB1F30">
      <w:pPr>
        <w:numPr>
          <w:ilvl w:val="0"/>
          <w:numId w:val="6"/>
        </w:numPr>
        <w:spacing w:after="0" w:line="240" w:lineRule="auto"/>
        <w:jc w:val="both"/>
        <w:rPr>
          <w:rFonts w:eastAsia="Calibri" w:cs="Times New Roman"/>
          <w:b/>
          <w:szCs w:val="20"/>
          <w:lang w:val="en-US"/>
        </w:rPr>
      </w:pPr>
      <w:r w:rsidRPr="007B2402">
        <w:rPr>
          <w:rFonts w:eastAsia="Calibri" w:cs="Times New Roman"/>
          <w:szCs w:val="20"/>
          <w:lang w:val="en-US"/>
        </w:rPr>
        <w:t xml:space="preserve">It considered that the impunity and </w:t>
      </w:r>
      <w:r w:rsidR="004D347B" w:rsidRPr="007B2402">
        <w:rPr>
          <w:rFonts w:eastAsia="Calibri" w:cs="Times New Roman"/>
          <w:szCs w:val="20"/>
          <w:lang w:val="en-US"/>
        </w:rPr>
        <w:t>concealment</w:t>
      </w:r>
      <w:r w:rsidRPr="007B2402">
        <w:rPr>
          <w:rFonts w:eastAsia="Calibri" w:cs="Times New Roman"/>
          <w:szCs w:val="20"/>
          <w:lang w:val="en-US"/>
        </w:rPr>
        <w:t xml:space="preserve"> of the truth in this case</w:t>
      </w:r>
      <w:r w:rsidR="004D347B" w:rsidRPr="007B2402">
        <w:rPr>
          <w:rFonts w:eastAsia="Calibri" w:cs="Times New Roman"/>
          <w:szCs w:val="20"/>
          <w:lang w:val="en-US"/>
        </w:rPr>
        <w:t xml:space="preserve"> had had</w:t>
      </w:r>
      <w:r w:rsidRPr="007B2402">
        <w:rPr>
          <w:rFonts w:eastAsia="Calibri" w:cs="Times New Roman"/>
          <w:szCs w:val="20"/>
          <w:lang w:val="en-US"/>
        </w:rPr>
        <w:t xml:space="preserve"> prejudicial effects on the exercise of the right to freedom of expression, in general, and on the right to information in the country. In the Commission’s opinion, freedom of expression </w:t>
      </w:r>
      <w:r w:rsidR="004D347B" w:rsidRPr="007B2402">
        <w:rPr>
          <w:rFonts w:eastAsia="Calibri" w:cs="Times New Roman"/>
          <w:szCs w:val="20"/>
          <w:lang w:val="en-US"/>
        </w:rPr>
        <w:t>had been</w:t>
      </w:r>
      <w:r w:rsidRPr="007B2402">
        <w:rPr>
          <w:rFonts w:eastAsia="Calibri" w:cs="Times New Roman"/>
          <w:szCs w:val="20"/>
          <w:lang w:val="en-US"/>
        </w:rPr>
        <w:t xml:space="preserve"> a specific objective of the military repression in all the countries of the Southern Cone, by co-option and by direct control of the media, and also by violently attacking independent journalists and critics of the regime,</w:t>
      </w:r>
      <w:r w:rsidR="00A10278" w:rsidRPr="007B2402">
        <w:rPr>
          <w:rFonts w:eastAsia="Calibri" w:cs="Times New Roman"/>
          <w:szCs w:val="20"/>
          <w:lang w:val="en-US"/>
        </w:rPr>
        <w:t xml:space="preserve"> </w:t>
      </w:r>
      <w:r w:rsidRPr="007B2402">
        <w:rPr>
          <w:rFonts w:eastAsia="Calibri" w:cs="Times New Roman"/>
          <w:szCs w:val="20"/>
          <w:lang w:val="en-US"/>
        </w:rPr>
        <w:t>result</w:t>
      </w:r>
      <w:r w:rsidR="00A10278" w:rsidRPr="007B2402">
        <w:rPr>
          <w:rFonts w:eastAsia="Calibri" w:cs="Times New Roman"/>
          <w:szCs w:val="20"/>
          <w:lang w:val="en-US"/>
        </w:rPr>
        <w:t>ing</w:t>
      </w:r>
      <w:r w:rsidRPr="007B2402">
        <w:rPr>
          <w:rFonts w:eastAsia="Calibri" w:cs="Times New Roman"/>
          <w:szCs w:val="20"/>
          <w:lang w:val="en-US"/>
        </w:rPr>
        <w:t xml:space="preserve"> in </w:t>
      </w:r>
      <w:r w:rsidR="00A10278" w:rsidRPr="007B2402">
        <w:rPr>
          <w:rFonts w:eastAsia="Calibri" w:cs="Times New Roman"/>
          <w:szCs w:val="20"/>
          <w:lang w:val="en-US"/>
        </w:rPr>
        <w:t>detention</w:t>
      </w:r>
      <w:r w:rsidRPr="007B2402">
        <w:rPr>
          <w:rFonts w:eastAsia="Calibri" w:cs="Times New Roman"/>
          <w:szCs w:val="20"/>
          <w:lang w:val="en-US"/>
        </w:rPr>
        <w:t xml:space="preserve">, torture and </w:t>
      </w:r>
      <w:r w:rsidR="00D668E2" w:rsidRPr="007B2402">
        <w:rPr>
          <w:rFonts w:eastAsia="Calibri" w:cs="Times New Roman"/>
          <w:szCs w:val="20"/>
          <w:lang w:val="en-US"/>
        </w:rPr>
        <w:t>murder</w:t>
      </w:r>
      <w:r w:rsidRPr="007B2402">
        <w:rPr>
          <w:rFonts w:eastAsia="Calibri" w:cs="Times New Roman"/>
          <w:szCs w:val="20"/>
          <w:lang w:val="en-US"/>
        </w:rPr>
        <w:t xml:space="preserve"> in many cases.</w:t>
      </w:r>
    </w:p>
    <w:p w14:paraId="245A502F" w14:textId="77777777" w:rsidR="000744A8" w:rsidRPr="007B2402" w:rsidRDefault="000744A8" w:rsidP="000744A8">
      <w:pPr>
        <w:spacing w:after="0" w:line="240" w:lineRule="auto"/>
        <w:jc w:val="both"/>
        <w:rPr>
          <w:rFonts w:eastAsia="Calibri" w:cs="Times New Roman"/>
          <w:szCs w:val="20"/>
          <w:lang w:val="en-US"/>
        </w:rPr>
      </w:pPr>
    </w:p>
    <w:p w14:paraId="37C2E2A2" w14:textId="7562DBD2" w:rsidR="000744A8" w:rsidRPr="007B2402" w:rsidRDefault="00AF4344" w:rsidP="00DB1F30">
      <w:pPr>
        <w:numPr>
          <w:ilvl w:val="0"/>
          <w:numId w:val="6"/>
        </w:numPr>
        <w:spacing w:after="0" w:line="240" w:lineRule="auto"/>
        <w:jc w:val="both"/>
        <w:rPr>
          <w:rFonts w:eastAsia="Calibri" w:cs="Times New Roman"/>
          <w:b/>
          <w:szCs w:val="20"/>
          <w:lang w:val="en-US"/>
        </w:rPr>
      </w:pPr>
      <w:r w:rsidRPr="007B2402">
        <w:rPr>
          <w:rFonts w:eastAsia="Calibri" w:cs="Times New Roman"/>
          <w:szCs w:val="20"/>
          <w:lang w:val="en-US"/>
        </w:rPr>
        <w:t>The Commission</w:t>
      </w:r>
      <w:r w:rsidR="000744A8" w:rsidRPr="007B2402">
        <w:rPr>
          <w:rFonts w:eastAsia="Calibri" w:cs="Times New Roman"/>
          <w:szCs w:val="20"/>
          <w:lang w:val="en-US"/>
        </w:rPr>
        <w:t xml:space="preserve"> rec</w:t>
      </w:r>
      <w:r w:rsidR="005511EC" w:rsidRPr="007B2402">
        <w:rPr>
          <w:rFonts w:eastAsia="Calibri" w:cs="Times New Roman"/>
          <w:szCs w:val="20"/>
          <w:lang w:val="en-US"/>
        </w:rPr>
        <w:t xml:space="preserve">alled that, in cases of </w:t>
      </w:r>
      <w:r w:rsidR="000744A8" w:rsidRPr="007B2402">
        <w:rPr>
          <w:rFonts w:eastAsia="Calibri" w:cs="Times New Roman"/>
          <w:szCs w:val="20"/>
          <w:lang w:val="en-US"/>
        </w:rPr>
        <w:t>tortur</w:t>
      </w:r>
      <w:r w:rsidR="005511EC" w:rsidRPr="007B2402">
        <w:rPr>
          <w:rFonts w:eastAsia="Calibri" w:cs="Times New Roman"/>
          <w:szCs w:val="20"/>
          <w:lang w:val="en-US"/>
        </w:rPr>
        <w:t>e</w:t>
      </w:r>
      <w:r w:rsidR="000744A8" w:rsidRPr="007B2402">
        <w:rPr>
          <w:rFonts w:eastAsia="Calibri" w:cs="Times New Roman"/>
          <w:szCs w:val="20"/>
          <w:lang w:val="en-US"/>
        </w:rPr>
        <w:t xml:space="preserve">, </w:t>
      </w:r>
      <w:r w:rsidRPr="007B2402">
        <w:rPr>
          <w:rFonts w:eastAsia="Calibri" w:cs="Times New Roman"/>
          <w:szCs w:val="20"/>
          <w:lang w:val="en-US"/>
        </w:rPr>
        <w:t>the State</w:t>
      </w:r>
      <w:r w:rsidR="000744A8" w:rsidRPr="007B2402">
        <w:rPr>
          <w:rFonts w:eastAsia="Calibri" w:cs="Times New Roman"/>
          <w:szCs w:val="20"/>
          <w:lang w:val="en-US"/>
        </w:rPr>
        <w:t xml:space="preserve"> </w:t>
      </w:r>
      <w:r w:rsidR="00A10278" w:rsidRPr="007B2402">
        <w:rPr>
          <w:rFonts w:eastAsia="Calibri" w:cs="Times New Roman"/>
          <w:szCs w:val="20"/>
          <w:lang w:val="en-US"/>
        </w:rPr>
        <w:t>must</w:t>
      </w:r>
      <w:r w:rsidR="005511EC" w:rsidRPr="007B2402">
        <w:rPr>
          <w:rFonts w:eastAsia="Calibri" w:cs="Times New Roman"/>
          <w:szCs w:val="20"/>
          <w:lang w:val="en-US"/>
        </w:rPr>
        <w:t xml:space="preserve"> open an investigation, </w:t>
      </w:r>
      <w:r w:rsidR="005511EC" w:rsidRPr="007B2402">
        <w:rPr>
          <w:rFonts w:eastAsia="Calibri" w:cs="Times New Roman"/>
          <w:i/>
          <w:iCs/>
          <w:szCs w:val="20"/>
          <w:lang w:val="en-US"/>
        </w:rPr>
        <w:t>ex officio</w:t>
      </w:r>
      <w:r w:rsidR="005511EC" w:rsidRPr="007B2402">
        <w:rPr>
          <w:rFonts w:eastAsia="Calibri" w:cs="Times New Roman"/>
          <w:szCs w:val="20"/>
          <w:lang w:val="en-US"/>
        </w:rPr>
        <w:t>, and with due diligence, conducted by</w:t>
      </w:r>
      <w:r w:rsidR="000744A8" w:rsidRPr="007B2402">
        <w:rPr>
          <w:rFonts w:eastAsia="Calibri" w:cs="Times New Roman"/>
          <w:szCs w:val="20"/>
          <w:lang w:val="en-US"/>
        </w:rPr>
        <w:t xml:space="preserve"> </w:t>
      </w:r>
      <w:r w:rsidR="005511EC" w:rsidRPr="007B2402">
        <w:rPr>
          <w:rFonts w:eastAsia="Calibri" w:cs="Times New Roman"/>
          <w:szCs w:val="20"/>
          <w:lang w:val="en-US"/>
        </w:rPr>
        <w:t>independent authorities who should not have any hierarchical or institutional connection to the accused.</w:t>
      </w:r>
    </w:p>
    <w:p w14:paraId="4A7D263C" w14:textId="77777777" w:rsidR="000744A8" w:rsidRPr="007B2402" w:rsidRDefault="000744A8" w:rsidP="000744A8">
      <w:pPr>
        <w:spacing w:after="0" w:line="240" w:lineRule="auto"/>
        <w:jc w:val="both"/>
        <w:rPr>
          <w:rFonts w:eastAsia="Calibri" w:cs="Times New Roman"/>
          <w:szCs w:val="20"/>
          <w:lang w:val="en-US"/>
        </w:rPr>
      </w:pPr>
    </w:p>
    <w:p w14:paraId="3E30AD47" w14:textId="5F12A2CB" w:rsidR="000744A8" w:rsidRPr="007B2402" w:rsidRDefault="005511EC"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In this regard, the Commission asserted that the State had failed to comply with its obligation to investigate</w:t>
      </w:r>
      <w:r w:rsidR="004D0120" w:rsidRPr="007B2402">
        <w:rPr>
          <w:rFonts w:eastAsia="Calibri" w:cs="Times New Roman"/>
          <w:szCs w:val="20"/>
          <w:lang w:val="en-US"/>
        </w:rPr>
        <w:t>,</w:t>
      </w:r>
      <w:r w:rsidRPr="007B2402">
        <w:rPr>
          <w:rFonts w:eastAsia="Calibri" w:cs="Times New Roman"/>
          <w:szCs w:val="20"/>
          <w:lang w:val="en-US"/>
        </w:rPr>
        <w:t xml:space="preserve"> with due diligence</w:t>
      </w:r>
      <w:r w:rsidR="004D0120" w:rsidRPr="007B2402">
        <w:rPr>
          <w:rFonts w:eastAsia="Calibri" w:cs="Times New Roman"/>
          <w:szCs w:val="20"/>
          <w:lang w:val="en-US"/>
        </w:rPr>
        <w:t>,</w:t>
      </w:r>
      <w:r w:rsidRPr="007B2402">
        <w:rPr>
          <w:rFonts w:eastAsia="Calibri" w:cs="Times New Roman"/>
          <w:szCs w:val="20"/>
          <w:lang w:val="en-US"/>
        </w:rPr>
        <w:t xml:space="preserve"> the facts that violated the human rights of </w:t>
      </w:r>
      <w:r w:rsidR="000744A8" w:rsidRPr="007B2402">
        <w:rPr>
          <w:rFonts w:eastAsia="Calibri" w:cs="Times New Roman"/>
          <w:szCs w:val="20"/>
          <w:lang w:val="en-US"/>
        </w:rPr>
        <w:t xml:space="preserve">Vladimir Herzog. </w:t>
      </w:r>
      <w:r w:rsidRPr="007B2402">
        <w:rPr>
          <w:rFonts w:eastAsia="Calibri" w:cs="Times New Roman"/>
          <w:szCs w:val="20"/>
          <w:lang w:val="en-US"/>
        </w:rPr>
        <w:t xml:space="preserve">In its opinion, the investigation into his death conducted </w:t>
      </w:r>
      <w:r w:rsidR="005B63CB" w:rsidRPr="007B2402">
        <w:rPr>
          <w:rFonts w:eastAsia="Calibri" w:cs="Times New Roman"/>
          <w:szCs w:val="20"/>
          <w:lang w:val="en-US"/>
        </w:rPr>
        <w:t>in the military jurisdiction in 1975 prevented the clarification of the facts and violated the right of the victim’s family to know the truth of what happened.</w:t>
      </w:r>
    </w:p>
    <w:p w14:paraId="6C7462B1" w14:textId="77777777" w:rsidR="000744A8" w:rsidRPr="007B2402" w:rsidRDefault="000744A8" w:rsidP="000744A8">
      <w:pPr>
        <w:spacing w:after="0" w:line="240" w:lineRule="auto"/>
        <w:jc w:val="both"/>
        <w:rPr>
          <w:rFonts w:eastAsia="Calibri" w:cs="Times New Roman"/>
          <w:szCs w:val="20"/>
          <w:lang w:val="en-US"/>
        </w:rPr>
      </w:pPr>
    </w:p>
    <w:p w14:paraId="47FB21B4" w14:textId="35662FCE" w:rsidR="000744A8" w:rsidRPr="007B2402" w:rsidRDefault="00AF4344" w:rsidP="005B63CB">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The Inter-American Commission</w:t>
      </w:r>
      <w:r w:rsidR="000744A8" w:rsidRPr="007B2402">
        <w:rPr>
          <w:rFonts w:eastAsia="Calibri" w:cs="Times New Roman"/>
          <w:szCs w:val="20"/>
          <w:lang w:val="en-US"/>
        </w:rPr>
        <w:t xml:space="preserve"> reco</w:t>
      </w:r>
      <w:r w:rsidR="005B63CB" w:rsidRPr="007B2402">
        <w:rPr>
          <w:rFonts w:eastAsia="Calibri" w:cs="Times New Roman"/>
          <w:szCs w:val="20"/>
          <w:lang w:val="en-US"/>
        </w:rPr>
        <w:t>gnized that, following the transition to democracy, the Brazilian State had taken measures that had contributed to clarifying the historical truth of the unlawful detention, torture and death of the journalist, Vladimir Herzog. Nevertheless, the “historical truth” contained in the reports produced by the Truth Commission d</w:t>
      </w:r>
      <w:r w:rsidR="004D0120" w:rsidRPr="007B2402">
        <w:rPr>
          <w:rFonts w:eastAsia="Calibri" w:cs="Times New Roman"/>
          <w:szCs w:val="20"/>
          <w:lang w:val="en-US"/>
        </w:rPr>
        <w:t>id</w:t>
      </w:r>
      <w:r w:rsidR="005B63CB" w:rsidRPr="007B2402">
        <w:rPr>
          <w:rFonts w:eastAsia="Calibri" w:cs="Times New Roman"/>
          <w:szCs w:val="20"/>
          <w:lang w:val="en-US"/>
        </w:rPr>
        <w:t xml:space="preserve"> not complete or substitute for the State’s obligation to ensure that individual or State responsibilities </w:t>
      </w:r>
      <w:r w:rsidR="004D0120" w:rsidRPr="007B2402">
        <w:rPr>
          <w:rFonts w:eastAsia="Calibri" w:cs="Times New Roman"/>
          <w:szCs w:val="20"/>
          <w:lang w:val="en-US"/>
        </w:rPr>
        <w:t>we</w:t>
      </w:r>
      <w:r w:rsidR="005B63CB" w:rsidRPr="007B2402">
        <w:rPr>
          <w:rFonts w:eastAsia="Calibri" w:cs="Times New Roman"/>
          <w:szCs w:val="20"/>
          <w:lang w:val="en-US"/>
        </w:rPr>
        <w:t xml:space="preserve">re determined by the courts in appropriate proceedings, and it </w:t>
      </w:r>
      <w:r w:rsidR="004D0120" w:rsidRPr="007B2402">
        <w:rPr>
          <w:rFonts w:eastAsia="Calibri" w:cs="Times New Roman"/>
          <w:szCs w:val="20"/>
          <w:lang w:val="en-US"/>
        </w:rPr>
        <w:t>wa</w:t>
      </w:r>
      <w:r w:rsidR="005B63CB" w:rsidRPr="007B2402">
        <w:rPr>
          <w:rFonts w:eastAsia="Calibri" w:cs="Times New Roman"/>
          <w:szCs w:val="20"/>
          <w:lang w:val="en-US"/>
        </w:rPr>
        <w:t xml:space="preserve">s therefore the State’s duty to open and </w:t>
      </w:r>
      <w:r w:rsidR="004D0120" w:rsidRPr="007B2402">
        <w:rPr>
          <w:rFonts w:eastAsia="Calibri" w:cs="Times New Roman"/>
          <w:szCs w:val="20"/>
          <w:lang w:val="en-US"/>
        </w:rPr>
        <w:t>expedite</w:t>
      </w:r>
      <w:r w:rsidR="005B63CB" w:rsidRPr="007B2402">
        <w:rPr>
          <w:rFonts w:eastAsia="Calibri" w:cs="Times New Roman"/>
          <w:szCs w:val="20"/>
          <w:lang w:val="en-US"/>
        </w:rPr>
        <w:t xml:space="preserve"> criminal investigations to determine the corresponding responsibilities pursuant to </w:t>
      </w:r>
      <w:r w:rsidRPr="007B2402">
        <w:rPr>
          <w:rFonts w:eastAsia="Calibri" w:cs="Times New Roman"/>
          <w:szCs w:val="20"/>
          <w:lang w:val="en-US"/>
        </w:rPr>
        <w:t>Articles</w:t>
      </w:r>
      <w:r w:rsidR="00987DED" w:rsidRPr="007B2402">
        <w:rPr>
          <w:rFonts w:eastAsia="Calibri" w:cs="Times New Roman"/>
          <w:szCs w:val="20"/>
          <w:lang w:val="en-US"/>
        </w:rPr>
        <w:t xml:space="preserve"> </w:t>
      </w:r>
      <w:r w:rsidR="00375567" w:rsidRPr="007B2402">
        <w:rPr>
          <w:rFonts w:eastAsia="Calibri" w:cs="Times New Roman"/>
          <w:szCs w:val="20"/>
          <w:lang w:val="en-US"/>
        </w:rPr>
        <w:t>1(1)</w:t>
      </w:r>
      <w:r w:rsidR="00987DED" w:rsidRPr="007B2402">
        <w:rPr>
          <w:rFonts w:eastAsia="Calibri" w:cs="Times New Roman"/>
          <w:szCs w:val="20"/>
          <w:lang w:val="en-US"/>
        </w:rPr>
        <w:t>, 8</w:t>
      </w:r>
      <w:r w:rsidR="005B1590" w:rsidRPr="007B2402">
        <w:rPr>
          <w:rFonts w:eastAsia="Calibri" w:cs="Times New Roman"/>
          <w:szCs w:val="20"/>
          <w:lang w:val="en-US"/>
        </w:rPr>
        <w:t xml:space="preserve"> and </w:t>
      </w:r>
      <w:r w:rsidR="00987DED" w:rsidRPr="007B2402">
        <w:rPr>
          <w:rFonts w:eastAsia="Calibri" w:cs="Times New Roman"/>
          <w:szCs w:val="20"/>
          <w:lang w:val="en-US"/>
        </w:rPr>
        <w:t>25</w:t>
      </w:r>
      <w:r w:rsidRPr="007B2402">
        <w:rPr>
          <w:rFonts w:eastAsia="Calibri" w:cs="Times New Roman"/>
          <w:szCs w:val="20"/>
          <w:lang w:val="en-US"/>
        </w:rPr>
        <w:t xml:space="preserve"> of the Convention</w:t>
      </w:r>
      <w:r w:rsidR="00987DED" w:rsidRPr="007B2402">
        <w:rPr>
          <w:rFonts w:eastAsia="Calibri" w:cs="Times New Roman"/>
          <w:szCs w:val="20"/>
          <w:lang w:val="en-US"/>
        </w:rPr>
        <w:t>.</w:t>
      </w:r>
    </w:p>
    <w:p w14:paraId="0848C48B" w14:textId="77777777" w:rsidR="000744A8" w:rsidRPr="007B2402" w:rsidRDefault="000744A8" w:rsidP="000744A8">
      <w:pPr>
        <w:spacing w:after="0" w:line="240" w:lineRule="auto"/>
        <w:jc w:val="both"/>
        <w:rPr>
          <w:rFonts w:eastAsia="Calibri" w:cs="Times New Roman"/>
          <w:szCs w:val="20"/>
          <w:lang w:val="en-US"/>
        </w:rPr>
      </w:pPr>
    </w:p>
    <w:p w14:paraId="6AA8CD47" w14:textId="2CA4A82F" w:rsidR="000744A8" w:rsidRPr="007B2402" w:rsidRDefault="00AF4344" w:rsidP="00DB1F30">
      <w:pPr>
        <w:numPr>
          <w:ilvl w:val="0"/>
          <w:numId w:val="6"/>
        </w:numPr>
        <w:spacing w:after="0" w:line="240" w:lineRule="auto"/>
        <w:jc w:val="both"/>
        <w:rPr>
          <w:rFonts w:eastAsia="Calibri" w:cs="Times New Roman"/>
          <w:b/>
          <w:szCs w:val="20"/>
          <w:lang w:val="en-US"/>
        </w:rPr>
      </w:pPr>
      <w:r w:rsidRPr="007B2402">
        <w:rPr>
          <w:rFonts w:eastAsia="Calibri" w:cs="Times New Roman"/>
          <w:szCs w:val="20"/>
          <w:lang w:val="en-US"/>
        </w:rPr>
        <w:t>The Commission</w:t>
      </w:r>
      <w:r w:rsidR="000744A8" w:rsidRPr="007B2402">
        <w:rPr>
          <w:rFonts w:eastAsia="Calibri" w:cs="Times New Roman"/>
          <w:szCs w:val="20"/>
          <w:lang w:val="en-US"/>
        </w:rPr>
        <w:t xml:space="preserve"> </w:t>
      </w:r>
      <w:r w:rsidR="005B63CB" w:rsidRPr="007B2402">
        <w:rPr>
          <w:rFonts w:eastAsia="Calibri" w:cs="Times New Roman"/>
          <w:szCs w:val="20"/>
          <w:lang w:val="en-US"/>
        </w:rPr>
        <w:t xml:space="preserve">indicated that, in this case, the Brazilian Judiciary </w:t>
      </w:r>
      <w:r w:rsidR="005F6E78" w:rsidRPr="007B2402">
        <w:rPr>
          <w:rFonts w:eastAsia="Calibri" w:cs="Times New Roman"/>
          <w:szCs w:val="20"/>
          <w:lang w:val="en-US"/>
        </w:rPr>
        <w:t xml:space="preserve">had </w:t>
      </w:r>
      <w:r w:rsidR="005B63CB" w:rsidRPr="007B2402">
        <w:rPr>
          <w:rFonts w:eastAsia="Calibri" w:cs="Times New Roman"/>
          <w:szCs w:val="20"/>
          <w:lang w:val="en-US"/>
        </w:rPr>
        <w:t xml:space="preserve">validated the interpretation of </w:t>
      </w:r>
      <w:r w:rsidR="00513729" w:rsidRPr="007B2402">
        <w:rPr>
          <w:rFonts w:eastAsia="Calibri" w:cs="Times New Roman"/>
          <w:szCs w:val="20"/>
          <w:lang w:val="en-US"/>
        </w:rPr>
        <w:t xml:space="preserve">Law </w:t>
      </w:r>
      <w:r w:rsidR="000744A8" w:rsidRPr="007B2402">
        <w:rPr>
          <w:rFonts w:eastAsia="Calibri" w:cs="Times New Roman"/>
          <w:szCs w:val="20"/>
          <w:lang w:val="en-US"/>
        </w:rPr>
        <w:t>No. 6</w:t>
      </w:r>
      <w:r w:rsidR="005B63CB" w:rsidRPr="007B2402">
        <w:rPr>
          <w:rFonts w:eastAsia="Calibri" w:cs="Times New Roman"/>
          <w:szCs w:val="20"/>
          <w:lang w:val="en-US"/>
        </w:rPr>
        <w:t>,</w:t>
      </w:r>
      <w:r w:rsidR="000744A8" w:rsidRPr="007B2402">
        <w:rPr>
          <w:rFonts w:eastAsia="Calibri" w:cs="Times New Roman"/>
          <w:szCs w:val="20"/>
          <w:lang w:val="en-US"/>
        </w:rPr>
        <w:t>683/79 (</w:t>
      </w:r>
      <w:r w:rsidR="00221E16" w:rsidRPr="007B2402">
        <w:rPr>
          <w:rFonts w:eastAsia="Calibri" w:cs="Times New Roman"/>
          <w:szCs w:val="20"/>
          <w:lang w:val="en-US"/>
        </w:rPr>
        <w:t>Amnesty Law</w:t>
      </w:r>
      <w:r w:rsidR="000744A8" w:rsidRPr="007B2402">
        <w:rPr>
          <w:rFonts w:eastAsia="Calibri" w:cs="Times New Roman"/>
          <w:szCs w:val="20"/>
          <w:lang w:val="en-US"/>
        </w:rPr>
        <w:t xml:space="preserve">). </w:t>
      </w:r>
      <w:r w:rsidR="005B63CB" w:rsidRPr="007B2402">
        <w:rPr>
          <w:rFonts w:eastAsia="Calibri" w:cs="Times New Roman"/>
          <w:szCs w:val="20"/>
          <w:lang w:val="en-US"/>
        </w:rPr>
        <w:t>Consequently</w:t>
      </w:r>
      <w:r w:rsidR="000744A8" w:rsidRPr="007B2402">
        <w:rPr>
          <w:rFonts w:eastAsia="Calibri" w:cs="Times New Roman"/>
          <w:szCs w:val="20"/>
          <w:lang w:val="en-US"/>
        </w:rPr>
        <w:t xml:space="preserve">, </w:t>
      </w:r>
      <w:r w:rsidRPr="007B2402">
        <w:rPr>
          <w:rFonts w:eastAsia="Calibri" w:cs="Times New Roman"/>
          <w:szCs w:val="20"/>
          <w:lang w:val="en-US"/>
        </w:rPr>
        <w:t>the Commission</w:t>
      </w:r>
      <w:r w:rsidR="000744A8" w:rsidRPr="007B2402">
        <w:rPr>
          <w:rFonts w:eastAsia="Calibri" w:cs="Times New Roman"/>
          <w:szCs w:val="20"/>
          <w:lang w:val="en-US"/>
        </w:rPr>
        <w:t xml:space="preserve"> </w:t>
      </w:r>
      <w:r w:rsidR="00987DED" w:rsidRPr="007B2402">
        <w:rPr>
          <w:rFonts w:eastAsia="Calibri" w:cs="Times New Roman"/>
          <w:szCs w:val="20"/>
          <w:lang w:val="en-US"/>
        </w:rPr>
        <w:t>consider</w:t>
      </w:r>
      <w:r w:rsidR="005B63CB" w:rsidRPr="007B2402">
        <w:rPr>
          <w:rFonts w:eastAsia="Calibri" w:cs="Times New Roman"/>
          <w:szCs w:val="20"/>
          <w:lang w:val="en-US"/>
        </w:rPr>
        <w:t xml:space="preserve">ed that the judicial authorities that took part in the investigation into the arbitrary detention, torture and murder of </w:t>
      </w:r>
      <w:r w:rsidR="000744A8" w:rsidRPr="007B2402">
        <w:rPr>
          <w:rFonts w:eastAsia="Calibri" w:cs="Times New Roman"/>
          <w:szCs w:val="20"/>
          <w:lang w:val="en-US"/>
        </w:rPr>
        <w:t xml:space="preserve">Vladimir Herzog </w:t>
      </w:r>
      <w:r w:rsidR="005F6E78" w:rsidRPr="007B2402">
        <w:rPr>
          <w:rFonts w:eastAsia="Calibri" w:cs="Times New Roman"/>
          <w:szCs w:val="20"/>
          <w:lang w:val="en-US"/>
        </w:rPr>
        <w:t>had prevented</w:t>
      </w:r>
      <w:r w:rsidR="005B63CB" w:rsidRPr="007B2402">
        <w:rPr>
          <w:rFonts w:eastAsia="Calibri" w:cs="Times New Roman"/>
          <w:szCs w:val="20"/>
          <w:lang w:val="en-US"/>
        </w:rPr>
        <w:t xml:space="preserve"> the identification, prosecution and eventual punishment of those responsible, and </w:t>
      </w:r>
      <w:r w:rsidR="005F6E78" w:rsidRPr="007B2402">
        <w:rPr>
          <w:rFonts w:eastAsia="Calibri" w:cs="Times New Roman"/>
          <w:szCs w:val="20"/>
          <w:lang w:val="en-US"/>
        </w:rPr>
        <w:t xml:space="preserve">had </w:t>
      </w:r>
      <w:r w:rsidR="005B63CB" w:rsidRPr="007B2402">
        <w:rPr>
          <w:rFonts w:eastAsia="Calibri" w:cs="Times New Roman"/>
          <w:szCs w:val="20"/>
          <w:lang w:val="en-US"/>
        </w:rPr>
        <w:t xml:space="preserve">failed to exercise </w:t>
      </w:r>
      <w:r w:rsidR="005F6E78" w:rsidRPr="007B2402">
        <w:rPr>
          <w:rFonts w:eastAsia="Calibri" w:cs="Times New Roman"/>
          <w:szCs w:val="20"/>
          <w:lang w:val="en-US"/>
        </w:rPr>
        <w:t>the proper</w:t>
      </w:r>
      <w:r w:rsidR="005B63CB" w:rsidRPr="007B2402">
        <w:rPr>
          <w:rFonts w:eastAsia="Calibri" w:cs="Times New Roman"/>
          <w:szCs w:val="20"/>
          <w:lang w:val="en-US"/>
        </w:rPr>
        <w:t xml:space="preserve"> control of conventionality</w:t>
      </w:r>
      <w:r w:rsidR="005F6E78" w:rsidRPr="007B2402">
        <w:rPr>
          <w:rFonts w:eastAsia="Calibri" w:cs="Times New Roman"/>
          <w:szCs w:val="20"/>
          <w:lang w:val="en-US"/>
        </w:rPr>
        <w:t xml:space="preserve"> to which they were obliged</w:t>
      </w:r>
      <w:r w:rsidR="005B63CB" w:rsidRPr="007B2402">
        <w:rPr>
          <w:rFonts w:eastAsia="Calibri" w:cs="Times New Roman"/>
          <w:szCs w:val="20"/>
          <w:lang w:val="en-US"/>
        </w:rPr>
        <w:t xml:space="preserve"> following ratification </w:t>
      </w:r>
      <w:r w:rsidRPr="007B2402">
        <w:rPr>
          <w:rFonts w:eastAsia="Calibri" w:cs="Times New Roman"/>
          <w:szCs w:val="20"/>
          <w:lang w:val="en-US"/>
        </w:rPr>
        <w:t>of the American Convention</w:t>
      </w:r>
      <w:r w:rsidR="000744A8" w:rsidRPr="007B2402">
        <w:rPr>
          <w:rFonts w:eastAsia="Calibri" w:cs="Times New Roman"/>
          <w:szCs w:val="20"/>
          <w:lang w:val="en-US"/>
        </w:rPr>
        <w:t xml:space="preserve">, </w:t>
      </w:r>
      <w:r w:rsidR="005F6E78" w:rsidRPr="007B2402">
        <w:rPr>
          <w:rFonts w:eastAsia="Calibri" w:cs="Times New Roman"/>
          <w:szCs w:val="20"/>
          <w:lang w:val="en-US"/>
        </w:rPr>
        <w:t>in accordance with</w:t>
      </w:r>
      <w:r w:rsidR="005B63CB" w:rsidRPr="007B2402">
        <w:rPr>
          <w:rFonts w:eastAsia="Calibri" w:cs="Times New Roman"/>
          <w:szCs w:val="20"/>
          <w:lang w:val="en-US"/>
        </w:rPr>
        <w:t xml:space="preserve"> the international obligations of Brazil under international law.</w:t>
      </w:r>
    </w:p>
    <w:p w14:paraId="68D81341" w14:textId="77777777" w:rsidR="000744A8" w:rsidRPr="007B2402" w:rsidRDefault="000744A8" w:rsidP="000744A8">
      <w:pPr>
        <w:spacing w:after="0" w:line="240" w:lineRule="auto"/>
        <w:jc w:val="both"/>
        <w:rPr>
          <w:rFonts w:eastAsia="Calibri" w:cs="Times New Roman"/>
          <w:b/>
          <w:szCs w:val="20"/>
          <w:lang w:val="en-US"/>
        </w:rPr>
      </w:pPr>
    </w:p>
    <w:p w14:paraId="233AD6B3" w14:textId="11769CDD" w:rsidR="005B63CB" w:rsidRPr="007B2402" w:rsidRDefault="005B63CB" w:rsidP="00DB1F30">
      <w:pPr>
        <w:numPr>
          <w:ilvl w:val="0"/>
          <w:numId w:val="6"/>
        </w:numPr>
        <w:spacing w:after="0" w:line="240" w:lineRule="auto"/>
        <w:jc w:val="both"/>
        <w:rPr>
          <w:rFonts w:eastAsia="Calibri" w:cs="Times New Roman"/>
          <w:b/>
          <w:szCs w:val="20"/>
          <w:lang w:val="en-US"/>
        </w:rPr>
      </w:pPr>
      <w:r w:rsidRPr="007B2402">
        <w:rPr>
          <w:rFonts w:eastAsia="Calibri" w:cs="Times New Roman"/>
          <w:szCs w:val="20"/>
          <w:lang w:val="en-US"/>
        </w:rPr>
        <w:t>In addition</w:t>
      </w:r>
      <w:r w:rsidR="000744A8" w:rsidRPr="007B2402">
        <w:rPr>
          <w:rFonts w:eastAsia="Calibri" w:cs="Times New Roman"/>
          <w:szCs w:val="20"/>
          <w:lang w:val="en-US"/>
        </w:rPr>
        <w:t xml:space="preserve">, </w:t>
      </w:r>
      <w:r w:rsidR="00AF4344" w:rsidRPr="007B2402">
        <w:rPr>
          <w:rFonts w:eastAsia="Calibri" w:cs="Times New Roman"/>
          <w:szCs w:val="20"/>
          <w:lang w:val="en-US"/>
        </w:rPr>
        <w:t>the Commission</w:t>
      </w:r>
      <w:r w:rsidR="000744A8" w:rsidRPr="007B2402">
        <w:rPr>
          <w:rFonts w:eastAsia="Calibri" w:cs="Times New Roman"/>
          <w:szCs w:val="20"/>
          <w:lang w:val="en-US"/>
        </w:rPr>
        <w:t xml:space="preserve"> rec</w:t>
      </w:r>
      <w:r w:rsidRPr="007B2402">
        <w:rPr>
          <w:rFonts w:eastAsia="Calibri" w:cs="Times New Roman"/>
          <w:szCs w:val="20"/>
          <w:lang w:val="en-US"/>
        </w:rPr>
        <w:t xml:space="preserve">alled that the application of amnesty laws or other measures to exclude </w:t>
      </w:r>
      <w:r w:rsidR="005F6E78" w:rsidRPr="007B2402">
        <w:rPr>
          <w:rFonts w:eastAsia="Calibri" w:cs="Times New Roman"/>
          <w:szCs w:val="20"/>
          <w:lang w:val="en-US"/>
        </w:rPr>
        <w:t>liability</w:t>
      </w:r>
      <w:r w:rsidRPr="007B2402">
        <w:rPr>
          <w:rFonts w:eastAsia="Calibri" w:cs="Times New Roman"/>
          <w:szCs w:val="20"/>
          <w:lang w:val="en-US"/>
        </w:rPr>
        <w:t xml:space="preserve"> </w:t>
      </w:r>
      <w:r w:rsidR="005F6E78" w:rsidRPr="007B2402">
        <w:rPr>
          <w:rFonts w:eastAsia="Calibri" w:cs="Times New Roman"/>
          <w:szCs w:val="20"/>
          <w:lang w:val="en-US"/>
        </w:rPr>
        <w:t>that</w:t>
      </w:r>
      <w:r w:rsidRPr="007B2402">
        <w:rPr>
          <w:rFonts w:eastAsia="Calibri" w:cs="Times New Roman"/>
          <w:szCs w:val="20"/>
          <w:lang w:val="en-US"/>
        </w:rPr>
        <w:t xml:space="preserve"> prevent</w:t>
      </w:r>
      <w:r w:rsidR="005F6E78" w:rsidRPr="007B2402">
        <w:rPr>
          <w:rFonts w:eastAsia="Calibri" w:cs="Times New Roman"/>
          <w:szCs w:val="20"/>
          <w:lang w:val="en-US"/>
        </w:rPr>
        <w:t>ed</w:t>
      </w:r>
      <w:r w:rsidRPr="007B2402">
        <w:rPr>
          <w:rFonts w:eastAsia="Calibri" w:cs="Times New Roman"/>
          <w:szCs w:val="20"/>
          <w:lang w:val="en-US"/>
        </w:rPr>
        <w:t xml:space="preserve"> access to justice in cases of gross human rights violations </w:t>
      </w:r>
      <w:r w:rsidR="00C225B2" w:rsidRPr="007B2402">
        <w:rPr>
          <w:rFonts w:eastAsia="Calibri" w:cs="Times New Roman"/>
          <w:szCs w:val="20"/>
          <w:lang w:val="en-US"/>
        </w:rPr>
        <w:t>ha</w:t>
      </w:r>
      <w:r w:rsidR="005F6E78" w:rsidRPr="007B2402">
        <w:rPr>
          <w:rFonts w:eastAsia="Calibri" w:cs="Times New Roman"/>
          <w:szCs w:val="20"/>
          <w:lang w:val="en-US"/>
        </w:rPr>
        <w:t>d</w:t>
      </w:r>
      <w:r w:rsidR="00C225B2" w:rsidRPr="007B2402">
        <w:rPr>
          <w:rFonts w:eastAsia="Calibri" w:cs="Times New Roman"/>
          <w:szCs w:val="20"/>
          <w:lang w:val="en-US"/>
        </w:rPr>
        <w:t xml:space="preserve"> two effects. On the one hand, they render</w:t>
      </w:r>
      <w:r w:rsidR="005F6E78" w:rsidRPr="007B2402">
        <w:rPr>
          <w:rFonts w:eastAsia="Calibri" w:cs="Times New Roman"/>
          <w:szCs w:val="20"/>
          <w:lang w:val="en-US"/>
        </w:rPr>
        <w:t>ed</w:t>
      </w:r>
      <w:r w:rsidR="00C225B2" w:rsidRPr="007B2402">
        <w:rPr>
          <w:rFonts w:eastAsia="Calibri" w:cs="Times New Roman"/>
          <w:szCs w:val="20"/>
          <w:lang w:val="en-US"/>
        </w:rPr>
        <w:t xml:space="preserve"> ineffective the obligation of States to respect the rights and freedoms recognized in the American Convention and to ensure their free and full exercise to all persons subject to their jurisdiction without any discrimination. On the other hand, the</w:t>
      </w:r>
      <w:r w:rsidR="005F6E78" w:rsidRPr="007B2402">
        <w:rPr>
          <w:rFonts w:eastAsia="Calibri" w:cs="Times New Roman"/>
          <w:szCs w:val="20"/>
          <w:lang w:val="en-US"/>
        </w:rPr>
        <w:t>y</w:t>
      </w:r>
      <w:r w:rsidR="00C225B2" w:rsidRPr="007B2402">
        <w:rPr>
          <w:rFonts w:eastAsia="Calibri" w:cs="Times New Roman"/>
          <w:szCs w:val="20"/>
          <w:lang w:val="en-US"/>
        </w:rPr>
        <w:t xml:space="preserve"> prevent</w:t>
      </w:r>
      <w:r w:rsidR="005F6E78" w:rsidRPr="007B2402">
        <w:rPr>
          <w:rFonts w:eastAsia="Calibri" w:cs="Times New Roman"/>
          <w:szCs w:val="20"/>
          <w:lang w:val="en-US"/>
        </w:rPr>
        <w:t>ed</w:t>
      </w:r>
      <w:r w:rsidR="00C225B2" w:rsidRPr="007B2402">
        <w:rPr>
          <w:rFonts w:eastAsia="Calibri" w:cs="Times New Roman"/>
          <w:szCs w:val="20"/>
          <w:lang w:val="en-US"/>
        </w:rPr>
        <w:t xml:space="preserve"> access to information about the facts and circumstances that surrounded the violation of a fundamental right and eliminate</w:t>
      </w:r>
      <w:r w:rsidR="005F6E78" w:rsidRPr="007B2402">
        <w:rPr>
          <w:rFonts w:eastAsia="Calibri" w:cs="Times New Roman"/>
          <w:szCs w:val="20"/>
          <w:lang w:val="en-US"/>
        </w:rPr>
        <w:t>d</w:t>
      </w:r>
      <w:r w:rsidR="00C225B2" w:rsidRPr="007B2402">
        <w:rPr>
          <w:rFonts w:eastAsia="Calibri" w:cs="Times New Roman"/>
          <w:szCs w:val="20"/>
          <w:lang w:val="en-US"/>
        </w:rPr>
        <w:t xml:space="preserve"> the most effective measure to ensure the exercise of human rights</w:t>
      </w:r>
      <w:r w:rsidR="005F6E78" w:rsidRPr="007B2402">
        <w:rPr>
          <w:rFonts w:eastAsia="Calibri" w:cs="Times New Roman"/>
          <w:szCs w:val="20"/>
          <w:lang w:val="en-US"/>
        </w:rPr>
        <w:t xml:space="preserve"> – that is,</w:t>
      </w:r>
      <w:r w:rsidR="00C225B2" w:rsidRPr="007B2402">
        <w:rPr>
          <w:rFonts w:eastAsia="Calibri" w:cs="Times New Roman"/>
          <w:szCs w:val="20"/>
          <w:lang w:val="en-US"/>
        </w:rPr>
        <w:t xml:space="preserve"> the prosecution and punishment of those responsible</w:t>
      </w:r>
      <w:r w:rsidR="005F6E78" w:rsidRPr="007B2402">
        <w:rPr>
          <w:rFonts w:eastAsia="Calibri" w:cs="Times New Roman"/>
          <w:szCs w:val="20"/>
          <w:lang w:val="en-US"/>
        </w:rPr>
        <w:t xml:space="preserve"> – b</w:t>
      </w:r>
      <w:r w:rsidR="00C225B2" w:rsidRPr="007B2402">
        <w:rPr>
          <w:rFonts w:eastAsia="Calibri" w:cs="Times New Roman"/>
          <w:szCs w:val="20"/>
          <w:lang w:val="en-US"/>
        </w:rPr>
        <w:t>ecause they prevent</w:t>
      </w:r>
      <w:r w:rsidR="005F6E78" w:rsidRPr="007B2402">
        <w:rPr>
          <w:rFonts w:eastAsia="Calibri" w:cs="Times New Roman"/>
          <w:szCs w:val="20"/>
          <w:lang w:val="en-US"/>
        </w:rPr>
        <w:t>ed</w:t>
      </w:r>
      <w:r w:rsidR="00C225B2" w:rsidRPr="007B2402">
        <w:rPr>
          <w:rFonts w:eastAsia="Calibri" w:cs="Times New Roman"/>
          <w:szCs w:val="20"/>
          <w:lang w:val="en-US"/>
        </w:rPr>
        <w:t xml:space="preserve"> implementation of the judicial remedies of the domestic jurisdiction.</w:t>
      </w:r>
    </w:p>
    <w:p w14:paraId="526ACE4D" w14:textId="77777777" w:rsidR="000744A8" w:rsidRPr="007B2402" w:rsidRDefault="000744A8" w:rsidP="000744A8">
      <w:pPr>
        <w:spacing w:after="0" w:line="240" w:lineRule="auto"/>
        <w:jc w:val="both"/>
        <w:rPr>
          <w:rFonts w:eastAsia="Calibri" w:cs="Times New Roman"/>
          <w:szCs w:val="20"/>
          <w:lang w:val="en-US"/>
        </w:rPr>
      </w:pPr>
    </w:p>
    <w:p w14:paraId="66794A38" w14:textId="71A57779" w:rsidR="000744A8" w:rsidRPr="007B2402" w:rsidRDefault="00C225B2" w:rsidP="00C225B2">
      <w:pPr>
        <w:numPr>
          <w:ilvl w:val="0"/>
          <w:numId w:val="6"/>
        </w:numPr>
        <w:spacing w:after="0" w:line="240" w:lineRule="auto"/>
        <w:jc w:val="both"/>
        <w:rPr>
          <w:rFonts w:eastAsia="Calibri" w:cs="Times New Roman"/>
          <w:b/>
          <w:szCs w:val="20"/>
          <w:lang w:val="en-US"/>
        </w:rPr>
      </w:pPr>
      <w:r w:rsidRPr="007B2402">
        <w:rPr>
          <w:rFonts w:eastAsia="Calibri" w:cs="Times New Roman"/>
          <w:szCs w:val="20"/>
          <w:lang w:val="en-US"/>
        </w:rPr>
        <w:t xml:space="preserve">It indicated that, in 2009, a federal criminal court had </w:t>
      </w:r>
      <w:r w:rsidR="005F6E78" w:rsidRPr="007B2402">
        <w:rPr>
          <w:rFonts w:eastAsia="Calibri" w:cs="Times New Roman"/>
          <w:szCs w:val="20"/>
          <w:lang w:val="en-US"/>
        </w:rPr>
        <w:t xml:space="preserve">ruled to close </w:t>
      </w:r>
      <w:r w:rsidRPr="007B2402">
        <w:rPr>
          <w:rFonts w:eastAsia="Calibri" w:cs="Times New Roman"/>
          <w:szCs w:val="20"/>
          <w:lang w:val="en-US"/>
        </w:rPr>
        <w:t>the investigation into the facts of this case, considering that the closure ordered by the state</w:t>
      </w:r>
      <w:r w:rsidRPr="007B2402">
        <w:rPr>
          <w:rFonts w:eastAsia="Calibri" w:cs="Times New Roman"/>
          <w:i/>
          <w:iCs/>
          <w:szCs w:val="20"/>
          <w:lang w:val="en-US"/>
        </w:rPr>
        <w:t xml:space="preserve"> </w:t>
      </w:r>
      <w:r w:rsidRPr="007B2402">
        <w:rPr>
          <w:rFonts w:eastAsia="Calibri" w:cs="Times New Roman"/>
          <w:szCs w:val="20"/>
          <w:lang w:val="en-US"/>
        </w:rPr>
        <w:t>courts in 1993</w:t>
      </w:r>
      <w:r w:rsidR="00052439" w:rsidRPr="007B2402">
        <w:rPr>
          <w:rFonts w:eastAsia="Calibri" w:cs="Times New Roman"/>
          <w:szCs w:val="20"/>
          <w:lang w:val="en-US"/>
        </w:rPr>
        <w:t>,</w:t>
      </w:r>
      <w:r w:rsidRPr="007B2402">
        <w:rPr>
          <w:rFonts w:eastAsia="Calibri" w:cs="Times New Roman"/>
          <w:szCs w:val="20"/>
          <w:lang w:val="en-US"/>
        </w:rPr>
        <w:t xml:space="preserve"> in application of the Amnesty Law</w:t>
      </w:r>
      <w:r w:rsidR="00052439" w:rsidRPr="007B2402">
        <w:rPr>
          <w:rFonts w:eastAsia="Calibri" w:cs="Times New Roman"/>
          <w:szCs w:val="20"/>
          <w:lang w:val="en-US"/>
        </w:rPr>
        <w:t>,</w:t>
      </w:r>
      <w:r w:rsidRPr="007B2402">
        <w:rPr>
          <w:rFonts w:eastAsia="Calibri" w:cs="Times New Roman"/>
          <w:szCs w:val="20"/>
          <w:lang w:val="en-US"/>
        </w:rPr>
        <w:t xml:space="preserve"> had acquired the status of </w:t>
      </w:r>
      <w:r w:rsidRPr="007B2402">
        <w:rPr>
          <w:rFonts w:eastAsia="Calibri" w:cs="Times New Roman"/>
          <w:i/>
          <w:iCs/>
          <w:szCs w:val="20"/>
          <w:lang w:val="en-US"/>
        </w:rPr>
        <w:t>res judicata</w:t>
      </w:r>
      <w:r w:rsidRPr="007B2402">
        <w:rPr>
          <w:rFonts w:eastAsia="Calibri" w:cs="Times New Roman"/>
          <w:szCs w:val="20"/>
          <w:lang w:val="en-US"/>
        </w:rPr>
        <w:t xml:space="preserve">. Thus, the Commission </w:t>
      </w:r>
      <w:r w:rsidRPr="007B2402">
        <w:rPr>
          <w:rFonts w:eastAsia="Calibri" w:cs="Times New Roman"/>
          <w:szCs w:val="20"/>
          <w:lang w:val="en-US"/>
        </w:rPr>
        <w:lastRenderedPageBreak/>
        <w:t>understood that, in view of its evident incompatibility with</w:t>
      </w:r>
      <w:r w:rsidRPr="007B2402">
        <w:rPr>
          <w:rFonts w:eastAsia="Calibri" w:cs="Times New Roman"/>
          <w:b/>
          <w:szCs w:val="20"/>
          <w:lang w:val="en-US"/>
        </w:rPr>
        <w:t xml:space="preserve"> </w:t>
      </w:r>
      <w:r w:rsidR="00AF4344" w:rsidRPr="007B2402">
        <w:rPr>
          <w:rFonts w:eastAsia="Calibri" w:cs="Times New Roman"/>
          <w:szCs w:val="20"/>
          <w:lang w:val="en-US"/>
        </w:rPr>
        <w:t>the American Convention</w:t>
      </w:r>
      <w:r w:rsidR="000744A8" w:rsidRPr="007B2402">
        <w:rPr>
          <w:rFonts w:eastAsia="Calibri" w:cs="Times New Roman"/>
          <w:szCs w:val="20"/>
          <w:lang w:val="en-US"/>
        </w:rPr>
        <w:t xml:space="preserve">, </w:t>
      </w:r>
      <w:r w:rsidRPr="007B2402">
        <w:rPr>
          <w:rFonts w:eastAsia="Calibri" w:cs="Times New Roman"/>
          <w:szCs w:val="20"/>
          <w:lang w:val="en-US"/>
        </w:rPr>
        <w:t xml:space="preserve">the interpretation and application of the </w:t>
      </w:r>
      <w:r w:rsidR="00221E16" w:rsidRPr="007B2402">
        <w:rPr>
          <w:rFonts w:eastAsia="Calibri" w:cs="Times New Roman"/>
          <w:szCs w:val="20"/>
          <w:lang w:val="en-US"/>
        </w:rPr>
        <w:t>Amnesty Law</w:t>
      </w:r>
      <w:r w:rsidR="000744A8" w:rsidRPr="007B2402">
        <w:rPr>
          <w:rFonts w:eastAsia="Calibri" w:cs="Times New Roman"/>
          <w:szCs w:val="20"/>
          <w:lang w:val="en-US"/>
        </w:rPr>
        <w:t xml:space="preserve"> </w:t>
      </w:r>
      <w:r w:rsidRPr="007B2402">
        <w:rPr>
          <w:rFonts w:eastAsia="Calibri" w:cs="Times New Roman"/>
          <w:szCs w:val="20"/>
          <w:lang w:val="en-US"/>
        </w:rPr>
        <w:t xml:space="preserve">in this case was aimed at </w:t>
      </w:r>
      <w:r w:rsidR="00426CA0" w:rsidRPr="007B2402">
        <w:rPr>
          <w:rFonts w:eastAsia="Calibri" w:cs="Times New Roman"/>
          <w:szCs w:val="20"/>
          <w:lang w:val="en-US"/>
        </w:rPr>
        <w:t>shielding</w:t>
      </w:r>
      <w:r w:rsidRPr="007B2402">
        <w:rPr>
          <w:rFonts w:eastAsia="Calibri" w:cs="Times New Roman"/>
          <w:szCs w:val="20"/>
          <w:lang w:val="en-US"/>
        </w:rPr>
        <w:t xml:space="preserve"> those presumably responsible from the action of justice and leaving the crime committed against the journalist </w:t>
      </w:r>
      <w:r w:rsidR="000744A8" w:rsidRPr="007B2402">
        <w:rPr>
          <w:rFonts w:eastAsia="Calibri" w:cs="Times New Roman"/>
          <w:szCs w:val="20"/>
          <w:lang w:val="en-US"/>
        </w:rPr>
        <w:t xml:space="preserve">Vladimir Herzog </w:t>
      </w:r>
      <w:r w:rsidRPr="007B2402">
        <w:rPr>
          <w:rFonts w:eastAsia="Calibri" w:cs="Times New Roman"/>
          <w:szCs w:val="20"/>
          <w:lang w:val="en-US"/>
        </w:rPr>
        <w:t>in impunity</w:t>
      </w:r>
      <w:r w:rsidR="000744A8" w:rsidRPr="007B2402">
        <w:rPr>
          <w:rFonts w:eastAsia="Calibri" w:cs="Times New Roman"/>
          <w:szCs w:val="20"/>
          <w:lang w:val="en-US"/>
        </w:rPr>
        <w:t>.</w:t>
      </w:r>
      <w:r w:rsidRPr="007B2402">
        <w:rPr>
          <w:rFonts w:eastAsia="Calibri" w:cs="Times New Roman"/>
          <w:szCs w:val="20"/>
          <w:lang w:val="en-US"/>
        </w:rPr>
        <w:t xml:space="preserve"> It indicated that, in this case, the State </w:t>
      </w:r>
      <w:r w:rsidR="00052439" w:rsidRPr="007B2402">
        <w:rPr>
          <w:rFonts w:eastAsia="Calibri" w:cs="Times New Roman"/>
          <w:szCs w:val="20"/>
          <w:lang w:val="en-US"/>
        </w:rPr>
        <w:t>could not</w:t>
      </w:r>
      <w:r w:rsidRPr="007B2402">
        <w:rPr>
          <w:rFonts w:eastAsia="Calibri" w:cs="Times New Roman"/>
          <w:szCs w:val="20"/>
          <w:lang w:val="en-US"/>
        </w:rPr>
        <w:t xml:space="preserve"> </w:t>
      </w:r>
      <w:r w:rsidR="00052439" w:rsidRPr="007B2402">
        <w:rPr>
          <w:rFonts w:eastAsia="Calibri" w:cs="Times New Roman"/>
          <w:szCs w:val="20"/>
          <w:lang w:val="en-US"/>
        </w:rPr>
        <w:t>resort to</w:t>
      </w:r>
      <w:r w:rsidRPr="007B2402">
        <w:rPr>
          <w:rFonts w:eastAsia="Calibri" w:cs="Times New Roman"/>
          <w:szCs w:val="20"/>
          <w:lang w:val="en-US"/>
        </w:rPr>
        <w:t xml:space="preserve"> the principle of </w:t>
      </w:r>
      <w:r w:rsidR="00987DED" w:rsidRPr="007B2402">
        <w:rPr>
          <w:rFonts w:eastAsia="Calibri" w:cs="Times New Roman"/>
          <w:i/>
          <w:szCs w:val="20"/>
          <w:lang w:val="en-US"/>
        </w:rPr>
        <w:t>ne bis in idem</w:t>
      </w:r>
      <w:r w:rsidR="000744A8" w:rsidRPr="007B2402">
        <w:rPr>
          <w:rFonts w:eastAsia="Calibri" w:cs="Times New Roman"/>
          <w:szCs w:val="20"/>
          <w:lang w:val="en-US"/>
        </w:rPr>
        <w:t xml:space="preserve"> </w:t>
      </w:r>
      <w:r w:rsidRPr="007B2402">
        <w:rPr>
          <w:rFonts w:eastAsia="Calibri" w:cs="Times New Roman"/>
          <w:szCs w:val="20"/>
          <w:lang w:val="en-US"/>
        </w:rPr>
        <w:t>in order not to comply with its international obligations.</w:t>
      </w:r>
    </w:p>
    <w:p w14:paraId="562135E9" w14:textId="77777777" w:rsidR="000744A8" w:rsidRPr="007B2402" w:rsidRDefault="000744A8" w:rsidP="000744A8">
      <w:pPr>
        <w:spacing w:after="0" w:line="240" w:lineRule="auto"/>
        <w:jc w:val="both"/>
        <w:rPr>
          <w:rFonts w:eastAsia="Calibri" w:cs="Times New Roman"/>
          <w:b/>
          <w:szCs w:val="20"/>
          <w:lang w:val="en-US"/>
        </w:rPr>
      </w:pPr>
    </w:p>
    <w:p w14:paraId="531E173E" w14:textId="7D491F3C" w:rsidR="000744A8" w:rsidRPr="007B2402" w:rsidRDefault="00C64294"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 xml:space="preserve">Regarding the presumed violation of the principle of legality, </w:t>
      </w:r>
      <w:r w:rsidR="00AF4344" w:rsidRPr="007B2402">
        <w:rPr>
          <w:rFonts w:eastAsia="Calibri" w:cs="Times New Roman"/>
          <w:szCs w:val="20"/>
          <w:lang w:val="en-US"/>
        </w:rPr>
        <w:t>the Commission</w:t>
      </w:r>
      <w:r w:rsidR="000744A8" w:rsidRPr="007B2402">
        <w:rPr>
          <w:rFonts w:eastAsia="Calibri" w:cs="Times New Roman"/>
          <w:szCs w:val="20"/>
          <w:lang w:val="en-US"/>
        </w:rPr>
        <w:t xml:space="preserve"> </w:t>
      </w:r>
      <w:r w:rsidRPr="007B2402">
        <w:rPr>
          <w:rFonts w:eastAsia="Calibri" w:cs="Times New Roman"/>
          <w:szCs w:val="20"/>
          <w:lang w:val="en-US"/>
        </w:rPr>
        <w:t>a</w:t>
      </w:r>
      <w:r w:rsidR="00A20842" w:rsidRPr="007B2402">
        <w:rPr>
          <w:rFonts w:eastAsia="Calibri" w:cs="Times New Roman"/>
          <w:szCs w:val="20"/>
          <w:lang w:val="en-US"/>
        </w:rPr>
        <w:t>rgu</w:t>
      </w:r>
      <w:r w:rsidRPr="007B2402">
        <w:rPr>
          <w:rFonts w:eastAsia="Calibri" w:cs="Times New Roman"/>
          <w:szCs w:val="20"/>
          <w:lang w:val="en-US"/>
        </w:rPr>
        <w:t xml:space="preserve">ed that the opening of an investigation in this case did not violate the </w:t>
      </w:r>
      <w:r w:rsidR="00052439" w:rsidRPr="007B2402">
        <w:rPr>
          <w:rFonts w:eastAsia="Calibri" w:cs="Times New Roman"/>
          <w:szCs w:val="20"/>
          <w:lang w:val="en-US"/>
        </w:rPr>
        <w:t xml:space="preserve">rule of law </w:t>
      </w:r>
      <w:r w:rsidRPr="007B2402">
        <w:rPr>
          <w:rFonts w:eastAsia="Calibri" w:cs="Times New Roman"/>
          <w:szCs w:val="20"/>
          <w:lang w:val="en-US"/>
        </w:rPr>
        <w:t>because, at the time the facts occurred, international law recognized as a general principle the imprescriptibility of war crimes and crimes against humanity</w:t>
      </w:r>
      <w:r w:rsidR="000744A8" w:rsidRPr="007B2402">
        <w:rPr>
          <w:rFonts w:eastAsia="Calibri" w:cs="Times New Roman"/>
          <w:szCs w:val="20"/>
          <w:lang w:val="en-US"/>
        </w:rPr>
        <w:t xml:space="preserve">. </w:t>
      </w:r>
    </w:p>
    <w:p w14:paraId="446E7912" w14:textId="77777777" w:rsidR="000744A8" w:rsidRPr="007B2402" w:rsidRDefault="000744A8" w:rsidP="000744A8">
      <w:pPr>
        <w:spacing w:after="0" w:line="240" w:lineRule="auto"/>
        <w:jc w:val="both"/>
        <w:rPr>
          <w:rFonts w:eastAsia="Calibri" w:cs="Times New Roman"/>
          <w:szCs w:val="20"/>
          <w:lang w:val="en-US"/>
        </w:rPr>
      </w:pPr>
    </w:p>
    <w:p w14:paraId="5D276F52" w14:textId="11F2EAFD" w:rsidR="000744A8" w:rsidRPr="007B2402" w:rsidRDefault="00C64294"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 xml:space="preserve">Based on the above, </w:t>
      </w:r>
      <w:r w:rsidR="00AF4344" w:rsidRPr="007B2402">
        <w:rPr>
          <w:rFonts w:eastAsia="Calibri" w:cs="Times New Roman"/>
          <w:szCs w:val="20"/>
          <w:lang w:val="en-US"/>
        </w:rPr>
        <w:t>the Commission</w:t>
      </w:r>
      <w:r w:rsidR="000744A8" w:rsidRPr="007B2402">
        <w:rPr>
          <w:rFonts w:eastAsia="Calibri" w:cs="Times New Roman"/>
          <w:szCs w:val="20"/>
          <w:lang w:val="en-US"/>
        </w:rPr>
        <w:t xml:space="preserve"> </w:t>
      </w:r>
      <w:r w:rsidR="00A95975" w:rsidRPr="007B2402">
        <w:rPr>
          <w:rFonts w:eastAsia="Calibri" w:cs="Times New Roman"/>
          <w:szCs w:val="20"/>
          <w:lang w:val="en-US"/>
        </w:rPr>
        <w:t>conclu</w:t>
      </w:r>
      <w:r w:rsidRPr="007B2402">
        <w:rPr>
          <w:rFonts w:eastAsia="Calibri" w:cs="Times New Roman"/>
          <w:szCs w:val="20"/>
          <w:lang w:val="en-US"/>
        </w:rPr>
        <w:t>ded that the failure to investigate the facts, and to prosecute and punish those responsible violated the rights to</w:t>
      </w:r>
      <w:r w:rsidR="000744A8" w:rsidRPr="007B2402">
        <w:rPr>
          <w:rFonts w:eastAsia="Calibri" w:cs="Times New Roman"/>
          <w:szCs w:val="20"/>
          <w:lang w:val="en-US"/>
        </w:rPr>
        <w:t xml:space="preserve"> </w:t>
      </w:r>
      <w:r w:rsidR="008B5281" w:rsidRPr="007B2402">
        <w:rPr>
          <w:rFonts w:eastAsia="Calibri" w:cs="Times New Roman"/>
          <w:szCs w:val="20"/>
          <w:lang w:val="en-US"/>
        </w:rPr>
        <w:t>judicial guarantee</w:t>
      </w:r>
      <w:r w:rsidR="000744A8" w:rsidRPr="007B2402">
        <w:rPr>
          <w:rFonts w:eastAsia="Calibri" w:cs="Times New Roman"/>
          <w:szCs w:val="20"/>
          <w:lang w:val="en-US"/>
        </w:rPr>
        <w:t>s</w:t>
      </w:r>
      <w:r w:rsidR="005B1590" w:rsidRPr="007B2402">
        <w:rPr>
          <w:rFonts w:eastAsia="Calibri" w:cs="Times New Roman"/>
          <w:szCs w:val="20"/>
          <w:lang w:val="en-US"/>
        </w:rPr>
        <w:t xml:space="preserve"> an</w:t>
      </w:r>
      <w:r w:rsidRPr="007B2402">
        <w:rPr>
          <w:rFonts w:eastAsia="Calibri" w:cs="Times New Roman"/>
          <w:szCs w:val="20"/>
          <w:lang w:val="en-US"/>
        </w:rPr>
        <w:t>d</w:t>
      </w:r>
      <w:r w:rsidR="000744A8" w:rsidRPr="007B2402">
        <w:rPr>
          <w:rFonts w:eastAsia="Calibri" w:cs="Times New Roman"/>
          <w:szCs w:val="20"/>
          <w:lang w:val="en-US"/>
        </w:rPr>
        <w:t xml:space="preserve"> </w:t>
      </w:r>
      <w:r w:rsidR="008B5281" w:rsidRPr="007B2402">
        <w:rPr>
          <w:rFonts w:eastAsia="Calibri" w:cs="Times New Roman"/>
          <w:szCs w:val="20"/>
          <w:lang w:val="en-US"/>
        </w:rPr>
        <w:t>judicial protection</w:t>
      </w:r>
      <w:r w:rsidR="000744A8" w:rsidRPr="007B2402">
        <w:rPr>
          <w:rFonts w:eastAsia="Calibri" w:cs="Times New Roman"/>
          <w:szCs w:val="20"/>
          <w:lang w:val="en-US"/>
        </w:rPr>
        <w:t xml:space="preserve"> </w:t>
      </w:r>
      <w:r w:rsidRPr="007B2402">
        <w:rPr>
          <w:rFonts w:eastAsia="Calibri" w:cs="Times New Roman"/>
          <w:szCs w:val="20"/>
          <w:lang w:val="en-US"/>
        </w:rPr>
        <w:t>established in</w:t>
      </w:r>
      <w:r w:rsidR="000744A8" w:rsidRPr="007B2402">
        <w:rPr>
          <w:rFonts w:eastAsia="Calibri" w:cs="Times New Roman"/>
          <w:szCs w:val="20"/>
          <w:lang w:val="en-US"/>
        </w:rPr>
        <w:t xml:space="preserve"> </w:t>
      </w:r>
      <w:r w:rsidR="00AF4344" w:rsidRPr="007B2402">
        <w:rPr>
          <w:rFonts w:eastAsia="Calibri" w:cs="Times New Roman"/>
          <w:szCs w:val="20"/>
          <w:lang w:val="en-US"/>
        </w:rPr>
        <w:t>Articles</w:t>
      </w:r>
      <w:r w:rsidR="000744A8" w:rsidRPr="007B2402">
        <w:rPr>
          <w:rFonts w:eastAsia="Calibri" w:cs="Times New Roman"/>
          <w:szCs w:val="20"/>
          <w:lang w:val="en-US"/>
        </w:rPr>
        <w:t xml:space="preserve"> </w:t>
      </w:r>
      <w:r w:rsidR="00375567" w:rsidRPr="007B2402">
        <w:rPr>
          <w:rFonts w:eastAsia="Calibri" w:cs="Times New Roman"/>
          <w:szCs w:val="20"/>
          <w:lang w:val="en-US"/>
        </w:rPr>
        <w:t>8(1)</w:t>
      </w:r>
      <w:r w:rsidR="005B1590" w:rsidRPr="007B2402">
        <w:rPr>
          <w:rFonts w:eastAsia="Calibri" w:cs="Times New Roman"/>
          <w:szCs w:val="20"/>
          <w:lang w:val="en-US"/>
        </w:rPr>
        <w:t xml:space="preserve"> and </w:t>
      </w:r>
      <w:r w:rsidR="000744A8" w:rsidRPr="007B2402">
        <w:rPr>
          <w:rFonts w:eastAsia="Calibri" w:cs="Times New Roman"/>
          <w:szCs w:val="20"/>
          <w:lang w:val="en-US"/>
        </w:rPr>
        <w:t>2</w:t>
      </w:r>
      <w:r w:rsidR="00375567" w:rsidRPr="007B2402">
        <w:rPr>
          <w:rFonts w:eastAsia="Calibri" w:cs="Times New Roman"/>
          <w:szCs w:val="20"/>
          <w:lang w:val="en-US"/>
        </w:rPr>
        <w:t>5(1)</w:t>
      </w:r>
      <w:r w:rsidR="00AF4344" w:rsidRPr="007B2402">
        <w:rPr>
          <w:rFonts w:eastAsia="Calibri" w:cs="Times New Roman"/>
          <w:szCs w:val="20"/>
          <w:lang w:val="en-US"/>
        </w:rPr>
        <w:t xml:space="preserve"> of the American Convention</w:t>
      </w:r>
      <w:r w:rsidR="000744A8" w:rsidRPr="007B2402">
        <w:rPr>
          <w:rFonts w:eastAsia="Calibri" w:cs="Times New Roman"/>
          <w:szCs w:val="20"/>
          <w:lang w:val="en-US"/>
        </w:rPr>
        <w:t xml:space="preserve">, </w:t>
      </w:r>
      <w:r w:rsidR="00BF1A22" w:rsidRPr="007B2402">
        <w:rPr>
          <w:rFonts w:eastAsia="Calibri" w:cs="Times New Roman"/>
          <w:szCs w:val="20"/>
          <w:lang w:val="en-US"/>
        </w:rPr>
        <w:t>in relation to Article</w:t>
      </w:r>
      <w:r w:rsidR="00AF4344" w:rsidRPr="007B2402">
        <w:rPr>
          <w:rFonts w:eastAsia="Calibri" w:cs="Times New Roman"/>
          <w:szCs w:val="20"/>
          <w:lang w:val="en-US"/>
        </w:rPr>
        <w:t>s</w:t>
      </w:r>
      <w:r w:rsidR="000744A8" w:rsidRPr="007B2402">
        <w:rPr>
          <w:rFonts w:eastAsia="Calibri" w:cs="Times New Roman"/>
          <w:szCs w:val="20"/>
          <w:lang w:val="en-US"/>
        </w:rPr>
        <w:t xml:space="preserve"> </w:t>
      </w:r>
      <w:r w:rsidR="00375567" w:rsidRPr="007B2402">
        <w:rPr>
          <w:rFonts w:eastAsia="Calibri" w:cs="Times New Roman"/>
          <w:szCs w:val="20"/>
          <w:lang w:val="en-US"/>
        </w:rPr>
        <w:t>1(1) and 2</w:t>
      </w:r>
      <w:r w:rsidR="000744A8" w:rsidRPr="007B2402">
        <w:rPr>
          <w:rFonts w:eastAsia="Calibri" w:cs="Times New Roman"/>
          <w:szCs w:val="20"/>
          <w:lang w:val="en-US"/>
        </w:rPr>
        <w:t xml:space="preserve"> </w:t>
      </w:r>
      <w:r w:rsidRPr="007B2402">
        <w:rPr>
          <w:rFonts w:eastAsia="Calibri" w:cs="Times New Roman"/>
          <w:szCs w:val="20"/>
          <w:lang w:val="en-US"/>
        </w:rPr>
        <w:t>of this instrument</w:t>
      </w:r>
      <w:r w:rsidR="000744A8" w:rsidRPr="007B2402">
        <w:rPr>
          <w:rFonts w:eastAsia="Calibri" w:cs="Times New Roman"/>
          <w:szCs w:val="20"/>
          <w:lang w:val="en-US"/>
        </w:rPr>
        <w:t>,</w:t>
      </w:r>
      <w:r w:rsidR="005B1590" w:rsidRPr="007B2402">
        <w:rPr>
          <w:rFonts w:eastAsia="Calibri" w:cs="Times New Roman"/>
          <w:szCs w:val="20"/>
          <w:lang w:val="en-US"/>
        </w:rPr>
        <w:t xml:space="preserve"> and </w:t>
      </w:r>
      <w:r w:rsidR="00AF4344" w:rsidRPr="007B2402">
        <w:rPr>
          <w:rFonts w:eastAsia="Calibri" w:cs="Times New Roman"/>
          <w:szCs w:val="20"/>
          <w:lang w:val="en-US"/>
        </w:rPr>
        <w:t>Articles</w:t>
      </w:r>
      <w:r w:rsidR="000744A8" w:rsidRPr="007B2402">
        <w:rPr>
          <w:rFonts w:eastAsia="Calibri" w:cs="Times New Roman"/>
          <w:szCs w:val="20"/>
          <w:lang w:val="en-US"/>
        </w:rPr>
        <w:t xml:space="preserve"> 1, 6</w:t>
      </w:r>
      <w:r w:rsidR="005B1590" w:rsidRPr="007B2402">
        <w:rPr>
          <w:rFonts w:eastAsia="Calibri" w:cs="Times New Roman"/>
          <w:szCs w:val="20"/>
          <w:lang w:val="en-US"/>
        </w:rPr>
        <w:t xml:space="preserve"> and </w:t>
      </w:r>
      <w:r w:rsidR="000744A8" w:rsidRPr="007B2402">
        <w:rPr>
          <w:rFonts w:eastAsia="Calibri" w:cs="Times New Roman"/>
          <w:szCs w:val="20"/>
          <w:lang w:val="en-US"/>
        </w:rPr>
        <w:t>8</w:t>
      </w:r>
      <w:r w:rsidR="00AF4344" w:rsidRPr="007B2402">
        <w:rPr>
          <w:rFonts w:eastAsia="Calibri" w:cs="Times New Roman"/>
          <w:szCs w:val="20"/>
          <w:lang w:val="en-US"/>
        </w:rPr>
        <w:t xml:space="preserve"> of the </w:t>
      </w:r>
      <w:r w:rsidR="00375567" w:rsidRPr="007B2402">
        <w:rPr>
          <w:rFonts w:eastAsia="Calibri" w:cs="Times New Roman"/>
          <w:szCs w:val="20"/>
          <w:lang w:val="en-US"/>
        </w:rPr>
        <w:t>Inter-American Convention to Prevent and Punish Torture</w:t>
      </w:r>
      <w:r w:rsidR="000744A8" w:rsidRPr="007B2402">
        <w:rPr>
          <w:rFonts w:eastAsia="Calibri" w:cs="Times New Roman"/>
          <w:szCs w:val="20"/>
          <w:lang w:val="en-US"/>
        </w:rPr>
        <w:t xml:space="preserve">, </w:t>
      </w:r>
      <w:r w:rsidRPr="007B2402">
        <w:rPr>
          <w:rFonts w:eastAsia="Calibri" w:cs="Times New Roman"/>
          <w:szCs w:val="20"/>
          <w:lang w:val="en-US"/>
        </w:rPr>
        <w:t>to the detriment of</w:t>
      </w:r>
      <w:r w:rsidR="000744A8" w:rsidRPr="007B2402">
        <w:rPr>
          <w:rFonts w:eastAsia="Calibri" w:cs="Times New Roman"/>
          <w:szCs w:val="20"/>
          <w:lang w:val="en-US"/>
        </w:rPr>
        <w:t xml:space="preserve"> Clarice (</w:t>
      </w:r>
      <w:r w:rsidRPr="007B2402">
        <w:rPr>
          <w:rFonts w:eastAsia="Calibri" w:cs="Times New Roman"/>
          <w:szCs w:val="20"/>
          <w:lang w:val="en-US"/>
        </w:rPr>
        <w:t>wife</w:t>
      </w:r>
      <w:r w:rsidR="000744A8" w:rsidRPr="007B2402">
        <w:rPr>
          <w:rFonts w:eastAsia="Calibri" w:cs="Times New Roman"/>
          <w:szCs w:val="20"/>
          <w:lang w:val="en-US"/>
        </w:rPr>
        <w:t xml:space="preserve">), André </w:t>
      </w:r>
      <w:r w:rsidRPr="007B2402">
        <w:rPr>
          <w:rFonts w:eastAsia="Calibri" w:cs="Times New Roman"/>
          <w:szCs w:val="20"/>
          <w:lang w:val="en-US"/>
        </w:rPr>
        <w:t>and</w:t>
      </w:r>
      <w:r w:rsidR="000744A8" w:rsidRPr="007B2402">
        <w:rPr>
          <w:rFonts w:eastAsia="Calibri" w:cs="Times New Roman"/>
          <w:szCs w:val="20"/>
          <w:lang w:val="en-US"/>
        </w:rPr>
        <w:t xml:space="preserve"> Ivo (</w:t>
      </w:r>
      <w:r w:rsidRPr="007B2402">
        <w:rPr>
          <w:rFonts w:eastAsia="Calibri" w:cs="Times New Roman"/>
          <w:szCs w:val="20"/>
          <w:lang w:val="en-US"/>
        </w:rPr>
        <w:t>sons)</w:t>
      </w:r>
      <w:r w:rsidR="005B1590" w:rsidRPr="007B2402">
        <w:rPr>
          <w:rFonts w:eastAsia="Calibri" w:cs="Times New Roman"/>
          <w:szCs w:val="20"/>
          <w:lang w:val="en-US"/>
        </w:rPr>
        <w:t xml:space="preserve"> and </w:t>
      </w:r>
      <w:r w:rsidR="000744A8" w:rsidRPr="007B2402">
        <w:rPr>
          <w:rFonts w:eastAsia="Calibri" w:cs="Times New Roman"/>
          <w:szCs w:val="20"/>
          <w:lang w:val="en-US"/>
        </w:rPr>
        <w:t>Zora (</w:t>
      </w:r>
      <w:r w:rsidRPr="007B2402">
        <w:rPr>
          <w:rFonts w:eastAsia="Calibri" w:cs="Times New Roman"/>
          <w:szCs w:val="20"/>
          <w:lang w:val="en-US"/>
        </w:rPr>
        <w:t>mother, deceased in</w:t>
      </w:r>
      <w:r w:rsidR="002D62E0" w:rsidRPr="007B2402">
        <w:rPr>
          <w:rFonts w:eastAsia="Calibri" w:cs="Times New Roman"/>
          <w:szCs w:val="20"/>
          <w:lang w:val="en-US"/>
        </w:rPr>
        <w:t xml:space="preserve"> </w:t>
      </w:r>
      <w:r w:rsidR="000744A8" w:rsidRPr="007B2402">
        <w:rPr>
          <w:rFonts w:eastAsia="Calibri" w:cs="Times New Roman"/>
          <w:szCs w:val="20"/>
          <w:lang w:val="en-US"/>
        </w:rPr>
        <w:t>2</w:t>
      </w:r>
      <w:r w:rsidR="00987DED" w:rsidRPr="007B2402">
        <w:rPr>
          <w:rFonts w:eastAsia="Calibri" w:cs="Times New Roman"/>
          <w:szCs w:val="20"/>
          <w:lang w:val="en-US"/>
        </w:rPr>
        <w:t xml:space="preserve">006), </w:t>
      </w:r>
      <w:r w:rsidRPr="007B2402">
        <w:rPr>
          <w:rFonts w:eastAsia="Calibri" w:cs="Times New Roman"/>
          <w:szCs w:val="20"/>
          <w:lang w:val="en-US"/>
        </w:rPr>
        <w:t>all</w:t>
      </w:r>
      <w:r w:rsidR="00987DED" w:rsidRPr="007B2402">
        <w:rPr>
          <w:rFonts w:eastAsia="Calibri" w:cs="Times New Roman"/>
          <w:szCs w:val="20"/>
          <w:lang w:val="en-US"/>
        </w:rPr>
        <w:t xml:space="preserve"> Herzog.</w:t>
      </w:r>
    </w:p>
    <w:p w14:paraId="4CE67714" w14:textId="77777777" w:rsidR="000744A8" w:rsidRPr="007B2402" w:rsidRDefault="000744A8" w:rsidP="000744A8">
      <w:pPr>
        <w:spacing w:after="0" w:line="240" w:lineRule="auto"/>
        <w:jc w:val="both"/>
        <w:rPr>
          <w:rFonts w:eastAsia="Calibri" w:cs="Times New Roman"/>
          <w:szCs w:val="20"/>
          <w:lang w:val="en-US"/>
        </w:rPr>
      </w:pPr>
    </w:p>
    <w:p w14:paraId="40730F62" w14:textId="635BAD2C" w:rsidR="000744A8" w:rsidRPr="007B2402" w:rsidRDefault="00052439" w:rsidP="00811602">
      <w:pPr>
        <w:numPr>
          <w:ilvl w:val="0"/>
          <w:numId w:val="6"/>
        </w:numPr>
        <w:spacing w:after="0" w:line="240" w:lineRule="auto"/>
        <w:jc w:val="both"/>
        <w:rPr>
          <w:rFonts w:eastAsia="Calibri" w:cs="Times New Roman"/>
          <w:b/>
          <w:szCs w:val="20"/>
          <w:lang w:val="en-US"/>
        </w:rPr>
      </w:pPr>
      <w:r w:rsidRPr="007B2402">
        <w:rPr>
          <w:rFonts w:eastAsia="Calibri" w:cs="Times New Roman"/>
          <w:szCs w:val="20"/>
          <w:lang w:val="en-US"/>
        </w:rPr>
        <w:t>First</w:t>
      </w:r>
      <w:r w:rsidR="00811602" w:rsidRPr="007B2402">
        <w:rPr>
          <w:rFonts w:eastAsia="Calibri" w:cs="Times New Roman"/>
          <w:szCs w:val="20"/>
          <w:lang w:val="en-US"/>
        </w:rPr>
        <w:t>,</w:t>
      </w:r>
      <w:r w:rsidR="000744A8" w:rsidRPr="007B2402">
        <w:rPr>
          <w:rFonts w:eastAsia="Calibri" w:cs="Times New Roman"/>
          <w:szCs w:val="20"/>
          <w:lang w:val="en-US"/>
        </w:rPr>
        <w:t xml:space="preserve"> </w:t>
      </w:r>
      <w:r w:rsidR="005B1590" w:rsidRPr="007B2402">
        <w:rPr>
          <w:rFonts w:eastAsia="Calibri" w:cs="Times New Roman"/>
          <w:szCs w:val="20"/>
          <w:lang w:val="en-US"/>
        </w:rPr>
        <w:t xml:space="preserve">the </w:t>
      </w:r>
      <w:r w:rsidR="005B1590" w:rsidRPr="007B2402">
        <w:rPr>
          <w:rFonts w:eastAsia="Calibri" w:cs="Times New Roman"/>
          <w:b/>
          <w:bCs/>
          <w:i/>
          <w:iCs/>
          <w:szCs w:val="20"/>
          <w:lang w:val="en-US"/>
        </w:rPr>
        <w:t>representatives</w:t>
      </w:r>
      <w:r w:rsidR="000744A8" w:rsidRPr="007B2402">
        <w:rPr>
          <w:rFonts w:eastAsia="Calibri" w:cs="Times New Roman"/>
          <w:szCs w:val="20"/>
          <w:lang w:val="en-US"/>
        </w:rPr>
        <w:t xml:space="preserve"> consider</w:t>
      </w:r>
      <w:r w:rsidR="00811602" w:rsidRPr="007B2402">
        <w:rPr>
          <w:rFonts w:eastAsia="Calibri" w:cs="Times New Roman"/>
          <w:szCs w:val="20"/>
          <w:lang w:val="en-US"/>
        </w:rPr>
        <w:t xml:space="preserve">ed that Brazil’s responsibility in this case was aggravated because it involved a crime against humanity, since the </w:t>
      </w:r>
      <w:r w:rsidR="00BA4292" w:rsidRPr="007B2402">
        <w:rPr>
          <w:rFonts w:eastAsia="Calibri" w:cs="Times New Roman"/>
          <w:szCs w:val="20"/>
          <w:lang w:val="en-US"/>
        </w:rPr>
        <w:t xml:space="preserve">arbitrary </w:t>
      </w:r>
      <w:r w:rsidR="00811602" w:rsidRPr="007B2402">
        <w:rPr>
          <w:rFonts w:eastAsia="Calibri" w:cs="Times New Roman"/>
          <w:szCs w:val="20"/>
          <w:lang w:val="en-US"/>
        </w:rPr>
        <w:t>detention</w:t>
      </w:r>
      <w:r w:rsidR="00BA4292" w:rsidRPr="007B2402">
        <w:rPr>
          <w:rFonts w:eastAsia="Calibri" w:cs="Times New Roman"/>
          <w:szCs w:val="20"/>
          <w:lang w:val="en-US"/>
        </w:rPr>
        <w:t>, torture and death</w:t>
      </w:r>
      <w:r w:rsidR="000744A8" w:rsidRPr="007B2402">
        <w:rPr>
          <w:rFonts w:eastAsia="Calibri" w:cs="Times New Roman"/>
          <w:szCs w:val="20"/>
          <w:lang w:val="en-US"/>
        </w:rPr>
        <w:t xml:space="preserve"> </w:t>
      </w:r>
      <w:r w:rsidR="00811602" w:rsidRPr="007B2402">
        <w:rPr>
          <w:rFonts w:eastAsia="Calibri" w:cs="Times New Roman"/>
          <w:szCs w:val="20"/>
          <w:lang w:val="en-US"/>
        </w:rPr>
        <w:t>of</w:t>
      </w:r>
      <w:r w:rsidR="000744A8" w:rsidRPr="007B2402">
        <w:rPr>
          <w:rFonts w:eastAsia="Calibri" w:cs="Times New Roman"/>
          <w:szCs w:val="20"/>
          <w:lang w:val="en-US"/>
        </w:rPr>
        <w:t xml:space="preserve"> Vladimir Herzog </w:t>
      </w:r>
      <w:r w:rsidR="00811602" w:rsidRPr="007B2402">
        <w:rPr>
          <w:rFonts w:eastAsia="Calibri" w:cs="Times New Roman"/>
          <w:szCs w:val="20"/>
          <w:lang w:val="en-US"/>
        </w:rPr>
        <w:t>was not an isolated act, but occurred in a context of massive and systematic violence against those who were considered political opponents of the military regime</w:t>
      </w:r>
      <w:r w:rsidR="00987DED" w:rsidRPr="007B2402">
        <w:rPr>
          <w:rFonts w:eastAsia="Calibri" w:cs="Times New Roman"/>
          <w:szCs w:val="20"/>
          <w:lang w:val="en-US"/>
        </w:rPr>
        <w:t>.</w:t>
      </w:r>
    </w:p>
    <w:p w14:paraId="192209A1" w14:textId="77777777" w:rsidR="000744A8" w:rsidRPr="007B2402" w:rsidRDefault="000744A8" w:rsidP="000744A8">
      <w:pPr>
        <w:spacing w:after="0" w:line="240" w:lineRule="auto"/>
        <w:jc w:val="both"/>
        <w:rPr>
          <w:rFonts w:eastAsia="Calibri" w:cs="Times New Roman"/>
          <w:szCs w:val="20"/>
          <w:lang w:val="en-US"/>
        </w:rPr>
      </w:pPr>
    </w:p>
    <w:p w14:paraId="49D835F6" w14:textId="3764329D" w:rsidR="000744A8" w:rsidRPr="007B2402" w:rsidRDefault="005B1590" w:rsidP="00DB1F30">
      <w:pPr>
        <w:numPr>
          <w:ilvl w:val="0"/>
          <w:numId w:val="6"/>
        </w:numPr>
        <w:spacing w:after="0" w:line="240" w:lineRule="auto"/>
        <w:jc w:val="both"/>
        <w:rPr>
          <w:rFonts w:eastAsia="Calibri" w:cs="Times New Roman"/>
          <w:b/>
          <w:szCs w:val="20"/>
          <w:lang w:val="en-US"/>
        </w:rPr>
      </w:pPr>
      <w:r w:rsidRPr="007B2402">
        <w:rPr>
          <w:rFonts w:eastAsia="Calibri" w:cs="Times New Roman"/>
          <w:szCs w:val="20"/>
          <w:lang w:val="en-US"/>
        </w:rPr>
        <w:t>The representatives</w:t>
      </w:r>
      <w:r w:rsidR="000744A8" w:rsidRPr="007B2402">
        <w:rPr>
          <w:rFonts w:eastAsia="Calibri" w:cs="Times New Roman"/>
          <w:szCs w:val="20"/>
          <w:lang w:val="en-US"/>
        </w:rPr>
        <w:t xml:space="preserve"> </w:t>
      </w:r>
      <w:r w:rsidR="00811602" w:rsidRPr="007B2402">
        <w:rPr>
          <w:rFonts w:eastAsia="Calibri" w:cs="Times New Roman"/>
          <w:szCs w:val="20"/>
          <w:lang w:val="en-US"/>
        </w:rPr>
        <w:t>indicated that the State ha</w:t>
      </w:r>
      <w:r w:rsidR="00052439" w:rsidRPr="007B2402">
        <w:rPr>
          <w:rFonts w:eastAsia="Calibri" w:cs="Times New Roman"/>
          <w:szCs w:val="20"/>
          <w:lang w:val="en-US"/>
        </w:rPr>
        <w:t>d</w:t>
      </w:r>
      <w:r w:rsidR="00811602" w:rsidRPr="007B2402">
        <w:rPr>
          <w:rFonts w:eastAsia="Calibri" w:cs="Times New Roman"/>
          <w:szCs w:val="20"/>
          <w:lang w:val="en-US"/>
        </w:rPr>
        <w:t xml:space="preserve"> the obligation to investigate possible acts of torture or other cruel, inhuman or degrading treatment, an obligation that persist</w:t>
      </w:r>
      <w:r w:rsidR="00010862" w:rsidRPr="007B2402">
        <w:rPr>
          <w:rFonts w:eastAsia="Calibri" w:cs="Times New Roman"/>
          <w:szCs w:val="20"/>
          <w:lang w:val="en-US"/>
        </w:rPr>
        <w:t>ed</w:t>
      </w:r>
      <w:r w:rsidR="00811602" w:rsidRPr="007B2402">
        <w:rPr>
          <w:rFonts w:eastAsia="Calibri" w:cs="Times New Roman"/>
          <w:szCs w:val="20"/>
          <w:lang w:val="en-US"/>
        </w:rPr>
        <w:t xml:space="preserve"> even in those cases in which the facts occurred before the State </w:t>
      </w:r>
      <w:r w:rsidR="00010862" w:rsidRPr="007B2402">
        <w:rPr>
          <w:rFonts w:eastAsia="Calibri" w:cs="Times New Roman"/>
          <w:szCs w:val="20"/>
          <w:lang w:val="en-US"/>
        </w:rPr>
        <w:t xml:space="preserve">had </w:t>
      </w:r>
      <w:r w:rsidR="00811602" w:rsidRPr="007B2402">
        <w:rPr>
          <w:rFonts w:eastAsia="Calibri" w:cs="Times New Roman"/>
          <w:szCs w:val="20"/>
          <w:lang w:val="en-US"/>
        </w:rPr>
        <w:t>accepted the jurisdiction of the Court</w:t>
      </w:r>
      <w:r w:rsidR="000744A8" w:rsidRPr="007B2402">
        <w:rPr>
          <w:rFonts w:eastAsia="Calibri" w:cs="Times New Roman"/>
          <w:szCs w:val="20"/>
          <w:lang w:val="en-US"/>
        </w:rPr>
        <w:t xml:space="preserve">. </w:t>
      </w:r>
    </w:p>
    <w:p w14:paraId="069AFB5B" w14:textId="77777777" w:rsidR="000744A8" w:rsidRPr="007B2402" w:rsidRDefault="000744A8" w:rsidP="000744A8">
      <w:pPr>
        <w:spacing w:after="0" w:line="240" w:lineRule="auto"/>
        <w:jc w:val="both"/>
        <w:rPr>
          <w:rFonts w:eastAsia="Calibri" w:cs="Times New Roman"/>
          <w:szCs w:val="20"/>
          <w:lang w:val="en-US"/>
        </w:rPr>
      </w:pPr>
    </w:p>
    <w:p w14:paraId="3ED8EEE5" w14:textId="5B730702" w:rsidR="000744A8" w:rsidRPr="007B2402" w:rsidRDefault="00811602" w:rsidP="00C809ED">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They a</w:t>
      </w:r>
      <w:r w:rsidR="00010862" w:rsidRPr="007B2402">
        <w:rPr>
          <w:rFonts w:eastAsia="Calibri" w:cs="Times New Roman"/>
          <w:szCs w:val="20"/>
          <w:lang w:val="en-US"/>
        </w:rPr>
        <w:t>rgued</w:t>
      </w:r>
      <w:r w:rsidRPr="007B2402">
        <w:rPr>
          <w:rFonts w:eastAsia="Calibri" w:cs="Times New Roman"/>
          <w:szCs w:val="20"/>
          <w:lang w:val="en-US"/>
        </w:rPr>
        <w:t xml:space="preserve"> that, </w:t>
      </w:r>
      <w:r w:rsidR="00010862" w:rsidRPr="007B2402">
        <w:rPr>
          <w:rFonts w:eastAsia="Calibri" w:cs="Times New Roman"/>
          <w:szCs w:val="20"/>
          <w:lang w:val="en-US"/>
        </w:rPr>
        <w:t>al</w:t>
      </w:r>
      <w:r w:rsidRPr="007B2402">
        <w:rPr>
          <w:rFonts w:eastAsia="Calibri" w:cs="Times New Roman"/>
          <w:szCs w:val="20"/>
          <w:lang w:val="en-US"/>
        </w:rPr>
        <w:t xml:space="preserve">though </w:t>
      </w:r>
      <w:r w:rsidR="00010862" w:rsidRPr="007B2402">
        <w:rPr>
          <w:rFonts w:eastAsia="Calibri" w:cs="Times New Roman"/>
          <w:szCs w:val="20"/>
          <w:lang w:val="en-US"/>
        </w:rPr>
        <w:t>various</w:t>
      </w:r>
      <w:r w:rsidRPr="007B2402">
        <w:rPr>
          <w:rFonts w:eastAsia="Calibri" w:cs="Times New Roman"/>
          <w:szCs w:val="20"/>
          <w:lang w:val="en-US"/>
        </w:rPr>
        <w:t xml:space="preserve"> proceedings </w:t>
      </w:r>
      <w:r w:rsidR="00010862" w:rsidRPr="007B2402">
        <w:rPr>
          <w:rFonts w:eastAsia="Calibri" w:cs="Times New Roman"/>
          <w:szCs w:val="20"/>
          <w:lang w:val="en-US"/>
        </w:rPr>
        <w:t>had been</w:t>
      </w:r>
      <w:r w:rsidRPr="007B2402">
        <w:rPr>
          <w:rFonts w:eastAsia="Calibri" w:cs="Times New Roman"/>
          <w:szCs w:val="20"/>
          <w:lang w:val="en-US"/>
        </w:rPr>
        <w:t xml:space="preserve"> conducted in the domestic sphere, to date the State ha</w:t>
      </w:r>
      <w:r w:rsidR="00010862" w:rsidRPr="007B2402">
        <w:rPr>
          <w:rFonts w:eastAsia="Calibri" w:cs="Times New Roman"/>
          <w:szCs w:val="20"/>
          <w:lang w:val="en-US"/>
        </w:rPr>
        <w:t>d</w:t>
      </w:r>
      <w:r w:rsidRPr="007B2402">
        <w:rPr>
          <w:rFonts w:eastAsia="Calibri" w:cs="Times New Roman"/>
          <w:szCs w:val="20"/>
          <w:lang w:val="en-US"/>
        </w:rPr>
        <w:t xml:space="preserve"> not guaranteed effective judicial protection to investigate and establish the whole truth of the circumstances of the </w:t>
      </w:r>
      <w:r w:rsidR="00BA4292" w:rsidRPr="007B2402">
        <w:rPr>
          <w:rFonts w:eastAsia="Calibri" w:cs="Times New Roman"/>
          <w:szCs w:val="20"/>
          <w:lang w:val="en-US"/>
        </w:rPr>
        <w:t xml:space="preserve">arbitrary </w:t>
      </w:r>
      <w:r w:rsidRPr="007B2402">
        <w:rPr>
          <w:rFonts w:eastAsia="Calibri" w:cs="Times New Roman"/>
          <w:szCs w:val="20"/>
          <w:lang w:val="en-US"/>
        </w:rPr>
        <w:t>detention</w:t>
      </w:r>
      <w:r w:rsidR="00BA4292" w:rsidRPr="007B2402">
        <w:rPr>
          <w:rFonts w:eastAsia="Calibri" w:cs="Times New Roman"/>
          <w:szCs w:val="20"/>
          <w:lang w:val="en-US"/>
        </w:rPr>
        <w:t>, torture and death</w:t>
      </w:r>
      <w:r w:rsidR="000744A8" w:rsidRPr="007B2402">
        <w:rPr>
          <w:rFonts w:eastAsia="Calibri" w:cs="Times New Roman"/>
          <w:szCs w:val="20"/>
          <w:lang w:val="en-US"/>
        </w:rPr>
        <w:t xml:space="preserve"> </w:t>
      </w:r>
      <w:r w:rsidRPr="007B2402">
        <w:rPr>
          <w:rFonts w:eastAsia="Calibri" w:cs="Times New Roman"/>
          <w:szCs w:val="20"/>
          <w:lang w:val="en-US"/>
        </w:rPr>
        <w:t>of</w:t>
      </w:r>
      <w:r w:rsidR="000744A8" w:rsidRPr="007B2402">
        <w:rPr>
          <w:rFonts w:eastAsia="Calibri" w:cs="Times New Roman"/>
          <w:szCs w:val="20"/>
          <w:lang w:val="en-US"/>
        </w:rPr>
        <w:t xml:space="preserve"> Vladimir Herzog, </w:t>
      </w:r>
      <w:r w:rsidRPr="007B2402">
        <w:rPr>
          <w:rFonts w:eastAsia="Calibri" w:cs="Times New Roman"/>
          <w:szCs w:val="20"/>
          <w:lang w:val="en-US"/>
        </w:rPr>
        <w:t>and to identify and punish those responsible.</w:t>
      </w:r>
    </w:p>
    <w:p w14:paraId="54C4137C" w14:textId="77777777" w:rsidR="00811602" w:rsidRPr="007B2402" w:rsidRDefault="00811602" w:rsidP="00811602">
      <w:pPr>
        <w:spacing w:after="0" w:line="240" w:lineRule="auto"/>
        <w:jc w:val="both"/>
        <w:rPr>
          <w:rFonts w:eastAsia="Calibri" w:cs="Times New Roman"/>
          <w:szCs w:val="20"/>
          <w:lang w:val="en-US"/>
        </w:rPr>
      </w:pPr>
    </w:p>
    <w:p w14:paraId="2351A528" w14:textId="0EE41095" w:rsidR="000744A8" w:rsidRPr="007B2402" w:rsidRDefault="00811602"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They indicated that an effective investigation had not been conducted in the criminal jurisdiction because the only appropriate means for this, the criminal judicial proceeding before the competent authority of the ordinary federal jurisdiction</w:t>
      </w:r>
      <w:r w:rsidR="00010862" w:rsidRPr="007B2402">
        <w:rPr>
          <w:rFonts w:eastAsia="Calibri" w:cs="Times New Roman"/>
          <w:szCs w:val="20"/>
          <w:lang w:val="en-US"/>
        </w:rPr>
        <w:t>,</w:t>
      </w:r>
      <w:r w:rsidRPr="007B2402">
        <w:rPr>
          <w:rFonts w:eastAsia="Calibri" w:cs="Times New Roman"/>
          <w:szCs w:val="20"/>
          <w:lang w:val="en-US"/>
        </w:rPr>
        <w:t xml:space="preserve"> </w:t>
      </w:r>
      <w:r w:rsidR="00010862" w:rsidRPr="007B2402">
        <w:rPr>
          <w:rFonts w:eastAsia="Calibri" w:cs="Times New Roman"/>
          <w:szCs w:val="20"/>
          <w:lang w:val="en-US"/>
        </w:rPr>
        <w:t>had been</w:t>
      </w:r>
      <w:r w:rsidRPr="007B2402">
        <w:rPr>
          <w:rFonts w:eastAsia="Calibri" w:cs="Times New Roman"/>
          <w:szCs w:val="20"/>
          <w:lang w:val="en-US"/>
        </w:rPr>
        <w:t xml:space="preserve"> obstructed by </w:t>
      </w:r>
      <w:r w:rsidRPr="007B2402">
        <w:rPr>
          <w:rFonts w:eastAsia="Calibri" w:cs="Times New Roman"/>
          <w:i/>
          <w:iCs/>
          <w:szCs w:val="20"/>
          <w:lang w:val="en-US"/>
        </w:rPr>
        <w:t>res judicata</w:t>
      </w:r>
      <w:r w:rsidRPr="007B2402">
        <w:rPr>
          <w:rFonts w:eastAsia="Calibri" w:cs="Times New Roman"/>
          <w:szCs w:val="20"/>
          <w:lang w:val="en-US"/>
        </w:rPr>
        <w:t xml:space="preserve"> and </w:t>
      </w:r>
      <w:r w:rsidR="00010862" w:rsidRPr="007B2402">
        <w:rPr>
          <w:rFonts w:eastAsia="Calibri" w:cs="Times New Roman"/>
          <w:szCs w:val="20"/>
          <w:lang w:val="en-US"/>
        </w:rPr>
        <w:t>the statute of limitations</w:t>
      </w:r>
      <w:r w:rsidRPr="007B2402">
        <w:rPr>
          <w:rFonts w:eastAsia="Calibri" w:cs="Times New Roman"/>
          <w:szCs w:val="20"/>
          <w:lang w:val="en-US"/>
        </w:rPr>
        <w:t>, even before the effective initiation of the investigations. The previous attempt</w:t>
      </w:r>
      <w:r w:rsidR="00010862" w:rsidRPr="007B2402">
        <w:rPr>
          <w:rFonts w:eastAsia="Calibri" w:cs="Times New Roman"/>
          <w:szCs w:val="20"/>
          <w:lang w:val="en-US"/>
        </w:rPr>
        <w:t xml:space="preserve"> to obtain an investigation</w:t>
      </w:r>
      <w:r w:rsidRPr="007B2402">
        <w:rPr>
          <w:rFonts w:eastAsia="Calibri" w:cs="Times New Roman"/>
          <w:szCs w:val="20"/>
          <w:lang w:val="en-US"/>
        </w:rPr>
        <w:t xml:space="preserve"> before the organs that did not have competence to act in the case was closed prematurely</w:t>
      </w:r>
      <w:r w:rsidR="000744A8" w:rsidRPr="007B2402">
        <w:rPr>
          <w:rFonts w:eastAsia="Calibri" w:cs="Times New Roman"/>
          <w:szCs w:val="20"/>
          <w:lang w:val="en-US"/>
        </w:rPr>
        <w:t xml:space="preserve">. </w:t>
      </w:r>
    </w:p>
    <w:p w14:paraId="0E39B179" w14:textId="77777777" w:rsidR="000744A8" w:rsidRPr="007B2402" w:rsidRDefault="000744A8" w:rsidP="000744A8">
      <w:pPr>
        <w:spacing w:after="0" w:line="240" w:lineRule="auto"/>
        <w:jc w:val="both"/>
        <w:rPr>
          <w:rFonts w:eastAsia="Calibri" w:cs="Times New Roman"/>
          <w:szCs w:val="20"/>
          <w:lang w:val="en-US"/>
        </w:rPr>
      </w:pPr>
    </w:p>
    <w:p w14:paraId="63B92EB7" w14:textId="7508520C" w:rsidR="00811602" w:rsidRPr="007B2402" w:rsidRDefault="00811602" w:rsidP="00811602">
      <w:pPr>
        <w:numPr>
          <w:ilvl w:val="0"/>
          <w:numId w:val="6"/>
        </w:numPr>
        <w:spacing w:after="0" w:line="240" w:lineRule="auto"/>
        <w:jc w:val="both"/>
        <w:rPr>
          <w:rFonts w:eastAsia="Calibri" w:cs="Times New Roman"/>
          <w:b/>
          <w:szCs w:val="20"/>
          <w:lang w:val="en-US"/>
        </w:rPr>
      </w:pPr>
      <w:r w:rsidRPr="007B2402">
        <w:rPr>
          <w:rFonts w:eastAsia="Calibri" w:cs="Times New Roman"/>
          <w:szCs w:val="20"/>
          <w:lang w:val="en-US"/>
        </w:rPr>
        <w:t>Regarding the</w:t>
      </w:r>
      <w:r w:rsidR="000744A8" w:rsidRPr="007B2402">
        <w:rPr>
          <w:rFonts w:eastAsia="Calibri" w:cs="Times New Roman"/>
          <w:szCs w:val="20"/>
          <w:lang w:val="en-US"/>
        </w:rPr>
        <w:t xml:space="preserve"> </w:t>
      </w:r>
      <w:r w:rsidR="00221E16" w:rsidRPr="007B2402">
        <w:rPr>
          <w:rFonts w:eastAsia="Calibri" w:cs="Times New Roman"/>
          <w:szCs w:val="20"/>
          <w:lang w:val="en-US"/>
        </w:rPr>
        <w:t>Amnesty Law</w:t>
      </w:r>
      <w:r w:rsidR="000744A8" w:rsidRPr="007B2402">
        <w:rPr>
          <w:rFonts w:eastAsia="Calibri" w:cs="Times New Roman"/>
          <w:szCs w:val="20"/>
          <w:lang w:val="en-US"/>
        </w:rPr>
        <w:t xml:space="preserve">, </w:t>
      </w:r>
      <w:r w:rsidRPr="007B2402">
        <w:rPr>
          <w:rFonts w:eastAsia="Calibri" w:cs="Times New Roman"/>
          <w:szCs w:val="20"/>
          <w:lang w:val="en-US"/>
        </w:rPr>
        <w:t>they indicated that its interpretation ha</w:t>
      </w:r>
      <w:r w:rsidR="00010862" w:rsidRPr="007B2402">
        <w:rPr>
          <w:rFonts w:eastAsia="Calibri" w:cs="Times New Roman"/>
          <w:szCs w:val="20"/>
          <w:lang w:val="en-US"/>
        </w:rPr>
        <w:t>d</w:t>
      </w:r>
      <w:r w:rsidRPr="007B2402">
        <w:rPr>
          <w:rFonts w:eastAsia="Calibri" w:cs="Times New Roman"/>
          <w:szCs w:val="20"/>
          <w:lang w:val="en-US"/>
        </w:rPr>
        <w:t xml:space="preserve"> continued for decades </w:t>
      </w:r>
      <w:r w:rsidR="00010862" w:rsidRPr="007B2402">
        <w:rPr>
          <w:rFonts w:eastAsia="Calibri" w:cs="Times New Roman"/>
          <w:szCs w:val="20"/>
          <w:lang w:val="en-US"/>
        </w:rPr>
        <w:t>allowing</w:t>
      </w:r>
      <w:r w:rsidRPr="007B2402">
        <w:rPr>
          <w:rFonts w:eastAsia="Calibri" w:cs="Times New Roman"/>
          <w:szCs w:val="20"/>
          <w:lang w:val="en-US"/>
        </w:rPr>
        <w:t xml:space="preserve"> the authorities to evade the obligation to investigate, </w:t>
      </w:r>
      <w:r w:rsidRPr="007B2402">
        <w:rPr>
          <w:rFonts w:eastAsia="Calibri" w:cs="Times New Roman"/>
          <w:i/>
          <w:iCs/>
          <w:szCs w:val="20"/>
          <w:lang w:val="en-US"/>
        </w:rPr>
        <w:t>ex officio</w:t>
      </w:r>
      <w:r w:rsidRPr="007B2402">
        <w:rPr>
          <w:rFonts w:eastAsia="Calibri" w:cs="Times New Roman"/>
          <w:szCs w:val="20"/>
          <w:lang w:val="en-US"/>
        </w:rPr>
        <w:t>, facts that constituted gross human rights violations, such as torture. In the case of</w:t>
      </w:r>
      <w:r w:rsidRPr="007B2402">
        <w:rPr>
          <w:rFonts w:eastAsia="Calibri" w:cs="Times New Roman"/>
          <w:b/>
          <w:szCs w:val="20"/>
          <w:lang w:val="en-US"/>
        </w:rPr>
        <w:t xml:space="preserve"> </w:t>
      </w:r>
      <w:r w:rsidR="000744A8" w:rsidRPr="007B2402">
        <w:rPr>
          <w:rFonts w:eastAsia="Calibri" w:cs="Times New Roman"/>
          <w:szCs w:val="20"/>
          <w:lang w:val="en-US"/>
        </w:rPr>
        <w:t>Vladimir Herzog</w:t>
      </w:r>
      <w:r w:rsidRPr="007B2402">
        <w:rPr>
          <w:rFonts w:eastAsia="Calibri" w:cs="Times New Roman"/>
          <w:szCs w:val="20"/>
          <w:lang w:val="en-US"/>
        </w:rPr>
        <w:t>, the</w:t>
      </w:r>
      <w:r w:rsidR="000744A8" w:rsidRPr="007B2402">
        <w:rPr>
          <w:rFonts w:eastAsia="Calibri" w:cs="Times New Roman"/>
          <w:szCs w:val="20"/>
          <w:lang w:val="en-US"/>
        </w:rPr>
        <w:t xml:space="preserve"> </w:t>
      </w:r>
      <w:r w:rsidR="00221E16" w:rsidRPr="007B2402">
        <w:rPr>
          <w:rFonts w:eastAsia="Calibri" w:cs="Times New Roman"/>
          <w:szCs w:val="20"/>
          <w:lang w:val="en-US"/>
        </w:rPr>
        <w:t>Amnesty Law</w:t>
      </w:r>
      <w:r w:rsidR="000744A8" w:rsidRPr="007B2402">
        <w:rPr>
          <w:rFonts w:eastAsia="Calibri" w:cs="Times New Roman"/>
          <w:szCs w:val="20"/>
          <w:lang w:val="en-US"/>
        </w:rPr>
        <w:t xml:space="preserve"> </w:t>
      </w:r>
      <w:r w:rsidRPr="007B2402">
        <w:rPr>
          <w:rFonts w:eastAsia="Calibri" w:cs="Times New Roman"/>
          <w:szCs w:val="20"/>
          <w:lang w:val="en-US"/>
        </w:rPr>
        <w:t xml:space="preserve">was applied specifically in 1992 and </w:t>
      </w:r>
      <w:r w:rsidR="00010862" w:rsidRPr="007B2402">
        <w:rPr>
          <w:rFonts w:eastAsia="Calibri" w:cs="Times New Roman"/>
          <w:szCs w:val="20"/>
          <w:lang w:val="en-US"/>
        </w:rPr>
        <w:t>this</w:t>
      </w:r>
      <w:r w:rsidRPr="007B2402">
        <w:rPr>
          <w:rFonts w:eastAsia="Calibri" w:cs="Times New Roman"/>
          <w:szCs w:val="20"/>
          <w:lang w:val="en-US"/>
        </w:rPr>
        <w:t>, subsequently</w:t>
      </w:r>
      <w:r w:rsidR="00010862" w:rsidRPr="007B2402">
        <w:rPr>
          <w:rFonts w:eastAsia="Calibri" w:cs="Times New Roman"/>
          <w:szCs w:val="20"/>
          <w:lang w:val="en-US"/>
        </w:rPr>
        <w:t>,</w:t>
      </w:r>
      <w:r w:rsidRPr="007B2402">
        <w:rPr>
          <w:rFonts w:eastAsia="Calibri" w:cs="Times New Roman"/>
          <w:szCs w:val="20"/>
          <w:lang w:val="en-US"/>
        </w:rPr>
        <w:t xml:space="preserve"> led to the appeal </w:t>
      </w:r>
      <w:r w:rsidR="00010862" w:rsidRPr="007B2402">
        <w:rPr>
          <w:rFonts w:eastAsia="Calibri" w:cs="Times New Roman"/>
          <w:szCs w:val="20"/>
          <w:lang w:val="en-US"/>
        </w:rPr>
        <w:t>filed by</w:t>
      </w:r>
      <w:r w:rsidRPr="007B2402">
        <w:rPr>
          <w:rFonts w:eastAsia="Calibri" w:cs="Times New Roman"/>
          <w:szCs w:val="20"/>
          <w:lang w:val="en-US"/>
        </w:rPr>
        <w:t xml:space="preserve"> the Federal Public Prosecution Service being </w:t>
      </w:r>
      <w:r w:rsidR="00010862" w:rsidRPr="007B2402">
        <w:rPr>
          <w:rFonts w:eastAsia="Calibri" w:cs="Times New Roman"/>
          <w:szCs w:val="20"/>
          <w:lang w:val="en-US"/>
        </w:rPr>
        <w:t>closed</w:t>
      </w:r>
      <w:r w:rsidRPr="007B2402">
        <w:rPr>
          <w:rFonts w:eastAsia="Calibri" w:cs="Times New Roman"/>
          <w:szCs w:val="20"/>
          <w:lang w:val="en-US"/>
        </w:rPr>
        <w:t xml:space="preserve"> in 2008. The amnesty </w:t>
      </w:r>
      <w:r w:rsidR="00010862" w:rsidRPr="007B2402">
        <w:rPr>
          <w:rFonts w:eastAsia="Calibri" w:cs="Times New Roman"/>
          <w:szCs w:val="20"/>
          <w:lang w:val="en-US"/>
        </w:rPr>
        <w:t xml:space="preserve">had </w:t>
      </w:r>
      <w:r w:rsidRPr="007B2402">
        <w:rPr>
          <w:rFonts w:eastAsia="Calibri" w:cs="Times New Roman"/>
          <w:szCs w:val="20"/>
          <w:lang w:val="en-US"/>
        </w:rPr>
        <w:t xml:space="preserve">also had effects on the public civil action filed by </w:t>
      </w:r>
      <w:r w:rsidR="00903E87" w:rsidRPr="007B2402">
        <w:rPr>
          <w:rFonts w:eastAsia="Calibri" w:cs="Times New Roman"/>
          <w:szCs w:val="20"/>
          <w:lang w:val="en-US"/>
        </w:rPr>
        <w:t>the Federal Public Prosecution Service</w:t>
      </w:r>
      <w:r w:rsidR="000744A8" w:rsidRPr="007B2402">
        <w:rPr>
          <w:rFonts w:eastAsia="Calibri" w:cs="Times New Roman"/>
          <w:szCs w:val="20"/>
          <w:lang w:val="en-US"/>
        </w:rPr>
        <w:t xml:space="preserve">. </w:t>
      </w:r>
      <w:r w:rsidRPr="007B2402">
        <w:rPr>
          <w:rFonts w:eastAsia="Calibri" w:cs="Times New Roman"/>
          <w:szCs w:val="20"/>
          <w:lang w:val="en-US"/>
        </w:rPr>
        <w:t>They indicated that th</w:t>
      </w:r>
      <w:r w:rsidR="00010862" w:rsidRPr="007B2402">
        <w:rPr>
          <w:rFonts w:eastAsia="Calibri" w:cs="Times New Roman"/>
          <w:szCs w:val="20"/>
          <w:lang w:val="en-US"/>
        </w:rPr>
        <w:t>o</w:t>
      </w:r>
      <w:r w:rsidRPr="007B2402">
        <w:rPr>
          <w:rFonts w:eastAsia="Calibri" w:cs="Times New Roman"/>
          <w:szCs w:val="20"/>
          <w:lang w:val="en-US"/>
        </w:rPr>
        <w:t>se facts fell within the Court’s temporal competence.</w:t>
      </w:r>
    </w:p>
    <w:p w14:paraId="5A01D857" w14:textId="77777777" w:rsidR="000744A8" w:rsidRPr="007B2402" w:rsidRDefault="000744A8" w:rsidP="000744A8">
      <w:pPr>
        <w:spacing w:after="0" w:line="240" w:lineRule="auto"/>
        <w:jc w:val="both"/>
        <w:rPr>
          <w:rFonts w:eastAsia="Calibri" w:cs="Times New Roman"/>
          <w:szCs w:val="20"/>
          <w:lang w:val="en-US"/>
        </w:rPr>
      </w:pPr>
    </w:p>
    <w:p w14:paraId="09D8F894" w14:textId="6F162D24" w:rsidR="00811602" w:rsidRPr="007B2402" w:rsidRDefault="005B1590"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The representatives</w:t>
      </w:r>
      <w:r w:rsidR="000744A8" w:rsidRPr="007B2402">
        <w:rPr>
          <w:rFonts w:eastAsia="Calibri" w:cs="Times New Roman"/>
          <w:szCs w:val="20"/>
          <w:lang w:val="en-US"/>
        </w:rPr>
        <w:t xml:space="preserve"> </w:t>
      </w:r>
      <w:r w:rsidR="00811602" w:rsidRPr="007B2402">
        <w:rPr>
          <w:rFonts w:eastAsia="Calibri" w:cs="Times New Roman"/>
          <w:szCs w:val="20"/>
          <w:lang w:val="en-US"/>
        </w:rPr>
        <w:t>a</w:t>
      </w:r>
      <w:r w:rsidR="00010862" w:rsidRPr="007B2402">
        <w:rPr>
          <w:rFonts w:eastAsia="Calibri" w:cs="Times New Roman"/>
          <w:szCs w:val="20"/>
          <w:lang w:val="en-US"/>
        </w:rPr>
        <w:t>rgued</w:t>
      </w:r>
      <w:r w:rsidR="00811602" w:rsidRPr="007B2402">
        <w:rPr>
          <w:rFonts w:eastAsia="Calibri" w:cs="Times New Roman"/>
          <w:szCs w:val="20"/>
          <w:lang w:val="en-US"/>
        </w:rPr>
        <w:t xml:space="preserve"> that</w:t>
      </w:r>
      <w:r w:rsidR="000744A8" w:rsidRPr="007B2402">
        <w:rPr>
          <w:rFonts w:eastAsia="Calibri" w:cs="Times New Roman"/>
          <w:szCs w:val="20"/>
          <w:lang w:val="en-US"/>
        </w:rPr>
        <w:t xml:space="preserve"> </w:t>
      </w:r>
      <w:r w:rsidR="00AF4344" w:rsidRPr="007B2402">
        <w:rPr>
          <w:rFonts w:eastAsia="Calibri" w:cs="Times New Roman"/>
          <w:szCs w:val="20"/>
          <w:lang w:val="en-US"/>
        </w:rPr>
        <w:t>the State</w:t>
      </w:r>
      <w:r w:rsidR="000744A8" w:rsidRPr="007B2402">
        <w:rPr>
          <w:rFonts w:eastAsia="Calibri" w:cs="Times New Roman"/>
          <w:szCs w:val="20"/>
          <w:lang w:val="en-US"/>
        </w:rPr>
        <w:t xml:space="preserve"> </w:t>
      </w:r>
      <w:r w:rsidR="00811602" w:rsidRPr="007B2402">
        <w:rPr>
          <w:rFonts w:eastAsia="Calibri" w:cs="Times New Roman"/>
          <w:szCs w:val="20"/>
          <w:lang w:val="en-US"/>
        </w:rPr>
        <w:t xml:space="preserve">had used the </w:t>
      </w:r>
      <w:r w:rsidR="00010862" w:rsidRPr="007B2402">
        <w:rPr>
          <w:rFonts w:eastAsia="Calibri" w:cs="Times New Roman"/>
          <w:szCs w:val="20"/>
          <w:lang w:val="en-US"/>
        </w:rPr>
        <w:t>device</w:t>
      </w:r>
      <w:r w:rsidR="00811602" w:rsidRPr="007B2402">
        <w:rPr>
          <w:rFonts w:eastAsia="Calibri" w:cs="Times New Roman"/>
          <w:szCs w:val="20"/>
          <w:lang w:val="en-US"/>
        </w:rPr>
        <w:t xml:space="preserve"> of substantial </w:t>
      </w:r>
      <w:r w:rsidR="00811602" w:rsidRPr="007B2402">
        <w:rPr>
          <w:rFonts w:eastAsia="Calibri" w:cs="Times New Roman"/>
          <w:i/>
          <w:iCs/>
          <w:szCs w:val="20"/>
          <w:lang w:val="en-US"/>
        </w:rPr>
        <w:t>res judicata</w:t>
      </w:r>
      <w:r w:rsidR="00811602" w:rsidRPr="007B2402">
        <w:rPr>
          <w:rFonts w:eastAsia="Calibri" w:cs="Times New Roman"/>
          <w:szCs w:val="20"/>
          <w:lang w:val="en-US"/>
        </w:rPr>
        <w:t xml:space="preserve">, supposedly produced by the 1993 decision, to avoid investigating and punishing those responsible. That had been the main argument to close the investigations </w:t>
      </w:r>
      <w:r w:rsidR="00010862" w:rsidRPr="007B2402">
        <w:rPr>
          <w:rFonts w:eastAsia="Calibri" w:cs="Times New Roman"/>
          <w:szCs w:val="20"/>
          <w:lang w:val="en-US"/>
        </w:rPr>
        <w:t>opened</w:t>
      </w:r>
      <w:r w:rsidR="00811602" w:rsidRPr="007B2402">
        <w:rPr>
          <w:rFonts w:eastAsia="Calibri" w:cs="Times New Roman"/>
          <w:szCs w:val="20"/>
          <w:lang w:val="en-US"/>
        </w:rPr>
        <w:t xml:space="preserve"> before the federal system of justice</w:t>
      </w:r>
      <w:r w:rsidR="00010862" w:rsidRPr="007B2402">
        <w:rPr>
          <w:rFonts w:eastAsia="Calibri" w:cs="Times New Roman"/>
          <w:szCs w:val="20"/>
          <w:lang w:val="en-US"/>
        </w:rPr>
        <w:t xml:space="preserve"> in 2008</w:t>
      </w:r>
      <w:r w:rsidR="00811602" w:rsidRPr="007B2402">
        <w:rPr>
          <w:rFonts w:eastAsia="Calibri" w:cs="Times New Roman"/>
          <w:szCs w:val="20"/>
          <w:lang w:val="en-US"/>
        </w:rPr>
        <w:t xml:space="preserve">. In this regard, they indicated that the principle of </w:t>
      </w:r>
      <w:r w:rsidR="00811602" w:rsidRPr="007B2402">
        <w:rPr>
          <w:rFonts w:eastAsia="Calibri" w:cs="Times New Roman"/>
          <w:i/>
          <w:szCs w:val="20"/>
          <w:lang w:val="en-US"/>
        </w:rPr>
        <w:t xml:space="preserve">ne bis </w:t>
      </w:r>
      <w:r w:rsidR="00811602" w:rsidRPr="007B2402">
        <w:rPr>
          <w:rFonts w:eastAsia="Calibri" w:cs="Times New Roman"/>
          <w:i/>
          <w:szCs w:val="20"/>
          <w:lang w:val="en-US"/>
        </w:rPr>
        <w:lastRenderedPageBreak/>
        <w:t xml:space="preserve">in </w:t>
      </w:r>
      <w:r w:rsidR="00993DBA" w:rsidRPr="007B2402">
        <w:rPr>
          <w:rFonts w:eastAsia="Calibri" w:cs="Times New Roman"/>
          <w:i/>
          <w:szCs w:val="20"/>
          <w:lang w:val="en-US"/>
        </w:rPr>
        <w:t>idem</w:t>
      </w:r>
      <w:r w:rsidR="00811602" w:rsidRPr="007B2402">
        <w:rPr>
          <w:rFonts w:eastAsia="Calibri" w:cs="Times New Roman"/>
          <w:szCs w:val="20"/>
          <w:lang w:val="en-US"/>
        </w:rPr>
        <w:t xml:space="preserve"> </w:t>
      </w:r>
      <w:r w:rsidR="00010862" w:rsidRPr="007B2402">
        <w:rPr>
          <w:rFonts w:eastAsia="Calibri" w:cs="Times New Roman"/>
          <w:szCs w:val="20"/>
          <w:lang w:val="en-US"/>
        </w:rPr>
        <w:t>was</w:t>
      </w:r>
      <w:r w:rsidR="00811602" w:rsidRPr="007B2402">
        <w:rPr>
          <w:rFonts w:eastAsia="Calibri" w:cs="Times New Roman"/>
          <w:szCs w:val="20"/>
          <w:lang w:val="en-US"/>
        </w:rPr>
        <w:t xml:space="preserve"> not an absolute right and </w:t>
      </w:r>
      <w:r w:rsidR="00010862" w:rsidRPr="007B2402">
        <w:rPr>
          <w:rFonts w:eastAsia="Calibri" w:cs="Times New Roman"/>
          <w:szCs w:val="20"/>
          <w:lang w:val="en-US"/>
        </w:rPr>
        <w:t>was</w:t>
      </w:r>
      <w:r w:rsidR="00811602" w:rsidRPr="007B2402">
        <w:rPr>
          <w:rFonts w:eastAsia="Calibri" w:cs="Times New Roman"/>
          <w:szCs w:val="20"/>
          <w:lang w:val="en-US"/>
        </w:rPr>
        <w:t xml:space="preserve"> inapplicable when its purpose </w:t>
      </w:r>
      <w:r w:rsidR="00010862" w:rsidRPr="007B2402">
        <w:rPr>
          <w:rFonts w:eastAsia="Calibri" w:cs="Times New Roman"/>
          <w:szCs w:val="20"/>
          <w:lang w:val="en-US"/>
        </w:rPr>
        <w:t>was</w:t>
      </w:r>
      <w:r w:rsidR="00811602" w:rsidRPr="007B2402">
        <w:rPr>
          <w:rFonts w:eastAsia="Calibri" w:cs="Times New Roman"/>
          <w:szCs w:val="20"/>
          <w:lang w:val="en-US"/>
        </w:rPr>
        <w:t xml:space="preserve"> to </w:t>
      </w:r>
      <w:r w:rsidR="00426CA0" w:rsidRPr="007B2402">
        <w:rPr>
          <w:rFonts w:eastAsia="Calibri" w:cs="Times New Roman"/>
          <w:szCs w:val="20"/>
          <w:lang w:val="en-US"/>
        </w:rPr>
        <w:t>shield</w:t>
      </w:r>
      <w:r w:rsidR="00811602" w:rsidRPr="007B2402">
        <w:rPr>
          <w:rFonts w:eastAsia="Calibri" w:cs="Times New Roman"/>
          <w:szCs w:val="20"/>
          <w:lang w:val="en-US"/>
        </w:rPr>
        <w:t xml:space="preserve"> the accused from </w:t>
      </w:r>
      <w:r w:rsidR="00426CA0" w:rsidRPr="007B2402">
        <w:rPr>
          <w:rFonts w:eastAsia="Calibri" w:cs="Times New Roman"/>
          <w:szCs w:val="20"/>
          <w:lang w:val="en-US"/>
        </w:rPr>
        <w:t>their</w:t>
      </w:r>
      <w:r w:rsidR="00811602" w:rsidRPr="007B2402">
        <w:rPr>
          <w:rFonts w:eastAsia="Calibri" w:cs="Times New Roman"/>
          <w:szCs w:val="20"/>
          <w:lang w:val="en-US"/>
        </w:rPr>
        <w:t xml:space="preserve"> criminal responsibility</w:t>
      </w:r>
      <w:r w:rsidR="00426CA0" w:rsidRPr="007B2402">
        <w:rPr>
          <w:rFonts w:eastAsia="Calibri" w:cs="Times New Roman"/>
          <w:szCs w:val="20"/>
          <w:lang w:val="en-US"/>
        </w:rPr>
        <w:t xml:space="preserve">, or if it was not declared by an independent and impartial judge, or if it was not declared with the </w:t>
      </w:r>
      <w:r w:rsidR="00010862" w:rsidRPr="007B2402">
        <w:rPr>
          <w:rFonts w:eastAsia="Calibri" w:cs="Times New Roman"/>
          <w:szCs w:val="20"/>
          <w:lang w:val="en-US"/>
        </w:rPr>
        <w:t>true</w:t>
      </w:r>
      <w:r w:rsidR="00426CA0" w:rsidRPr="007B2402">
        <w:rPr>
          <w:rFonts w:eastAsia="Calibri" w:cs="Times New Roman"/>
          <w:szCs w:val="20"/>
          <w:lang w:val="en-US"/>
        </w:rPr>
        <w:t xml:space="preserve"> intention of submitting the person responsible to the action of justice.</w:t>
      </w:r>
    </w:p>
    <w:p w14:paraId="7E7A8F8B" w14:textId="77777777" w:rsidR="000744A8" w:rsidRPr="007B2402" w:rsidRDefault="000744A8" w:rsidP="000744A8">
      <w:pPr>
        <w:spacing w:after="0" w:line="240" w:lineRule="auto"/>
        <w:jc w:val="both"/>
        <w:rPr>
          <w:rFonts w:eastAsia="Calibri" w:cs="Times New Roman"/>
          <w:szCs w:val="20"/>
          <w:lang w:val="en-US"/>
        </w:rPr>
      </w:pPr>
    </w:p>
    <w:p w14:paraId="3EE1C6CD" w14:textId="0A30AF91" w:rsidR="000744A8" w:rsidRPr="007B2402" w:rsidRDefault="00426CA0"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 xml:space="preserve">Regarding the statute of limitations and </w:t>
      </w:r>
      <w:r w:rsidR="00010862" w:rsidRPr="007B2402">
        <w:rPr>
          <w:rFonts w:eastAsia="Calibri" w:cs="Times New Roman"/>
          <w:szCs w:val="20"/>
          <w:lang w:val="en-US"/>
        </w:rPr>
        <w:t xml:space="preserve">the </w:t>
      </w:r>
      <w:r w:rsidRPr="007B2402">
        <w:rPr>
          <w:rFonts w:eastAsia="Calibri" w:cs="Times New Roman"/>
          <w:szCs w:val="20"/>
          <w:lang w:val="en-US"/>
        </w:rPr>
        <w:t>principle of strict legality,</w:t>
      </w:r>
      <w:r w:rsidR="000744A8" w:rsidRPr="007B2402">
        <w:rPr>
          <w:rFonts w:eastAsia="Calibri" w:cs="Times New Roman"/>
          <w:szCs w:val="20"/>
          <w:lang w:val="en-US"/>
        </w:rPr>
        <w:t xml:space="preserve"> </w:t>
      </w:r>
      <w:r w:rsidR="005B1590" w:rsidRPr="007B2402">
        <w:rPr>
          <w:rFonts w:eastAsia="Calibri" w:cs="Times New Roman"/>
          <w:szCs w:val="20"/>
          <w:lang w:val="en-US"/>
        </w:rPr>
        <w:t>the representatives</w:t>
      </w:r>
      <w:r w:rsidR="000744A8" w:rsidRPr="007B2402">
        <w:rPr>
          <w:rFonts w:eastAsia="Calibri" w:cs="Times New Roman"/>
          <w:szCs w:val="20"/>
          <w:lang w:val="en-US"/>
        </w:rPr>
        <w:t xml:space="preserve"> </w:t>
      </w:r>
      <w:r w:rsidRPr="007B2402">
        <w:rPr>
          <w:rFonts w:eastAsia="Calibri" w:cs="Times New Roman"/>
          <w:szCs w:val="20"/>
          <w:lang w:val="en-US"/>
        </w:rPr>
        <w:t>a</w:t>
      </w:r>
      <w:r w:rsidR="00A20842" w:rsidRPr="007B2402">
        <w:rPr>
          <w:rFonts w:eastAsia="Calibri" w:cs="Times New Roman"/>
          <w:szCs w:val="20"/>
          <w:lang w:val="en-US"/>
        </w:rPr>
        <w:t>rgued</w:t>
      </w:r>
      <w:r w:rsidRPr="007B2402">
        <w:rPr>
          <w:rFonts w:eastAsia="Calibri" w:cs="Times New Roman"/>
          <w:szCs w:val="20"/>
          <w:lang w:val="en-US"/>
        </w:rPr>
        <w:t xml:space="preserve"> that the prohibition and imprescriptibility of crimes against humanity has achieved the status of a peremptory </w:t>
      </w:r>
      <w:r w:rsidR="004D0AEC" w:rsidRPr="007B2402">
        <w:rPr>
          <w:rFonts w:eastAsia="Calibri" w:cs="Times New Roman"/>
          <w:szCs w:val="20"/>
          <w:lang w:val="en-US"/>
        </w:rPr>
        <w:t>norm</w:t>
      </w:r>
      <w:r w:rsidRPr="007B2402">
        <w:rPr>
          <w:rFonts w:eastAsia="Calibri" w:cs="Times New Roman"/>
          <w:szCs w:val="20"/>
          <w:lang w:val="en-US"/>
        </w:rPr>
        <w:t xml:space="preserve"> of </w:t>
      </w:r>
      <w:r w:rsidR="000744A8" w:rsidRPr="007B2402">
        <w:rPr>
          <w:rFonts w:eastAsia="Calibri" w:cs="Times New Roman"/>
          <w:i/>
          <w:szCs w:val="20"/>
          <w:lang w:val="en-US"/>
        </w:rPr>
        <w:t>jus cogens</w:t>
      </w:r>
      <w:r w:rsidR="004D0AEC" w:rsidRPr="007B2402">
        <w:rPr>
          <w:rFonts w:eastAsia="Calibri" w:cs="Times New Roman"/>
          <w:szCs w:val="20"/>
          <w:lang w:val="en-US"/>
        </w:rPr>
        <w:t xml:space="preserve"> </w:t>
      </w:r>
      <w:r w:rsidR="00010862" w:rsidRPr="007B2402">
        <w:rPr>
          <w:rFonts w:eastAsia="Calibri" w:cs="Times New Roman"/>
          <w:szCs w:val="20"/>
          <w:lang w:val="en-US"/>
        </w:rPr>
        <w:t>that</w:t>
      </w:r>
      <w:r w:rsidRPr="007B2402">
        <w:rPr>
          <w:rFonts w:eastAsia="Calibri" w:cs="Times New Roman"/>
          <w:szCs w:val="20"/>
          <w:lang w:val="en-US"/>
        </w:rPr>
        <w:t xml:space="preserve"> must be respected and complied with by the international community of State</w:t>
      </w:r>
      <w:r w:rsidR="00010862" w:rsidRPr="007B2402">
        <w:rPr>
          <w:rFonts w:eastAsia="Calibri" w:cs="Times New Roman"/>
          <w:szCs w:val="20"/>
          <w:lang w:val="en-US"/>
        </w:rPr>
        <w:t>s</w:t>
      </w:r>
      <w:r w:rsidRPr="007B2402">
        <w:rPr>
          <w:rFonts w:eastAsia="Calibri" w:cs="Times New Roman"/>
          <w:szCs w:val="20"/>
          <w:lang w:val="en-US"/>
        </w:rPr>
        <w:t>, regardless of whether or not they had ratified instruments that include</w:t>
      </w:r>
      <w:r w:rsidR="00010862" w:rsidRPr="007B2402">
        <w:rPr>
          <w:rFonts w:eastAsia="Calibri" w:cs="Times New Roman"/>
          <w:szCs w:val="20"/>
          <w:lang w:val="en-US"/>
        </w:rPr>
        <w:t>d such crimes</w:t>
      </w:r>
      <w:r w:rsidRPr="007B2402">
        <w:rPr>
          <w:rFonts w:eastAsia="Calibri" w:cs="Times New Roman"/>
          <w:szCs w:val="20"/>
          <w:lang w:val="en-US"/>
        </w:rPr>
        <w:t xml:space="preserve">. According to </w:t>
      </w:r>
      <w:r w:rsidR="005B1590" w:rsidRPr="007B2402">
        <w:rPr>
          <w:rFonts w:eastAsia="Calibri" w:cs="Times New Roman"/>
          <w:szCs w:val="20"/>
          <w:lang w:val="en-US"/>
        </w:rPr>
        <w:t>the representatives</w:t>
      </w:r>
      <w:r w:rsidR="000C059C" w:rsidRPr="007B2402">
        <w:rPr>
          <w:rFonts w:eastAsia="Calibri" w:cs="Times New Roman"/>
          <w:szCs w:val="20"/>
          <w:lang w:val="en-US"/>
        </w:rPr>
        <w:t xml:space="preserve">, </w:t>
      </w:r>
      <w:r w:rsidRPr="007B2402">
        <w:rPr>
          <w:rFonts w:eastAsia="Calibri" w:cs="Times New Roman"/>
          <w:szCs w:val="20"/>
          <w:lang w:val="en-US"/>
        </w:rPr>
        <w:t xml:space="preserve">at the time of the facts of this case, in 1975, torture and crimes against humanity </w:t>
      </w:r>
      <w:r w:rsidR="00010862" w:rsidRPr="007B2402">
        <w:rPr>
          <w:rFonts w:eastAsia="Calibri" w:cs="Times New Roman"/>
          <w:szCs w:val="20"/>
          <w:lang w:val="en-US"/>
        </w:rPr>
        <w:t>had</w:t>
      </w:r>
      <w:r w:rsidRPr="007B2402">
        <w:rPr>
          <w:rFonts w:eastAsia="Calibri" w:cs="Times New Roman"/>
          <w:szCs w:val="20"/>
          <w:lang w:val="en-US"/>
        </w:rPr>
        <w:t xml:space="preserve"> already </w:t>
      </w:r>
      <w:r w:rsidR="00010862" w:rsidRPr="007B2402">
        <w:rPr>
          <w:rFonts w:eastAsia="Calibri" w:cs="Times New Roman"/>
          <w:szCs w:val="20"/>
          <w:lang w:val="en-US"/>
        </w:rPr>
        <w:t xml:space="preserve">been </w:t>
      </w:r>
      <w:r w:rsidRPr="007B2402">
        <w:rPr>
          <w:rFonts w:eastAsia="Calibri" w:cs="Times New Roman"/>
          <w:szCs w:val="20"/>
          <w:lang w:val="en-US"/>
        </w:rPr>
        <w:t>recognized as violations of international law</w:t>
      </w:r>
      <w:r w:rsidR="000744A8" w:rsidRPr="007B2402">
        <w:rPr>
          <w:rFonts w:eastAsia="Calibri" w:cs="Times New Roman"/>
          <w:szCs w:val="20"/>
          <w:lang w:val="en-US"/>
        </w:rPr>
        <w:t xml:space="preserve">. </w:t>
      </w:r>
    </w:p>
    <w:p w14:paraId="76947153" w14:textId="77777777" w:rsidR="000744A8" w:rsidRPr="007B2402" w:rsidRDefault="000744A8" w:rsidP="000744A8">
      <w:pPr>
        <w:spacing w:after="0" w:line="240" w:lineRule="auto"/>
        <w:jc w:val="both"/>
        <w:rPr>
          <w:rFonts w:eastAsia="Calibri" w:cs="Times New Roman"/>
          <w:szCs w:val="20"/>
          <w:lang w:val="en-US"/>
        </w:rPr>
      </w:pPr>
    </w:p>
    <w:p w14:paraId="37CC689A" w14:textId="615F8F2D" w:rsidR="000744A8" w:rsidRPr="007B2402" w:rsidRDefault="001C1644" w:rsidP="000853F3">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 xml:space="preserve">Regarding the unjustified delay and the obstacles to the public civil action, </w:t>
      </w:r>
      <w:r w:rsidR="005B1590" w:rsidRPr="007B2402">
        <w:rPr>
          <w:rFonts w:eastAsia="Calibri" w:cs="Times New Roman"/>
          <w:szCs w:val="20"/>
          <w:lang w:val="en-US"/>
        </w:rPr>
        <w:t>the representatives of the presumed victims</w:t>
      </w:r>
      <w:r w:rsidR="000744A8" w:rsidRPr="007B2402">
        <w:rPr>
          <w:rFonts w:eastAsia="Calibri" w:cs="Times New Roman"/>
          <w:szCs w:val="20"/>
          <w:lang w:val="en-US"/>
        </w:rPr>
        <w:t xml:space="preserve"> </w:t>
      </w:r>
      <w:r w:rsidRPr="007B2402">
        <w:rPr>
          <w:rFonts w:eastAsia="Calibri" w:cs="Times New Roman"/>
          <w:szCs w:val="20"/>
          <w:lang w:val="en-US"/>
        </w:rPr>
        <w:t xml:space="preserve">emphasized that, more than eight years after it had been </w:t>
      </w:r>
      <w:r w:rsidR="007D5D75" w:rsidRPr="007B2402">
        <w:rPr>
          <w:rFonts w:eastAsia="Calibri" w:cs="Times New Roman"/>
          <w:szCs w:val="20"/>
          <w:lang w:val="en-US"/>
        </w:rPr>
        <w:t>fil</w:t>
      </w:r>
      <w:r w:rsidRPr="007B2402">
        <w:rPr>
          <w:rFonts w:eastAsia="Calibri" w:cs="Times New Roman"/>
          <w:szCs w:val="20"/>
          <w:lang w:val="en-US"/>
        </w:rPr>
        <w:t>ed, there was still no decision on the appeal in the public civil action filed by</w:t>
      </w:r>
      <w:r w:rsidR="000744A8" w:rsidRPr="007B2402">
        <w:rPr>
          <w:rFonts w:eastAsia="Calibri" w:cs="Times New Roman"/>
          <w:szCs w:val="20"/>
          <w:lang w:val="en-US"/>
        </w:rPr>
        <w:t xml:space="preserve"> </w:t>
      </w:r>
      <w:r w:rsidR="006B47D1" w:rsidRPr="007B2402">
        <w:rPr>
          <w:rFonts w:eastAsia="Calibri" w:cs="Times New Roman"/>
          <w:szCs w:val="20"/>
          <w:lang w:val="en-US"/>
        </w:rPr>
        <w:t>the Federal Public Prosecution Service</w:t>
      </w:r>
      <w:r w:rsidR="000744A8" w:rsidRPr="007B2402">
        <w:rPr>
          <w:rFonts w:eastAsia="Calibri" w:cs="Times New Roman"/>
          <w:szCs w:val="20"/>
          <w:lang w:val="en-US"/>
        </w:rPr>
        <w:t xml:space="preserve"> </w:t>
      </w:r>
      <w:r w:rsidRPr="007B2402">
        <w:rPr>
          <w:rFonts w:eastAsia="Calibri" w:cs="Times New Roman"/>
          <w:szCs w:val="20"/>
          <w:lang w:val="en-US"/>
        </w:rPr>
        <w:t>in 2008</w:t>
      </w:r>
      <w:r w:rsidR="000744A8" w:rsidRPr="007B2402">
        <w:rPr>
          <w:rFonts w:eastAsia="Calibri" w:cs="Times New Roman"/>
          <w:szCs w:val="20"/>
          <w:lang w:val="en-US"/>
        </w:rPr>
        <w:t xml:space="preserve">. </w:t>
      </w:r>
      <w:r w:rsidRPr="007B2402">
        <w:rPr>
          <w:rFonts w:eastAsia="Calibri" w:cs="Times New Roman"/>
          <w:szCs w:val="20"/>
          <w:lang w:val="en-US"/>
        </w:rPr>
        <w:t xml:space="preserve">They stressed that the public civil action </w:t>
      </w:r>
      <w:r w:rsidR="007D5D75" w:rsidRPr="007B2402">
        <w:rPr>
          <w:rFonts w:eastAsia="Calibri" w:cs="Times New Roman"/>
          <w:szCs w:val="20"/>
          <w:lang w:val="en-US"/>
        </w:rPr>
        <w:t>was</w:t>
      </w:r>
      <w:r w:rsidRPr="007B2402">
        <w:rPr>
          <w:rFonts w:eastAsia="Calibri" w:cs="Times New Roman"/>
          <w:szCs w:val="20"/>
          <w:lang w:val="en-US"/>
        </w:rPr>
        <w:t xml:space="preserve"> of a declaratory nature, with specific requests based</w:t>
      </w:r>
      <w:r w:rsidR="000853F3" w:rsidRPr="007B2402">
        <w:rPr>
          <w:rFonts w:eastAsia="Calibri" w:cs="Times New Roman"/>
          <w:szCs w:val="20"/>
          <w:lang w:val="en-US"/>
        </w:rPr>
        <w:t xml:space="preserve"> </w:t>
      </w:r>
      <w:r w:rsidRPr="007B2402">
        <w:rPr>
          <w:rFonts w:eastAsia="Calibri" w:cs="Times New Roman"/>
          <w:szCs w:val="20"/>
          <w:lang w:val="en-US"/>
        </w:rPr>
        <w:t>on documentary evidence provided to the case</w:t>
      </w:r>
      <w:r w:rsidR="007D5D75" w:rsidRPr="007B2402">
        <w:rPr>
          <w:rFonts w:eastAsia="Calibri" w:cs="Times New Roman"/>
          <w:szCs w:val="20"/>
          <w:lang w:val="en-US"/>
        </w:rPr>
        <w:t xml:space="preserve"> file</w:t>
      </w:r>
      <w:r w:rsidRPr="007B2402">
        <w:rPr>
          <w:rFonts w:eastAsia="Calibri" w:cs="Times New Roman"/>
          <w:szCs w:val="20"/>
          <w:lang w:val="en-US"/>
        </w:rPr>
        <w:t>, and that the accused had been identified and located</w:t>
      </w:r>
      <w:r w:rsidR="000853F3" w:rsidRPr="007B2402">
        <w:rPr>
          <w:rFonts w:eastAsia="Calibri" w:cs="Times New Roman"/>
          <w:szCs w:val="20"/>
          <w:lang w:val="en-US"/>
        </w:rPr>
        <w:t xml:space="preserve">, which eliminated the possibility of citing the criterion of the complexity of the action. The unjustified delay was based exclusively on the conduct of the judicial authorities who had acted with negligence and omission. This delay was particularly serious because the purpose of the public civil action was to obtain a declaration of the existence of the State obligation to release all the information relating to the activities conducted in the Army’s </w:t>
      </w:r>
      <w:r w:rsidR="000744A8" w:rsidRPr="007B2402">
        <w:rPr>
          <w:rFonts w:eastAsia="Calibri" w:cs="Times New Roman"/>
          <w:szCs w:val="20"/>
          <w:lang w:val="en-US"/>
        </w:rPr>
        <w:t xml:space="preserve">DOI/CODI </w:t>
      </w:r>
      <w:r w:rsidR="000853F3" w:rsidRPr="007B2402">
        <w:rPr>
          <w:rFonts w:eastAsia="Calibri" w:cs="Times New Roman"/>
          <w:szCs w:val="20"/>
          <w:lang w:val="en-US"/>
        </w:rPr>
        <w:t>over the period</w:t>
      </w:r>
      <w:r w:rsidR="000744A8" w:rsidRPr="007B2402">
        <w:rPr>
          <w:rFonts w:eastAsia="Calibri" w:cs="Times New Roman"/>
          <w:szCs w:val="20"/>
          <w:lang w:val="en-US"/>
        </w:rPr>
        <w:t xml:space="preserve"> </w:t>
      </w:r>
      <w:r w:rsidR="00987DED" w:rsidRPr="007B2402">
        <w:rPr>
          <w:rFonts w:eastAsia="Calibri" w:cs="Times New Roman"/>
          <w:szCs w:val="20"/>
          <w:lang w:val="en-US"/>
        </w:rPr>
        <w:t>1970</w:t>
      </w:r>
      <w:r w:rsidR="000853F3" w:rsidRPr="007B2402">
        <w:rPr>
          <w:rFonts w:eastAsia="Calibri" w:cs="Times New Roman"/>
          <w:szCs w:val="20"/>
          <w:lang w:val="en-US"/>
        </w:rPr>
        <w:t xml:space="preserve"> to </w:t>
      </w:r>
      <w:r w:rsidR="00987DED" w:rsidRPr="007B2402">
        <w:rPr>
          <w:rFonts w:eastAsia="Calibri" w:cs="Times New Roman"/>
          <w:szCs w:val="20"/>
          <w:lang w:val="en-US"/>
        </w:rPr>
        <w:t>1985.</w:t>
      </w:r>
    </w:p>
    <w:p w14:paraId="37D5A1B4" w14:textId="77777777" w:rsidR="000744A8" w:rsidRPr="007B2402" w:rsidRDefault="000744A8" w:rsidP="000744A8">
      <w:pPr>
        <w:spacing w:after="0" w:line="240" w:lineRule="auto"/>
        <w:jc w:val="both"/>
        <w:rPr>
          <w:rFonts w:eastAsia="Calibri" w:cs="Times New Roman"/>
          <w:szCs w:val="20"/>
          <w:lang w:val="en-US"/>
        </w:rPr>
      </w:pPr>
    </w:p>
    <w:p w14:paraId="4AF0170A" w14:textId="0EA7A9F0" w:rsidR="000853F3" w:rsidRPr="007B2402" w:rsidRDefault="000853F3" w:rsidP="00DB1F30">
      <w:pPr>
        <w:numPr>
          <w:ilvl w:val="0"/>
          <w:numId w:val="6"/>
        </w:numPr>
        <w:spacing w:after="0" w:line="240" w:lineRule="auto"/>
        <w:jc w:val="both"/>
        <w:rPr>
          <w:rFonts w:eastAsia="Calibri" w:cs="Times New Roman"/>
          <w:b/>
          <w:szCs w:val="20"/>
          <w:lang w:val="en-US"/>
        </w:rPr>
      </w:pPr>
      <w:r w:rsidRPr="007B2402">
        <w:rPr>
          <w:rFonts w:eastAsia="Calibri" w:cs="Times New Roman"/>
          <w:szCs w:val="20"/>
          <w:lang w:val="en-US"/>
        </w:rPr>
        <w:t xml:space="preserve">Regarding the State’s omission in relation to the effects of the Court’s judgment in the case of </w:t>
      </w:r>
      <w:r w:rsidR="000744A8" w:rsidRPr="007B2402">
        <w:rPr>
          <w:rFonts w:eastAsia="Calibri" w:cs="Times New Roman"/>
          <w:i/>
          <w:szCs w:val="20"/>
          <w:lang w:val="en-US"/>
        </w:rPr>
        <w:t>Gomes Lund</w:t>
      </w:r>
      <w:r w:rsidR="005B1590" w:rsidRPr="007B2402">
        <w:rPr>
          <w:rFonts w:eastAsia="Calibri" w:cs="Times New Roman"/>
          <w:i/>
          <w:szCs w:val="20"/>
          <w:lang w:val="en-US"/>
        </w:rPr>
        <w:t xml:space="preserve"> </w:t>
      </w:r>
      <w:r w:rsidR="00892CA3" w:rsidRPr="007B2402">
        <w:rPr>
          <w:rFonts w:eastAsia="Calibri" w:cs="Times New Roman"/>
          <w:i/>
          <w:szCs w:val="20"/>
          <w:lang w:val="en-US"/>
        </w:rPr>
        <w:t>et al.</w:t>
      </w:r>
      <w:r w:rsidR="000744A8" w:rsidRPr="007B2402">
        <w:rPr>
          <w:rFonts w:eastAsia="Calibri" w:cs="Times New Roman"/>
          <w:szCs w:val="20"/>
          <w:lang w:val="en-US"/>
        </w:rPr>
        <w:t xml:space="preserve">, </w:t>
      </w:r>
      <w:r w:rsidR="005B1590" w:rsidRPr="007B2402">
        <w:rPr>
          <w:rFonts w:eastAsia="Calibri" w:cs="Times New Roman"/>
          <w:szCs w:val="20"/>
          <w:lang w:val="en-US"/>
        </w:rPr>
        <w:t>the representatives</w:t>
      </w:r>
      <w:r w:rsidR="000744A8" w:rsidRPr="007B2402">
        <w:rPr>
          <w:rFonts w:eastAsia="Calibri" w:cs="Times New Roman"/>
          <w:szCs w:val="20"/>
          <w:lang w:val="en-US"/>
        </w:rPr>
        <w:t xml:space="preserve"> al</w:t>
      </w:r>
      <w:r w:rsidRPr="007B2402">
        <w:rPr>
          <w:rFonts w:eastAsia="Calibri" w:cs="Times New Roman"/>
          <w:szCs w:val="20"/>
          <w:lang w:val="en-US"/>
        </w:rPr>
        <w:t xml:space="preserve">leged that when the Court established that the </w:t>
      </w:r>
      <w:r w:rsidR="00221E16" w:rsidRPr="007B2402">
        <w:rPr>
          <w:rFonts w:eastAsia="Calibri" w:cs="Times New Roman"/>
          <w:szCs w:val="20"/>
          <w:lang w:val="en-US"/>
        </w:rPr>
        <w:t>Amnesty Law</w:t>
      </w:r>
      <w:r w:rsidR="000744A8" w:rsidRPr="007B2402">
        <w:rPr>
          <w:rFonts w:eastAsia="Calibri" w:cs="Times New Roman"/>
          <w:szCs w:val="20"/>
          <w:lang w:val="en-US"/>
        </w:rPr>
        <w:t xml:space="preserve"> </w:t>
      </w:r>
      <w:r w:rsidRPr="007B2402">
        <w:rPr>
          <w:rFonts w:eastAsia="Calibri" w:cs="Times New Roman"/>
          <w:szCs w:val="20"/>
          <w:lang w:val="en-US"/>
        </w:rPr>
        <w:t xml:space="preserve">could not represent an obstacle for the investigation and punishment of those responsible for gross human rights violations, it also determined that the judgment would have effects for other cases of </w:t>
      </w:r>
      <w:r w:rsidR="001D087B" w:rsidRPr="007B2402">
        <w:rPr>
          <w:rFonts w:eastAsia="Calibri" w:cs="Times New Roman"/>
          <w:szCs w:val="20"/>
          <w:lang w:val="en-US"/>
        </w:rPr>
        <w:t xml:space="preserve">serious </w:t>
      </w:r>
      <w:r w:rsidRPr="007B2402">
        <w:rPr>
          <w:rFonts w:eastAsia="Calibri" w:cs="Times New Roman"/>
          <w:szCs w:val="20"/>
          <w:lang w:val="en-US"/>
        </w:rPr>
        <w:t xml:space="preserve">violations that had occurred in Brazil. Despite this, the State had failed to take the necessary steps to re-open the criminal investigations into </w:t>
      </w:r>
      <w:r w:rsidR="001D087B" w:rsidRPr="007B2402">
        <w:rPr>
          <w:rFonts w:eastAsia="Calibri" w:cs="Times New Roman"/>
          <w:szCs w:val="20"/>
          <w:lang w:val="en-US"/>
        </w:rPr>
        <w:t>serious</w:t>
      </w:r>
      <w:r w:rsidRPr="007B2402">
        <w:rPr>
          <w:rFonts w:eastAsia="Calibri" w:cs="Times New Roman"/>
          <w:szCs w:val="20"/>
          <w:lang w:val="en-US"/>
        </w:rPr>
        <w:t xml:space="preserve"> human rights violations, the result being, in their opinion, that the State had incurred international responsibility for omission</w:t>
      </w:r>
      <w:r w:rsidR="007D5D75" w:rsidRPr="007B2402">
        <w:rPr>
          <w:rFonts w:eastAsia="Calibri" w:cs="Times New Roman"/>
          <w:szCs w:val="20"/>
          <w:lang w:val="en-US"/>
        </w:rPr>
        <w:t xml:space="preserve"> in the instant case</w:t>
      </w:r>
      <w:r w:rsidRPr="007B2402">
        <w:rPr>
          <w:rFonts w:eastAsia="Calibri" w:cs="Times New Roman"/>
          <w:szCs w:val="20"/>
          <w:lang w:val="en-US"/>
        </w:rPr>
        <w:t>.</w:t>
      </w:r>
    </w:p>
    <w:p w14:paraId="1015D1FF" w14:textId="77777777" w:rsidR="000744A8" w:rsidRPr="007B2402" w:rsidRDefault="000744A8" w:rsidP="000744A8">
      <w:pPr>
        <w:spacing w:after="0" w:line="240" w:lineRule="auto"/>
        <w:jc w:val="both"/>
        <w:rPr>
          <w:rFonts w:eastAsia="Calibri" w:cs="Times New Roman"/>
          <w:b/>
          <w:szCs w:val="20"/>
          <w:lang w:val="en-US"/>
        </w:rPr>
      </w:pPr>
    </w:p>
    <w:p w14:paraId="3025DA30" w14:textId="2E5C3171" w:rsidR="000744A8" w:rsidRPr="007B2402" w:rsidRDefault="007D5D75" w:rsidP="000853F3">
      <w:pPr>
        <w:numPr>
          <w:ilvl w:val="0"/>
          <w:numId w:val="6"/>
        </w:numPr>
        <w:spacing w:after="0" w:line="240" w:lineRule="auto"/>
        <w:jc w:val="both"/>
        <w:rPr>
          <w:rFonts w:eastAsia="Calibri" w:cs="Times New Roman"/>
          <w:b/>
          <w:bCs/>
          <w:szCs w:val="20"/>
          <w:lang w:val="en-US"/>
        </w:rPr>
      </w:pPr>
      <w:r w:rsidRPr="007B2402">
        <w:rPr>
          <w:rFonts w:eastAsia="Calibri" w:cs="Times New Roman"/>
          <w:szCs w:val="20"/>
          <w:lang w:val="en-US"/>
        </w:rPr>
        <w:t>Consequently</w:t>
      </w:r>
      <w:r w:rsidR="000853F3" w:rsidRPr="007B2402">
        <w:rPr>
          <w:rFonts w:eastAsia="Calibri" w:cs="Times New Roman"/>
          <w:szCs w:val="20"/>
          <w:lang w:val="en-US"/>
        </w:rPr>
        <w:t>, the representatives a</w:t>
      </w:r>
      <w:r w:rsidRPr="007B2402">
        <w:rPr>
          <w:rFonts w:eastAsia="Calibri" w:cs="Times New Roman"/>
          <w:szCs w:val="20"/>
          <w:lang w:val="en-US"/>
        </w:rPr>
        <w:t>rgu</w:t>
      </w:r>
      <w:r w:rsidR="000853F3" w:rsidRPr="007B2402">
        <w:rPr>
          <w:rFonts w:eastAsia="Calibri" w:cs="Times New Roman"/>
          <w:szCs w:val="20"/>
          <w:lang w:val="en-US"/>
        </w:rPr>
        <w:t xml:space="preserve">ed that Brazil was responsible for </w:t>
      </w:r>
      <w:r w:rsidRPr="007B2402">
        <w:rPr>
          <w:rFonts w:eastAsia="Calibri" w:cs="Times New Roman"/>
          <w:szCs w:val="20"/>
          <w:lang w:val="en-US"/>
        </w:rPr>
        <w:t>violating</w:t>
      </w:r>
      <w:r w:rsidR="000853F3" w:rsidRPr="007B2402">
        <w:rPr>
          <w:rFonts w:eastAsia="Calibri" w:cs="Times New Roman"/>
          <w:szCs w:val="20"/>
          <w:lang w:val="en-US"/>
        </w:rPr>
        <w:t xml:space="preserve"> the obligation to ensure the right to freedom of expression owing to the </w:t>
      </w:r>
      <w:r w:rsidRPr="007B2402">
        <w:rPr>
          <w:rFonts w:eastAsia="Calibri" w:cs="Times New Roman"/>
          <w:szCs w:val="20"/>
          <w:lang w:val="en-US"/>
        </w:rPr>
        <w:t>failure to</w:t>
      </w:r>
      <w:r w:rsidR="000853F3" w:rsidRPr="007B2402">
        <w:rPr>
          <w:rFonts w:eastAsia="Calibri" w:cs="Times New Roman"/>
          <w:szCs w:val="20"/>
          <w:lang w:val="en-US"/>
        </w:rPr>
        <w:t xml:space="preserve"> investigat</w:t>
      </w:r>
      <w:r w:rsidRPr="007B2402">
        <w:rPr>
          <w:rFonts w:eastAsia="Calibri" w:cs="Times New Roman"/>
          <w:szCs w:val="20"/>
          <w:lang w:val="en-US"/>
        </w:rPr>
        <w:t>e</w:t>
      </w:r>
      <w:r w:rsidR="000853F3" w:rsidRPr="007B2402">
        <w:rPr>
          <w:rFonts w:eastAsia="Calibri" w:cs="Times New Roman"/>
          <w:szCs w:val="20"/>
          <w:lang w:val="en-US"/>
        </w:rPr>
        <w:t>, prosecut</w:t>
      </w:r>
      <w:r w:rsidRPr="007B2402">
        <w:rPr>
          <w:rFonts w:eastAsia="Calibri" w:cs="Times New Roman"/>
          <w:szCs w:val="20"/>
          <w:lang w:val="en-US"/>
        </w:rPr>
        <w:t>e</w:t>
      </w:r>
      <w:r w:rsidR="000853F3" w:rsidRPr="007B2402">
        <w:rPr>
          <w:rFonts w:eastAsia="Calibri" w:cs="Times New Roman"/>
          <w:szCs w:val="20"/>
          <w:lang w:val="en-US"/>
        </w:rPr>
        <w:t xml:space="preserve"> and punish those responsible for the </w:t>
      </w:r>
      <w:r w:rsidR="001D087B" w:rsidRPr="007B2402">
        <w:rPr>
          <w:rFonts w:eastAsia="Calibri" w:cs="Times New Roman"/>
          <w:szCs w:val="20"/>
          <w:lang w:val="en-US"/>
        </w:rPr>
        <w:t xml:space="preserve">gross </w:t>
      </w:r>
      <w:r w:rsidR="000853F3" w:rsidRPr="007B2402">
        <w:rPr>
          <w:rFonts w:eastAsia="Calibri" w:cs="Times New Roman"/>
          <w:szCs w:val="20"/>
          <w:lang w:val="en-US"/>
        </w:rPr>
        <w:t>human rights violations committed against the journalist</w:t>
      </w:r>
      <w:r w:rsidR="000853F3" w:rsidRPr="007B2402">
        <w:rPr>
          <w:rFonts w:eastAsia="Calibri" w:cs="Times New Roman"/>
          <w:b/>
          <w:bCs/>
          <w:szCs w:val="20"/>
          <w:lang w:val="en-US"/>
        </w:rPr>
        <w:t xml:space="preserve"> </w:t>
      </w:r>
      <w:r w:rsidR="000744A8" w:rsidRPr="007B2402">
        <w:rPr>
          <w:rFonts w:eastAsia="Calibri" w:cs="Times New Roman"/>
          <w:szCs w:val="20"/>
          <w:lang w:val="en-US"/>
        </w:rPr>
        <w:t xml:space="preserve">Vladimir Herzog. </w:t>
      </w:r>
      <w:r w:rsidR="000853F3" w:rsidRPr="007B2402">
        <w:rPr>
          <w:rFonts w:eastAsia="Calibri" w:cs="Times New Roman"/>
          <w:szCs w:val="20"/>
          <w:lang w:val="en-US"/>
        </w:rPr>
        <w:t xml:space="preserve">They also concluded that the impunity of the facts to date constituted a situation of permanent violation of the obligation to investigate and punish torture, which resulted in the violation of </w:t>
      </w:r>
      <w:r w:rsidRPr="007B2402">
        <w:rPr>
          <w:rFonts w:eastAsia="Calibri" w:cs="Times New Roman"/>
          <w:szCs w:val="20"/>
          <w:lang w:val="en-US"/>
        </w:rPr>
        <w:t>the State’s</w:t>
      </w:r>
      <w:r w:rsidR="000853F3" w:rsidRPr="007B2402">
        <w:rPr>
          <w:rFonts w:eastAsia="Calibri" w:cs="Times New Roman"/>
          <w:szCs w:val="20"/>
          <w:lang w:val="en-US"/>
        </w:rPr>
        <w:t xml:space="preserve"> obligation to guarantee </w:t>
      </w:r>
      <w:r w:rsidR="00AF4344" w:rsidRPr="007B2402">
        <w:rPr>
          <w:rFonts w:eastAsia="Calibri" w:cs="Times New Roman"/>
          <w:szCs w:val="20"/>
          <w:lang w:val="en-US"/>
        </w:rPr>
        <w:t>Articles</w:t>
      </w:r>
      <w:r w:rsidR="000744A8" w:rsidRPr="007B2402">
        <w:rPr>
          <w:rFonts w:eastAsia="Calibri" w:cs="Times New Roman"/>
          <w:szCs w:val="20"/>
          <w:lang w:val="en-US"/>
        </w:rPr>
        <w:t xml:space="preserve"> 5</w:t>
      </w:r>
      <w:r w:rsidR="005B1590" w:rsidRPr="007B2402">
        <w:rPr>
          <w:rFonts w:eastAsia="Calibri" w:cs="Times New Roman"/>
          <w:szCs w:val="20"/>
          <w:lang w:val="en-US"/>
        </w:rPr>
        <w:t xml:space="preserve"> and </w:t>
      </w:r>
      <w:r w:rsidR="000744A8" w:rsidRPr="007B2402">
        <w:rPr>
          <w:rFonts w:eastAsia="Calibri" w:cs="Times New Roman"/>
          <w:szCs w:val="20"/>
          <w:lang w:val="en-US"/>
        </w:rPr>
        <w:t>13</w:t>
      </w:r>
      <w:r w:rsidR="00AF4344" w:rsidRPr="007B2402">
        <w:rPr>
          <w:rFonts w:eastAsia="Calibri" w:cs="Times New Roman"/>
          <w:szCs w:val="20"/>
          <w:lang w:val="en-US"/>
        </w:rPr>
        <w:t xml:space="preserve"> of the American Convention on Human Rights</w:t>
      </w:r>
      <w:r w:rsidR="000744A8" w:rsidRPr="007B2402">
        <w:rPr>
          <w:rFonts w:eastAsia="Calibri" w:cs="Times New Roman"/>
          <w:szCs w:val="20"/>
          <w:lang w:val="en-US"/>
        </w:rPr>
        <w:t xml:space="preserve">, </w:t>
      </w:r>
      <w:r w:rsidR="00BF1A22" w:rsidRPr="007B2402">
        <w:rPr>
          <w:rFonts w:eastAsia="Calibri" w:cs="Times New Roman"/>
          <w:szCs w:val="20"/>
          <w:lang w:val="en-US"/>
        </w:rPr>
        <w:t>in relation to Article</w:t>
      </w:r>
      <w:r w:rsidR="00AF4344" w:rsidRPr="007B2402">
        <w:rPr>
          <w:rFonts w:eastAsia="Calibri" w:cs="Times New Roman"/>
          <w:szCs w:val="20"/>
          <w:lang w:val="en-US"/>
        </w:rPr>
        <w:t>s</w:t>
      </w:r>
      <w:r w:rsidR="000744A8" w:rsidRPr="007B2402">
        <w:rPr>
          <w:rFonts w:eastAsia="Calibri" w:cs="Times New Roman"/>
          <w:szCs w:val="20"/>
          <w:lang w:val="en-US"/>
        </w:rPr>
        <w:t xml:space="preserve"> </w:t>
      </w:r>
      <w:r w:rsidR="00375567" w:rsidRPr="007B2402">
        <w:rPr>
          <w:rFonts w:eastAsia="Calibri" w:cs="Times New Roman"/>
          <w:szCs w:val="20"/>
          <w:lang w:val="en-US"/>
        </w:rPr>
        <w:t>1(1)</w:t>
      </w:r>
      <w:r w:rsidR="000744A8" w:rsidRPr="007B2402">
        <w:rPr>
          <w:rFonts w:eastAsia="Calibri" w:cs="Times New Roman"/>
          <w:szCs w:val="20"/>
          <w:lang w:val="en-US"/>
        </w:rPr>
        <w:t>, 8</w:t>
      </w:r>
      <w:r w:rsidR="005B1590" w:rsidRPr="007B2402">
        <w:rPr>
          <w:rFonts w:eastAsia="Calibri" w:cs="Times New Roman"/>
          <w:szCs w:val="20"/>
          <w:lang w:val="en-US"/>
        </w:rPr>
        <w:t xml:space="preserve"> and </w:t>
      </w:r>
      <w:r w:rsidR="000744A8" w:rsidRPr="007B2402">
        <w:rPr>
          <w:rFonts w:eastAsia="Calibri" w:cs="Times New Roman"/>
          <w:szCs w:val="20"/>
          <w:lang w:val="en-US"/>
        </w:rPr>
        <w:t xml:space="preserve">25 </w:t>
      </w:r>
      <w:r w:rsidR="00375567" w:rsidRPr="007B2402">
        <w:rPr>
          <w:rFonts w:eastAsia="Calibri" w:cs="Times New Roman"/>
          <w:szCs w:val="20"/>
          <w:lang w:val="en-US"/>
        </w:rPr>
        <w:t>of this instrument</w:t>
      </w:r>
      <w:r w:rsidR="000744A8" w:rsidRPr="007B2402">
        <w:rPr>
          <w:rFonts w:eastAsia="Calibri" w:cs="Times New Roman"/>
          <w:szCs w:val="20"/>
          <w:lang w:val="en-US"/>
        </w:rPr>
        <w:t xml:space="preserve">, </w:t>
      </w:r>
      <w:r w:rsidR="000853F3" w:rsidRPr="007B2402">
        <w:rPr>
          <w:rFonts w:eastAsia="Calibri" w:cs="Times New Roman"/>
          <w:szCs w:val="20"/>
          <w:lang w:val="en-US"/>
        </w:rPr>
        <w:t>as well as</w:t>
      </w:r>
      <w:r w:rsidR="000744A8" w:rsidRPr="007B2402">
        <w:rPr>
          <w:rFonts w:eastAsia="Calibri" w:cs="Times New Roman"/>
          <w:szCs w:val="20"/>
          <w:lang w:val="en-US"/>
        </w:rPr>
        <w:t xml:space="preserve"> </w:t>
      </w:r>
      <w:r w:rsidR="00AF4344" w:rsidRPr="007B2402">
        <w:rPr>
          <w:rFonts w:eastAsia="Calibri" w:cs="Times New Roman"/>
          <w:szCs w:val="20"/>
          <w:lang w:val="en-US"/>
        </w:rPr>
        <w:t>Articles</w:t>
      </w:r>
      <w:r w:rsidR="000744A8" w:rsidRPr="007B2402">
        <w:rPr>
          <w:rFonts w:eastAsia="Calibri" w:cs="Times New Roman"/>
          <w:szCs w:val="20"/>
          <w:lang w:val="en-US"/>
        </w:rPr>
        <w:t xml:space="preserve"> 1, 6</w:t>
      </w:r>
      <w:r w:rsidR="005B1590" w:rsidRPr="007B2402">
        <w:rPr>
          <w:rFonts w:eastAsia="Calibri" w:cs="Times New Roman"/>
          <w:szCs w:val="20"/>
          <w:lang w:val="en-US"/>
        </w:rPr>
        <w:t xml:space="preserve"> and </w:t>
      </w:r>
      <w:r w:rsidR="000744A8" w:rsidRPr="007B2402">
        <w:rPr>
          <w:rFonts w:eastAsia="Calibri" w:cs="Times New Roman"/>
          <w:szCs w:val="20"/>
          <w:lang w:val="en-US"/>
        </w:rPr>
        <w:t xml:space="preserve">8 </w:t>
      </w:r>
      <w:r w:rsidR="000853F3" w:rsidRPr="007B2402">
        <w:rPr>
          <w:rFonts w:eastAsia="Calibri" w:cs="Times New Roman"/>
          <w:szCs w:val="20"/>
          <w:lang w:val="en-US"/>
        </w:rPr>
        <w:t>of the</w:t>
      </w:r>
      <w:r w:rsidR="000744A8" w:rsidRPr="007B2402">
        <w:rPr>
          <w:rFonts w:eastAsia="Calibri" w:cs="Times New Roman"/>
          <w:szCs w:val="20"/>
          <w:lang w:val="en-US"/>
        </w:rPr>
        <w:t xml:space="preserve"> </w:t>
      </w:r>
      <w:r w:rsidR="00375567" w:rsidRPr="007B2402">
        <w:rPr>
          <w:rFonts w:eastAsia="Calibri" w:cs="Times New Roman"/>
          <w:szCs w:val="20"/>
          <w:lang w:val="en-US"/>
        </w:rPr>
        <w:t>ICPPT</w:t>
      </w:r>
      <w:r w:rsidR="000744A8" w:rsidRPr="007B2402">
        <w:rPr>
          <w:rFonts w:eastAsia="Calibri" w:cs="Times New Roman"/>
          <w:szCs w:val="20"/>
          <w:lang w:val="en-US"/>
        </w:rPr>
        <w:t>, “</w:t>
      </w:r>
      <w:r w:rsidR="000A7594" w:rsidRPr="007B2402">
        <w:rPr>
          <w:rFonts w:eastAsia="Calibri" w:cs="Times New Roman"/>
          <w:szCs w:val="20"/>
          <w:lang w:val="en-US"/>
        </w:rPr>
        <w:t xml:space="preserve">to the detriment of </w:t>
      </w:r>
      <w:r w:rsidR="00987DED" w:rsidRPr="007B2402">
        <w:rPr>
          <w:rFonts w:eastAsia="Calibri" w:cs="Times New Roman"/>
          <w:szCs w:val="20"/>
          <w:lang w:val="en-US"/>
        </w:rPr>
        <w:t>Vladimir Herzog</w:t>
      </w:r>
      <w:r w:rsidR="000A7594" w:rsidRPr="007B2402">
        <w:rPr>
          <w:rFonts w:eastAsia="Calibri" w:cs="Times New Roman"/>
          <w:szCs w:val="20"/>
          <w:lang w:val="en-US"/>
        </w:rPr>
        <w:t>.</w:t>
      </w:r>
      <w:r w:rsidR="00987DED" w:rsidRPr="007B2402">
        <w:rPr>
          <w:rFonts w:eastAsia="Calibri" w:cs="Times New Roman"/>
          <w:szCs w:val="20"/>
          <w:lang w:val="en-US"/>
        </w:rPr>
        <w:t>”</w:t>
      </w:r>
    </w:p>
    <w:p w14:paraId="37301FE8" w14:textId="77777777" w:rsidR="000744A8" w:rsidRPr="007B2402" w:rsidRDefault="000744A8" w:rsidP="000744A8">
      <w:pPr>
        <w:spacing w:after="0" w:line="240" w:lineRule="auto"/>
        <w:jc w:val="both"/>
        <w:rPr>
          <w:rFonts w:eastAsia="Calibri" w:cs="Times New Roman"/>
          <w:szCs w:val="20"/>
          <w:lang w:val="en-US"/>
        </w:rPr>
      </w:pPr>
    </w:p>
    <w:p w14:paraId="4C44D129" w14:textId="084DFF2C" w:rsidR="000744A8" w:rsidRPr="007B2402" w:rsidRDefault="000A7594" w:rsidP="00DB1F30">
      <w:pPr>
        <w:numPr>
          <w:ilvl w:val="0"/>
          <w:numId w:val="6"/>
        </w:numPr>
        <w:spacing w:after="0" w:line="240" w:lineRule="auto"/>
        <w:jc w:val="both"/>
        <w:rPr>
          <w:rFonts w:eastAsia="Calibri" w:cs="Times New Roman"/>
          <w:b/>
          <w:szCs w:val="20"/>
          <w:lang w:val="en-US"/>
        </w:rPr>
      </w:pPr>
      <w:r w:rsidRPr="007B2402">
        <w:rPr>
          <w:rFonts w:eastAsia="Calibri" w:cs="Times New Roman"/>
          <w:szCs w:val="20"/>
          <w:lang w:val="en-US"/>
        </w:rPr>
        <w:t xml:space="preserve">They also concluded that the State was responsible for </w:t>
      </w:r>
      <w:r w:rsidR="007D5D75" w:rsidRPr="007B2402">
        <w:rPr>
          <w:rFonts w:eastAsia="Calibri" w:cs="Times New Roman"/>
          <w:szCs w:val="20"/>
          <w:lang w:val="en-US"/>
        </w:rPr>
        <w:t>violating</w:t>
      </w:r>
      <w:r w:rsidRPr="007B2402">
        <w:rPr>
          <w:rFonts w:eastAsia="Calibri" w:cs="Times New Roman"/>
          <w:szCs w:val="20"/>
          <w:lang w:val="en-US"/>
        </w:rPr>
        <w:t xml:space="preserve"> the rights established in </w:t>
      </w:r>
      <w:r w:rsidR="00AF4344" w:rsidRPr="007B2402">
        <w:rPr>
          <w:rFonts w:eastAsia="Calibri" w:cs="Times New Roman"/>
          <w:szCs w:val="20"/>
          <w:lang w:val="en-US"/>
        </w:rPr>
        <w:t>Articles</w:t>
      </w:r>
      <w:r w:rsidR="000744A8" w:rsidRPr="007B2402">
        <w:rPr>
          <w:rFonts w:eastAsia="Calibri" w:cs="Times New Roman"/>
          <w:szCs w:val="20"/>
          <w:lang w:val="en-US"/>
        </w:rPr>
        <w:t xml:space="preserve"> 8</w:t>
      </w:r>
      <w:r w:rsidR="005B1590" w:rsidRPr="007B2402">
        <w:rPr>
          <w:rFonts w:eastAsia="Calibri" w:cs="Times New Roman"/>
          <w:szCs w:val="20"/>
          <w:lang w:val="en-US"/>
        </w:rPr>
        <w:t xml:space="preserve"> and </w:t>
      </w:r>
      <w:r w:rsidR="000744A8" w:rsidRPr="007B2402">
        <w:rPr>
          <w:rFonts w:eastAsia="Calibri" w:cs="Times New Roman"/>
          <w:szCs w:val="20"/>
          <w:lang w:val="en-US"/>
        </w:rPr>
        <w:t>25</w:t>
      </w:r>
      <w:r w:rsidR="00AF4344" w:rsidRPr="007B2402">
        <w:rPr>
          <w:rFonts w:eastAsia="Calibri" w:cs="Times New Roman"/>
          <w:szCs w:val="20"/>
          <w:lang w:val="en-US"/>
        </w:rPr>
        <w:t xml:space="preserve"> of the Convention</w:t>
      </w:r>
      <w:r w:rsidR="000744A8" w:rsidRPr="007B2402">
        <w:rPr>
          <w:rFonts w:eastAsia="Calibri" w:cs="Times New Roman"/>
          <w:szCs w:val="20"/>
          <w:lang w:val="en-US"/>
        </w:rPr>
        <w:t xml:space="preserve">, </w:t>
      </w:r>
      <w:r w:rsidR="00BF1A22" w:rsidRPr="007B2402">
        <w:rPr>
          <w:rFonts w:eastAsia="Calibri" w:cs="Times New Roman"/>
          <w:szCs w:val="20"/>
          <w:lang w:val="en-US"/>
        </w:rPr>
        <w:t>in relation to Article</w:t>
      </w:r>
      <w:r w:rsidR="00AF4344" w:rsidRPr="007B2402">
        <w:rPr>
          <w:rFonts w:eastAsia="Calibri" w:cs="Times New Roman"/>
          <w:szCs w:val="20"/>
          <w:lang w:val="en-US"/>
        </w:rPr>
        <w:t>s</w:t>
      </w:r>
      <w:r w:rsidR="000744A8" w:rsidRPr="007B2402">
        <w:rPr>
          <w:rFonts w:eastAsia="Calibri" w:cs="Times New Roman"/>
          <w:szCs w:val="20"/>
          <w:lang w:val="en-US"/>
        </w:rPr>
        <w:t xml:space="preserve"> </w:t>
      </w:r>
      <w:r w:rsidR="00375567" w:rsidRPr="007B2402">
        <w:rPr>
          <w:rFonts w:eastAsia="Calibri" w:cs="Times New Roman"/>
          <w:szCs w:val="20"/>
          <w:lang w:val="en-US"/>
        </w:rPr>
        <w:t>1(1) and 2</w:t>
      </w:r>
      <w:r w:rsidR="000744A8" w:rsidRPr="007B2402">
        <w:rPr>
          <w:rFonts w:eastAsia="Calibri" w:cs="Times New Roman"/>
          <w:szCs w:val="20"/>
          <w:lang w:val="en-US"/>
        </w:rPr>
        <w:t xml:space="preserve"> </w:t>
      </w:r>
      <w:r w:rsidR="00375567" w:rsidRPr="007B2402">
        <w:rPr>
          <w:rFonts w:eastAsia="Calibri" w:cs="Times New Roman"/>
          <w:szCs w:val="20"/>
          <w:lang w:val="en-US"/>
        </w:rPr>
        <w:t>of this instrument</w:t>
      </w:r>
      <w:r w:rsidR="000744A8" w:rsidRPr="007B2402">
        <w:rPr>
          <w:rFonts w:eastAsia="Calibri" w:cs="Times New Roman"/>
          <w:szCs w:val="20"/>
          <w:lang w:val="en-US"/>
        </w:rPr>
        <w:t xml:space="preserve">, </w:t>
      </w:r>
      <w:r w:rsidRPr="007B2402">
        <w:rPr>
          <w:rFonts w:eastAsia="Calibri" w:cs="Times New Roman"/>
          <w:szCs w:val="20"/>
          <w:lang w:val="en-US"/>
        </w:rPr>
        <w:t xml:space="preserve">owing to the application of the </w:t>
      </w:r>
      <w:r w:rsidR="00221E16" w:rsidRPr="007B2402">
        <w:rPr>
          <w:rFonts w:eastAsia="Calibri" w:cs="Times New Roman"/>
          <w:szCs w:val="20"/>
          <w:lang w:val="en-US"/>
        </w:rPr>
        <w:t>Amnesty Law</w:t>
      </w:r>
      <w:r w:rsidR="000744A8" w:rsidRPr="007B2402">
        <w:rPr>
          <w:rFonts w:eastAsia="Calibri" w:cs="Times New Roman"/>
          <w:szCs w:val="20"/>
          <w:lang w:val="en-US"/>
        </w:rPr>
        <w:t xml:space="preserve">, </w:t>
      </w:r>
      <w:r w:rsidR="007D5D75" w:rsidRPr="007B2402">
        <w:rPr>
          <w:rFonts w:eastAsia="Calibri" w:cs="Times New Roman"/>
          <w:szCs w:val="20"/>
          <w:lang w:val="en-US"/>
        </w:rPr>
        <w:t>the statute of limitations</w:t>
      </w:r>
      <w:r w:rsidRPr="007B2402">
        <w:rPr>
          <w:rFonts w:eastAsia="Calibri" w:cs="Times New Roman"/>
          <w:szCs w:val="20"/>
          <w:lang w:val="en-US"/>
        </w:rPr>
        <w:t xml:space="preserve"> and other provisions of domestic law that prevented the investigation and punishment of the facts denounced. They considered, therefore, that, by applying such provisions, the State organs deprived </w:t>
      </w:r>
      <w:r w:rsidR="000744A8" w:rsidRPr="007B2402">
        <w:rPr>
          <w:rFonts w:eastAsia="Calibri" w:cs="Times New Roman"/>
          <w:szCs w:val="20"/>
          <w:lang w:val="en-US"/>
        </w:rPr>
        <w:t xml:space="preserve">Vladimir Herzog </w:t>
      </w:r>
      <w:r w:rsidRPr="007B2402">
        <w:rPr>
          <w:rFonts w:eastAsia="Calibri" w:cs="Times New Roman"/>
          <w:szCs w:val="20"/>
          <w:lang w:val="en-US"/>
        </w:rPr>
        <w:t>of due judicial protection, denying</w:t>
      </w:r>
      <w:r w:rsidR="007D5D75" w:rsidRPr="007B2402">
        <w:rPr>
          <w:rFonts w:eastAsia="Calibri" w:cs="Times New Roman"/>
          <w:szCs w:val="20"/>
          <w:lang w:val="en-US"/>
        </w:rPr>
        <w:t xml:space="preserve"> the right of</w:t>
      </w:r>
      <w:r w:rsidRPr="007B2402">
        <w:rPr>
          <w:rFonts w:eastAsia="Calibri" w:cs="Times New Roman"/>
          <w:szCs w:val="20"/>
          <w:lang w:val="en-US"/>
        </w:rPr>
        <w:t xml:space="preserve"> his family to be heard by a competent authority and preventing them from obtaining a diligent, impartial and effective investigation</w:t>
      </w:r>
      <w:r w:rsidR="000744A8" w:rsidRPr="007B2402">
        <w:rPr>
          <w:rFonts w:eastAsia="Calibri" w:cs="Times New Roman"/>
          <w:szCs w:val="20"/>
          <w:lang w:val="en-US"/>
        </w:rPr>
        <w:t xml:space="preserve">. </w:t>
      </w:r>
    </w:p>
    <w:p w14:paraId="0718EF7C" w14:textId="77777777" w:rsidR="000744A8" w:rsidRPr="007B2402" w:rsidRDefault="000744A8" w:rsidP="000744A8">
      <w:pPr>
        <w:spacing w:after="0" w:line="240" w:lineRule="auto"/>
        <w:jc w:val="both"/>
        <w:rPr>
          <w:rFonts w:eastAsia="Calibri" w:cs="Times New Roman"/>
          <w:szCs w:val="20"/>
          <w:lang w:val="en-US"/>
        </w:rPr>
      </w:pPr>
    </w:p>
    <w:p w14:paraId="62A81680" w14:textId="6B04B12F" w:rsidR="000744A8" w:rsidRPr="007B2402" w:rsidRDefault="000A7594" w:rsidP="00DB1F30">
      <w:pPr>
        <w:numPr>
          <w:ilvl w:val="0"/>
          <w:numId w:val="6"/>
        </w:numPr>
        <w:spacing w:after="0" w:line="240" w:lineRule="auto"/>
        <w:jc w:val="both"/>
        <w:rPr>
          <w:rFonts w:eastAsia="Calibri" w:cs="Times New Roman"/>
          <w:b/>
          <w:szCs w:val="20"/>
          <w:lang w:val="en-US"/>
        </w:rPr>
      </w:pPr>
      <w:r w:rsidRPr="007B2402">
        <w:rPr>
          <w:rFonts w:eastAsia="Calibri" w:cs="Times New Roman"/>
          <w:szCs w:val="20"/>
          <w:lang w:val="en-US"/>
        </w:rPr>
        <w:t xml:space="preserve">Lastly, they considered that </w:t>
      </w:r>
      <w:r w:rsidR="00AF4344" w:rsidRPr="007B2402">
        <w:rPr>
          <w:rFonts w:eastAsia="Calibri" w:cs="Times New Roman"/>
          <w:szCs w:val="20"/>
          <w:lang w:val="en-US"/>
        </w:rPr>
        <w:t>the State</w:t>
      </w:r>
      <w:r w:rsidR="000744A8" w:rsidRPr="007B2402">
        <w:rPr>
          <w:rFonts w:eastAsia="Calibri" w:cs="Times New Roman"/>
          <w:szCs w:val="20"/>
          <w:lang w:val="en-US"/>
        </w:rPr>
        <w:t xml:space="preserve"> </w:t>
      </w:r>
      <w:r w:rsidRPr="007B2402">
        <w:rPr>
          <w:rFonts w:eastAsia="Calibri" w:cs="Times New Roman"/>
          <w:szCs w:val="20"/>
          <w:lang w:val="en-US"/>
        </w:rPr>
        <w:t>had violated the obligation to investigate, pursuant to the provisions of</w:t>
      </w:r>
      <w:r w:rsidR="000744A8" w:rsidRPr="007B2402">
        <w:rPr>
          <w:rFonts w:eastAsia="Calibri" w:cs="Times New Roman"/>
          <w:szCs w:val="20"/>
          <w:lang w:val="en-US"/>
        </w:rPr>
        <w:t xml:space="preserve"> </w:t>
      </w:r>
      <w:r w:rsidR="00AF4344" w:rsidRPr="007B2402">
        <w:rPr>
          <w:rFonts w:eastAsia="Calibri" w:cs="Times New Roman"/>
          <w:szCs w:val="20"/>
          <w:lang w:val="en-US"/>
        </w:rPr>
        <w:t>Article</w:t>
      </w:r>
      <w:r w:rsidRPr="007B2402">
        <w:rPr>
          <w:rFonts w:eastAsia="Calibri" w:cs="Times New Roman"/>
          <w:szCs w:val="20"/>
          <w:lang w:val="en-US"/>
        </w:rPr>
        <w:t>s</w:t>
      </w:r>
      <w:r w:rsidR="000744A8" w:rsidRPr="007B2402">
        <w:rPr>
          <w:rFonts w:eastAsia="Calibri" w:cs="Times New Roman"/>
          <w:szCs w:val="20"/>
          <w:lang w:val="en-US"/>
        </w:rPr>
        <w:t xml:space="preserve"> 5</w:t>
      </w:r>
      <w:r w:rsidR="00AF4344" w:rsidRPr="007B2402">
        <w:rPr>
          <w:rFonts w:eastAsia="Calibri" w:cs="Times New Roman"/>
          <w:szCs w:val="20"/>
          <w:lang w:val="en-US"/>
        </w:rPr>
        <w:t xml:space="preserve"> of the Convention</w:t>
      </w:r>
      <w:r w:rsidR="005B1590" w:rsidRPr="007B2402">
        <w:rPr>
          <w:rFonts w:eastAsia="Calibri" w:cs="Times New Roman"/>
          <w:szCs w:val="20"/>
          <w:lang w:val="en-US"/>
        </w:rPr>
        <w:t xml:space="preserve"> and </w:t>
      </w:r>
      <w:r w:rsidR="00987DED" w:rsidRPr="007B2402">
        <w:rPr>
          <w:rFonts w:eastAsia="Calibri" w:cs="Times New Roman"/>
          <w:szCs w:val="20"/>
          <w:lang w:val="en-US"/>
        </w:rPr>
        <w:t>1, 6</w:t>
      </w:r>
      <w:r w:rsidR="005B1590" w:rsidRPr="007B2402">
        <w:rPr>
          <w:rFonts w:eastAsia="Calibri" w:cs="Times New Roman"/>
          <w:szCs w:val="20"/>
          <w:lang w:val="en-US"/>
        </w:rPr>
        <w:t xml:space="preserve"> and </w:t>
      </w:r>
      <w:r w:rsidR="00987DED" w:rsidRPr="007B2402">
        <w:rPr>
          <w:rFonts w:eastAsia="Calibri" w:cs="Times New Roman"/>
          <w:szCs w:val="20"/>
          <w:lang w:val="en-US"/>
        </w:rPr>
        <w:t xml:space="preserve">8 </w:t>
      </w:r>
      <w:r w:rsidRPr="007B2402">
        <w:rPr>
          <w:rFonts w:eastAsia="Calibri" w:cs="Times New Roman"/>
          <w:szCs w:val="20"/>
          <w:lang w:val="en-US"/>
        </w:rPr>
        <w:t>of the</w:t>
      </w:r>
      <w:r w:rsidR="00987DED" w:rsidRPr="007B2402">
        <w:rPr>
          <w:rFonts w:eastAsia="Calibri" w:cs="Times New Roman"/>
          <w:szCs w:val="20"/>
          <w:lang w:val="en-US"/>
        </w:rPr>
        <w:t xml:space="preserve"> </w:t>
      </w:r>
      <w:r w:rsidR="00375567" w:rsidRPr="007B2402">
        <w:rPr>
          <w:rFonts w:eastAsia="Calibri" w:cs="Times New Roman"/>
          <w:szCs w:val="20"/>
          <w:lang w:val="en-US"/>
        </w:rPr>
        <w:t>ICPPT</w:t>
      </w:r>
      <w:r w:rsidR="00987DED" w:rsidRPr="007B2402">
        <w:rPr>
          <w:rFonts w:eastAsia="Calibri" w:cs="Times New Roman"/>
          <w:szCs w:val="20"/>
          <w:lang w:val="en-US"/>
        </w:rPr>
        <w:t>.</w:t>
      </w:r>
    </w:p>
    <w:p w14:paraId="65741E04" w14:textId="77777777" w:rsidR="000744A8" w:rsidRPr="007B2402" w:rsidRDefault="000744A8" w:rsidP="000744A8">
      <w:pPr>
        <w:spacing w:after="0" w:line="240" w:lineRule="auto"/>
        <w:jc w:val="both"/>
        <w:rPr>
          <w:rFonts w:eastAsia="Calibri" w:cs="Times New Roman"/>
          <w:szCs w:val="20"/>
          <w:lang w:val="en-US"/>
        </w:rPr>
      </w:pPr>
    </w:p>
    <w:p w14:paraId="32B06069" w14:textId="69CA4075" w:rsidR="000744A8" w:rsidRPr="007B2402" w:rsidRDefault="00AF4344"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 xml:space="preserve">The </w:t>
      </w:r>
      <w:r w:rsidRPr="007B2402">
        <w:rPr>
          <w:rFonts w:eastAsia="Calibri" w:cs="Times New Roman"/>
          <w:b/>
          <w:bCs/>
          <w:i/>
          <w:iCs/>
          <w:szCs w:val="20"/>
          <w:lang w:val="en-US"/>
        </w:rPr>
        <w:t>State</w:t>
      </w:r>
      <w:r w:rsidR="000744A8" w:rsidRPr="007B2402">
        <w:rPr>
          <w:rFonts w:eastAsia="Calibri" w:cs="Times New Roman"/>
          <w:szCs w:val="20"/>
          <w:lang w:val="en-US"/>
        </w:rPr>
        <w:t xml:space="preserve"> consider</w:t>
      </w:r>
      <w:r w:rsidR="000A7594" w:rsidRPr="007B2402">
        <w:rPr>
          <w:rFonts w:eastAsia="Calibri" w:cs="Times New Roman"/>
          <w:szCs w:val="20"/>
          <w:lang w:val="en-US"/>
        </w:rPr>
        <w:t xml:space="preserve">ed that </w:t>
      </w:r>
      <w:r w:rsidRPr="007B2402">
        <w:rPr>
          <w:rFonts w:eastAsia="Calibri" w:cs="Times New Roman"/>
          <w:szCs w:val="20"/>
          <w:lang w:val="en-US"/>
        </w:rPr>
        <w:t>Articles</w:t>
      </w:r>
      <w:r w:rsidR="000744A8" w:rsidRPr="007B2402">
        <w:rPr>
          <w:rFonts w:eastAsia="Calibri" w:cs="Times New Roman"/>
          <w:szCs w:val="20"/>
          <w:lang w:val="en-US"/>
        </w:rPr>
        <w:t xml:space="preserve"> 8</w:t>
      </w:r>
      <w:r w:rsidR="005B1590" w:rsidRPr="007B2402">
        <w:rPr>
          <w:rFonts w:eastAsia="Calibri" w:cs="Times New Roman"/>
          <w:szCs w:val="20"/>
          <w:lang w:val="en-US"/>
        </w:rPr>
        <w:t xml:space="preserve"> and </w:t>
      </w:r>
      <w:r w:rsidR="000744A8" w:rsidRPr="007B2402">
        <w:rPr>
          <w:rFonts w:eastAsia="Calibri" w:cs="Times New Roman"/>
          <w:szCs w:val="20"/>
          <w:lang w:val="en-US"/>
        </w:rPr>
        <w:t>25</w:t>
      </w:r>
      <w:r w:rsidRPr="007B2402">
        <w:rPr>
          <w:rFonts w:eastAsia="Calibri" w:cs="Times New Roman"/>
          <w:szCs w:val="20"/>
          <w:lang w:val="en-US"/>
        </w:rPr>
        <w:t xml:space="preserve"> of the Convention</w:t>
      </w:r>
      <w:r w:rsidR="000A7594" w:rsidRPr="007B2402">
        <w:rPr>
          <w:rFonts w:eastAsia="Calibri" w:cs="Times New Roman"/>
          <w:szCs w:val="20"/>
          <w:lang w:val="en-US"/>
        </w:rPr>
        <w:t xml:space="preserve"> should be differentiated, because each article </w:t>
      </w:r>
      <w:r w:rsidR="0041798B" w:rsidRPr="007B2402">
        <w:rPr>
          <w:rFonts w:eastAsia="Calibri" w:cs="Times New Roman"/>
          <w:szCs w:val="20"/>
          <w:lang w:val="en-US"/>
        </w:rPr>
        <w:t>protected</w:t>
      </w:r>
      <w:r w:rsidR="000A7594" w:rsidRPr="007B2402">
        <w:rPr>
          <w:rFonts w:eastAsia="Calibri" w:cs="Times New Roman"/>
          <w:szCs w:val="20"/>
          <w:lang w:val="en-US"/>
        </w:rPr>
        <w:t xml:space="preserve"> different</w:t>
      </w:r>
      <w:r w:rsidR="0041798B" w:rsidRPr="007B2402">
        <w:rPr>
          <w:rFonts w:eastAsia="Calibri" w:cs="Times New Roman"/>
          <w:szCs w:val="20"/>
          <w:lang w:val="en-US"/>
        </w:rPr>
        <w:t xml:space="preserve"> rights</w:t>
      </w:r>
      <w:r w:rsidR="000A7594" w:rsidRPr="007B2402">
        <w:rPr>
          <w:rFonts w:eastAsia="Calibri" w:cs="Times New Roman"/>
          <w:szCs w:val="20"/>
          <w:lang w:val="en-US"/>
        </w:rPr>
        <w:t xml:space="preserve">. It understood that </w:t>
      </w:r>
      <w:r w:rsidRPr="007B2402">
        <w:rPr>
          <w:rFonts w:eastAsia="Calibri" w:cs="Times New Roman"/>
          <w:szCs w:val="20"/>
          <w:lang w:val="en-US"/>
        </w:rPr>
        <w:t>Article</w:t>
      </w:r>
      <w:r w:rsidR="000744A8" w:rsidRPr="007B2402">
        <w:rPr>
          <w:rFonts w:eastAsia="Calibri" w:cs="Times New Roman"/>
          <w:szCs w:val="20"/>
          <w:lang w:val="en-US"/>
        </w:rPr>
        <w:t xml:space="preserve"> 25 </w:t>
      </w:r>
      <w:r w:rsidR="000A7594" w:rsidRPr="007B2402">
        <w:rPr>
          <w:rFonts w:eastAsia="Calibri" w:cs="Times New Roman"/>
          <w:szCs w:val="20"/>
          <w:lang w:val="en-US"/>
        </w:rPr>
        <w:t>referred to access to the State jurisdiction following the violation of a</w:t>
      </w:r>
      <w:r w:rsidR="0041798B" w:rsidRPr="007B2402">
        <w:rPr>
          <w:rFonts w:eastAsia="Calibri" w:cs="Times New Roman"/>
          <w:szCs w:val="20"/>
          <w:lang w:val="en-US"/>
        </w:rPr>
        <w:t xml:space="preserve"> victim’s</w:t>
      </w:r>
      <w:r w:rsidR="000A7594" w:rsidRPr="007B2402">
        <w:rPr>
          <w:rFonts w:eastAsia="Calibri" w:cs="Times New Roman"/>
          <w:szCs w:val="20"/>
          <w:lang w:val="en-US"/>
        </w:rPr>
        <w:t xml:space="preserve"> right; in other words, the obligation of the State to grant the victim the possibility of judicial protection to obtain recognition of a human rights violation and the consequent reparation. </w:t>
      </w:r>
    </w:p>
    <w:p w14:paraId="336F77A2" w14:textId="77777777" w:rsidR="000744A8" w:rsidRPr="007B2402" w:rsidRDefault="000744A8" w:rsidP="000744A8">
      <w:pPr>
        <w:spacing w:after="0" w:line="240" w:lineRule="auto"/>
        <w:jc w:val="both"/>
        <w:rPr>
          <w:rFonts w:eastAsia="Calibri" w:cs="Times New Roman"/>
          <w:szCs w:val="20"/>
          <w:lang w:val="en-US"/>
        </w:rPr>
      </w:pPr>
    </w:p>
    <w:p w14:paraId="564D535F" w14:textId="2447519C" w:rsidR="000744A8" w:rsidRPr="007B2402" w:rsidRDefault="000A7594"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Meanwhile</w:t>
      </w:r>
      <w:r w:rsidR="000744A8" w:rsidRPr="007B2402">
        <w:rPr>
          <w:rFonts w:eastAsia="Calibri" w:cs="Times New Roman"/>
          <w:szCs w:val="20"/>
          <w:lang w:val="en-US"/>
        </w:rPr>
        <w:t xml:space="preserve">, </w:t>
      </w:r>
      <w:r w:rsidR="00AF4344" w:rsidRPr="007B2402">
        <w:rPr>
          <w:rFonts w:eastAsia="Calibri" w:cs="Times New Roman"/>
          <w:szCs w:val="20"/>
          <w:lang w:val="en-US"/>
        </w:rPr>
        <w:t>Article</w:t>
      </w:r>
      <w:r w:rsidR="000744A8" w:rsidRPr="007B2402">
        <w:rPr>
          <w:rFonts w:eastAsia="Calibri" w:cs="Times New Roman"/>
          <w:szCs w:val="20"/>
          <w:lang w:val="en-US"/>
        </w:rPr>
        <w:t xml:space="preserve"> 8</w:t>
      </w:r>
      <w:r w:rsidR="00AF4344" w:rsidRPr="007B2402">
        <w:rPr>
          <w:rFonts w:eastAsia="Calibri" w:cs="Times New Roman"/>
          <w:szCs w:val="20"/>
          <w:lang w:val="en-US"/>
        </w:rPr>
        <w:t xml:space="preserve"> of the Convention</w:t>
      </w:r>
      <w:r w:rsidR="000744A8" w:rsidRPr="007B2402">
        <w:rPr>
          <w:rFonts w:eastAsia="Calibri" w:cs="Times New Roman"/>
          <w:szCs w:val="20"/>
          <w:lang w:val="en-US"/>
        </w:rPr>
        <w:t xml:space="preserve"> </w:t>
      </w:r>
      <w:r w:rsidRPr="007B2402">
        <w:rPr>
          <w:rFonts w:eastAsia="Calibri" w:cs="Times New Roman"/>
          <w:szCs w:val="20"/>
          <w:lang w:val="en-US"/>
        </w:rPr>
        <w:t xml:space="preserve">referred to the situation in which a person </w:t>
      </w:r>
      <w:r w:rsidR="0041798B" w:rsidRPr="007B2402">
        <w:rPr>
          <w:rFonts w:eastAsia="Calibri" w:cs="Times New Roman"/>
          <w:szCs w:val="20"/>
          <w:lang w:val="en-US"/>
        </w:rPr>
        <w:t>wa</w:t>
      </w:r>
      <w:r w:rsidRPr="007B2402">
        <w:rPr>
          <w:rFonts w:eastAsia="Calibri" w:cs="Times New Roman"/>
          <w:szCs w:val="20"/>
          <w:lang w:val="en-US"/>
        </w:rPr>
        <w:t xml:space="preserve">s a passive subject of a judicial proceeding; in other words, he </w:t>
      </w:r>
      <w:r w:rsidR="0041798B" w:rsidRPr="007B2402">
        <w:rPr>
          <w:rFonts w:eastAsia="Calibri" w:cs="Times New Roman"/>
          <w:szCs w:val="20"/>
          <w:lang w:val="en-US"/>
        </w:rPr>
        <w:t>wa</w:t>
      </w:r>
      <w:r w:rsidRPr="007B2402">
        <w:rPr>
          <w:rFonts w:eastAsia="Calibri" w:cs="Times New Roman"/>
          <w:szCs w:val="20"/>
          <w:lang w:val="en-US"/>
        </w:rPr>
        <w:t xml:space="preserve">s accused of having committed a wrongful act, which </w:t>
      </w:r>
      <w:r w:rsidR="0041798B" w:rsidRPr="007B2402">
        <w:rPr>
          <w:rFonts w:eastAsia="Calibri" w:cs="Times New Roman"/>
          <w:szCs w:val="20"/>
          <w:lang w:val="en-US"/>
        </w:rPr>
        <w:t>could</w:t>
      </w:r>
      <w:r w:rsidRPr="007B2402">
        <w:rPr>
          <w:rFonts w:eastAsia="Calibri" w:cs="Times New Roman"/>
          <w:szCs w:val="20"/>
          <w:lang w:val="en-US"/>
        </w:rPr>
        <w:t xml:space="preserve"> be either criminal or civil in nature.</w:t>
      </w:r>
    </w:p>
    <w:p w14:paraId="6F845553" w14:textId="77777777" w:rsidR="000744A8" w:rsidRPr="007B2402" w:rsidRDefault="000744A8" w:rsidP="000744A8">
      <w:pPr>
        <w:spacing w:after="0" w:line="240" w:lineRule="auto"/>
        <w:jc w:val="both"/>
        <w:rPr>
          <w:rFonts w:eastAsia="Calibri" w:cs="Times New Roman"/>
          <w:szCs w:val="20"/>
          <w:lang w:val="en-US"/>
        </w:rPr>
      </w:pPr>
    </w:p>
    <w:p w14:paraId="60A15E09" w14:textId="6EB73872" w:rsidR="00C809ED" w:rsidRPr="007B2402" w:rsidRDefault="000A7594"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The</w:t>
      </w:r>
      <w:r w:rsidR="00AF4344" w:rsidRPr="007B2402">
        <w:rPr>
          <w:rFonts w:eastAsia="Calibri" w:cs="Times New Roman"/>
          <w:szCs w:val="20"/>
          <w:lang w:val="en-US"/>
        </w:rPr>
        <w:t xml:space="preserve"> State</w:t>
      </w:r>
      <w:r w:rsidR="000744A8" w:rsidRPr="007B2402">
        <w:rPr>
          <w:rFonts w:eastAsia="Calibri" w:cs="Times New Roman"/>
          <w:szCs w:val="20"/>
          <w:lang w:val="en-US"/>
        </w:rPr>
        <w:t xml:space="preserve"> </w:t>
      </w:r>
      <w:r w:rsidRPr="007B2402">
        <w:rPr>
          <w:rFonts w:eastAsia="Calibri" w:cs="Times New Roman"/>
          <w:szCs w:val="20"/>
          <w:lang w:val="en-US"/>
        </w:rPr>
        <w:t>a</w:t>
      </w:r>
      <w:r w:rsidR="007D5D75" w:rsidRPr="007B2402">
        <w:rPr>
          <w:rFonts w:eastAsia="Calibri" w:cs="Times New Roman"/>
          <w:szCs w:val="20"/>
          <w:lang w:val="en-US"/>
        </w:rPr>
        <w:t>rgue</w:t>
      </w:r>
      <w:r w:rsidRPr="007B2402">
        <w:rPr>
          <w:rFonts w:eastAsia="Calibri" w:cs="Times New Roman"/>
          <w:szCs w:val="20"/>
          <w:lang w:val="en-US"/>
        </w:rPr>
        <w:t>d that</w:t>
      </w:r>
      <w:r w:rsidR="000744A8" w:rsidRPr="007B2402">
        <w:rPr>
          <w:rFonts w:eastAsia="Calibri" w:cs="Times New Roman"/>
          <w:szCs w:val="20"/>
          <w:lang w:val="en-US"/>
        </w:rPr>
        <w:t xml:space="preserve"> </w:t>
      </w:r>
      <w:r w:rsidR="005B1590" w:rsidRPr="007B2402">
        <w:rPr>
          <w:rFonts w:eastAsia="Calibri" w:cs="Times New Roman"/>
          <w:szCs w:val="20"/>
          <w:lang w:val="en-US"/>
        </w:rPr>
        <w:t>the presumed victims</w:t>
      </w:r>
      <w:r w:rsidR="000744A8" w:rsidRPr="007B2402">
        <w:rPr>
          <w:rFonts w:eastAsia="Calibri" w:cs="Times New Roman"/>
          <w:szCs w:val="20"/>
          <w:lang w:val="en-US"/>
        </w:rPr>
        <w:t xml:space="preserve"> </w:t>
      </w:r>
      <w:r w:rsidR="007D5D75" w:rsidRPr="007B2402">
        <w:rPr>
          <w:rFonts w:eastAsia="Calibri" w:cs="Times New Roman"/>
          <w:szCs w:val="20"/>
          <w:lang w:val="en-US"/>
        </w:rPr>
        <w:t>had</w:t>
      </w:r>
      <w:r w:rsidR="00C809ED" w:rsidRPr="007B2402">
        <w:rPr>
          <w:rFonts w:eastAsia="Calibri" w:cs="Times New Roman"/>
          <w:szCs w:val="20"/>
          <w:lang w:val="en-US"/>
        </w:rPr>
        <w:t xml:space="preserve"> never </w:t>
      </w:r>
      <w:r w:rsidR="007D5D75" w:rsidRPr="007B2402">
        <w:rPr>
          <w:rFonts w:eastAsia="Calibri" w:cs="Times New Roman"/>
          <w:szCs w:val="20"/>
          <w:lang w:val="en-US"/>
        </w:rPr>
        <w:t xml:space="preserve">been </w:t>
      </w:r>
      <w:r w:rsidR="00C809ED" w:rsidRPr="007B2402">
        <w:rPr>
          <w:rFonts w:eastAsia="Calibri" w:cs="Times New Roman"/>
          <w:szCs w:val="20"/>
          <w:lang w:val="en-US"/>
        </w:rPr>
        <w:t>party to a judicial proceeding relat</w:t>
      </w:r>
      <w:r w:rsidR="0041798B" w:rsidRPr="007B2402">
        <w:rPr>
          <w:rFonts w:eastAsia="Calibri" w:cs="Times New Roman"/>
          <w:szCs w:val="20"/>
          <w:lang w:val="en-US"/>
        </w:rPr>
        <w:t>ing</w:t>
      </w:r>
      <w:r w:rsidR="00C809ED" w:rsidRPr="007B2402">
        <w:rPr>
          <w:rFonts w:eastAsia="Calibri" w:cs="Times New Roman"/>
          <w:szCs w:val="20"/>
          <w:lang w:val="en-US"/>
        </w:rPr>
        <w:t xml:space="preserve"> to the case in question, so that it was impossible that </w:t>
      </w:r>
      <w:r w:rsidR="00AF4344" w:rsidRPr="007B2402">
        <w:rPr>
          <w:rFonts w:eastAsia="Calibri" w:cs="Times New Roman"/>
          <w:szCs w:val="20"/>
          <w:lang w:val="en-US"/>
        </w:rPr>
        <w:t>Article</w:t>
      </w:r>
      <w:r w:rsidR="000744A8" w:rsidRPr="007B2402">
        <w:rPr>
          <w:rFonts w:eastAsia="Calibri" w:cs="Times New Roman"/>
          <w:szCs w:val="20"/>
          <w:lang w:val="en-US"/>
        </w:rPr>
        <w:t xml:space="preserve"> </w:t>
      </w:r>
      <w:r w:rsidR="00375567" w:rsidRPr="007B2402">
        <w:rPr>
          <w:rFonts w:eastAsia="Calibri" w:cs="Times New Roman"/>
          <w:szCs w:val="20"/>
          <w:lang w:val="en-US"/>
        </w:rPr>
        <w:t>8(1)</w:t>
      </w:r>
      <w:r w:rsidR="00AF4344" w:rsidRPr="007B2402">
        <w:rPr>
          <w:rFonts w:eastAsia="Calibri" w:cs="Times New Roman"/>
          <w:szCs w:val="20"/>
          <w:lang w:val="en-US"/>
        </w:rPr>
        <w:t xml:space="preserve"> of the American Convention</w:t>
      </w:r>
      <w:r w:rsidR="005B1590" w:rsidRPr="007B2402">
        <w:rPr>
          <w:rFonts w:eastAsia="Calibri" w:cs="Times New Roman"/>
          <w:szCs w:val="20"/>
          <w:lang w:val="en-US"/>
        </w:rPr>
        <w:t xml:space="preserve"> and </w:t>
      </w:r>
      <w:r w:rsidR="00AF4344" w:rsidRPr="007B2402">
        <w:rPr>
          <w:rFonts w:eastAsia="Calibri" w:cs="Times New Roman"/>
          <w:szCs w:val="20"/>
          <w:lang w:val="en-US"/>
        </w:rPr>
        <w:t>Article</w:t>
      </w:r>
      <w:r w:rsidR="000744A8" w:rsidRPr="007B2402">
        <w:rPr>
          <w:rFonts w:eastAsia="Calibri" w:cs="Times New Roman"/>
          <w:szCs w:val="20"/>
          <w:lang w:val="en-US"/>
        </w:rPr>
        <w:t xml:space="preserve"> 8 </w:t>
      </w:r>
      <w:r w:rsidR="00C809ED" w:rsidRPr="007B2402">
        <w:rPr>
          <w:rFonts w:eastAsia="Calibri" w:cs="Times New Roman"/>
          <w:szCs w:val="20"/>
          <w:lang w:val="en-US"/>
        </w:rPr>
        <w:t>of the</w:t>
      </w:r>
      <w:r w:rsidR="000744A8" w:rsidRPr="007B2402">
        <w:rPr>
          <w:rFonts w:eastAsia="Calibri" w:cs="Times New Roman"/>
          <w:szCs w:val="20"/>
          <w:lang w:val="en-US"/>
        </w:rPr>
        <w:t xml:space="preserve"> </w:t>
      </w:r>
      <w:r w:rsidR="00375567" w:rsidRPr="007B2402">
        <w:rPr>
          <w:rFonts w:eastAsia="Calibri" w:cs="Times New Roman"/>
          <w:szCs w:val="20"/>
          <w:lang w:val="en-US"/>
        </w:rPr>
        <w:t>ICPPT</w:t>
      </w:r>
      <w:r w:rsidR="00C809ED" w:rsidRPr="007B2402">
        <w:rPr>
          <w:rFonts w:eastAsia="Calibri" w:cs="Times New Roman"/>
          <w:szCs w:val="20"/>
          <w:lang w:val="en-US"/>
        </w:rPr>
        <w:t xml:space="preserve"> had been violated</w:t>
      </w:r>
      <w:r w:rsidR="000744A8" w:rsidRPr="007B2402">
        <w:rPr>
          <w:rFonts w:eastAsia="Calibri" w:cs="Times New Roman"/>
          <w:szCs w:val="20"/>
          <w:lang w:val="en-US"/>
        </w:rPr>
        <w:t xml:space="preserve">. </w:t>
      </w:r>
      <w:r w:rsidR="00C809ED" w:rsidRPr="007B2402">
        <w:rPr>
          <w:rFonts w:eastAsia="Calibri" w:cs="Times New Roman"/>
          <w:szCs w:val="20"/>
          <w:lang w:val="en-US"/>
        </w:rPr>
        <w:t>Th</w:t>
      </w:r>
      <w:r w:rsidR="0041798B" w:rsidRPr="007B2402">
        <w:rPr>
          <w:rFonts w:eastAsia="Calibri" w:cs="Times New Roman"/>
          <w:szCs w:val="20"/>
          <w:lang w:val="en-US"/>
        </w:rPr>
        <w:t>at</w:t>
      </w:r>
      <w:r w:rsidR="00C809ED" w:rsidRPr="007B2402">
        <w:rPr>
          <w:rFonts w:eastAsia="Calibri" w:cs="Times New Roman"/>
          <w:szCs w:val="20"/>
          <w:lang w:val="en-US"/>
        </w:rPr>
        <w:t xml:space="preserve"> situation was a necessary condition in order to have those rights, and the State could not be sanctioned for the violation of those provisions. It also indicated that even if it was considered that the right to judicial guarantees covered the guarantee of due process of law, regardless of the capacity of the party (author or accused), violation of due process of law could not be verified in the instant case.</w:t>
      </w:r>
    </w:p>
    <w:p w14:paraId="661E87B3" w14:textId="77777777" w:rsidR="000744A8" w:rsidRPr="007B2402" w:rsidRDefault="000744A8" w:rsidP="000744A8">
      <w:pPr>
        <w:spacing w:after="0" w:line="240" w:lineRule="auto"/>
        <w:jc w:val="both"/>
        <w:rPr>
          <w:rFonts w:eastAsia="Calibri" w:cs="Times New Roman"/>
          <w:szCs w:val="20"/>
          <w:lang w:val="en-US"/>
        </w:rPr>
      </w:pPr>
    </w:p>
    <w:p w14:paraId="3C48BEFC" w14:textId="423FC131" w:rsidR="000744A8" w:rsidRPr="007B2402" w:rsidRDefault="00C809ED"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In</w:t>
      </w:r>
      <w:r w:rsidR="006E2CFF" w:rsidRPr="007B2402">
        <w:rPr>
          <w:rFonts w:eastAsia="Calibri" w:cs="Times New Roman"/>
          <w:szCs w:val="20"/>
          <w:lang w:val="en-US"/>
        </w:rPr>
        <w:t xml:space="preserve"> the </w:t>
      </w:r>
      <w:r w:rsidR="00AF4344" w:rsidRPr="007B2402">
        <w:rPr>
          <w:rFonts w:eastAsia="Calibri" w:cs="Times New Roman"/>
          <w:szCs w:val="20"/>
          <w:lang w:val="en-US"/>
        </w:rPr>
        <w:t>State</w:t>
      </w:r>
      <w:r w:rsidRPr="007B2402">
        <w:rPr>
          <w:rFonts w:eastAsia="Calibri" w:cs="Times New Roman"/>
          <w:szCs w:val="20"/>
          <w:lang w:val="en-US"/>
        </w:rPr>
        <w:t xml:space="preserve">’s opinion there could be no doubt about the competence, </w:t>
      </w:r>
      <w:r w:rsidR="0041798B" w:rsidRPr="007B2402">
        <w:rPr>
          <w:rFonts w:eastAsia="Calibri" w:cs="Times New Roman"/>
          <w:szCs w:val="20"/>
          <w:lang w:val="en-US"/>
        </w:rPr>
        <w:t>i</w:t>
      </w:r>
      <w:r w:rsidRPr="007B2402">
        <w:rPr>
          <w:rFonts w:eastAsia="Calibri" w:cs="Times New Roman"/>
          <w:szCs w:val="20"/>
          <w:lang w:val="en-US"/>
        </w:rPr>
        <w:t>ndependence and impartiality of the federal judge who admitt</w:t>
      </w:r>
      <w:r w:rsidR="0041798B" w:rsidRPr="007B2402">
        <w:rPr>
          <w:rFonts w:eastAsia="Calibri" w:cs="Times New Roman"/>
          <w:szCs w:val="20"/>
          <w:lang w:val="en-US"/>
        </w:rPr>
        <w:t>ed</w:t>
      </w:r>
      <w:r w:rsidRPr="007B2402">
        <w:rPr>
          <w:rFonts w:eastAsia="Calibri" w:cs="Times New Roman"/>
          <w:szCs w:val="20"/>
          <w:lang w:val="en-US"/>
        </w:rPr>
        <w:t xml:space="preserve"> the request to close the case made by the Prosecutor of the Republic in 2008, so that it could not be alleged that due process of law had been violated. The</w:t>
      </w:r>
      <w:r w:rsidR="005B1590" w:rsidRPr="007B2402">
        <w:rPr>
          <w:rFonts w:eastAsia="Calibri" w:cs="Times New Roman"/>
          <w:szCs w:val="20"/>
          <w:lang w:val="en-US"/>
        </w:rPr>
        <w:t xml:space="preserve"> </w:t>
      </w:r>
      <w:r w:rsidR="00AF4344" w:rsidRPr="007B2402">
        <w:rPr>
          <w:rFonts w:eastAsia="Calibri" w:cs="Times New Roman"/>
          <w:szCs w:val="20"/>
          <w:lang w:val="en-US"/>
        </w:rPr>
        <w:t>Inter-American Commission</w:t>
      </w:r>
      <w:r w:rsidRPr="007B2402">
        <w:rPr>
          <w:rFonts w:eastAsia="Calibri" w:cs="Times New Roman"/>
          <w:szCs w:val="20"/>
          <w:lang w:val="en-US"/>
        </w:rPr>
        <w:t>’s report d</w:t>
      </w:r>
      <w:r w:rsidR="0041798B" w:rsidRPr="007B2402">
        <w:rPr>
          <w:rFonts w:eastAsia="Calibri" w:cs="Times New Roman"/>
          <w:szCs w:val="20"/>
          <w:lang w:val="en-US"/>
        </w:rPr>
        <w:t>id</w:t>
      </w:r>
      <w:r w:rsidRPr="007B2402">
        <w:rPr>
          <w:rFonts w:eastAsia="Calibri" w:cs="Times New Roman"/>
          <w:szCs w:val="20"/>
          <w:lang w:val="en-US"/>
        </w:rPr>
        <w:t xml:space="preserve"> not indicate that there had been any violation of due process of law in the civil jurisdiction.</w:t>
      </w:r>
      <w:r w:rsidR="000744A8" w:rsidRPr="007B2402">
        <w:rPr>
          <w:rFonts w:eastAsia="Calibri" w:cs="Times New Roman"/>
          <w:szCs w:val="20"/>
          <w:lang w:val="en-US"/>
        </w:rPr>
        <w:t xml:space="preserve"> </w:t>
      </w:r>
    </w:p>
    <w:p w14:paraId="4DD3A509" w14:textId="77777777" w:rsidR="000744A8" w:rsidRPr="007B2402" w:rsidRDefault="000744A8" w:rsidP="000744A8">
      <w:pPr>
        <w:spacing w:after="0" w:line="240" w:lineRule="auto"/>
        <w:jc w:val="both"/>
        <w:rPr>
          <w:rFonts w:eastAsia="Calibri" w:cs="Times New Roman"/>
          <w:szCs w:val="20"/>
          <w:lang w:val="en-US"/>
        </w:rPr>
      </w:pPr>
    </w:p>
    <w:p w14:paraId="1B6AAA7B" w14:textId="79B61C2D" w:rsidR="00C809ED" w:rsidRPr="007B2402" w:rsidRDefault="00C809ED"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 xml:space="preserve">In this regard, it argued that, even after all the evidence in the case had been provided to the Court, no violation of the </w:t>
      </w:r>
      <w:r w:rsidR="0041798B" w:rsidRPr="007B2402">
        <w:rPr>
          <w:rFonts w:eastAsia="Calibri" w:cs="Times New Roman"/>
          <w:szCs w:val="20"/>
          <w:lang w:val="en-US"/>
        </w:rPr>
        <w:t xml:space="preserve">victims’ </w:t>
      </w:r>
      <w:r w:rsidRPr="007B2402">
        <w:rPr>
          <w:rFonts w:eastAsia="Calibri" w:cs="Times New Roman"/>
          <w:szCs w:val="20"/>
          <w:lang w:val="en-US"/>
        </w:rPr>
        <w:t xml:space="preserve">right of defense in the domestic proceedings in which they were parties </w:t>
      </w:r>
      <w:r w:rsidR="0041798B" w:rsidRPr="007B2402">
        <w:rPr>
          <w:rFonts w:eastAsia="Calibri" w:cs="Times New Roman"/>
          <w:szCs w:val="20"/>
          <w:lang w:val="en-US"/>
        </w:rPr>
        <w:t>had been</w:t>
      </w:r>
      <w:r w:rsidRPr="007B2402">
        <w:rPr>
          <w:rFonts w:eastAsia="Calibri" w:cs="Times New Roman"/>
          <w:szCs w:val="20"/>
          <w:lang w:val="en-US"/>
        </w:rPr>
        <w:t xml:space="preserve"> proved.</w:t>
      </w:r>
    </w:p>
    <w:p w14:paraId="008A0634" w14:textId="77777777" w:rsidR="000744A8" w:rsidRPr="007B2402" w:rsidRDefault="000744A8" w:rsidP="000744A8">
      <w:pPr>
        <w:spacing w:after="0" w:line="240" w:lineRule="auto"/>
        <w:jc w:val="both"/>
        <w:rPr>
          <w:rFonts w:eastAsia="Calibri" w:cs="Times New Roman"/>
          <w:szCs w:val="20"/>
          <w:lang w:val="en-US"/>
        </w:rPr>
      </w:pPr>
    </w:p>
    <w:p w14:paraId="4A1CA8FF" w14:textId="3B794817" w:rsidR="000744A8" w:rsidRPr="007B2402" w:rsidRDefault="005936E7"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According to</w:t>
      </w:r>
      <w:r w:rsidR="000744A8" w:rsidRPr="007B2402">
        <w:rPr>
          <w:rFonts w:eastAsia="Calibri" w:cs="Times New Roman"/>
          <w:szCs w:val="20"/>
          <w:lang w:val="en-US"/>
        </w:rPr>
        <w:t xml:space="preserve"> </w:t>
      </w:r>
      <w:r w:rsidR="00AF4344" w:rsidRPr="007B2402">
        <w:rPr>
          <w:rFonts w:eastAsia="Calibri" w:cs="Times New Roman"/>
          <w:szCs w:val="20"/>
          <w:lang w:val="en-US"/>
        </w:rPr>
        <w:t>the State</w:t>
      </w:r>
      <w:r w:rsidR="000744A8" w:rsidRPr="007B2402">
        <w:rPr>
          <w:rFonts w:eastAsia="Calibri" w:cs="Times New Roman"/>
          <w:szCs w:val="20"/>
          <w:lang w:val="en-US"/>
        </w:rPr>
        <w:t xml:space="preserve">, </w:t>
      </w:r>
      <w:r w:rsidRPr="007B2402">
        <w:rPr>
          <w:rFonts w:eastAsia="Calibri" w:cs="Times New Roman"/>
          <w:szCs w:val="20"/>
          <w:lang w:val="en-US"/>
        </w:rPr>
        <w:t xml:space="preserve">the facts </w:t>
      </w:r>
      <w:r w:rsidR="0041798B" w:rsidRPr="007B2402">
        <w:rPr>
          <w:rFonts w:eastAsia="Calibri" w:cs="Times New Roman"/>
          <w:szCs w:val="20"/>
          <w:lang w:val="en-US"/>
        </w:rPr>
        <w:t>described</w:t>
      </w:r>
      <w:r w:rsidRPr="007B2402">
        <w:rPr>
          <w:rFonts w:eastAsia="Calibri" w:cs="Times New Roman"/>
          <w:szCs w:val="20"/>
          <w:lang w:val="en-US"/>
        </w:rPr>
        <w:t xml:space="preserve"> in the submission to the Court reveal</w:t>
      </w:r>
      <w:r w:rsidR="0041798B" w:rsidRPr="007B2402">
        <w:rPr>
          <w:rFonts w:eastAsia="Calibri" w:cs="Times New Roman"/>
          <w:szCs w:val="20"/>
          <w:lang w:val="en-US"/>
        </w:rPr>
        <w:t>ed</w:t>
      </w:r>
      <w:r w:rsidRPr="007B2402">
        <w:rPr>
          <w:rFonts w:eastAsia="Calibri" w:cs="Times New Roman"/>
          <w:szCs w:val="20"/>
          <w:lang w:val="en-US"/>
        </w:rPr>
        <w:t xml:space="preserve"> that the presumed violation of Article </w:t>
      </w:r>
      <w:r w:rsidR="000744A8" w:rsidRPr="007B2402">
        <w:rPr>
          <w:rFonts w:eastAsia="Calibri" w:cs="Times New Roman"/>
          <w:szCs w:val="20"/>
          <w:lang w:val="en-US"/>
        </w:rPr>
        <w:t>2</w:t>
      </w:r>
      <w:r w:rsidR="00375567" w:rsidRPr="007B2402">
        <w:rPr>
          <w:rFonts w:eastAsia="Calibri" w:cs="Times New Roman"/>
          <w:szCs w:val="20"/>
          <w:lang w:val="en-US"/>
        </w:rPr>
        <w:t>5(1)</w:t>
      </w:r>
      <w:r w:rsidR="00AF4344" w:rsidRPr="007B2402">
        <w:rPr>
          <w:rFonts w:eastAsia="Calibri" w:cs="Times New Roman"/>
          <w:szCs w:val="20"/>
          <w:lang w:val="en-US"/>
        </w:rPr>
        <w:t xml:space="preserve"> of the Convention</w:t>
      </w:r>
      <w:r w:rsidR="000744A8" w:rsidRPr="007B2402">
        <w:rPr>
          <w:rFonts w:eastAsia="Calibri" w:cs="Times New Roman"/>
          <w:szCs w:val="20"/>
          <w:lang w:val="en-US"/>
        </w:rPr>
        <w:t xml:space="preserve"> </w:t>
      </w:r>
      <w:r w:rsidRPr="007B2402">
        <w:rPr>
          <w:rFonts w:eastAsia="Calibri" w:cs="Times New Roman"/>
          <w:szCs w:val="20"/>
          <w:lang w:val="en-US"/>
        </w:rPr>
        <w:t>allegedly occurred only</w:t>
      </w:r>
      <w:r w:rsidR="0041798B" w:rsidRPr="007B2402">
        <w:rPr>
          <w:rFonts w:eastAsia="Calibri" w:cs="Times New Roman"/>
          <w:szCs w:val="20"/>
          <w:lang w:val="en-US"/>
        </w:rPr>
        <w:t xml:space="preserve"> </w:t>
      </w:r>
      <w:r w:rsidRPr="007B2402">
        <w:rPr>
          <w:rFonts w:eastAsia="Calibri" w:cs="Times New Roman"/>
          <w:szCs w:val="20"/>
          <w:lang w:val="en-US"/>
        </w:rPr>
        <w:t>in the processing and c</w:t>
      </w:r>
      <w:r w:rsidR="00AC636E" w:rsidRPr="007B2402">
        <w:rPr>
          <w:rFonts w:eastAsia="Calibri" w:cs="Times New Roman"/>
          <w:szCs w:val="20"/>
          <w:lang w:val="en-US"/>
        </w:rPr>
        <w:t>onclusion</w:t>
      </w:r>
      <w:r w:rsidRPr="007B2402">
        <w:rPr>
          <w:rFonts w:eastAsia="Calibri" w:cs="Times New Roman"/>
          <w:szCs w:val="20"/>
          <w:lang w:val="en-US"/>
        </w:rPr>
        <w:t xml:space="preserve"> of the requests for information by </w:t>
      </w:r>
      <w:r w:rsidR="00A8458F" w:rsidRPr="007B2402">
        <w:rPr>
          <w:rFonts w:eastAsia="Calibri" w:cs="Times New Roman"/>
          <w:szCs w:val="20"/>
          <w:lang w:val="en-US"/>
        </w:rPr>
        <w:t xml:space="preserve">the </w:t>
      </w:r>
      <w:r w:rsidR="006B47D1" w:rsidRPr="007B2402">
        <w:rPr>
          <w:rFonts w:eastAsia="Calibri" w:cs="Times New Roman"/>
          <w:szCs w:val="20"/>
          <w:lang w:val="en-US"/>
        </w:rPr>
        <w:t>Federal Public Prosecution Service</w:t>
      </w:r>
      <w:r w:rsidR="000744A8" w:rsidRPr="007B2402">
        <w:rPr>
          <w:rFonts w:eastAsia="Calibri" w:cs="Times New Roman"/>
          <w:szCs w:val="20"/>
          <w:lang w:val="en-US"/>
        </w:rPr>
        <w:t xml:space="preserve"> </w:t>
      </w:r>
      <w:r w:rsidRPr="007B2402">
        <w:rPr>
          <w:rFonts w:eastAsia="Calibri" w:cs="Times New Roman"/>
          <w:szCs w:val="20"/>
          <w:lang w:val="en-US"/>
        </w:rPr>
        <w:t>i</w:t>
      </w:r>
      <w:r w:rsidR="000744A8" w:rsidRPr="007B2402">
        <w:rPr>
          <w:rFonts w:eastAsia="Calibri" w:cs="Times New Roman"/>
          <w:szCs w:val="20"/>
          <w:lang w:val="en-US"/>
        </w:rPr>
        <w:t xml:space="preserve">n 2008. </w:t>
      </w:r>
      <w:r w:rsidRPr="007B2402">
        <w:rPr>
          <w:rFonts w:eastAsia="Calibri" w:cs="Times New Roman"/>
          <w:szCs w:val="20"/>
          <w:lang w:val="en-US"/>
        </w:rPr>
        <w:t>It a</w:t>
      </w:r>
      <w:r w:rsidR="00121371" w:rsidRPr="007B2402">
        <w:rPr>
          <w:rFonts w:eastAsia="Calibri" w:cs="Times New Roman"/>
          <w:szCs w:val="20"/>
          <w:lang w:val="en-US"/>
        </w:rPr>
        <w:t>rgued</w:t>
      </w:r>
      <w:r w:rsidRPr="007B2402">
        <w:rPr>
          <w:rFonts w:eastAsia="Calibri" w:cs="Times New Roman"/>
          <w:szCs w:val="20"/>
          <w:lang w:val="en-US"/>
        </w:rPr>
        <w:t xml:space="preserve"> that, contrary to what the Commission had indicated, the </w:t>
      </w:r>
      <w:r w:rsidR="0041798B" w:rsidRPr="007B2402">
        <w:rPr>
          <w:rFonts w:eastAsia="Calibri" w:cs="Times New Roman"/>
          <w:szCs w:val="20"/>
          <w:lang w:val="en-US"/>
        </w:rPr>
        <w:t>closure</w:t>
      </w:r>
      <w:r w:rsidRPr="007B2402">
        <w:rPr>
          <w:rFonts w:eastAsia="Calibri" w:cs="Times New Roman"/>
          <w:szCs w:val="20"/>
          <w:lang w:val="en-US"/>
        </w:rPr>
        <w:t xml:space="preserve"> of the proceeding in 2008 was not due to the application of the</w:t>
      </w:r>
      <w:r w:rsidR="000744A8" w:rsidRPr="007B2402">
        <w:rPr>
          <w:rFonts w:eastAsia="Calibri" w:cs="Times New Roman"/>
          <w:szCs w:val="20"/>
          <w:lang w:val="en-US"/>
        </w:rPr>
        <w:t xml:space="preserve"> </w:t>
      </w:r>
      <w:r w:rsidR="00221E16" w:rsidRPr="007B2402">
        <w:rPr>
          <w:rFonts w:eastAsia="Calibri" w:cs="Times New Roman"/>
          <w:szCs w:val="20"/>
          <w:lang w:val="en-US"/>
        </w:rPr>
        <w:t>Amnesty Law</w:t>
      </w:r>
      <w:r w:rsidRPr="007B2402">
        <w:rPr>
          <w:rFonts w:eastAsia="Calibri" w:cs="Times New Roman"/>
          <w:szCs w:val="20"/>
          <w:lang w:val="en-US"/>
        </w:rPr>
        <w:t xml:space="preserve">, but rather to the application of </w:t>
      </w:r>
      <w:r w:rsidRPr="007B2402">
        <w:rPr>
          <w:rFonts w:eastAsia="Calibri" w:cs="Times New Roman"/>
          <w:i/>
          <w:iCs/>
          <w:szCs w:val="20"/>
          <w:lang w:val="en-US"/>
        </w:rPr>
        <w:t>res judicata</w:t>
      </w:r>
      <w:r w:rsidRPr="007B2402">
        <w:rPr>
          <w:rFonts w:eastAsia="Calibri" w:cs="Times New Roman"/>
          <w:szCs w:val="20"/>
          <w:lang w:val="en-US"/>
        </w:rPr>
        <w:t xml:space="preserve"> and the statute of limitations.</w:t>
      </w:r>
    </w:p>
    <w:p w14:paraId="488C09A4" w14:textId="77777777" w:rsidR="000744A8" w:rsidRPr="007B2402" w:rsidRDefault="000744A8" w:rsidP="000744A8">
      <w:pPr>
        <w:spacing w:after="0" w:line="240" w:lineRule="auto"/>
        <w:jc w:val="both"/>
        <w:rPr>
          <w:rFonts w:eastAsia="Calibri" w:cs="Times New Roman"/>
          <w:szCs w:val="20"/>
          <w:lang w:val="en-US"/>
        </w:rPr>
      </w:pPr>
    </w:p>
    <w:p w14:paraId="5FF4E833" w14:textId="1F795874" w:rsidR="005936E7" w:rsidRPr="007B2402" w:rsidRDefault="005936E7" w:rsidP="00DB1F30">
      <w:pPr>
        <w:numPr>
          <w:ilvl w:val="0"/>
          <w:numId w:val="6"/>
        </w:numPr>
        <w:spacing w:after="0" w:line="240" w:lineRule="auto"/>
        <w:jc w:val="both"/>
        <w:rPr>
          <w:rFonts w:eastAsia="Calibri" w:cs="Times New Roman"/>
          <w:b/>
          <w:szCs w:val="20"/>
          <w:lang w:val="en-US"/>
        </w:rPr>
      </w:pPr>
      <w:r w:rsidRPr="007B2402">
        <w:rPr>
          <w:rFonts w:eastAsia="Calibri" w:cs="Times New Roman"/>
          <w:szCs w:val="20"/>
          <w:lang w:val="en-US"/>
        </w:rPr>
        <w:t xml:space="preserve">With regard to the temporal limits, it indicated that although States must </w:t>
      </w:r>
      <w:r w:rsidR="00AC636E" w:rsidRPr="007B2402">
        <w:rPr>
          <w:rFonts w:eastAsia="Calibri" w:cs="Times New Roman"/>
          <w:szCs w:val="20"/>
          <w:lang w:val="en-US"/>
        </w:rPr>
        <w:t>conduct</w:t>
      </w:r>
      <w:r w:rsidRPr="007B2402">
        <w:rPr>
          <w:rFonts w:eastAsia="Calibri" w:cs="Times New Roman"/>
          <w:szCs w:val="20"/>
          <w:lang w:val="en-US"/>
        </w:rPr>
        <w:t xml:space="preserve"> control of conventionality </w:t>
      </w:r>
      <w:r w:rsidRPr="007B2402">
        <w:rPr>
          <w:rFonts w:eastAsia="Calibri" w:cs="Times New Roman"/>
          <w:i/>
          <w:szCs w:val="20"/>
          <w:lang w:val="en-US"/>
        </w:rPr>
        <w:t>ex officio</w:t>
      </w:r>
      <w:r w:rsidR="00AC636E" w:rsidRPr="007B2402">
        <w:rPr>
          <w:rFonts w:eastAsia="Calibri" w:cs="Times New Roman"/>
          <w:szCs w:val="20"/>
          <w:lang w:val="en-US"/>
        </w:rPr>
        <w:t xml:space="preserve">, </w:t>
      </w:r>
      <w:r w:rsidRPr="007B2402">
        <w:rPr>
          <w:rFonts w:eastAsia="Calibri" w:cs="Times New Roman"/>
          <w:szCs w:val="20"/>
          <w:lang w:val="en-US"/>
        </w:rPr>
        <w:t>taking into account the interpretation that th</w:t>
      </w:r>
      <w:r w:rsidR="00AC636E" w:rsidRPr="007B2402">
        <w:rPr>
          <w:rFonts w:eastAsia="Calibri" w:cs="Times New Roman"/>
          <w:szCs w:val="20"/>
          <w:lang w:val="en-US"/>
        </w:rPr>
        <w:t>e</w:t>
      </w:r>
      <w:r w:rsidRPr="007B2402">
        <w:rPr>
          <w:rFonts w:eastAsia="Calibri" w:cs="Times New Roman"/>
          <w:szCs w:val="20"/>
          <w:lang w:val="en-US"/>
        </w:rPr>
        <w:t xml:space="preserve"> Court ha</w:t>
      </w:r>
      <w:r w:rsidR="00AC636E" w:rsidRPr="007B2402">
        <w:rPr>
          <w:rFonts w:eastAsia="Calibri" w:cs="Times New Roman"/>
          <w:szCs w:val="20"/>
          <w:lang w:val="en-US"/>
        </w:rPr>
        <w:t>d</w:t>
      </w:r>
      <w:r w:rsidRPr="007B2402">
        <w:rPr>
          <w:rFonts w:eastAsia="Calibri" w:cs="Times New Roman"/>
          <w:szCs w:val="20"/>
          <w:lang w:val="en-US"/>
        </w:rPr>
        <w:t xml:space="preserve"> made of the Convention, “the</w:t>
      </w:r>
      <w:r w:rsidR="00AC636E" w:rsidRPr="007B2402">
        <w:rPr>
          <w:rFonts w:eastAsia="Calibri" w:cs="Times New Roman"/>
          <w:szCs w:val="20"/>
          <w:lang w:val="en-US"/>
        </w:rPr>
        <w:t xml:space="preserve"> court’s</w:t>
      </w:r>
      <w:r w:rsidRPr="007B2402">
        <w:rPr>
          <w:rFonts w:eastAsia="Calibri" w:cs="Times New Roman"/>
          <w:szCs w:val="20"/>
          <w:lang w:val="en-US"/>
        </w:rPr>
        <w:t xml:space="preserve"> 1993 decision</w:t>
      </w:r>
      <w:r w:rsidR="00AC636E" w:rsidRPr="007B2402">
        <w:rPr>
          <w:rFonts w:eastAsia="Calibri" w:cs="Times New Roman"/>
          <w:szCs w:val="20"/>
          <w:lang w:val="en-US"/>
        </w:rPr>
        <w:t xml:space="preserve"> </w:t>
      </w:r>
      <w:r w:rsidRPr="007B2402">
        <w:rPr>
          <w:rFonts w:eastAsia="Calibri" w:cs="Times New Roman"/>
          <w:szCs w:val="20"/>
          <w:lang w:val="en-US"/>
        </w:rPr>
        <w:t xml:space="preserve">was taken before the judgment in the case of </w:t>
      </w:r>
      <w:r w:rsidRPr="007B2402">
        <w:rPr>
          <w:rFonts w:eastAsia="Calibri" w:cs="Times New Roman"/>
          <w:i/>
          <w:iCs/>
          <w:szCs w:val="20"/>
          <w:lang w:val="en-US"/>
        </w:rPr>
        <w:t>Barrios Altos v. Peru</w:t>
      </w:r>
      <w:r w:rsidRPr="007B2402">
        <w:rPr>
          <w:rFonts w:eastAsia="Calibri" w:cs="Times New Roman"/>
          <w:szCs w:val="20"/>
          <w:lang w:val="en-US"/>
        </w:rPr>
        <w:t xml:space="preserve"> (2001), when the Court decided, for the first time, that it </w:t>
      </w:r>
      <w:r w:rsidR="00AC636E" w:rsidRPr="007B2402">
        <w:rPr>
          <w:rFonts w:eastAsia="Calibri" w:cs="Times New Roman"/>
          <w:szCs w:val="20"/>
          <w:lang w:val="en-US"/>
        </w:rPr>
        <w:t>was empowered</w:t>
      </w:r>
      <w:r w:rsidRPr="007B2402">
        <w:rPr>
          <w:rFonts w:eastAsia="Calibri" w:cs="Times New Roman"/>
          <w:szCs w:val="20"/>
          <w:lang w:val="en-US"/>
        </w:rPr>
        <w:t xml:space="preserve"> to rule on the validity of domestic laws, especially in the case of amnesty laws.” </w:t>
      </w:r>
      <w:r w:rsidR="00AC636E" w:rsidRPr="007B2402">
        <w:rPr>
          <w:rFonts w:eastAsia="Calibri" w:cs="Times New Roman"/>
          <w:szCs w:val="20"/>
          <w:lang w:val="en-US"/>
        </w:rPr>
        <w:t xml:space="preserve">In the State’s understanding, up until then, </w:t>
      </w:r>
      <w:r w:rsidRPr="007B2402">
        <w:rPr>
          <w:rFonts w:eastAsia="Calibri" w:cs="Times New Roman"/>
          <w:szCs w:val="20"/>
          <w:lang w:val="en-US"/>
        </w:rPr>
        <w:t xml:space="preserve">the Judiciary had the obligation to respect the legal parameters previously established for the specific case in the domestic sphere and did not have the legal obligation to abide by the decisions of the Inter-American Court in cases relating to amnesty, the statute of limitations and </w:t>
      </w:r>
      <w:r w:rsidRPr="007B2402">
        <w:rPr>
          <w:rFonts w:eastAsia="Calibri" w:cs="Times New Roman"/>
          <w:i/>
          <w:iCs/>
          <w:szCs w:val="20"/>
          <w:lang w:val="en-US"/>
        </w:rPr>
        <w:t>res judicata</w:t>
      </w:r>
      <w:r w:rsidR="00AC636E" w:rsidRPr="007B2402">
        <w:rPr>
          <w:rFonts w:eastAsia="Calibri" w:cs="Times New Roman"/>
          <w:szCs w:val="20"/>
          <w:lang w:val="en-US"/>
        </w:rPr>
        <w:t>;</w:t>
      </w:r>
      <w:r w:rsidR="007B20BE" w:rsidRPr="007B2402">
        <w:rPr>
          <w:rFonts w:eastAsia="Calibri" w:cs="Times New Roman"/>
          <w:szCs w:val="20"/>
          <w:lang w:val="en-US"/>
        </w:rPr>
        <w:t xml:space="preserve"> judges had to respect the principle of </w:t>
      </w:r>
      <w:r w:rsidR="00AC636E" w:rsidRPr="007B2402">
        <w:rPr>
          <w:rFonts w:eastAsia="Calibri" w:cs="Times New Roman"/>
          <w:szCs w:val="20"/>
          <w:lang w:val="en-US"/>
        </w:rPr>
        <w:t>the rule of law</w:t>
      </w:r>
      <w:r w:rsidR="007B20BE" w:rsidRPr="007B2402">
        <w:rPr>
          <w:rFonts w:eastAsia="Calibri" w:cs="Times New Roman"/>
          <w:szCs w:val="20"/>
          <w:lang w:val="en-US"/>
        </w:rPr>
        <w:t xml:space="preserve"> and the procedural guarantees of the accused.</w:t>
      </w:r>
    </w:p>
    <w:p w14:paraId="162DBC87" w14:textId="77777777" w:rsidR="000744A8" w:rsidRPr="007B2402" w:rsidRDefault="000744A8" w:rsidP="000744A8">
      <w:pPr>
        <w:spacing w:after="0" w:line="240" w:lineRule="auto"/>
        <w:jc w:val="both"/>
        <w:rPr>
          <w:rFonts w:eastAsia="Calibri" w:cs="Times New Roman"/>
          <w:szCs w:val="20"/>
          <w:lang w:val="en-US"/>
        </w:rPr>
      </w:pPr>
    </w:p>
    <w:p w14:paraId="73A6471B" w14:textId="7B97F194" w:rsidR="000744A8" w:rsidRPr="007B2402" w:rsidRDefault="00AC636E" w:rsidP="00DB1F30">
      <w:pPr>
        <w:numPr>
          <w:ilvl w:val="0"/>
          <w:numId w:val="6"/>
        </w:numPr>
        <w:spacing w:after="0" w:line="240" w:lineRule="auto"/>
        <w:jc w:val="both"/>
        <w:rPr>
          <w:rFonts w:eastAsia="Calibri" w:cs="Times New Roman"/>
          <w:b/>
          <w:szCs w:val="20"/>
          <w:lang w:val="en-US"/>
        </w:rPr>
      </w:pPr>
      <w:r w:rsidRPr="007B2402">
        <w:rPr>
          <w:rFonts w:eastAsia="Calibri" w:cs="Times New Roman"/>
          <w:szCs w:val="20"/>
          <w:lang w:val="en-US"/>
        </w:rPr>
        <w:t>The State also</w:t>
      </w:r>
      <w:r w:rsidR="007B20BE" w:rsidRPr="007B2402">
        <w:rPr>
          <w:rFonts w:eastAsia="Calibri" w:cs="Times New Roman"/>
          <w:szCs w:val="20"/>
          <w:lang w:val="en-US"/>
        </w:rPr>
        <w:t xml:space="preserve"> indicated that</w:t>
      </w:r>
      <w:r w:rsidRPr="007B2402">
        <w:rPr>
          <w:rFonts w:eastAsia="Calibri" w:cs="Times New Roman"/>
          <w:szCs w:val="20"/>
          <w:lang w:val="en-US"/>
        </w:rPr>
        <w:t xml:space="preserve"> the Court’s</w:t>
      </w:r>
      <w:r w:rsidR="007B20BE" w:rsidRPr="007B2402">
        <w:rPr>
          <w:rFonts w:eastAsia="Calibri" w:cs="Times New Roman"/>
          <w:szCs w:val="20"/>
          <w:lang w:val="en-US"/>
        </w:rPr>
        <w:t xml:space="preserve"> judgments </w:t>
      </w:r>
      <w:r w:rsidRPr="007B2402">
        <w:rPr>
          <w:rFonts w:eastAsia="Calibri" w:cs="Times New Roman"/>
          <w:szCs w:val="20"/>
          <w:lang w:val="en-US"/>
        </w:rPr>
        <w:t>were</w:t>
      </w:r>
      <w:r w:rsidR="007B20BE" w:rsidRPr="007B2402">
        <w:rPr>
          <w:rFonts w:eastAsia="Calibri" w:cs="Times New Roman"/>
          <w:szCs w:val="20"/>
          <w:lang w:val="en-US"/>
        </w:rPr>
        <w:t xml:space="preserve"> binding for the specific case and for the parties</w:t>
      </w:r>
      <w:r w:rsidRPr="007B2402">
        <w:rPr>
          <w:rFonts w:eastAsia="Calibri" w:cs="Times New Roman"/>
          <w:szCs w:val="20"/>
          <w:lang w:val="en-US"/>
        </w:rPr>
        <w:t xml:space="preserve"> thereto</w:t>
      </w:r>
      <w:r w:rsidR="007B20BE" w:rsidRPr="007B2402">
        <w:rPr>
          <w:rFonts w:eastAsia="Calibri" w:cs="Times New Roman"/>
          <w:szCs w:val="20"/>
          <w:lang w:val="en-US"/>
        </w:rPr>
        <w:t>, and that it would not be reasonable to sanction the State when, at the time of the domestic decision, th</w:t>
      </w:r>
      <w:r w:rsidRPr="007B2402">
        <w:rPr>
          <w:rFonts w:eastAsia="Calibri" w:cs="Times New Roman"/>
          <w:szCs w:val="20"/>
          <w:lang w:val="en-US"/>
        </w:rPr>
        <w:t>at</w:t>
      </w:r>
      <w:r w:rsidR="007B20BE" w:rsidRPr="007B2402">
        <w:rPr>
          <w:rFonts w:eastAsia="Calibri" w:cs="Times New Roman"/>
          <w:szCs w:val="20"/>
          <w:lang w:val="en-US"/>
        </w:rPr>
        <w:t xml:space="preserve"> legal obligation did not exist</w:t>
      </w:r>
      <w:r w:rsidR="00987DED" w:rsidRPr="007B2402">
        <w:rPr>
          <w:rFonts w:eastAsia="Calibri" w:cs="Times New Roman"/>
          <w:szCs w:val="20"/>
          <w:lang w:val="en-US"/>
        </w:rPr>
        <w:t>.</w:t>
      </w:r>
    </w:p>
    <w:p w14:paraId="4D02BC43" w14:textId="77777777" w:rsidR="000744A8" w:rsidRPr="007B2402" w:rsidRDefault="000744A8" w:rsidP="000744A8">
      <w:pPr>
        <w:spacing w:after="0" w:line="240" w:lineRule="auto"/>
        <w:jc w:val="both"/>
        <w:rPr>
          <w:rFonts w:eastAsia="Calibri" w:cs="Times New Roman"/>
          <w:szCs w:val="20"/>
          <w:lang w:val="en-US"/>
        </w:rPr>
      </w:pPr>
    </w:p>
    <w:p w14:paraId="17DDAA02" w14:textId="341A529C" w:rsidR="000744A8" w:rsidRPr="007B2402" w:rsidRDefault="00AF4344" w:rsidP="004D0AEC">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lastRenderedPageBreak/>
        <w:t>The State</w:t>
      </w:r>
      <w:r w:rsidR="000744A8" w:rsidRPr="007B2402">
        <w:rPr>
          <w:rFonts w:eastAsia="Calibri" w:cs="Times New Roman"/>
          <w:szCs w:val="20"/>
          <w:lang w:val="en-US"/>
        </w:rPr>
        <w:t xml:space="preserve"> </w:t>
      </w:r>
      <w:r w:rsidR="007B20BE" w:rsidRPr="007B2402">
        <w:rPr>
          <w:rFonts w:eastAsia="Calibri" w:cs="Times New Roman"/>
          <w:szCs w:val="20"/>
          <w:lang w:val="en-US"/>
        </w:rPr>
        <w:t xml:space="preserve">also noted that </w:t>
      </w:r>
      <w:r w:rsidR="000744A8" w:rsidRPr="007B2402">
        <w:rPr>
          <w:rFonts w:eastAsia="Calibri" w:cs="Times New Roman"/>
          <w:i/>
          <w:szCs w:val="20"/>
          <w:lang w:val="en-US"/>
        </w:rPr>
        <w:t>jus cogens</w:t>
      </w:r>
      <w:r w:rsidR="000744A8" w:rsidRPr="007B2402">
        <w:rPr>
          <w:rFonts w:eastAsia="Calibri" w:cs="Times New Roman"/>
          <w:szCs w:val="20"/>
          <w:lang w:val="en-US"/>
        </w:rPr>
        <w:t xml:space="preserve"> </w:t>
      </w:r>
      <w:r w:rsidR="00AC636E" w:rsidRPr="007B2402">
        <w:rPr>
          <w:rFonts w:eastAsia="Calibri" w:cs="Times New Roman"/>
          <w:szCs w:val="20"/>
          <w:lang w:val="en-US"/>
        </w:rPr>
        <w:t>norms</w:t>
      </w:r>
      <w:r w:rsidR="004D0AEC" w:rsidRPr="007B2402">
        <w:rPr>
          <w:rFonts w:eastAsia="Calibri" w:cs="Times New Roman"/>
          <w:szCs w:val="20"/>
          <w:lang w:val="en-US"/>
        </w:rPr>
        <w:t xml:space="preserve"> </w:t>
      </w:r>
      <w:r w:rsidR="007B20BE" w:rsidRPr="007B2402">
        <w:rPr>
          <w:rFonts w:eastAsia="Calibri" w:cs="Times New Roman"/>
          <w:szCs w:val="20"/>
          <w:lang w:val="en-US"/>
        </w:rPr>
        <w:t>d</w:t>
      </w:r>
      <w:r w:rsidR="00AC636E" w:rsidRPr="007B2402">
        <w:rPr>
          <w:rFonts w:eastAsia="Calibri" w:cs="Times New Roman"/>
          <w:szCs w:val="20"/>
          <w:lang w:val="en-US"/>
        </w:rPr>
        <w:t>id</w:t>
      </w:r>
      <w:r w:rsidR="007B20BE" w:rsidRPr="007B2402">
        <w:rPr>
          <w:rFonts w:eastAsia="Calibri" w:cs="Times New Roman"/>
          <w:szCs w:val="20"/>
          <w:lang w:val="en-US"/>
        </w:rPr>
        <w:t xml:space="preserve"> not</w:t>
      </w:r>
      <w:r w:rsidR="00AC636E" w:rsidRPr="007B2402">
        <w:rPr>
          <w:rFonts w:eastAsia="Calibri" w:cs="Times New Roman"/>
          <w:szCs w:val="20"/>
          <w:lang w:val="en-US"/>
        </w:rPr>
        <w:t xml:space="preserve"> have absolute hierarchy over </w:t>
      </w:r>
      <w:r w:rsidR="007B20BE" w:rsidRPr="007B2402">
        <w:rPr>
          <w:rFonts w:eastAsia="Calibri" w:cs="Times New Roman"/>
          <w:szCs w:val="20"/>
          <w:lang w:val="en-US"/>
        </w:rPr>
        <w:t xml:space="preserve">procedural matters. </w:t>
      </w:r>
    </w:p>
    <w:p w14:paraId="419F199D" w14:textId="77777777" w:rsidR="007B20BE" w:rsidRPr="007B2402" w:rsidRDefault="007B20BE" w:rsidP="007B20BE">
      <w:pPr>
        <w:spacing w:after="0" w:line="240" w:lineRule="auto"/>
        <w:jc w:val="both"/>
        <w:rPr>
          <w:rFonts w:eastAsia="Calibri" w:cs="Times New Roman"/>
          <w:szCs w:val="20"/>
          <w:lang w:val="en-US"/>
        </w:rPr>
      </w:pPr>
    </w:p>
    <w:p w14:paraId="76988F62" w14:textId="218E089A" w:rsidR="0060199A" w:rsidRPr="007B2402" w:rsidRDefault="00290866" w:rsidP="007B20BE">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Consequently</w:t>
      </w:r>
      <w:r w:rsidR="007B20BE" w:rsidRPr="007B2402">
        <w:rPr>
          <w:rFonts w:eastAsia="Calibri" w:cs="Times New Roman"/>
          <w:szCs w:val="20"/>
          <w:lang w:val="en-US"/>
        </w:rPr>
        <w:t xml:space="preserve"> the State affirmed that: (a) </w:t>
      </w:r>
      <w:r w:rsidR="00AC636E" w:rsidRPr="007B2402">
        <w:rPr>
          <w:rFonts w:eastAsia="Calibri" w:cs="Times New Roman"/>
          <w:szCs w:val="20"/>
          <w:lang w:val="en-US"/>
        </w:rPr>
        <w:t>legally, it was not</w:t>
      </w:r>
      <w:r w:rsidR="0060199A" w:rsidRPr="007B2402">
        <w:rPr>
          <w:rFonts w:eastAsia="Calibri" w:cs="Times New Roman"/>
          <w:szCs w:val="20"/>
          <w:lang w:val="en-US"/>
        </w:rPr>
        <w:t xml:space="preserve"> </w:t>
      </w:r>
      <w:r w:rsidR="007B20BE" w:rsidRPr="007B2402">
        <w:rPr>
          <w:rFonts w:eastAsia="Calibri" w:cs="Times New Roman"/>
          <w:szCs w:val="20"/>
          <w:lang w:val="en-US"/>
        </w:rPr>
        <w:t xml:space="preserve">possible to require the domestic authorities to </w:t>
      </w:r>
      <w:r w:rsidR="0060199A" w:rsidRPr="007B2402">
        <w:rPr>
          <w:rFonts w:eastAsia="Calibri" w:cs="Times New Roman"/>
          <w:szCs w:val="20"/>
          <w:lang w:val="en-US"/>
        </w:rPr>
        <w:t xml:space="preserve">adopt a </w:t>
      </w:r>
      <w:r w:rsidR="007B20BE" w:rsidRPr="007B2402">
        <w:rPr>
          <w:rFonts w:eastAsia="Calibri" w:cs="Times New Roman"/>
          <w:szCs w:val="20"/>
          <w:lang w:val="en-US"/>
        </w:rPr>
        <w:t>decision</w:t>
      </w:r>
      <w:r w:rsidR="0060199A" w:rsidRPr="007B2402">
        <w:rPr>
          <w:rFonts w:eastAsia="Calibri" w:cs="Times New Roman"/>
          <w:szCs w:val="20"/>
          <w:lang w:val="en-US"/>
        </w:rPr>
        <w:t xml:space="preserve"> other than</w:t>
      </w:r>
      <w:r w:rsidR="007B20BE" w:rsidRPr="007B2402">
        <w:rPr>
          <w:rFonts w:eastAsia="Calibri" w:cs="Times New Roman"/>
          <w:szCs w:val="20"/>
          <w:lang w:val="en-US"/>
        </w:rPr>
        <w:t xml:space="preserve"> the one adopted in 1993 with regard to the investigations; (b) </w:t>
      </w:r>
      <w:r w:rsidR="0060199A" w:rsidRPr="007B2402">
        <w:rPr>
          <w:rFonts w:eastAsia="Calibri" w:cs="Times New Roman"/>
          <w:szCs w:val="20"/>
          <w:lang w:val="en-US"/>
        </w:rPr>
        <w:t xml:space="preserve">disputing the domestic decision based on subsequent international </w:t>
      </w:r>
      <w:r w:rsidR="00AC636E" w:rsidRPr="007B2402">
        <w:rPr>
          <w:rFonts w:eastAsia="Calibri" w:cs="Times New Roman"/>
          <w:szCs w:val="20"/>
          <w:lang w:val="en-US"/>
        </w:rPr>
        <w:t>jurisprudence</w:t>
      </w:r>
      <w:r w:rsidR="0060199A" w:rsidRPr="007B2402">
        <w:rPr>
          <w:rFonts w:eastAsia="Calibri" w:cs="Times New Roman"/>
          <w:szCs w:val="20"/>
          <w:lang w:val="en-US"/>
        </w:rPr>
        <w:t xml:space="preserve"> did not take into consideration the formal limits applicable to due process of law (such as substantive </w:t>
      </w:r>
      <w:r w:rsidR="0060199A" w:rsidRPr="007B2402">
        <w:rPr>
          <w:rFonts w:eastAsia="Calibri" w:cs="Times New Roman"/>
          <w:i/>
          <w:iCs/>
          <w:szCs w:val="20"/>
          <w:lang w:val="en-US"/>
        </w:rPr>
        <w:t>res judicata</w:t>
      </w:r>
      <w:r w:rsidR="0060199A" w:rsidRPr="007B2402">
        <w:rPr>
          <w:rFonts w:eastAsia="Calibri" w:cs="Times New Roman"/>
          <w:szCs w:val="20"/>
          <w:lang w:val="en-US"/>
        </w:rPr>
        <w:t>); (c) abiding by procedural norms of a lower rank in</w:t>
      </w:r>
      <w:r w:rsidR="00322930" w:rsidRPr="007B2402">
        <w:rPr>
          <w:rFonts w:eastAsia="Calibri" w:cs="Times New Roman"/>
          <w:szCs w:val="20"/>
          <w:lang w:val="en-US"/>
        </w:rPr>
        <w:t xml:space="preserve"> case</w:t>
      </w:r>
      <w:r w:rsidRPr="007B2402">
        <w:rPr>
          <w:rFonts w:eastAsia="Calibri" w:cs="Times New Roman"/>
          <w:szCs w:val="20"/>
          <w:lang w:val="en-US"/>
        </w:rPr>
        <w:t>s</w:t>
      </w:r>
      <w:r w:rsidR="00322930" w:rsidRPr="007B2402">
        <w:rPr>
          <w:rFonts w:eastAsia="Calibri" w:cs="Times New Roman"/>
          <w:szCs w:val="20"/>
          <w:lang w:val="en-US"/>
        </w:rPr>
        <w:t xml:space="preserve"> of</w:t>
      </w:r>
      <w:r w:rsidR="0060199A" w:rsidRPr="007B2402">
        <w:rPr>
          <w:rFonts w:eastAsia="Calibri" w:cs="Times New Roman"/>
          <w:szCs w:val="20"/>
          <w:lang w:val="en-US"/>
        </w:rPr>
        <w:t xml:space="preserve"> what </w:t>
      </w:r>
      <w:r w:rsidR="00AC636E" w:rsidRPr="007B2402">
        <w:rPr>
          <w:rFonts w:eastAsia="Calibri" w:cs="Times New Roman"/>
          <w:szCs w:val="20"/>
          <w:lang w:val="en-US"/>
        </w:rPr>
        <w:t>could</w:t>
      </w:r>
      <w:r w:rsidR="0060199A" w:rsidRPr="007B2402">
        <w:rPr>
          <w:rFonts w:eastAsia="Calibri" w:cs="Times New Roman"/>
          <w:szCs w:val="20"/>
          <w:lang w:val="en-US"/>
        </w:rPr>
        <w:t xml:space="preserve"> be considered </w:t>
      </w:r>
      <w:r w:rsidR="0060199A" w:rsidRPr="007B2402">
        <w:rPr>
          <w:rFonts w:eastAsia="Calibri" w:cs="Times New Roman"/>
          <w:i/>
          <w:szCs w:val="20"/>
          <w:lang w:val="en-US"/>
        </w:rPr>
        <w:t>jus cogens</w:t>
      </w:r>
      <w:r w:rsidR="0060199A" w:rsidRPr="007B2402">
        <w:rPr>
          <w:rFonts w:eastAsia="Calibri" w:cs="Times New Roman"/>
          <w:iCs/>
          <w:szCs w:val="20"/>
          <w:lang w:val="en-US"/>
        </w:rPr>
        <w:t xml:space="preserve"> </w:t>
      </w:r>
      <w:r w:rsidR="00AC636E" w:rsidRPr="007B2402">
        <w:rPr>
          <w:rFonts w:eastAsia="Calibri" w:cs="Times New Roman"/>
          <w:iCs/>
          <w:szCs w:val="20"/>
          <w:lang w:val="en-US"/>
        </w:rPr>
        <w:t xml:space="preserve">norms </w:t>
      </w:r>
      <w:r w:rsidR="0060199A" w:rsidRPr="007B2402">
        <w:rPr>
          <w:rFonts w:eastAsia="Calibri" w:cs="Times New Roman"/>
          <w:iCs/>
          <w:szCs w:val="20"/>
          <w:lang w:val="en-US"/>
        </w:rPr>
        <w:t xml:space="preserve">or </w:t>
      </w:r>
      <w:r w:rsidRPr="007B2402">
        <w:rPr>
          <w:rFonts w:eastAsia="Calibri" w:cs="Times New Roman"/>
          <w:iCs/>
          <w:szCs w:val="20"/>
          <w:lang w:val="en-US"/>
        </w:rPr>
        <w:t>serious</w:t>
      </w:r>
      <w:r w:rsidR="0060199A" w:rsidRPr="007B2402">
        <w:rPr>
          <w:rFonts w:eastAsia="Calibri" w:cs="Times New Roman"/>
          <w:iCs/>
          <w:szCs w:val="20"/>
          <w:lang w:val="en-US"/>
        </w:rPr>
        <w:t xml:space="preserve"> human rights violations </w:t>
      </w:r>
      <w:r w:rsidRPr="007B2402">
        <w:rPr>
          <w:rFonts w:eastAsia="Calibri" w:cs="Times New Roman"/>
          <w:szCs w:val="20"/>
          <w:lang w:val="en-US"/>
        </w:rPr>
        <w:t>wa</w:t>
      </w:r>
      <w:r w:rsidR="0060199A" w:rsidRPr="007B2402">
        <w:rPr>
          <w:rFonts w:eastAsia="Calibri" w:cs="Times New Roman"/>
          <w:szCs w:val="20"/>
          <w:lang w:val="en-US"/>
        </w:rPr>
        <w:t xml:space="preserve">s not substantially different from the observance, at the domestic level, of the formal limits to </w:t>
      </w:r>
      <w:r w:rsidR="00322930" w:rsidRPr="007B2402">
        <w:rPr>
          <w:rFonts w:eastAsia="Calibri" w:cs="Times New Roman"/>
          <w:szCs w:val="20"/>
          <w:lang w:val="en-US"/>
        </w:rPr>
        <w:t>a judge’s</w:t>
      </w:r>
      <w:r w:rsidR="0060199A" w:rsidRPr="007B2402">
        <w:rPr>
          <w:rFonts w:eastAsia="Calibri" w:cs="Times New Roman"/>
          <w:szCs w:val="20"/>
          <w:lang w:val="en-US"/>
        </w:rPr>
        <w:t xml:space="preserve"> actions (statute of limitations, </w:t>
      </w:r>
      <w:r w:rsidR="0060199A" w:rsidRPr="007B2402">
        <w:rPr>
          <w:rFonts w:eastAsia="Calibri" w:cs="Times New Roman"/>
          <w:i/>
          <w:iCs/>
          <w:szCs w:val="20"/>
          <w:lang w:val="en-US"/>
        </w:rPr>
        <w:t>res judicata</w:t>
      </w:r>
      <w:r w:rsidR="0060199A" w:rsidRPr="007B2402">
        <w:rPr>
          <w:rFonts w:eastAsia="Calibri" w:cs="Times New Roman"/>
          <w:szCs w:val="20"/>
          <w:lang w:val="en-US"/>
        </w:rPr>
        <w:t>, non-retroactivity of the mo</w:t>
      </w:r>
      <w:r w:rsidRPr="007B2402">
        <w:rPr>
          <w:rFonts w:eastAsia="Calibri" w:cs="Times New Roman"/>
          <w:szCs w:val="20"/>
          <w:lang w:val="en-US"/>
        </w:rPr>
        <w:t>re</w:t>
      </w:r>
      <w:r w:rsidR="0060199A" w:rsidRPr="007B2402">
        <w:rPr>
          <w:rFonts w:eastAsia="Calibri" w:cs="Times New Roman"/>
          <w:szCs w:val="20"/>
          <w:lang w:val="en-US"/>
        </w:rPr>
        <w:t xml:space="preserve"> severe criminal law), and (d) the normative content of what c</w:t>
      </w:r>
      <w:r w:rsidRPr="007B2402">
        <w:rPr>
          <w:rFonts w:eastAsia="Calibri" w:cs="Times New Roman"/>
          <w:szCs w:val="20"/>
          <w:lang w:val="en-US"/>
        </w:rPr>
        <w:t>ould</w:t>
      </w:r>
      <w:r w:rsidR="0060199A" w:rsidRPr="007B2402">
        <w:rPr>
          <w:rFonts w:eastAsia="Calibri" w:cs="Times New Roman"/>
          <w:szCs w:val="20"/>
          <w:lang w:val="en-US"/>
        </w:rPr>
        <w:t xml:space="preserve"> be considered a </w:t>
      </w:r>
      <w:r w:rsidR="0060199A" w:rsidRPr="007B2402">
        <w:rPr>
          <w:rFonts w:eastAsia="Calibri" w:cs="Times New Roman"/>
          <w:i/>
          <w:szCs w:val="20"/>
          <w:lang w:val="en-US"/>
        </w:rPr>
        <w:t>jus cogens</w:t>
      </w:r>
      <w:r w:rsidR="0060199A" w:rsidRPr="007B2402">
        <w:rPr>
          <w:rFonts w:eastAsia="Calibri" w:cs="Times New Roman"/>
          <w:szCs w:val="20"/>
          <w:lang w:val="en-US"/>
        </w:rPr>
        <w:t xml:space="preserve"> </w:t>
      </w:r>
      <w:r w:rsidRPr="007B2402">
        <w:rPr>
          <w:rFonts w:eastAsia="Calibri" w:cs="Times New Roman"/>
          <w:szCs w:val="20"/>
          <w:lang w:val="en-US"/>
        </w:rPr>
        <w:t xml:space="preserve">norm </w:t>
      </w:r>
      <w:r w:rsidR="0060199A" w:rsidRPr="007B2402">
        <w:rPr>
          <w:rFonts w:eastAsia="Calibri" w:cs="Times New Roman"/>
          <w:szCs w:val="20"/>
          <w:lang w:val="en-US"/>
        </w:rPr>
        <w:t xml:space="preserve">or </w:t>
      </w:r>
      <w:r w:rsidRPr="007B2402">
        <w:rPr>
          <w:rFonts w:eastAsia="Calibri" w:cs="Times New Roman"/>
          <w:szCs w:val="20"/>
          <w:lang w:val="en-US"/>
        </w:rPr>
        <w:t>serious</w:t>
      </w:r>
      <w:r w:rsidR="0060199A" w:rsidRPr="007B2402">
        <w:rPr>
          <w:rFonts w:eastAsia="Calibri" w:cs="Times New Roman"/>
          <w:szCs w:val="20"/>
          <w:lang w:val="en-US"/>
        </w:rPr>
        <w:t xml:space="preserve"> human rights violations should not be confused with </w:t>
      </w:r>
      <w:r w:rsidR="00322930" w:rsidRPr="007B2402">
        <w:rPr>
          <w:rFonts w:eastAsia="Calibri" w:cs="Times New Roman"/>
          <w:szCs w:val="20"/>
          <w:lang w:val="en-US"/>
        </w:rPr>
        <w:t>an</w:t>
      </w:r>
      <w:r w:rsidR="0060199A" w:rsidRPr="007B2402">
        <w:rPr>
          <w:rFonts w:eastAsia="Calibri" w:cs="Times New Roman"/>
          <w:szCs w:val="20"/>
          <w:lang w:val="en-US"/>
        </w:rPr>
        <w:t xml:space="preserve"> absence of limits to the</w:t>
      </w:r>
      <w:r w:rsidR="00322930" w:rsidRPr="007B2402">
        <w:rPr>
          <w:rFonts w:eastAsia="Calibri" w:cs="Times New Roman"/>
          <w:szCs w:val="20"/>
          <w:lang w:val="en-US"/>
        </w:rPr>
        <w:t xml:space="preserve"> State’s</w:t>
      </w:r>
      <w:r w:rsidR="0060199A" w:rsidRPr="007B2402">
        <w:rPr>
          <w:rFonts w:eastAsia="Calibri" w:cs="Times New Roman"/>
          <w:szCs w:val="20"/>
          <w:lang w:val="en-US"/>
        </w:rPr>
        <w:t xml:space="preserve"> international responsibility. </w:t>
      </w:r>
      <w:r w:rsidRPr="007B2402">
        <w:rPr>
          <w:rFonts w:eastAsia="Calibri" w:cs="Times New Roman"/>
          <w:szCs w:val="20"/>
          <w:lang w:val="en-US"/>
        </w:rPr>
        <w:t>Based on</w:t>
      </w:r>
      <w:r w:rsidR="00322930" w:rsidRPr="007B2402">
        <w:rPr>
          <w:rFonts w:eastAsia="Calibri" w:cs="Times New Roman"/>
          <w:szCs w:val="20"/>
          <w:lang w:val="en-US"/>
        </w:rPr>
        <w:t xml:space="preserve"> the above,</w:t>
      </w:r>
      <w:r w:rsidR="0060199A" w:rsidRPr="007B2402">
        <w:rPr>
          <w:rFonts w:eastAsia="Calibri" w:cs="Times New Roman"/>
          <w:szCs w:val="20"/>
          <w:lang w:val="en-US"/>
        </w:rPr>
        <w:t xml:space="preserve"> the Brazilian State understood that it could not be held responsible for the supposed denial of justice in this case.</w:t>
      </w:r>
    </w:p>
    <w:p w14:paraId="165A1691" w14:textId="77777777" w:rsidR="000744A8" w:rsidRPr="007B2402" w:rsidRDefault="000744A8" w:rsidP="000744A8">
      <w:pPr>
        <w:spacing w:after="0" w:line="240" w:lineRule="auto"/>
        <w:jc w:val="both"/>
        <w:rPr>
          <w:rFonts w:eastAsia="Calibri" w:cs="Times New Roman"/>
          <w:szCs w:val="20"/>
          <w:lang w:val="en-US"/>
        </w:rPr>
      </w:pPr>
    </w:p>
    <w:p w14:paraId="5A429281" w14:textId="4BE2BEC5" w:rsidR="00322930" w:rsidRPr="007B2402" w:rsidRDefault="00322930"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 xml:space="preserve">The guarantee of the statute of limitations </w:t>
      </w:r>
      <w:r w:rsidR="00290866" w:rsidRPr="007B2402">
        <w:rPr>
          <w:rFonts w:eastAsia="Calibri" w:cs="Times New Roman"/>
          <w:szCs w:val="20"/>
          <w:lang w:val="en-US"/>
        </w:rPr>
        <w:t>wa</w:t>
      </w:r>
      <w:r w:rsidRPr="007B2402">
        <w:rPr>
          <w:rFonts w:eastAsia="Calibri" w:cs="Times New Roman"/>
          <w:szCs w:val="20"/>
          <w:lang w:val="en-US"/>
        </w:rPr>
        <w:t xml:space="preserve">s a mainstay of the democratic rule of law and </w:t>
      </w:r>
      <w:r w:rsidR="00290866" w:rsidRPr="007B2402">
        <w:rPr>
          <w:rFonts w:eastAsia="Calibri" w:cs="Times New Roman"/>
          <w:szCs w:val="20"/>
          <w:lang w:val="en-US"/>
        </w:rPr>
        <w:t>could</w:t>
      </w:r>
      <w:r w:rsidRPr="007B2402">
        <w:rPr>
          <w:rFonts w:eastAsia="Calibri" w:cs="Times New Roman"/>
          <w:szCs w:val="20"/>
          <w:lang w:val="en-US"/>
        </w:rPr>
        <w:t xml:space="preserve"> only be excluded, exceptionally: (a) for the criminal prosecution of certain crimes, where </w:t>
      </w:r>
      <w:r w:rsidR="00290866" w:rsidRPr="007B2402">
        <w:rPr>
          <w:rFonts w:eastAsia="Calibri" w:cs="Times New Roman"/>
          <w:szCs w:val="20"/>
          <w:lang w:val="en-US"/>
        </w:rPr>
        <w:t>applying</w:t>
      </w:r>
      <w:r w:rsidRPr="007B2402">
        <w:rPr>
          <w:rFonts w:eastAsia="Calibri" w:cs="Times New Roman"/>
          <w:szCs w:val="20"/>
          <w:lang w:val="en-US"/>
        </w:rPr>
        <w:t xml:space="preserve"> a statute of limitations would infringe upon their gravity or complexity; (b) by a legal provision, owing to adherence to the </w:t>
      </w:r>
      <w:r w:rsidR="00290866" w:rsidRPr="007B2402">
        <w:rPr>
          <w:rFonts w:eastAsia="Calibri" w:cs="Times New Roman"/>
          <w:szCs w:val="20"/>
          <w:lang w:val="en-US"/>
        </w:rPr>
        <w:t>rule of law</w:t>
      </w:r>
      <w:r w:rsidRPr="007B2402">
        <w:rPr>
          <w:rFonts w:eastAsia="Calibri" w:cs="Times New Roman"/>
          <w:szCs w:val="20"/>
          <w:lang w:val="en-US"/>
        </w:rPr>
        <w:t xml:space="preserve"> in criminal matters, and (c) for facts subsequent to the law that determined their imprescriptibility, owing to the principle of the priority of the criminal law, something which, i</w:t>
      </w:r>
      <w:r w:rsidR="00DF1102" w:rsidRPr="007B2402">
        <w:rPr>
          <w:rFonts w:eastAsia="Calibri" w:cs="Times New Roman"/>
          <w:szCs w:val="20"/>
          <w:lang w:val="en-US"/>
        </w:rPr>
        <w:t>n</w:t>
      </w:r>
      <w:r w:rsidRPr="007B2402">
        <w:rPr>
          <w:rFonts w:eastAsia="Calibri" w:cs="Times New Roman"/>
          <w:szCs w:val="20"/>
          <w:lang w:val="en-US"/>
        </w:rPr>
        <w:t xml:space="preserve"> the State’s opinion, had not occurred in this case.</w:t>
      </w:r>
    </w:p>
    <w:p w14:paraId="0BD0A69F" w14:textId="77777777" w:rsidR="000744A8" w:rsidRPr="007B2402" w:rsidRDefault="000744A8" w:rsidP="000744A8">
      <w:pPr>
        <w:spacing w:after="0" w:line="240" w:lineRule="auto"/>
        <w:jc w:val="both"/>
        <w:rPr>
          <w:rFonts w:eastAsia="Calibri" w:cs="Times New Roman"/>
          <w:szCs w:val="20"/>
          <w:lang w:val="en-US"/>
        </w:rPr>
      </w:pPr>
    </w:p>
    <w:p w14:paraId="6747EE3B" w14:textId="2476C6B2" w:rsidR="00322930" w:rsidRPr="007B2402" w:rsidRDefault="00AF4344" w:rsidP="00DB1F30">
      <w:pPr>
        <w:numPr>
          <w:ilvl w:val="0"/>
          <w:numId w:val="6"/>
        </w:numPr>
        <w:spacing w:after="0" w:line="240" w:lineRule="auto"/>
        <w:jc w:val="both"/>
        <w:rPr>
          <w:rFonts w:eastAsia="Calibri" w:cs="Times New Roman"/>
          <w:b/>
          <w:szCs w:val="20"/>
          <w:lang w:val="en-US"/>
        </w:rPr>
      </w:pPr>
      <w:r w:rsidRPr="007B2402">
        <w:rPr>
          <w:rFonts w:eastAsia="Calibri" w:cs="Times New Roman"/>
          <w:szCs w:val="20"/>
          <w:lang w:val="en-US"/>
        </w:rPr>
        <w:t>The State</w:t>
      </w:r>
      <w:r w:rsidR="000744A8" w:rsidRPr="007B2402">
        <w:rPr>
          <w:rFonts w:eastAsia="Calibri" w:cs="Times New Roman"/>
          <w:szCs w:val="20"/>
          <w:lang w:val="en-US"/>
        </w:rPr>
        <w:t xml:space="preserve"> </w:t>
      </w:r>
      <w:r w:rsidR="00322930" w:rsidRPr="007B2402">
        <w:rPr>
          <w:rFonts w:eastAsia="Calibri" w:cs="Times New Roman"/>
          <w:szCs w:val="20"/>
          <w:lang w:val="en-US"/>
        </w:rPr>
        <w:t>acknowledged th</w:t>
      </w:r>
      <w:r w:rsidR="000116D0" w:rsidRPr="007B2402">
        <w:rPr>
          <w:rFonts w:eastAsia="Calibri" w:cs="Times New Roman"/>
          <w:szCs w:val="20"/>
          <w:lang w:val="en-US"/>
        </w:rPr>
        <w:t>e</w:t>
      </w:r>
      <w:r w:rsidR="00322930" w:rsidRPr="007B2402">
        <w:rPr>
          <w:rFonts w:eastAsia="Calibri" w:cs="Times New Roman"/>
          <w:szCs w:val="20"/>
          <w:lang w:val="en-US"/>
        </w:rPr>
        <w:t xml:space="preserve"> Court’s case law </w:t>
      </w:r>
      <w:r w:rsidR="000116D0" w:rsidRPr="007B2402">
        <w:rPr>
          <w:rFonts w:eastAsia="Calibri" w:cs="Times New Roman"/>
          <w:szCs w:val="20"/>
          <w:lang w:val="en-US"/>
        </w:rPr>
        <w:t>which</w:t>
      </w:r>
      <w:r w:rsidR="00322930" w:rsidRPr="007B2402">
        <w:rPr>
          <w:rFonts w:eastAsia="Calibri" w:cs="Times New Roman"/>
          <w:szCs w:val="20"/>
          <w:lang w:val="en-US"/>
        </w:rPr>
        <w:t xml:space="preserve"> consider</w:t>
      </w:r>
      <w:r w:rsidR="0028444D" w:rsidRPr="007B2402">
        <w:rPr>
          <w:rFonts w:eastAsia="Calibri" w:cs="Times New Roman"/>
          <w:szCs w:val="20"/>
          <w:lang w:val="en-US"/>
        </w:rPr>
        <w:t>ed</w:t>
      </w:r>
      <w:r w:rsidR="00322930" w:rsidRPr="007B2402">
        <w:rPr>
          <w:rFonts w:eastAsia="Calibri" w:cs="Times New Roman"/>
          <w:szCs w:val="20"/>
          <w:lang w:val="en-US"/>
        </w:rPr>
        <w:t xml:space="preserve"> that crimes </w:t>
      </w:r>
      <w:r w:rsidR="0028444D" w:rsidRPr="007B2402">
        <w:rPr>
          <w:rFonts w:eastAsia="Calibri" w:cs="Times New Roman"/>
          <w:szCs w:val="20"/>
          <w:lang w:val="en-US"/>
        </w:rPr>
        <w:t>we</w:t>
      </w:r>
      <w:r w:rsidR="00322930" w:rsidRPr="007B2402">
        <w:rPr>
          <w:rFonts w:eastAsia="Calibri" w:cs="Times New Roman"/>
          <w:szCs w:val="20"/>
          <w:lang w:val="en-US"/>
        </w:rPr>
        <w:t>re imprescriptible when they constitute</w:t>
      </w:r>
      <w:r w:rsidR="0028444D" w:rsidRPr="007B2402">
        <w:rPr>
          <w:rFonts w:eastAsia="Calibri" w:cs="Times New Roman"/>
          <w:szCs w:val="20"/>
          <w:lang w:val="en-US"/>
        </w:rPr>
        <w:t>d</w:t>
      </w:r>
      <w:r w:rsidR="00322930" w:rsidRPr="007B2402">
        <w:rPr>
          <w:rFonts w:eastAsia="Calibri" w:cs="Times New Roman"/>
          <w:szCs w:val="20"/>
          <w:lang w:val="en-US"/>
        </w:rPr>
        <w:t xml:space="preserve"> “gross violations of human rights.” However, the State dissent</w:t>
      </w:r>
      <w:r w:rsidR="0028444D" w:rsidRPr="007B2402">
        <w:rPr>
          <w:rFonts w:eastAsia="Calibri" w:cs="Times New Roman"/>
          <w:szCs w:val="20"/>
          <w:lang w:val="en-US"/>
        </w:rPr>
        <w:t>ed</w:t>
      </w:r>
      <w:r w:rsidR="00322930" w:rsidRPr="007B2402">
        <w:rPr>
          <w:rFonts w:eastAsia="Calibri" w:cs="Times New Roman"/>
          <w:szCs w:val="20"/>
          <w:lang w:val="en-US"/>
        </w:rPr>
        <w:t xml:space="preserve"> from th</w:t>
      </w:r>
      <w:r w:rsidR="0028444D" w:rsidRPr="007B2402">
        <w:rPr>
          <w:rFonts w:eastAsia="Calibri" w:cs="Times New Roman"/>
          <w:szCs w:val="20"/>
          <w:lang w:val="en-US"/>
        </w:rPr>
        <w:t>at</w:t>
      </w:r>
      <w:r w:rsidR="00322930" w:rsidRPr="007B2402">
        <w:rPr>
          <w:rFonts w:eastAsia="Calibri" w:cs="Times New Roman"/>
          <w:szCs w:val="20"/>
          <w:lang w:val="en-US"/>
        </w:rPr>
        <w:t xml:space="preserve"> opinion because </w:t>
      </w:r>
      <w:r w:rsidR="0028444D" w:rsidRPr="007B2402">
        <w:rPr>
          <w:rFonts w:eastAsia="Calibri" w:cs="Times New Roman"/>
          <w:szCs w:val="20"/>
          <w:lang w:val="en-US"/>
        </w:rPr>
        <w:t>it</w:t>
      </w:r>
      <w:r w:rsidR="00322930" w:rsidRPr="007B2402">
        <w:rPr>
          <w:rFonts w:eastAsia="Calibri" w:cs="Times New Roman"/>
          <w:szCs w:val="20"/>
          <w:lang w:val="en-US"/>
        </w:rPr>
        <w:t xml:space="preserve"> ma</w:t>
      </w:r>
      <w:r w:rsidR="0028444D" w:rsidRPr="007B2402">
        <w:rPr>
          <w:rFonts w:eastAsia="Calibri" w:cs="Times New Roman"/>
          <w:szCs w:val="20"/>
          <w:lang w:val="en-US"/>
        </w:rPr>
        <w:t>de</w:t>
      </w:r>
      <w:r w:rsidR="00322930" w:rsidRPr="007B2402">
        <w:rPr>
          <w:rFonts w:eastAsia="Calibri" w:cs="Times New Roman"/>
          <w:szCs w:val="20"/>
          <w:lang w:val="en-US"/>
        </w:rPr>
        <w:t xml:space="preserve"> sense in the international criminal jurisdiction</w:t>
      </w:r>
      <w:r w:rsidR="000116D0" w:rsidRPr="007B2402">
        <w:rPr>
          <w:rFonts w:eastAsia="Calibri" w:cs="Times New Roman"/>
          <w:szCs w:val="20"/>
          <w:lang w:val="en-US"/>
        </w:rPr>
        <w:t>, which function</w:t>
      </w:r>
      <w:r w:rsidR="0028444D" w:rsidRPr="007B2402">
        <w:rPr>
          <w:rFonts w:eastAsia="Calibri" w:cs="Times New Roman"/>
          <w:szCs w:val="20"/>
          <w:lang w:val="en-US"/>
        </w:rPr>
        <w:t>ed</w:t>
      </w:r>
      <w:r w:rsidR="000116D0" w:rsidRPr="007B2402">
        <w:rPr>
          <w:rFonts w:eastAsia="Calibri" w:cs="Times New Roman"/>
          <w:szCs w:val="20"/>
          <w:lang w:val="en-US"/>
        </w:rPr>
        <w:t xml:space="preserve"> in an ancillary way - especially when the State that b</w:t>
      </w:r>
      <w:r w:rsidR="0028444D" w:rsidRPr="007B2402">
        <w:rPr>
          <w:rFonts w:eastAsia="Calibri" w:cs="Times New Roman"/>
          <w:szCs w:val="20"/>
          <w:lang w:val="en-US"/>
        </w:rPr>
        <w:t>ore</w:t>
      </w:r>
      <w:r w:rsidR="000116D0" w:rsidRPr="007B2402">
        <w:rPr>
          <w:rFonts w:eastAsia="Calibri" w:cs="Times New Roman"/>
          <w:szCs w:val="20"/>
          <w:lang w:val="en-US"/>
        </w:rPr>
        <w:t xml:space="preserve"> the main responsibility d</w:t>
      </w:r>
      <w:r w:rsidR="0028444D" w:rsidRPr="007B2402">
        <w:rPr>
          <w:rFonts w:eastAsia="Calibri" w:cs="Times New Roman"/>
          <w:szCs w:val="20"/>
          <w:lang w:val="en-US"/>
        </w:rPr>
        <w:t>id</w:t>
      </w:r>
      <w:r w:rsidR="000116D0" w:rsidRPr="007B2402">
        <w:rPr>
          <w:rFonts w:eastAsia="Calibri" w:cs="Times New Roman"/>
          <w:szCs w:val="20"/>
          <w:lang w:val="en-US"/>
        </w:rPr>
        <w:t xml:space="preserve"> not exercise its jurisdiction effectively - and therefore exercise</w:t>
      </w:r>
      <w:r w:rsidR="0028444D" w:rsidRPr="007B2402">
        <w:rPr>
          <w:rFonts w:eastAsia="Calibri" w:cs="Times New Roman"/>
          <w:szCs w:val="20"/>
          <w:lang w:val="en-US"/>
        </w:rPr>
        <w:t>d</w:t>
      </w:r>
      <w:r w:rsidR="000116D0" w:rsidRPr="007B2402">
        <w:rPr>
          <w:rFonts w:eastAsia="Calibri" w:cs="Times New Roman"/>
          <w:szCs w:val="20"/>
          <w:lang w:val="en-US"/>
        </w:rPr>
        <w:t xml:space="preserve"> its jurisdiction at a much later date than when the facts occurred. It emphasized that none of the treaties signed by Brazil imposed on domestic criminal pro</w:t>
      </w:r>
      <w:r w:rsidR="0028444D" w:rsidRPr="007B2402">
        <w:rPr>
          <w:rFonts w:eastAsia="Calibri" w:cs="Times New Roman"/>
          <w:szCs w:val="20"/>
          <w:lang w:val="en-US"/>
        </w:rPr>
        <w:t>ceedings</w:t>
      </w:r>
      <w:r w:rsidR="000116D0" w:rsidRPr="007B2402">
        <w:rPr>
          <w:rFonts w:eastAsia="Calibri" w:cs="Times New Roman"/>
          <w:szCs w:val="20"/>
          <w:lang w:val="en-US"/>
        </w:rPr>
        <w:t xml:space="preserve"> the obligation </w:t>
      </w:r>
      <w:r w:rsidR="00283E39" w:rsidRPr="007B2402">
        <w:rPr>
          <w:rFonts w:eastAsia="Calibri" w:cs="Times New Roman"/>
          <w:szCs w:val="20"/>
          <w:lang w:val="en-US"/>
        </w:rPr>
        <w:t>to prolong</w:t>
      </w:r>
      <w:r w:rsidR="000116D0" w:rsidRPr="007B2402">
        <w:rPr>
          <w:rFonts w:eastAsia="Calibri" w:cs="Times New Roman"/>
          <w:szCs w:val="20"/>
          <w:lang w:val="en-US"/>
        </w:rPr>
        <w:t xml:space="preserve"> the statut</w:t>
      </w:r>
      <w:r w:rsidR="0028444D" w:rsidRPr="007B2402">
        <w:rPr>
          <w:rFonts w:eastAsia="Calibri" w:cs="Times New Roman"/>
          <w:szCs w:val="20"/>
          <w:lang w:val="en-US"/>
        </w:rPr>
        <w:t xml:space="preserve">ory </w:t>
      </w:r>
      <w:r w:rsidR="000116D0" w:rsidRPr="007B2402">
        <w:rPr>
          <w:rFonts w:eastAsia="Calibri" w:cs="Times New Roman"/>
          <w:szCs w:val="20"/>
          <w:lang w:val="en-US"/>
        </w:rPr>
        <w:t>limitations.</w:t>
      </w:r>
    </w:p>
    <w:p w14:paraId="0CA8EF26" w14:textId="77777777" w:rsidR="00D12CC8" w:rsidRPr="007B2402" w:rsidRDefault="00D12CC8" w:rsidP="00D12CC8">
      <w:pPr>
        <w:spacing w:after="0" w:line="240" w:lineRule="auto"/>
        <w:jc w:val="both"/>
        <w:rPr>
          <w:rFonts w:eastAsia="Calibri" w:cs="Times New Roman"/>
          <w:szCs w:val="20"/>
          <w:lang w:val="en-US"/>
        </w:rPr>
      </w:pPr>
    </w:p>
    <w:p w14:paraId="47EB3F53" w14:textId="79C8CCE9" w:rsidR="000744A8" w:rsidRPr="007B2402" w:rsidRDefault="00283E39" w:rsidP="00DB1F30">
      <w:pPr>
        <w:numPr>
          <w:ilvl w:val="0"/>
          <w:numId w:val="6"/>
        </w:numPr>
        <w:spacing w:after="0" w:line="240" w:lineRule="auto"/>
        <w:jc w:val="both"/>
        <w:rPr>
          <w:rFonts w:eastAsia="Calibri" w:cs="Times New Roman"/>
          <w:b/>
          <w:szCs w:val="20"/>
          <w:lang w:val="en-US"/>
        </w:rPr>
      </w:pPr>
      <w:r w:rsidRPr="007B2402">
        <w:rPr>
          <w:rFonts w:eastAsia="Calibri" w:cs="Times New Roman"/>
          <w:szCs w:val="20"/>
          <w:lang w:val="en-US"/>
        </w:rPr>
        <w:t>According to</w:t>
      </w:r>
      <w:r w:rsidR="000744A8" w:rsidRPr="007B2402">
        <w:rPr>
          <w:rFonts w:eastAsia="Calibri" w:cs="Times New Roman"/>
          <w:szCs w:val="20"/>
          <w:lang w:val="en-US"/>
        </w:rPr>
        <w:t xml:space="preserve"> </w:t>
      </w:r>
      <w:r w:rsidR="00AF4344" w:rsidRPr="007B2402">
        <w:rPr>
          <w:rFonts w:eastAsia="Calibri" w:cs="Times New Roman"/>
          <w:szCs w:val="20"/>
          <w:lang w:val="en-US"/>
        </w:rPr>
        <w:t>the State</w:t>
      </w:r>
      <w:r w:rsidRPr="007B2402">
        <w:rPr>
          <w:rFonts w:eastAsia="Calibri" w:cs="Times New Roman"/>
          <w:szCs w:val="20"/>
          <w:lang w:val="en-US"/>
        </w:rPr>
        <w:t xml:space="preserve">, the imprescriptibility of a crime </w:t>
      </w:r>
      <w:r w:rsidR="0028444D" w:rsidRPr="007B2402">
        <w:rPr>
          <w:rFonts w:eastAsia="Calibri" w:cs="Times New Roman"/>
          <w:szCs w:val="20"/>
          <w:lang w:val="en-US"/>
        </w:rPr>
        <w:t xml:space="preserve">could not be based </w:t>
      </w:r>
      <w:r w:rsidRPr="007B2402">
        <w:rPr>
          <w:rFonts w:eastAsia="Calibri" w:cs="Times New Roman"/>
          <w:szCs w:val="20"/>
          <w:lang w:val="en-US"/>
        </w:rPr>
        <w:t>on international custom as th</w:t>
      </w:r>
      <w:r w:rsidR="0028444D" w:rsidRPr="007B2402">
        <w:rPr>
          <w:rFonts w:eastAsia="Calibri" w:cs="Times New Roman"/>
          <w:szCs w:val="20"/>
          <w:lang w:val="en-US"/>
        </w:rPr>
        <w:t>at</w:t>
      </w:r>
      <w:r w:rsidRPr="007B2402">
        <w:rPr>
          <w:rFonts w:eastAsia="Calibri" w:cs="Times New Roman"/>
          <w:szCs w:val="20"/>
          <w:lang w:val="en-US"/>
        </w:rPr>
        <w:t xml:space="preserve"> would be contrary to the principle of legality established in </w:t>
      </w:r>
      <w:r w:rsidR="00AF4344" w:rsidRPr="007B2402">
        <w:rPr>
          <w:rFonts w:eastAsia="Calibri" w:cs="Times New Roman"/>
          <w:szCs w:val="20"/>
          <w:lang w:val="en-US"/>
        </w:rPr>
        <w:t>Article</w:t>
      </w:r>
      <w:r w:rsidR="000744A8" w:rsidRPr="007B2402">
        <w:rPr>
          <w:rFonts w:eastAsia="Calibri" w:cs="Times New Roman"/>
          <w:szCs w:val="20"/>
          <w:lang w:val="en-US"/>
        </w:rPr>
        <w:t xml:space="preserve"> 9</w:t>
      </w:r>
      <w:r w:rsidR="00AF4344" w:rsidRPr="007B2402">
        <w:rPr>
          <w:rFonts w:eastAsia="Calibri" w:cs="Times New Roman"/>
          <w:szCs w:val="20"/>
          <w:lang w:val="en-US"/>
        </w:rPr>
        <w:t xml:space="preserve"> of the American Convention</w:t>
      </w:r>
      <w:r w:rsidR="000744A8" w:rsidRPr="007B2402">
        <w:rPr>
          <w:rFonts w:eastAsia="Calibri" w:cs="Times New Roman"/>
          <w:szCs w:val="20"/>
          <w:lang w:val="en-US"/>
        </w:rPr>
        <w:t xml:space="preserve">. </w:t>
      </w:r>
    </w:p>
    <w:p w14:paraId="26E927AC" w14:textId="77777777" w:rsidR="000744A8" w:rsidRPr="007B2402" w:rsidRDefault="000744A8" w:rsidP="000744A8">
      <w:pPr>
        <w:spacing w:after="0" w:line="240" w:lineRule="auto"/>
        <w:jc w:val="both"/>
        <w:rPr>
          <w:rFonts w:eastAsia="Calibri" w:cs="Times New Roman"/>
          <w:szCs w:val="20"/>
          <w:lang w:val="en-US"/>
        </w:rPr>
      </w:pPr>
    </w:p>
    <w:p w14:paraId="7F80454F" w14:textId="7C739E13" w:rsidR="00283E39" w:rsidRPr="007B2402" w:rsidRDefault="00283E39"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 xml:space="preserve">Regarding the crime of torture, </w:t>
      </w:r>
      <w:r w:rsidR="00AF4344" w:rsidRPr="007B2402">
        <w:rPr>
          <w:rFonts w:eastAsia="Calibri" w:cs="Times New Roman"/>
          <w:szCs w:val="20"/>
          <w:lang w:val="en-US"/>
        </w:rPr>
        <w:t>the State</w:t>
      </w:r>
      <w:r w:rsidRPr="007B2402">
        <w:rPr>
          <w:rFonts w:eastAsia="Calibri" w:cs="Times New Roman"/>
          <w:szCs w:val="20"/>
          <w:lang w:val="en-US"/>
        </w:rPr>
        <w:t xml:space="preserve"> indicated that this crime </w:t>
      </w:r>
      <w:r w:rsidR="0028444D" w:rsidRPr="007B2402">
        <w:rPr>
          <w:rFonts w:eastAsia="Calibri" w:cs="Times New Roman"/>
          <w:szCs w:val="20"/>
          <w:lang w:val="en-US"/>
        </w:rPr>
        <w:t>had been</w:t>
      </w:r>
      <w:r w:rsidRPr="007B2402">
        <w:rPr>
          <w:rFonts w:eastAsia="Calibri" w:cs="Times New Roman"/>
          <w:szCs w:val="20"/>
          <w:lang w:val="en-US"/>
        </w:rPr>
        <w:t xml:space="preserve"> defined in domestic law in 1997, </w:t>
      </w:r>
      <w:r w:rsidR="0028444D" w:rsidRPr="007B2402">
        <w:rPr>
          <w:rFonts w:eastAsia="Calibri" w:cs="Times New Roman"/>
          <w:szCs w:val="20"/>
          <w:lang w:val="en-US"/>
        </w:rPr>
        <w:t>by</w:t>
      </w:r>
      <w:r w:rsidR="000744A8" w:rsidRPr="007B2402">
        <w:rPr>
          <w:rFonts w:eastAsia="Calibri" w:cs="Times New Roman"/>
          <w:szCs w:val="20"/>
          <w:lang w:val="en-US"/>
        </w:rPr>
        <w:t xml:space="preserve"> </w:t>
      </w:r>
      <w:r w:rsidR="00513729" w:rsidRPr="007B2402">
        <w:rPr>
          <w:rFonts w:eastAsia="Calibri" w:cs="Times New Roman"/>
          <w:szCs w:val="20"/>
          <w:lang w:val="en-US"/>
        </w:rPr>
        <w:t xml:space="preserve">Law </w:t>
      </w:r>
      <w:r w:rsidR="000744A8" w:rsidRPr="007B2402">
        <w:rPr>
          <w:rFonts w:eastAsia="Calibri" w:cs="Times New Roman"/>
          <w:szCs w:val="20"/>
          <w:lang w:val="en-US"/>
        </w:rPr>
        <w:t>No. 9455/9</w:t>
      </w:r>
      <w:r w:rsidR="00987DED" w:rsidRPr="007B2402">
        <w:rPr>
          <w:rFonts w:eastAsia="Calibri" w:cs="Times New Roman"/>
          <w:szCs w:val="20"/>
          <w:lang w:val="en-US"/>
        </w:rPr>
        <w:t>7</w:t>
      </w:r>
      <w:r w:rsidRPr="007B2402">
        <w:rPr>
          <w:rFonts w:eastAsia="Calibri" w:cs="Times New Roman"/>
          <w:szCs w:val="20"/>
          <w:lang w:val="en-US"/>
        </w:rPr>
        <w:t>. Accordingly, the criminal prosecution of this crime could only be initiated after th</w:t>
      </w:r>
      <w:r w:rsidR="0028444D" w:rsidRPr="007B2402">
        <w:rPr>
          <w:rFonts w:eastAsia="Calibri" w:cs="Times New Roman"/>
          <w:szCs w:val="20"/>
          <w:lang w:val="en-US"/>
        </w:rPr>
        <w:t>at</w:t>
      </w:r>
      <w:r w:rsidRPr="007B2402">
        <w:rPr>
          <w:rFonts w:eastAsia="Calibri" w:cs="Times New Roman"/>
          <w:szCs w:val="20"/>
          <w:lang w:val="en-US"/>
        </w:rPr>
        <w:t xml:space="preserve"> law’s entry into force. The State </w:t>
      </w:r>
      <w:r w:rsidR="0028444D" w:rsidRPr="007B2402">
        <w:rPr>
          <w:rFonts w:eastAsia="Calibri" w:cs="Times New Roman"/>
          <w:szCs w:val="20"/>
          <w:lang w:val="en-US"/>
        </w:rPr>
        <w:t>argued</w:t>
      </w:r>
      <w:r w:rsidRPr="007B2402">
        <w:rPr>
          <w:rFonts w:eastAsia="Calibri" w:cs="Times New Roman"/>
          <w:szCs w:val="20"/>
          <w:lang w:val="en-US"/>
        </w:rPr>
        <w:t xml:space="preserve"> that any </w:t>
      </w:r>
      <w:r w:rsidR="0028444D" w:rsidRPr="007B2402">
        <w:rPr>
          <w:rFonts w:eastAsia="Calibri" w:cs="Times New Roman"/>
          <w:szCs w:val="20"/>
          <w:lang w:val="en-US"/>
        </w:rPr>
        <w:t>other</w:t>
      </w:r>
      <w:r w:rsidRPr="007B2402">
        <w:rPr>
          <w:rFonts w:eastAsia="Calibri" w:cs="Times New Roman"/>
          <w:szCs w:val="20"/>
          <w:lang w:val="en-US"/>
        </w:rPr>
        <w:t xml:space="preserve"> understanding would violate the principles of legality and non-retroactivity.</w:t>
      </w:r>
    </w:p>
    <w:p w14:paraId="7B1B0810" w14:textId="77777777" w:rsidR="000744A8" w:rsidRPr="007B2402" w:rsidRDefault="000744A8" w:rsidP="000744A8">
      <w:pPr>
        <w:spacing w:after="0" w:line="240" w:lineRule="auto"/>
        <w:jc w:val="both"/>
        <w:rPr>
          <w:rFonts w:eastAsia="Calibri" w:cs="Times New Roman"/>
          <w:szCs w:val="20"/>
          <w:lang w:val="en-US"/>
        </w:rPr>
      </w:pPr>
    </w:p>
    <w:p w14:paraId="4DF080F1" w14:textId="22E410BE" w:rsidR="000744A8" w:rsidRPr="007B2402" w:rsidRDefault="00283E39" w:rsidP="000744A8">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 xml:space="preserve">In relation to the alleged violation of </w:t>
      </w:r>
      <w:r w:rsidR="00AF4344" w:rsidRPr="007B2402">
        <w:rPr>
          <w:rFonts w:eastAsia="Calibri" w:cs="Times New Roman"/>
          <w:szCs w:val="20"/>
          <w:lang w:val="en-US"/>
        </w:rPr>
        <w:t>the American Convention</w:t>
      </w:r>
      <w:r w:rsidR="000744A8" w:rsidRPr="007B2402">
        <w:rPr>
          <w:rFonts w:eastAsia="Calibri" w:cs="Times New Roman"/>
          <w:szCs w:val="20"/>
          <w:lang w:val="en-US"/>
        </w:rPr>
        <w:t xml:space="preserve"> </w:t>
      </w:r>
      <w:r w:rsidRPr="007B2402">
        <w:rPr>
          <w:rFonts w:eastAsia="Calibri" w:cs="Times New Roman"/>
          <w:szCs w:val="20"/>
          <w:lang w:val="en-US"/>
        </w:rPr>
        <w:t xml:space="preserve">owing to an unjustified delay and obstacles that occurred in the context of the civil action, the State considered that the </w:t>
      </w:r>
      <w:r w:rsidR="00261207" w:rsidRPr="007B2402">
        <w:rPr>
          <w:rFonts w:eastAsia="Calibri" w:cs="Times New Roman"/>
          <w:szCs w:val="20"/>
          <w:lang w:val="en-US"/>
        </w:rPr>
        <w:t>requests</w:t>
      </w:r>
      <w:r w:rsidR="0028444D" w:rsidRPr="007B2402">
        <w:rPr>
          <w:rFonts w:eastAsia="Calibri" w:cs="Times New Roman"/>
          <w:szCs w:val="20"/>
          <w:lang w:val="en-US"/>
        </w:rPr>
        <w:t xml:space="preserve"> </w:t>
      </w:r>
      <w:r w:rsidRPr="007B2402">
        <w:rPr>
          <w:rFonts w:eastAsia="Calibri" w:cs="Times New Roman"/>
          <w:szCs w:val="20"/>
          <w:lang w:val="en-US"/>
        </w:rPr>
        <w:t xml:space="preserve">should be </w:t>
      </w:r>
      <w:r w:rsidR="0028444D" w:rsidRPr="007B2402">
        <w:rPr>
          <w:rFonts w:eastAsia="Calibri" w:cs="Times New Roman"/>
          <w:szCs w:val="20"/>
          <w:lang w:val="en-US"/>
        </w:rPr>
        <w:t>divide</w:t>
      </w:r>
      <w:r w:rsidRPr="007B2402">
        <w:rPr>
          <w:rFonts w:eastAsia="Calibri" w:cs="Times New Roman"/>
          <w:szCs w:val="20"/>
          <w:lang w:val="en-US"/>
        </w:rPr>
        <w:t xml:space="preserve">d into two groups: those </w:t>
      </w:r>
      <w:r w:rsidR="00261207" w:rsidRPr="007B2402">
        <w:rPr>
          <w:rFonts w:eastAsia="Calibri" w:cs="Times New Roman"/>
          <w:szCs w:val="20"/>
          <w:lang w:val="en-US"/>
        </w:rPr>
        <w:t xml:space="preserve">that </w:t>
      </w:r>
      <w:r w:rsidRPr="007B2402">
        <w:rPr>
          <w:rFonts w:eastAsia="Calibri" w:cs="Times New Roman"/>
          <w:szCs w:val="20"/>
          <w:lang w:val="en-US"/>
        </w:rPr>
        <w:t>involve</w:t>
      </w:r>
      <w:r w:rsidR="0028444D" w:rsidRPr="007B2402">
        <w:rPr>
          <w:rFonts w:eastAsia="Calibri" w:cs="Times New Roman"/>
          <w:szCs w:val="20"/>
          <w:lang w:val="en-US"/>
        </w:rPr>
        <w:t>d</w:t>
      </w:r>
      <w:r w:rsidRPr="007B2402">
        <w:rPr>
          <w:rFonts w:eastAsia="Calibri" w:cs="Times New Roman"/>
          <w:szCs w:val="20"/>
          <w:lang w:val="en-US"/>
        </w:rPr>
        <w:t xml:space="preserve"> rights guaranteed in the American Convention, and those </w:t>
      </w:r>
      <w:r w:rsidR="00261207" w:rsidRPr="007B2402">
        <w:rPr>
          <w:rFonts w:eastAsia="Calibri" w:cs="Times New Roman"/>
          <w:szCs w:val="20"/>
          <w:lang w:val="en-US"/>
        </w:rPr>
        <w:t xml:space="preserve">that involved rights that were not included. </w:t>
      </w:r>
      <w:r w:rsidRPr="007B2402">
        <w:rPr>
          <w:rFonts w:eastAsia="Calibri" w:cs="Times New Roman"/>
          <w:szCs w:val="20"/>
          <w:lang w:val="en-US"/>
        </w:rPr>
        <w:t>Regarding the first group, the State considered that the context in which Carlos Alberto Brilhante Ustra and Audir Santos Maciel, responsible for the crimes of torture, were summoned to testify did not correspond to the civil jurisdiction, because th</w:t>
      </w:r>
      <w:r w:rsidR="00261207" w:rsidRPr="007B2402">
        <w:rPr>
          <w:rFonts w:eastAsia="Calibri" w:cs="Times New Roman"/>
          <w:szCs w:val="20"/>
          <w:lang w:val="en-US"/>
        </w:rPr>
        <w:t xml:space="preserve">e summons should have been issued </w:t>
      </w:r>
      <w:r w:rsidRPr="007B2402">
        <w:rPr>
          <w:rFonts w:eastAsia="Calibri" w:cs="Times New Roman"/>
          <w:szCs w:val="20"/>
          <w:lang w:val="en-US"/>
        </w:rPr>
        <w:t xml:space="preserve">in the criminal jurisdiction following a criminal investigation. In the case of the second group of </w:t>
      </w:r>
      <w:r w:rsidR="00261207" w:rsidRPr="007B2402">
        <w:rPr>
          <w:rFonts w:eastAsia="Calibri" w:cs="Times New Roman"/>
          <w:szCs w:val="20"/>
          <w:lang w:val="en-US"/>
        </w:rPr>
        <w:t>requests</w:t>
      </w:r>
      <w:r w:rsidRPr="007B2402">
        <w:rPr>
          <w:rFonts w:eastAsia="Calibri" w:cs="Times New Roman"/>
          <w:szCs w:val="20"/>
          <w:lang w:val="en-US"/>
        </w:rPr>
        <w:t>, it indicated that the Convention recognize</w:t>
      </w:r>
      <w:r w:rsidR="00261207" w:rsidRPr="007B2402">
        <w:rPr>
          <w:rFonts w:eastAsia="Calibri" w:cs="Times New Roman"/>
          <w:szCs w:val="20"/>
          <w:lang w:val="en-US"/>
        </w:rPr>
        <w:t>d</w:t>
      </w:r>
      <w:r w:rsidRPr="007B2402">
        <w:rPr>
          <w:rFonts w:eastAsia="Calibri" w:cs="Times New Roman"/>
          <w:szCs w:val="20"/>
          <w:lang w:val="en-US"/>
        </w:rPr>
        <w:t xml:space="preserve"> civil and political rights exclusively for individuals who ha</w:t>
      </w:r>
      <w:r w:rsidR="00261207" w:rsidRPr="007B2402">
        <w:rPr>
          <w:rFonts w:eastAsia="Calibri" w:cs="Times New Roman"/>
          <w:szCs w:val="20"/>
          <w:lang w:val="en-US"/>
        </w:rPr>
        <w:t>d</w:t>
      </w:r>
      <w:r w:rsidRPr="007B2402">
        <w:rPr>
          <w:rFonts w:eastAsia="Calibri" w:cs="Times New Roman"/>
          <w:szCs w:val="20"/>
          <w:lang w:val="en-US"/>
        </w:rPr>
        <w:t xml:space="preserve"> been or c</w:t>
      </w:r>
      <w:r w:rsidR="00261207" w:rsidRPr="007B2402">
        <w:rPr>
          <w:rFonts w:eastAsia="Calibri" w:cs="Times New Roman"/>
          <w:szCs w:val="20"/>
          <w:lang w:val="en-US"/>
        </w:rPr>
        <w:t>ould</w:t>
      </w:r>
      <w:r w:rsidRPr="007B2402">
        <w:rPr>
          <w:rFonts w:eastAsia="Calibri" w:cs="Times New Roman"/>
          <w:szCs w:val="20"/>
          <w:lang w:val="en-US"/>
        </w:rPr>
        <w:t xml:space="preserve"> be identified</w:t>
      </w:r>
      <w:r w:rsidR="00200F26" w:rsidRPr="007B2402">
        <w:rPr>
          <w:rFonts w:eastAsia="Calibri" w:cs="Times New Roman"/>
          <w:szCs w:val="20"/>
          <w:lang w:val="en-US"/>
        </w:rPr>
        <w:t>, and not for corporations, public entities, groups of people, etc.</w:t>
      </w:r>
      <w:r w:rsidR="00261207" w:rsidRPr="007B2402">
        <w:rPr>
          <w:rFonts w:eastAsia="Calibri" w:cs="Times New Roman"/>
          <w:szCs w:val="20"/>
          <w:lang w:val="en-US"/>
        </w:rPr>
        <w:t xml:space="preserve"> In this regard, </w:t>
      </w:r>
      <w:r w:rsidR="00200F26" w:rsidRPr="007B2402">
        <w:rPr>
          <w:rFonts w:eastAsia="Calibri" w:cs="Times New Roman"/>
          <w:szCs w:val="20"/>
          <w:lang w:val="en-US"/>
        </w:rPr>
        <w:t xml:space="preserve">the </w:t>
      </w:r>
      <w:r w:rsidR="00B0525F" w:rsidRPr="007B2402">
        <w:rPr>
          <w:rFonts w:eastAsia="Calibri" w:cs="Times New Roman"/>
          <w:szCs w:val="20"/>
          <w:lang w:val="en-US"/>
        </w:rPr>
        <w:t xml:space="preserve">subject </w:t>
      </w:r>
      <w:r w:rsidR="00200F26" w:rsidRPr="007B2402">
        <w:rPr>
          <w:rFonts w:eastAsia="Calibri" w:cs="Times New Roman"/>
          <w:szCs w:val="20"/>
          <w:lang w:val="en-US"/>
        </w:rPr>
        <w:t xml:space="preserve">of both the supposed collective non-pecuniary </w:t>
      </w:r>
      <w:r w:rsidR="00200F26" w:rsidRPr="007B2402">
        <w:rPr>
          <w:rFonts w:eastAsia="Calibri" w:cs="Times New Roman"/>
          <w:szCs w:val="20"/>
          <w:lang w:val="en-US"/>
        </w:rPr>
        <w:lastRenderedPageBreak/>
        <w:t xml:space="preserve">damage, and the request that the State release all the information on the activities carried out by the </w:t>
      </w:r>
      <w:r w:rsidR="00261207" w:rsidRPr="007B2402">
        <w:rPr>
          <w:rFonts w:eastAsia="Calibri" w:cs="Times New Roman"/>
          <w:szCs w:val="20"/>
          <w:lang w:val="en-US"/>
        </w:rPr>
        <w:t xml:space="preserve">Second Army’s </w:t>
      </w:r>
      <w:r w:rsidR="00200F26" w:rsidRPr="007B2402">
        <w:rPr>
          <w:rFonts w:eastAsia="Calibri" w:cs="Times New Roman"/>
          <w:szCs w:val="20"/>
          <w:lang w:val="en-US"/>
        </w:rPr>
        <w:t xml:space="preserve">DOI/CODI </w:t>
      </w:r>
      <w:r w:rsidR="00261207" w:rsidRPr="007B2402">
        <w:rPr>
          <w:rFonts w:eastAsia="Calibri" w:cs="Times New Roman"/>
          <w:szCs w:val="20"/>
          <w:lang w:val="en-US"/>
        </w:rPr>
        <w:t>wa</w:t>
      </w:r>
      <w:r w:rsidR="00200F26" w:rsidRPr="007B2402">
        <w:rPr>
          <w:rFonts w:eastAsia="Calibri" w:cs="Times New Roman"/>
          <w:szCs w:val="20"/>
          <w:lang w:val="en-US"/>
        </w:rPr>
        <w:t>s the collectivity and not an individual</w:t>
      </w:r>
      <w:r w:rsidR="00261207" w:rsidRPr="007B2402">
        <w:rPr>
          <w:rFonts w:eastAsia="Calibri" w:cs="Times New Roman"/>
          <w:szCs w:val="20"/>
          <w:lang w:val="en-US"/>
        </w:rPr>
        <w:t>; thus, those claims had</w:t>
      </w:r>
      <w:r w:rsidR="00200F26" w:rsidRPr="007B2402">
        <w:rPr>
          <w:rFonts w:eastAsia="Calibri" w:cs="Times New Roman"/>
          <w:szCs w:val="20"/>
          <w:lang w:val="en-US"/>
        </w:rPr>
        <w:t xml:space="preserve"> no</w:t>
      </w:r>
      <w:r w:rsidR="00B0525F" w:rsidRPr="007B2402">
        <w:rPr>
          <w:rFonts w:eastAsia="Calibri" w:cs="Times New Roman"/>
          <w:szCs w:val="20"/>
          <w:lang w:val="en-US"/>
        </w:rPr>
        <w:t xml:space="preserve"> basis</w:t>
      </w:r>
      <w:r w:rsidR="00200F26" w:rsidRPr="007B2402">
        <w:rPr>
          <w:rFonts w:eastAsia="Calibri" w:cs="Times New Roman"/>
          <w:szCs w:val="20"/>
          <w:lang w:val="en-US"/>
        </w:rPr>
        <w:t xml:space="preserve"> in the Convention. </w:t>
      </w:r>
      <w:r w:rsidR="00261207" w:rsidRPr="007B2402">
        <w:rPr>
          <w:rFonts w:eastAsia="Calibri" w:cs="Times New Roman"/>
          <w:szCs w:val="20"/>
          <w:lang w:val="en-US"/>
        </w:rPr>
        <w:t>The State</w:t>
      </w:r>
      <w:r w:rsidR="00200F26" w:rsidRPr="007B2402">
        <w:rPr>
          <w:rFonts w:eastAsia="Calibri" w:cs="Times New Roman"/>
          <w:szCs w:val="20"/>
          <w:lang w:val="en-US"/>
        </w:rPr>
        <w:t xml:space="preserve"> reached the same conclusion with regard to the request that the accused be </w:t>
      </w:r>
      <w:r w:rsidR="00533975" w:rsidRPr="007B2402">
        <w:rPr>
          <w:rFonts w:eastAsia="Calibri" w:cs="Times New Roman"/>
          <w:szCs w:val="20"/>
          <w:lang w:val="en-US"/>
        </w:rPr>
        <w:t>relieved</w:t>
      </w:r>
      <w:r w:rsidR="00200F26" w:rsidRPr="007B2402">
        <w:rPr>
          <w:rFonts w:eastAsia="Calibri" w:cs="Times New Roman"/>
          <w:szCs w:val="20"/>
          <w:lang w:val="en-US"/>
        </w:rPr>
        <w:t xml:space="preserve"> of their </w:t>
      </w:r>
      <w:r w:rsidR="00261207" w:rsidRPr="007B2402">
        <w:rPr>
          <w:rFonts w:eastAsia="Calibri" w:cs="Times New Roman"/>
          <w:szCs w:val="20"/>
          <w:lang w:val="en-US"/>
        </w:rPr>
        <w:t xml:space="preserve">status </w:t>
      </w:r>
      <w:r w:rsidR="00200F26" w:rsidRPr="007B2402">
        <w:rPr>
          <w:rFonts w:eastAsia="Calibri" w:cs="Times New Roman"/>
          <w:szCs w:val="20"/>
          <w:lang w:val="en-US"/>
        </w:rPr>
        <w:t xml:space="preserve">as public officials. According to the State, the public civil action was inappropriate for </w:t>
      </w:r>
      <w:r w:rsidR="00261207" w:rsidRPr="007B2402">
        <w:rPr>
          <w:rFonts w:eastAsia="Calibri" w:cs="Times New Roman"/>
          <w:szCs w:val="20"/>
          <w:lang w:val="en-US"/>
        </w:rPr>
        <w:t>its</w:t>
      </w:r>
      <w:r w:rsidR="00200F26" w:rsidRPr="007B2402">
        <w:rPr>
          <w:rFonts w:eastAsia="Calibri" w:cs="Times New Roman"/>
          <w:szCs w:val="20"/>
          <w:lang w:val="en-US"/>
        </w:rPr>
        <w:t xml:space="preserve"> intended purpose. Consequently, it considered that the said proceeding should not be deemed a</w:t>
      </w:r>
      <w:r w:rsidR="00261207" w:rsidRPr="007B2402">
        <w:rPr>
          <w:rFonts w:eastAsia="Calibri" w:cs="Times New Roman"/>
          <w:szCs w:val="20"/>
          <w:lang w:val="en-US"/>
        </w:rPr>
        <w:t>n act</w:t>
      </w:r>
      <w:r w:rsidR="00200F26" w:rsidRPr="007B2402">
        <w:rPr>
          <w:rFonts w:eastAsia="Calibri" w:cs="Times New Roman"/>
          <w:szCs w:val="20"/>
          <w:lang w:val="en-US"/>
        </w:rPr>
        <w:t xml:space="preserve"> that potentially violated </w:t>
      </w:r>
      <w:r w:rsidR="006E2CFF" w:rsidRPr="007B2402">
        <w:rPr>
          <w:rFonts w:eastAsia="Calibri" w:cs="Times New Roman"/>
          <w:szCs w:val="20"/>
          <w:lang w:val="en-US"/>
        </w:rPr>
        <w:t>Article</w:t>
      </w:r>
      <w:r w:rsidR="000744A8" w:rsidRPr="007B2402">
        <w:rPr>
          <w:rFonts w:eastAsia="Calibri" w:cs="Times New Roman"/>
          <w:szCs w:val="20"/>
          <w:lang w:val="en-US"/>
        </w:rPr>
        <w:t xml:space="preserve"> 25</w:t>
      </w:r>
      <w:r w:rsidR="00AF4344" w:rsidRPr="007B2402">
        <w:rPr>
          <w:rFonts w:eastAsia="Calibri" w:cs="Times New Roman"/>
          <w:szCs w:val="20"/>
          <w:lang w:val="en-US"/>
        </w:rPr>
        <w:t xml:space="preserve"> of the Convention</w:t>
      </w:r>
      <w:r w:rsidR="000744A8" w:rsidRPr="007B2402">
        <w:rPr>
          <w:rFonts w:eastAsia="Calibri" w:cs="Times New Roman"/>
          <w:szCs w:val="20"/>
          <w:lang w:val="en-US"/>
        </w:rPr>
        <w:t>. Subsidiari</w:t>
      </w:r>
      <w:r w:rsidR="00200F26" w:rsidRPr="007B2402">
        <w:rPr>
          <w:rFonts w:eastAsia="Calibri" w:cs="Times New Roman"/>
          <w:szCs w:val="20"/>
          <w:lang w:val="en-US"/>
        </w:rPr>
        <w:t xml:space="preserve">ly, the State argued that there </w:t>
      </w:r>
      <w:r w:rsidR="00261207" w:rsidRPr="007B2402">
        <w:rPr>
          <w:rFonts w:eastAsia="Calibri" w:cs="Times New Roman"/>
          <w:szCs w:val="20"/>
          <w:lang w:val="en-US"/>
        </w:rPr>
        <w:t>had been</w:t>
      </w:r>
      <w:r w:rsidR="00200F26" w:rsidRPr="007B2402">
        <w:rPr>
          <w:rFonts w:eastAsia="Calibri" w:cs="Times New Roman"/>
          <w:szCs w:val="20"/>
          <w:lang w:val="en-US"/>
        </w:rPr>
        <w:t xml:space="preserve"> no irregularities in the processing of the public civil action</w:t>
      </w:r>
      <w:r w:rsidR="00E52E99" w:rsidRPr="007B2402">
        <w:rPr>
          <w:rFonts w:eastAsia="Calibri" w:cs="Times New Roman"/>
          <w:szCs w:val="20"/>
          <w:lang w:val="en-US"/>
        </w:rPr>
        <w:t>.</w:t>
      </w:r>
    </w:p>
    <w:p w14:paraId="6E79BEDA" w14:textId="77777777" w:rsidR="00533975" w:rsidRPr="007B2402" w:rsidRDefault="00533975" w:rsidP="00533975">
      <w:pPr>
        <w:spacing w:after="0" w:line="240" w:lineRule="auto"/>
        <w:jc w:val="both"/>
        <w:rPr>
          <w:rFonts w:eastAsia="Calibri" w:cs="Times New Roman"/>
          <w:szCs w:val="20"/>
          <w:lang w:val="en-US"/>
        </w:rPr>
      </w:pPr>
    </w:p>
    <w:p w14:paraId="1E8F75AB" w14:textId="06157F87" w:rsidR="000744A8" w:rsidRPr="007B2402" w:rsidRDefault="00533975" w:rsidP="00DB1F30">
      <w:pPr>
        <w:numPr>
          <w:ilvl w:val="0"/>
          <w:numId w:val="6"/>
        </w:numPr>
        <w:spacing w:after="0" w:line="240" w:lineRule="auto"/>
        <w:jc w:val="both"/>
        <w:rPr>
          <w:rFonts w:eastAsia="Calibri" w:cs="Times New Roman"/>
          <w:b/>
          <w:szCs w:val="20"/>
          <w:lang w:val="en-US"/>
        </w:rPr>
      </w:pPr>
      <w:r w:rsidRPr="007B2402">
        <w:rPr>
          <w:rFonts w:eastAsia="Calibri" w:cs="Times New Roman"/>
          <w:szCs w:val="20"/>
          <w:lang w:val="en-US"/>
        </w:rPr>
        <w:t xml:space="preserve">In this regard, it asked the Court to exclude the said action from the case, either because it had not been mentioned in the Commission’s </w:t>
      </w:r>
      <w:r w:rsidR="00375567" w:rsidRPr="007B2402">
        <w:rPr>
          <w:rFonts w:eastAsia="Calibri" w:cs="Times New Roman"/>
          <w:szCs w:val="20"/>
          <w:lang w:val="en-US"/>
        </w:rPr>
        <w:t>Admissibility Report</w:t>
      </w:r>
      <w:r w:rsidRPr="007B2402">
        <w:rPr>
          <w:rFonts w:eastAsia="Calibri" w:cs="Times New Roman"/>
          <w:szCs w:val="20"/>
          <w:lang w:val="en-US"/>
        </w:rPr>
        <w:t xml:space="preserve"> or because it d</w:t>
      </w:r>
      <w:r w:rsidR="00261207" w:rsidRPr="007B2402">
        <w:rPr>
          <w:rFonts w:eastAsia="Calibri" w:cs="Times New Roman"/>
          <w:szCs w:val="20"/>
          <w:lang w:val="en-US"/>
        </w:rPr>
        <w:t>id</w:t>
      </w:r>
      <w:r w:rsidRPr="007B2402">
        <w:rPr>
          <w:rFonts w:eastAsia="Calibri" w:cs="Times New Roman"/>
          <w:szCs w:val="20"/>
          <w:lang w:val="en-US"/>
        </w:rPr>
        <w:t xml:space="preserve"> not refer specifically to the case of </w:t>
      </w:r>
      <w:r w:rsidR="000744A8" w:rsidRPr="007B2402">
        <w:rPr>
          <w:rFonts w:eastAsia="Calibri" w:cs="Times New Roman"/>
          <w:szCs w:val="20"/>
          <w:lang w:val="en-US"/>
        </w:rPr>
        <w:t>Vladimir Herzog</w:t>
      </w:r>
      <w:r w:rsidR="00E52E99" w:rsidRPr="007B2402">
        <w:rPr>
          <w:rFonts w:eastAsia="Calibri" w:cs="Times New Roman"/>
          <w:szCs w:val="20"/>
          <w:lang w:val="en-US"/>
        </w:rPr>
        <w:t>.</w:t>
      </w:r>
    </w:p>
    <w:p w14:paraId="00A1EBFB" w14:textId="77777777" w:rsidR="000744A8" w:rsidRPr="007B2402" w:rsidRDefault="000744A8" w:rsidP="000744A8">
      <w:pPr>
        <w:spacing w:after="0" w:line="240" w:lineRule="auto"/>
        <w:jc w:val="both"/>
        <w:rPr>
          <w:rFonts w:eastAsia="Calibri" w:cs="Times New Roman"/>
          <w:szCs w:val="20"/>
          <w:lang w:val="en-US"/>
        </w:rPr>
      </w:pPr>
    </w:p>
    <w:p w14:paraId="5EE69AE7" w14:textId="4B465DFF" w:rsidR="000744A8" w:rsidRPr="007B2402" w:rsidRDefault="00533975"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With regard to the alleged violation of the obligation to investigate and punish torture that affected the right to freedom of expression, the State a</w:t>
      </w:r>
      <w:r w:rsidR="00261207" w:rsidRPr="007B2402">
        <w:rPr>
          <w:rFonts w:eastAsia="Calibri" w:cs="Times New Roman"/>
          <w:szCs w:val="20"/>
          <w:lang w:val="en-US"/>
        </w:rPr>
        <w:t>rgu</w:t>
      </w:r>
      <w:r w:rsidRPr="007B2402">
        <w:rPr>
          <w:rFonts w:eastAsia="Calibri" w:cs="Times New Roman"/>
          <w:szCs w:val="20"/>
          <w:lang w:val="en-US"/>
        </w:rPr>
        <w:t xml:space="preserve">ed that the supposed violation of the obligation of guarantee of </w:t>
      </w:r>
      <w:r w:rsidR="00AF4344" w:rsidRPr="007B2402">
        <w:rPr>
          <w:rFonts w:eastAsia="Calibri" w:cs="Times New Roman"/>
          <w:szCs w:val="20"/>
          <w:lang w:val="en-US"/>
        </w:rPr>
        <w:t>Articles</w:t>
      </w:r>
      <w:r w:rsidR="000744A8" w:rsidRPr="007B2402">
        <w:rPr>
          <w:rFonts w:eastAsia="Calibri" w:cs="Times New Roman"/>
          <w:szCs w:val="20"/>
          <w:lang w:val="en-US"/>
        </w:rPr>
        <w:t xml:space="preserve"> 5</w:t>
      </w:r>
      <w:r w:rsidR="005B1590" w:rsidRPr="007B2402">
        <w:rPr>
          <w:rFonts w:eastAsia="Calibri" w:cs="Times New Roman"/>
          <w:szCs w:val="20"/>
          <w:lang w:val="en-US"/>
        </w:rPr>
        <w:t xml:space="preserve"> and </w:t>
      </w:r>
      <w:r w:rsidR="000744A8" w:rsidRPr="007B2402">
        <w:rPr>
          <w:rFonts w:eastAsia="Calibri" w:cs="Times New Roman"/>
          <w:szCs w:val="20"/>
          <w:lang w:val="en-US"/>
        </w:rPr>
        <w:t xml:space="preserve">13 </w:t>
      </w:r>
      <w:r w:rsidRPr="007B2402">
        <w:rPr>
          <w:rFonts w:eastAsia="Calibri" w:cs="Times New Roman"/>
          <w:szCs w:val="20"/>
          <w:lang w:val="en-US"/>
        </w:rPr>
        <w:t xml:space="preserve">was not possible, because at the time of the facts, torture had not yet been defined as a crime in the laws of </w:t>
      </w:r>
      <w:r w:rsidR="00AF4344" w:rsidRPr="007B2402">
        <w:rPr>
          <w:rFonts w:eastAsia="Calibri" w:cs="Times New Roman"/>
          <w:szCs w:val="20"/>
          <w:lang w:val="en-US"/>
        </w:rPr>
        <w:t>Brazil</w:t>
      </w:r>
      <w:r w:rsidR="000744A8" w:rsidRPr="007B2402">
        <w:rPr>
          <w:rFonts w:eastAsia="Calibri" w:cs="Times New Roman"/>
          <w:szCs w:val="20"/>
          <w:lang w:val="en-US"/>
        </w:rPr>
        <w:t xml:space="preserve">. </w:t>
      </w:r>
    </w:p>
    <w:p w14:paraId="4FD17BE4" w14:textId="77777777" w:rsidR="000744A8" w:rsidRPr="007B2402" w:rsidRDefault="000744A8" w:rsidP="000744A8">
      <w:pPr>
        <w:spacing w:after="0" w:line="240" w:lineRule="auto"/>
        <w:jc w:val="both"/>
        <w:rPr>
          <w:rFonts w:eastAsia="Calibri" w:cs="Times New Roman"/>
          <w:szCs w:val="20"/>
          <w:lang w:val="en-US"/>
        </w:rPr>
      </w:pPr>
    </w:p>
    <w:p w14:paraId="328AB551" w14:textId="71338D30" w:rsidR="000744A8" w:rsidRPr="007B2402" w:rsidRDefault="007A07B8" w:rsidP="00CC52E0">
      <w:pPr>
        <w:pStyle w:val="Ttulo2"/>
        <w:rPr>
          <w:b/>
          <w:lang w:val="en-US"/>
        </w:rPr>
      </w:pPr>
      <w:bookmarkStart w:id="160" w:name="_Toc506984119"/>
      <w:r w:rsidRPr="007B2402">
        <w:rPr>
          <w:b/>
          <w:lang w:val="en-US"/>
        </w:rPr>
        <w:t>Considerations</w:t>
      </w:r>
      <w:r w:rsidR="00AF4344" w:rsidRPr="007B2402">
        <w:rPr>
          <w:b/>
          <w:lang w:val="en-US"/>
        </w:rPr>
        <w:t xml:space="preserve"> of the Court</w:t>
      </w:r>
      <w:bookmarkEnd w:id="160"/>
    </w:p>
    <w:p w14:paraId="0E5AB5F3" w14:textId="77777777" w:rsidR="000744A8" w:rsidRPr="007B2402" w:rsidRDefault="000744A8" w:rsidP="000744A8">
      <w:pPr>
        <w:spacing w:after="0" w:line="240" w:lineRule="auto"/>
        <w:jc w:val="both"/>
        <w:rPr>
          <w:rFonts w:eastAsia="Calibri" w:cs="Times New Roman"/>
          <w:szCs w:val="20"/>
          <w:lang w:val="en-US"/>
        </w:rPr>
      </w:pPr>
    </w:p>
    <w:p w14:paraId="4902F6BB" w14:textId="5E1CD010" w:rsidR="00C54AA6" w:rsidRPr="007B2402" w:rsidRDefault="00533975" w:rsidP="00E57411">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In this section,</w:t>
      </w:r>
      <w:r w:rsidR="0030524C" w:rsidRPr="007B2402">
        <w:rPr>
          <w:rFonts w:eastAsia="Calibri" w:cs="Times New Roman"/>
          <w:szCs w:val="20"/>
          <w:lang w:val="en-US"/>
        </w:rPr>
        <w:t xml:space="preserve"> </w:t>
      </w:r>
      <w:r w:rsidR="00AF4344" w:rsidRPr="007B2402">
        <w:rPr>
          <w:rFonts w:eastAsia="Calibri" w:cs="Times New Roman"/>
          <w:szCs w:val="20"/>
          <w:lang w:val="en-US"/>
        </w:rPr>
        <w:t>the Court</w:t>
      </w:r>
      <w:r w:rsidR="000744A8" w:rsidRPr="007B2402">
        <w:rPr>
          <w:rFonts w:eastAsia="Calibri" w:cs="Times New Roman"/>
          <w:szCs w:val="20"/>
          <w:lang w:val="en-US"/>
        </w:rPr>
        <w:t xml:space="preserve"> </w:t>
      </w:r>
      <w:r w:rsidRPr="007B2402">
        <w:rPr>
          <w:rFonts w:eastAsia="Calibri" w:cs="Times New Roman"/>
          <w:szCs w:val="20"/>
          <w:lang w:val="en-US"/>
        </w:rPr>
        <w:t xml:space="preserve">will develop the pertinent legal </w:t>
      </w:r>
      <w:r w:rsidR="007A07B8" w:rsidRPr="007B2402">
        <w:rPr>
          <w:rFonts w:eastAsia="Calibri" w:cs="Times New Roman"/>
          <w:szCs w:val="20"/>
          <w:lang w:val="en-US"/>
        </w:rPr>
        <w:t>considerations</w:t>
      </w:r>
      <w:r w:rsidRPr="007B2402">
        <w:rPr>
          <w:rFonts w:eastAsia="Calibri" w:cs="Times New Roman"/>
          <w:szCs w:val="20"/>
          <w:lang w:val="en-US"/>
        </w:rPr>
        <w:t xml:space="preserve"> on the alleged violations of the rights to </w:t>
      </w:r>
      <w:r w:rsidR="00997AE6" w:rsidRPr="007B2402">
        <w:rPr>
          <w:rFonts w:eastAsia="Calibri" w:cs="Times New Roman"/>
          <w:szCs w:val="20"/>
          <w:lang w:val="en-US"/>
        </w:rPr>
        <w:t xml:space="preserve">judicial </w:t>
      </w:r>
      <w:r w:rsidR="008B5281" w:rsidRPr="007B2402">
        <w:rPr>
          <w:rFonts w:eastAsia="Calibri" w:cs="Times New Roman"/>
          <w:szCs w:val="20"/>
          <w:lang w:val="en-US"/>
        </w:rPr>
        <w:t>guarantee</w:t>
      </w:r>
      <w:r w:rsidR="000744A8" w:rsidRPr="007B2402">
        <w:rPr>
          <w:rFonts w:eastAsia="Calibri" w:cs="Times New Roman"/>
          <w:szCs w:val="20"/>
          <w:lang w:val="en-US"/>
        </w:rPr>
        <w:t>s</w:t>
      </w:r>
      <w:r w:rsidR="005B1590" w:rsidRPr="007B2402">
        <w:rPr>
          <w:rFonts w:eastAsia="Calibri" w:cs="Times New Roman"/>
          <w:szCs w:val="20"/>
          <w:lang w:val="en-US"/>
        </w:rPr>
        <w:t xml:space="preserve"> and</w:t>
      </w:r>
      <w:r w:rsidR="000744A8" w:rsidRPr="007B2402">
        <w:rPr>
          <w:rFonts w:eastAsia="Calibri" w:cs="Times New Roman"/>
          <w:szCs w:val="20"/>
          <w:lang w:val="en-US"/>
        </w:rPr>
        <w:t xml:space="preserve"> </w:t>
      </w:r>
      <w:r w:rsidR="008B5281" w:rsidRPr="007B2402">
        <w:rPr>
          <w:rFonts w:eastAsia="Calibri" w:cs="Times New Roman"/>
          <w:szCs w:val="20"/>
          <w:lang w:val="en-US"/>
        </w:rPr>
        <w:t>judicial protection</w:t>
      </w:r>
      <w:r w:rsidR="000744A8" w:rsidRPr="007B2402">
        <w:rPr>
          <w:rFonts w:eastAsia="Calibri" w:cs="Times New Roman"/>
          <w:szCs w:val="20"/>
          <w:lang w:val="en-US"/>
        </w:rPr>
        <w:t xml:space="preserve">, </w:t>
      </w:r>
      <w:r w:rsidRPr="007B2402">
        <w:rPr>
          <w:rFonts w:eastAsia="Calibri" w:cs="Times New Roman"/>
          <w:szCs w:val="20"/>
          <w:lang w:val="en-US"/>
        </w:rPr>
        <w:t xml:space="preserve">in relation to the alleged impunity </w:t>
      </w:r>
      <w:r w:rsidR="008F4A8A" w:rsidRPr="007B2402">
        <w:rPr>
          <w:rFonts w:eastAsia="Calibri" w:cs="Times New Roman"/>
          <w:szCs w:val="20"/>
          <w:lang w:val="en-US"/>
        </w:rPr>
        <w:t>for</w:t>
      </w:r>
      <w:r w:rsidRPr="007B2402">
        <w:rPr>
          <w:rFonts w:eastAsia="Calibri" w:cs="Times New Roman"/>
          <w:szCs w:val="20"/>
          <w:lang w:val="en-US"/>
        </w:rPr>
        <w:t xml:space="preserve"> the </w:t>
      </w:r>
      <w:r w:rsidR="00BA4292" w:rsidRPr="007B2402">
        <w:rPr>
          <w:rFonts w:eastAsia="Calibri" w:cs="Times New Roman"/>
          <w:szCs w:val="20"/>
          <w:lang w:val="en-US"/>
        </w:rPr>
        <w:t xml:space="preserve">arbitrary </w:t>
      </w:r>
      <w:r w:rsidR="00811602" w:rsidRPr="007B2402">
        <w:rPr>
          <w:rFonts w:eastAsia="Calibri" w:cs="Times New Roman"/>
          <w:szCs w:val="20"/>
          <w:lang w:val="en-US"/>
        </w:rPr>
        <w:t>detention</w:t>
      </w:r>
      <w:r w:rsidR="00BA4292" w:rsidRPr="007B2402">
        <w:rPr>
          <w:rFonts w:eastAsia="Calibri" w:cs="Times New Roman"/>
          <w:szCs w:val="20"/>
          <w:lang w:val="en-US"/>
        </w:rPr>
        <w:t>, torture and death</w:t>
      </w:r>
      <w:r w:rsidR="000744A8" w:rsidRPr="007B2402">
        <w:rPr>
          <w:rFonts w:eastAsia="Calibri" w:cs="Times New Roman"/>
          <w:szCs w:val="20"/>
          <w:lang w:val="en-US"/>
        </w:rPr>
        <w:t xml:space="preserve"> </w:t>
      </w:r>
      <w:r w:rsidRPr="007B2402">
        <w:rPr>
          <w:rFonts w:eastAsia="Calibri" w:cs="Times New Roman"/>
          <w:szCs w:val="20"/>
          <w:lang w:val="en-US"/>
        </w:rPr>
        <w:t>of the journalist</w:t>
      </w:r>
      <w:r w:rsidR="000744A8" w:rsidRPr="007B2402">
        <w:rPr>
          <w:rFonts w:eastAsia="Calibri" w:cs="Times New Roman"/>
          <w:szCs w:val="20"/>
          <w:lang w:val="en-US"/>
        </w:rPr>
        <w:t xml:space="preserve"> Vladimir Herzog. </w:t>
      </w:r>
      <w:r w:rsidR="008F4A8A" w:rsidRPr="007B2402">
        <w:rPr>
          <w:rFonts w:eastAsia="Calibri" w:cs="Times New Roman"/>
          <w:szCs w:val="20"/>
          <w:lang w:val="en-US"/>
        </w:rPr>
        <w:t>T</w:t>
      </w:r>
      <w:r w:rsidRPr="007B2402">
        <w:rPr>
          <w:rFonts w:eastAsia="Calibri" w:cs="Times New Roman"/>
          <w:szCs w:val="20"/>
          <w:lang w:val="en-US"/>
        </w:rPr>
        <w:t xml:space="preserve">o determine whether the State obligation to investigate, prosecute and punish those responsible for </w:t>
      </w:r>
      <w:r w:rsidR="008B5281" w:rsidRPr="007B2402">
        <w:rPr>
          <w:rFonts w:eastAsia="Calibri" w:cs="Times New Roman"/>
          <w:szCs w:val="20"/>
          <w:lang w:val="en-US"/>
        </w:rPr>
        <w:t>the torture and murder of Vladimir Herzog</w:t>
      </w:r>
      <w:r w:rsidR="00E57411" w:rsidRPr="007B2402">
        <w:rPr>
          <w:rFonts w:eastAsia="Calibri" w:cs="Times New Roman"/>
          <w:szCs w:val="20"/>
          <w:lang w:val="en-US"/>
        </w:rPr>
        <w:t xml:space="preserve"> </w:t>
      </w:r>
      <w:r w:rsidRPr="007B2402">
        <w:rPr>
          <w:rFonts w:eastAsia="Calibri" w:cs="Times New Roman"/>
          <w:szCs w:val="20"/>
          <w:lang w:val="en-US"/>
        </w:rPr>
        <w:t>persisted at the time Brazil accepted the jurisdiction of the Court, the Court must first examine the facts that occurred in order to decide whether</w:t>
      </w:r>
      <w:r w:rsidR="008F4A8A" w:rsidRPr="007B2402">
        <w:rPr>
          <w:rFonts w:eastAsia="Calibri" w:cs="Times New Roman"/>
          <w:szCs w:val="20"/>
          <w:lang w:val="en-US"/>
        </w:rPr>
        <w:t xml:space="preserve"> </w:t>
      </w:r>
      <w:r w:rsidRPr="007B2402">
        <w:rPr>
          <w:rFonts w:eastAsia="Calibri" w:cs="Times New Roman"/>
          <w:szCs w:val="20"/>
          <w:lang w:val="en-US"/>
        </w:rPr>
        <w:t>the death of Mr. Herzog was</w:t>
      </w:r>
      <w:r w:rsidR="008F4A8A" w:rsidRPr="007B2402">
        <w:rPr>
          <w:rFonts w:eastAsia="Calibri" w:cs="Times New Roman"/>
          <w:szCs w:val="20"/>
          <w:lang w:val="en-US"/>
        </w:rPr>
        <w:t>, indeed,</w:t>
      </w:r>
      <w:r w:rsidRPr="007B2402">
        <w:rPr>
          <w:rFonts w:eastAsia="Calibri" w:cs="Times New Roman"/>
          <w:szCs w:val="20"/>
          <w:lang w:val="en-US"/>
        </w:rPr>
        <w:t xml:space="preserve"> the result of a crime against humanity as </w:t>
      </w:r>
      <w:r w:rsidR="005B1590" w:rsidRPr="007B2402">
        <w:rPr>
          <w:rFonts w:eastAsia="Calibri" w:cs="Times New Roman"/>
          <w:szCs w:val="20"/>
          <w:lang w:val="en-US"/>
        </w:rPr>
        <w:t>the representatives</w:t>
      </w:r>
      <w:r w:rsidRPr="007B2402">
        <w:rPr>
          <w:rFonts w:eastAsia="Calibri" w:cs="Times New Roman"/>
          <w:szCs w:val="20"/>
          <w:lang w:val="en-US"/>
        </w:rPr>
        <w:t xml:space="preserve"> allege</w:t>
      </w:r>
      <w:r w:rsidR="00C54AA6" w:rsidRPr="007B2402">
        <w:rPr>
          <w:rFonts w:eastAsia="Calibri" w:cs="Times New Roman"/>
          <w:szCs w:val="20"/>
          <w:lang w:val="en-US"/>
        </w:rPr>
        <w:t xml:space="preserve">. </w:t>
      </w:r>
    </w:p>
    <w:p w14:paraId="0728E20E" w14:textId="77777777" w:rsidR="00C0793F" w:rsidRPr="007B2402" w:rsidRDefault="00C0793F" w:rsidP="00C0793F">
      <w:pPr>
        <w:spacing w:after="0" w:line="240" w:lineRule="auto"/>
        <w:jc w:val="both"/>
        <w:rPr>
          <w:rFonts w:eastAsia="Calibri" w:cs="Times New Roman"/>
          <w:szCs w:val="20"/>
          <w:lang w:val="en-US"/>
        </w:rPr>
      </w:pPr>
    </w:p>
    <w:p w14:paraId="784A02B1" w14:textId="1E853335" w:rsidR="00810476" w:rsidRPr="007B2402" w:rsidRDefault="00C0793F" w:rsidP="00E57411">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A</w:t>
      </w:r>
      <w:r w:rsidR="00810476" w:rsidRPr="007B2402">
        <w:rPr>
          <w:rFonts w:eastAsia="Calibri" w:cs="Times New Roman"/>
          <w:szCs w:val="20"/>
          <w:lang w:val="en-US"/>
        </w:rPr>
        <w:t>lso, before determin</w:t>
      </w:r>
      <w:r w:rsidR="008F4A8A" w:rsidRPr="007B2402">
        <w:rPr>
          <w:rFonts w:eastAsia="Calibri" w:cs="Times New Roman"/>
          <w:szCs w:val="20"/>
          <w:lang w:val="en-US"/>
        </w:rPr>
        <w:t>ing</w:t>
      </w:r>
      <w:r w:rsidR="00810476" w:rsidRPr="007B2402">
        <w:rPr>
          <w:rFonts w:eastAsia="Calibri" w:cs="Times New Roman"/>
          <w:szCs w:val="20"/>
          <w:lang w:val="en-US"/>
        </w:rPr>
        <w:t xml:space="preserve"> substantial aspects relating to the legal arguments presented by the parties, it should be pointed out that the amnesties adopted in the closing days of some of the South American dictatorships at th</w:t>
      </w:r>
      <w:r w:rsidR="008F4A8A" w:rsidRPr="007B2402">
        <w:rPr>
          <w:rFonts w:eastAsia="Calibri" w:cs="Times New Roman"/>
          <w:szCs w:val="20"/>
          <w:lang w:val="en-US"/>
        </w:rPr>
        <w:t>at</w:t>
      </w:r>
      <w:r w:rsidR="00810476" w:rsidRPr="007B2402">
        <w:rPr>
          <w:rFonts w:eastAsia="Calibri" w:cs="Times New Roman"/>
          <w:szCs w:val="20"/>
          <w:lang w:val="en-US"/>
        </w:rPr>
        <w:t xml:space="preserve"> time – as in the case of Brazil where the Amnesty Law was enacted before the return to democracy</w:t>
      </w:r>
      <w:r w:rsidR="008F4A8A" w:rsidRPr="007B2402">
        <w:rPr>
          <w:rFonts w:eastAsia="Calibri" w:cs="Times New Roman"/>
          <w:szCs w:val="20"/>
          <w:lang w:val="en-US"/>
        </w:rPr>
        <w:t xml:space="preserve"> – were</w:t>
      </w:r>
      <w:r w:rsidR="00810476" w:rsidRPr="007B2402">
        <w:rPr>
          <w:rFonts w:eastAsia="Calibri" w:cs="Times New Roman"/>
          <w:szCs w:val="20"/>
          <w:lang w:val="en-US"/>
        </w:rPr>
        <w:t xml:space="preserve"> intended to legitimate</w:t>
      </w:r>
      <w:r w:rsidR="008F4A8A" w:rsidRPr="007B2402">
        <w:rPr>
          <w:rFonts w:eastAsia="Calibri" w:cs="Times New Roman"/>
          <w:szCs w:val="20"/>
          <w:lang w:val="en-US"/>
        </w:rPr>
        <w:t xml:space="preserve"> them</w:t>
      </w:r>
      <w:r w:rsidR="00EB090E" w:rsidRPr="007B2402">
        <w:rPr>
          <w:rFonts w:eastAsia="Calibri" w:cs="Times New Roman"/>
          <w:szCs w:val="20"/>
          <w:lang w:val="en-US"/>
        </w:rPr>
        <w:t>; positing</w:t>
      </w:r>
      <w:r w:rsidR="00810476" w:rsidRPr="007B2402">
        <w:rPr>
          <w:rFonts w:eastAsia="Calibri" w:cs="Times New Roman"/>
          <w:szCs w:val="20"/>
          <w:lang w:val="en-US"/>
        </w:rPr>
        <w:t xml:space="preserve"> the illusory existence of an armed conflict, whose supposed victors</w:t>
      </w:r>
      <w:r w:rsidR="00EB090E" w:rsidRPr="007B2402">
        <w:rPr>
          <w:rFonts w:eastAsia="Calibri" w:cs="Times New Roman"/>
          <w:szCs w:val="20"/>
          <w:lang w:val="en-US"/>
        </w:rPr>
        <w:t>,</w:t>
      </w:r>
      <w:r w:rsidR="00810476" w:rsidRPr="007B2402">
        <w:rPr>
          <w:rFonts w:eastAsia="Calibri" w:cs="Times New Roman"/>
          <w:szCs w:val="20"/>
          <w:lang w:val="en-US"/>
        </w:rPr>
        <w:t xml:space="preserve"> magnanimously</w:t>
      </w:r>
      <w:r w:rsidR="00EB090E" w:rsidRPr="007B2402">
        <w:rPr>
          <w:rFonts w:eastAsia="Calibri" w:cs="Times New Roman"/>
          <w:szCs w:val="20"/>
          <w:lang w:val="en-US"/>
        </w:rPr>
        <w:t>,</w:t>
      </w:r>
      <w:r w:rsidR="00810476" w:rsidRPr="007B2402">
        <w:rPr>
          <w:rFonts w:eastAsia="Calibri" w:cs="Times New Roman"/>
          <w:szCs w:val="20"/>
          <w:lang w:val="en-US"/>
        </w:rPr>
        <w:t xml:space="preserve"> closed the alleged conflict declaring that the crimes committed by all those who intervened were </w:t>
      </w:r>
      <w:r w:rsidR="00EB090E" w:rsidRPr="007B2402">
        <w:rPr>
          <w:rFonts w:eastAsia="Calibri" w:cs="Times New Roman"/>
          <w:szCs w:val="20"/>
          <w:lang w:val="en-US"/>
        </w:rPr>
        <w:t>covered by that law</w:t>
      </w:r>
      <w:r w:rsidR="00810476" w:rsidRPr="007B2402">
        <w:rPr>
          <w:rFonts w:eastAsia="Calibri" w:cs="Times New Roman"/>
          <w:szCs w:val="20"/>
          <w:lang w:val="en-US"/>
        </w:rPr>
        <w:t xml:space="preserve">. However, the context of this case reveals the total absence of warlike acts, </w:t>
      </w:r>
      <w:r w:rsidR="00EB090E" w:rsidRPr="007B2402">
        <w:rPr>
          <w:rFonts w:eastAsia="Calibri" w:cs="Times New Roman"/>
          <w:szCs w:val="20"/>
          <w:lang w:val="en-US"/>
        </w:rPr>
        <w:t>demonstrat</w:t>
      </w:r>
      <w:r w:rsidR="00810476" w:rsidRPr="007B2402">
        <w:rPr>
          <w:rFonts w:eastAsia="Calibri" w:cs="Times New Roman"/>
          <w:szCs w:val="20"/>
          <w:lang w:val="en-US"/>
        </w:rPr>
        <w:t>ing</w:t>
      </w:r>
      <w:r w:rsidR="00EB090E" w:rsidRPr="007B2402">
        <w:rPr>
          <w:rFonts w:eastAsia="Calibri" w:cs="Times New Roman"/>
          <w:szCs w:val="20"/>
          <w:lang w:val="en-US"/>
        </w:rPr>
        <w:t xml:space="preserve"> that</w:t>
      </w:r>
      <w:r w:rsidR="00810476" w:rsidRPr="007B2402">
        <w:rPr>
          <w:rFonts w:eastAsia="Calibri" w:cs="Times New Roman"/>
          <w:szCs w:val="20"/>
          <w:lang w:val="en-US"/>
        </w:rPr>
        <w:t>, at most, political crimes</w:t>
      </w:r>
      <w:r w:rsidR="00EB090E" w:rsidRPr="007B2402">
        <w:rPr>
          <w:rFonts w:eastAsia="Calibri" w:cs="Times New Roman"/>
          <w:szCs w:val="20"/>
          <w:lang w:val="en-US"/>
        </w:rPr>
        <w:t xml:space="preserve"> were committed</w:t>
      </w:r>
      <w:r w:rsidR="00810476" w:rsidRPr="007B2402">
        <w:rPr>
          <w:rFonts w:eastAsia="Calibri" w:cs="Times New Roman"/>
          <w:szCs w:val="20"/>
          <w:lang w:val="en-US"/>
        </w:rPr>
        <w:t xml:space="preserve"> that should </w:t>
      </w:r>
      <w:r w:rsidR="00EB090E" w:rsidRPr="007B2402">
        <w:rPr>
          <w:rFonts w:eastAsia="Calibri" w:cs="Times New Roman"/>
          <w:szCs w:val="20"/>
          <w:lang w:val="en-US"/>
        </w:rPr>
        <w:t xml:space="preserve">have been </w:t>
      </w:r>
      <w:r w:rsidR="00810476" w:rsidRPr="007B2402">
        <w:rPr>
          <w:rFonts w:eastAsia="Calibri" w:cs="Times New Roman"/>
          <w:szCs w:val="20"/>
          <w:lang w:val="en-US"/>
        </w:rPr>
        <w:t xml:space="preserve"> prosecuted and punished by law, but that were repressed using criminal methods</w:t>
      </w:r>
      <w:r w:rsidR="00EB090E" w:rsidRPr="007B2402">
        <w:rPr>
          <w:rFonts w:eastAsia="Calibri" w:cs="Times New Roman"/>
          <w:szCs w:val="20"/>
          <w:lang w:val="en-US"/>
        </w:rPr>
        <w:t>,</w:t>
      </w:r>
      <w:r w:rsidR="00810476" w:rsidRPr="007B2402">
        <w:rPr>
          <w:rFonts w:eastAsia="Calibri" w:cs="Times New Roman"/>
          <w:szCs w:val="20"/>
          <w:lang w:val="en-US"/>
        </w:rPr>
        <w:t xml:space="preserve"> and served as a pretext for the persecution of politicians, activists, members of trade unions, journalists, artists and any person who the dictatorship considered dissident or a danger to its power.</w:t>
      </w:r>
    </w:p>
    <w:p w14:paraId="11C03A67" w14:textId="77777777" w:rsidR="00C54AA6" w:rsidRPr="007B2402" w:rsidRDefault="00C54AA6" w:rsidP="00C54AA6">
      <w:pPr>
        <w:spacing w:after="0" w:line="240" w:lineRule="auto"/>
        <w:jc w:val="both"/>
        <w:rPr>
          <w:rFonts w:eastAsia="Calibri" w:cs="Times New Roman"/>
          <w:szCs w:val="20"/>
          <w:lang w:val="en-US"/>
        </w:rPr>
      </w:pPr>
    </w:p>
    <w:p w14:paraId="168D4C6D" w14:textId="601FB918" w:rsidR="000744A8" w:rsidRPr="007B2402" w:rsidRDefault="00810476"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 xml:space="preserve">Thus, </w:t>
      </w:r>
      <w:r w:rsidR="00EB090E" w:rsidRPr="007B2402">
        <w:rPr>
          <w:rFonts w:eastAsia="Calibri" w:cs="Times New Roman"/>
          <w:szCs w:val="20"/>
          <w:lang w:val="en-US"/>
        </w:rPr>
        <w:t>bearing in mind</w:t>
      </w:r>
      <w:r w:rsidRPr="007B2402">
        <w:rPr>
          <w:rFonts w:eastAsia="Calibri" w:cs="Times New Roman"/>
          <w:szCs w:val="20"/>
          <w:lang w:val="en-US"/>
        </w:rPr>
        <w:t xml:space="preserve"> </w:t>
      </w:r>
      <w:r w:rsidR="00EB090E" w:rsidRPr="007B2402">
        <w:rPr>
          <w:rFonts w:eastAsia="Calibri" w:cs="Times New Roman"/>
          <w:szCs w:val="20"/>
          <w:lang w:val="en-US"/>
        </w:rPr>
        <w:t xml:space="preserve">its </w:t>
      </w:r>
      <w:r w:rsidRPr="007B2402">
        <w:rPr>
          <w:rFonts w:eastAsia="Calibri" w:cs="Times New Roman"/>
          <w:szCs w:val="20"/>
          <w:lang w:val="en-US"/>
        </w:rPr>
        <w:t>temporal competence and the different</w:t>
      </w:r>
      <w:r w:rsidR="00EB090E" w:rsidRPr="007B2402">
        <w:rPr>
          <w:rFonts w:eastAsia="Calibri" w:cs="Times New Roman"/>
          <w:szCs w:val="20"/>
          <w:lang w:val="en-US"/>
        </w:rPr>
        <w:t xml:space="preserve"> law suits</w:t>
      </w:r>
      <w:r w:rsidRPr="007B2402">
        <w:rPr>
          <w:rFonts w:eastAsia="Calibri" w:cs="Times New Roman"/>
          <w:szCs w:val="20"/>
          <w:lang w:val="en-US"/>
        </w:rPr>
        <w:t xml:space="preserve"> </w:t>
      </w:r>
      <w:r w:rsidR="00EB090E" w:rsidRPr="007B2402">
        <w:rPr>
          <w:rFonts w:eastAsia="Calibri" w:cs="Times New Roman"/>
          <w:szCs w:val="20"/>
          <w:lang w:val="en-US"/>
        </w:rPr>
        <w:t>and</w:t>
      </w:r>
      <w:r w:rsidRPr="007B2402">
        <w:rPr>
          <w:rFonts w:eastAsia="Calibri" w:cs="Times New Roman"/>
          <w:szCs w:val="20"/>
          <w:lang w:val="en-US"/>
        </w:rPr>
        <w:t xml:space="preserve"> actions of </w:t>
      </w:r>
      <w:r w:rsidR="002F41B9" w:rsidRPr="007B2402">
        <w:rPr>
          <w:rFonts w:eastAsia="Calibri" w:cs="Times New Roman"/>
          <w:szCs w:val="20"/>
          <w:lang w:val="en-US"/>
        </w:rPr>
        <w:t>the</w:t>
      </w:r>
      <w:r w:rsidR="00A8458F" w:rsidRPr="007B2402">
        <w:rPr>
          <w:rFonts w:eastAsia="Calibri" w:cs="Times New Roman"/>
          <w:szCs w:val="20"/>
          <w:lang w:val="en-US"/>
        </w:rPr>
        <w:t xml:space="preserve"> </w:t>
      </w:r>
      <w:r w:rsidR="005A2FF3" w:rsidRPr="007B2402">
        <w:rPr>
          <w:rFonts w:eastAsia="Calibri" w:cs="Times New Roman"/>
          <w:szCs w:val="20"/>
          <w:lang w:val="en-US"/>
        </w:rPr>
        <w:t>Public Prosecution Service</w:t>
      </w:r>
      <w:r w:rsidR="000744A8" w:rsidRPr="007B2402">
        <w:rPr>
          <w:rFonts w:eastAsia="Calibri" w:cs="Times New Roman"/>
          <w:szCs w:val="20"/>
          <w:lang w:val="en-US"/>
        </w:rPr>
        <w:t xml:space="preserve"> </w:t>
      </w:r>
      <w:r w:rsidRPr="007B2402">
        <w:rPr>
          <w:rFonts w:eastAsia="Calibri" w:cs="Times New Roman"/>
          <w:szCs w:val="20"/>
          <w:lang w:val="en-US"/>
        </w:rPr>
        <w:t xml:space="preserve">filed in this case, the Court will make its analysis in the following order: </w:t>
      </w:r>
      <w:r w:rsidR="000744A8" w:rsidRPr="007B2402">
        <w:rPr>
          <w:rFonts w:eastAsia="Calibri" w:cs="Times New Roman"/>
          <w:szCs w:val="20"/>
          <w:lang w:val="en-US"/>
        </w:rPr>
        <w:t xml:space="preserve">(1) </w:t>
      </w:r>
      <w:r w:rsidRPr="007B2402">
        <w:rPr>
          <w:rFonts w:eastAsia="Calibri" w:cs="Times New Roman"/>
          <w:szCs w:val="20"/>
          <w:lang w:val="en-US"/>
        </w:rPr>
        <w:t>crimes against humanity</w:t>
      </w:r>
      <w:r w:rsidR="005B1590" w:rsidRPr="007B2402">
        <w:rPr>
          <w:rFonts w:eastAsia="Calibri" w:cs="Times New Roman"/>
          <w:szCs w:val="20"/>
          <w:lang w:val="en-US"/>
        </w:rPr>
        <w:t xml:space="preserve"> and</w:t>
      </w:r>
      <w:r w:rsidR="00844CE7" w:rsidRPr="007B2402">
        <w:rPr>
          <w:rFonts w:eastAsia="Calibri" w:cs="Times New Roman"/>
          <w:szCs w:val="20"/>
          <w:lang w:val="en-US"/>
        </w:rPr>
        <w:t xml:space="preserve"> the</w:t>
      </w:r>
      <w:r w:rsidR="006C027C" w:rsidRPr="007B2402">
        <w:rPr>
          <w:rFonts w:eastAsia="Calibri" w:cs="Times New Roman"/>
          <w:szCs w:val="20"/>
          <w:lang w:val="en-US"/>
        </w:rPr>
        <w:t xml:space="preserve"> relevant</w:t>
      </w:r>
      <w:r w:rsidR="005B1590" w:rsidRPr="007B2402">
        <w:rPr>
          <w:rFonts w:eastAsia="Calibri" w:cs="Times New Roman"/>
          <w:szCs w:val="20"/>
          <w:lang w:val="en-US"/>
        </w:rPr>
        <w:t xml:space="preserve"> </w:t>
      </w:r>
      <w:r w:rsidRPr="007B2402">
        <w:rPr>
          <w:rFonts w:eastAsia="Calibri" w:cs="Times New Roman"/>
          <w:szCs w:val="20"/>
          <w:lang w:val="en-US"/>
        </w:rPr>
        <w:t>international jurisprudence</w:t>
      </w:r>
      <w:r w:rsidR="000744A8" w:rsidRPr="007B2402">
        <w:rPr>
          <w:rFonts w:eastAsia="Calibri" w:cs="Times New Roman"/>
          <w:szCs w:val="20"/>
          <w:lang w:val="en-US"/>
        </w:rPr>
        <w:t xml:space="preserve">; (2) </w:t>
      </w:r>
      <w:r w:rsidRPr="007B2402">
        <w:rPr>
          <w:rFonts w:eastAsia="Calibri" w:cs="Times New Roman"/>
          <w:szCs w:val="20"/>
          <w:lang w:val="en-US"/>
        </w:rPr>
        <w:t>the legal consequences of the perpetration of a crime against humanity</w:t>
      </w:r>
      <w:r w:rsidR="000744A8" w:rsidRPr="007B2402">
        <w:rPr>
          <w:rFonts w:eastAsia="Calibri" w:cs="Times New Roman"/>
          <w:szCs w:val="20"/>
          <w:lang w:val="en-US"/>
        </w:rPr>
        <w:t xml:space="preserve">; (3) </w:t>
      </w:r>
      <w:r w:rsidR="008B5281" w:rsidRPr="007B2402">
        <w:rPr>
          <w:rFonts w:eastAsia="Calibri" w:cs="Times New Roman"/>
          <w:szCs w:val="20"/>
          <w:lang w:val="en-US"/>
        </w:rPr>
        <w:t xml:space="preserve">the torture and death of Vladimir Herzog </w:t>
      </w:r>
      <w:r w:rsidR="005B1590" w:rsidRPr="007B2402">
        <w:rPr>
          <w:rFonts w:eastAsia="Calibri" w:cs="Times New Roman"/>
          <w:szCs w:val="20"/>
          <w:lang w:val="en-US"/>
        </w:rPr>
        <w:t xml:space="preserve"> and </w:t>
      </w:r>
      <w:r w:rsidRPr="007B2402">
        <w:rPr>
          <w:rFonts w:eastAsia="Calibri" w:cs="Times New Roman"/>
          <w:szCs w:val="20"/>
          <w:lang w:val="en-US"/>
        </w:rPr>
        <w:t xml:space="preserve">its consequences for this case, </w:t>
      </w:r>
      <w:r w:rsidR="005B1590" w:rsidRPr="007B2402">
        <w:rPr>
          <w:rFonts w:eastAsia="Calibri" w:cs="Times New Roman"/>
          <w:szCs w:val="20"/>
          <w:lang w:val="en-US"/>
        </w:rPr>
        <w:t xml:space="preserve">and </w:t>
      </w:r>
      <w:r w:rsidR="000744A8" w:rsidRPr="007B2402">
        <w:rPr>
          <w:rFonts w:eastAsia="Calibri" w:cs="Times New Roman"/>
          <w:szCs w:val="20"/>
          <w:lang w:val="en-US"/>
        </w:rPr>
        <w:t xml:space="preserve">(4) </w:t>
      </w:r>
      <w:r w:rsidRPr="007B2402">
        <w:rPr>
          <w:rFonts w:eastAsia="Calibri" w:cs="Times New Roman"/>
          <w:szCs w:val="20"/>
          <w:lang w:val="en-US"/>
        </w:rPr>
        <w:t xml:space="preserve">the State’s actions before and after </w:t>
      </w:r>
      <w:r w:rsidR="00844CE7" w:rsidRPr="007B2402">
        <w:rPr>
          <w:rFonts w:eastAsia="Calibri" w:cs="Times New Roman"/>
          <w:szCs w:val="20"/>
          <w:lang w:val="en-US"/>
        </w:rPr>
        <w:t xml:space="preserve">Brazil’s acceptance of the jurisdiction </w:t>
      </w:r>
      <w:r w:rsidR="00AF4344" w:rsidRPr="007B2402">
        <w:rPr>
          <w:rFonts w:eastAsia="Calibri" w:cs="Times New Roman"/>
          <w:szCs w:val="20"/>
          <w:lang w:val="en-US"/>
        </w:rPr>
        <w:t>of the Inter-American Court</w:t>
      </w:r>
      <w:r w:rsidR="000744A8" w:rsidRPr="007B2402">
        <w:rPr>
          <w:rFonts w:eastAsia="Calibri" w:cs="Times New Roman"/>
          <w:szCs w:val="20"/>
          <w:lang w:val="en-US"/>
        </w:rPr>
        <w:t xml:space="preserve">. </w:t>
      </w:r>
      <w:r w:rsidR="00844CE7" w:rsidRPr="007B2402">
        <w:rPr>
          <w:rFonts w:eastAsia="Calibri" w:cs="Times New Roman"/>
          <w:szCs w:val="20"/>
          <w:lang w:val="en-US"/>
        </w:rPr>
        <w:t>Lastly</w:t>
      </w:r>
      <w:r w:rsidR="000744A8" w:rsidRPr="007B2402">
        <w:rPr>
          <w:rFonts w:eastAsia="Calibri" w:cs="Times New Roman"/>
          <w:szCs w:val="20"/>
          <w:lang w:val="en-US"/>
        </w:rPr>
        <w:t xml:space="preserve">, </w:t>
      </w:r>
      <w:r w:rsidR="00AF4344" w:rsidRPr="007B2402">
        <w:rPr>
          <w:rFonts w:eastAsia="Calibri" w:cs="Times New Roman"/>
          <w:szCs w:val="20"/>
          <w:lang w:val="en-US"/>
        </w:rPr>
        <w:t>the Court</w:t>
      </w:r>
      <w:r w:rsidR="000744A8" w:rsidRPr="007B2402">
        <w:rPr>
          <w:rFonts w:eastAsia="Calibri" w:cs="Times New Roman"/>
          <w:szCs w:val="20"/>
          <w:lang w:val="en-US"/>
        </w:rPr>
        <w:t xml:space="preserve"> </w:t>
      </w:r>
      <w:r w:rsidR="00844CE7" w:rsidRPr="007B2402">
        <w:rPr>
          <w:rFonts w:eastAsia="Calibri" w:cs="Times New Roman"/>
          <w:szCs w:val="20"/>
          <w:lang w:val="en-US"/>
        </w:rPr>
        <w:t>will present the five conclusions it has drawn in this specific case.</w:t>
      </w:r>
    </w:p>
    <w:p w14:paraId="45B99E41" w14:textId="77777777" w:rsidR="000744A8" w:rsidRPr="007B2402" w:rsidRDefault="000744A8" w:rsidP="000744A8">
      <w:pPr>
        <w:spacing w:after="0" w:line="240" w:lineRule="auto"/>
        <w:jc w:val="both"/>
        <w:rPr>
          <w:rFonts w:eastAsia="Calibri" w:cs="Times New Roman"/>
          <w:szCs w:val="20"/>
          <w:lang w:val="en-US"/>
        </w:rPr>
      </w:pPr>
    </w:p>
    <w:p w14:paraId="7CF90757" w14:textId="411273AF" w:rsidR="000744A8" w:rsidRPr="007B2402" w:rsidRDefault="000744A8" w:rsidP="00E668B8">
      <w:pPr>
        <w:pStyle w:val="Ttulo3"/>
        <w:rPr>
          <w:lang w:val="en-US"/>
        </w:rPr>
      </w:pPr>
      <w:bookmarkStart w:id="161" w:name="_Toc506984120"/>
      <w:r w:rsidRPr="007B2402">
        <w:rPr>
          <w:lang w:val="en-US"/>
        </w:rPr>
        <w:t xml:space="preserve">B.1. </w:t>
      </w:r>
      <w:r w:rsidR="00844CE7" w:rsidRPr="007B2402">
        <w:rPr>
          <w:lang w:val="en-US"/>
        </w:rPr>
        <w:t>Crimes against humanity</w:t>
      </w:r>
      <w:bookmarkEnd w:id="161"/>
    </w:p>
    <w:p w14:paraId="789B8BBD" w14:textId="77777777" w:rsidR="000744A8" w:rsidRPr="007B2402" w:rsidRDefault="000744A8" w:rsidP="000744A8">
      <w:pPr>
        <w:spacing w:after="0" w:line="240" w:lineRule="auto"/>
        <w:jc w:val="both"/>
        <w:rPr>
          <w:rFonts w:eastAsia="Calibri" w:cs="Times New Roman"/>
          <w:szCs w:val="20"/>
          <w:lang w:val="en-US"/>
        </w:rPr>
      </w:pPr>
    </w:p>
    <w:p w14:paraId="024CCAAC" w14:textId="0654283F" w:rsidR="000744A8" w:rsidRPr="007B2402" w:rsidRDefault="00AF4344" w:rsidP="00844CE7">
      <w:pPr>
        <w:numPr>
          <w:ilvl w:val="0"/>
          <w:numId w:val="6"/>
        </w:numPr>
        <w:spacing w:after="0" w:line="240" w:lineRule="auto"/>
        <w:jc w:val="both"/>
        <w:rPr>
          <w:rFonts w:eastAsia="Calibri" w:cs="Times New Roman"/>
          <w:b/>
          <w:szCs w:val="20"/>
          <w:lang w:val="en-US"/>
        </w:rPr>
      </w:pPr>
      <w:r w:rsidRPr="007B2402">
        <w:rPr>
          <w:rFonts w:eastAsia="Calibri" w:cs="Times New Roman"/>
          <w:szCs w:val="20"/>
          <w:lang w:val="en-US"/>
        </w:rPr>
        <w:t>The Inter-American Commission</w:t>
      </w:r>
      <w:r w:rsidR="000744A8" w:rsidRPr="007B2402">
        <w:rPr>
          <w:rFonts w:eastAsia="Calibri" w:cs="Times New Roman"/>
          <w:szCs w:val="20"/>
          <w:lang w:val="en-US"/>
        </w:rPr>
        <w:t xml:space="preserve"> consider</w:t>
      </w:r>
      <w:r w:rsidR="00844CE7" w:rsidRPr="007B2402">
        <w:rPr>
          <w:rFonts w:eastAsia="Calibri" w:cs="Times New Roman"/>
          <w:szCs w:val="20"/>
          <w:lang w:val="en-US"/>
        </w:rPr>
        <w:t xml:space="preserve">ed that the torture and death of Mr. </w:t>
      </w:r>
      <w:r w:rsidR="000744A8" w:rsidRPr="007B2402">
        <w:rPr>
          <w:rFonts w:eastAsia="Calibri" w:cs="Times New Roman"/>
          <w:szCs w:val="20"/>
          <w:lang w:val="en-US"/>
        </w:rPr>
        <w:t>Herzog constitu</w:t>
      </w:r>
      <w:r w:rsidR="00844CE7" w:rsidRPr="007B2402">
        <w:rPr>
          <w:rFonts w:eastAsia="Calibri" w:cs="Times New Roman"/>
          <w:szCs w:val="20"/>
          <w:lang w:val="en-US"/>
        </w:rPr>
        <w:t>ted a gross violation of human rights</w:t>
      </w:r>
      <w:r w:rsidR="000744A8" w:rsidRPr="007B2402">
        <w:rPr>
          <w:rFonts w:eastAsia="Calibri" w:cs="Times New Roman"/>
          <w:szCs w:val="20"/>
          <w:lang w:val="en-US"/>
        </w:rPr>
        <w:t xml:space="preserve">. </w:t>
      </w:r>
      <w:r w:rsidR="005B1590" w:rsidRPr="007B2402">
        <w:rPr>
          <w:rFonts w:eastAsia="Calibri" w:cs="Times New Roman"/>
          <w:szCs w:val="20"/>
          <w:lang w:val="en-US"/>
        </w:rPr>
        <w:t>The representatives of the presumed victims</w:t>
      </w:r>
      <w:r w:rsidR="000744A8" w:rsidRPr="007B2402">
        <w:rPr>
          <w:rFonts w:eastAsia="Calibri" w:cs="Times New Roman"/>
          <w:szCs w:val="20"/>
          <w:lang w:val="en-US"/>
        </w:rPr>
        <w:t xml:space="preserve"> </w:t>
      </w:r>
      <w:r w:rsidR="000744A8" w:rsidRPr="007B2402">
        <w:rPr>
          <w:rFonts w:eastAsia="Calibri" w:cs="Times New Roman"/>
          <w:szCs w:val="20"/>
          <w:lang w:val="en-US"/>
        </w:rPr>
        <w:lastRenderedPageBreak/>
        <w:t>consider</w:t>
      </w:r>
      <w:r w:rsidR="00844CE7" w:rsidRPr="007B2402">
        <w:rPr>
          <w:rFonts w:eastAsia="Calibri" w:cs="Times New Roman"/>
          <w:szCs w:val="20"/>
          <w:lang w:val="en-US"/>
        </w:rPr>
        <w:t xml:space="preserve">ed that they </w:t>
      </w:r>
      <w:r w:rsidR="006C027C" w:rsidRPr="007B2402">
        <w:rPr>
          <w:rFonts w:eastAsia="Calibri" w:cs="Times New Roman"/>
          <w:szCs w:val="20"/>
          <w:lang w:val="en-US"/>
        </w:rPr>
        <w:t>constituted</w:t>
      </w:r>
      <w:r w:rsidR="00844CE7" w:rsidRPr="007B2402">
        <w:rPr>
          <w:rFonts w:eastAsia="Calibri" w:cs="Times New Roman"/>
          <w:szCs w:val="20"/>
          <w:lang w:val="en-US"/>
        </w:rPr>
        <w:t xml:space="preserve"> a</w:t>
      </w:r>
      <w:r w:rsidR="000744A8" w:rsidRPr="007B2402">
        <w:rPr>
          <w:rFonts w:eastAsia="Calibri" w:cs="Times New Roman"/>
          <w:szCs w:val="20"/>
          <w:lang w:val="en-US"/>
        </w:rPr>
        <w:t xml:space="preserve"> </w:t>
      </w:r>
      <w:r w:rsidR="00810476" w:rsidRPr="007B2402">
        <w:rPr>
          <w:rFonts w:eastAsia="Calibri" w:cs="Times New Roman"/>
          <w:szCs w:val="20"/>
          <w:lang w:val="en-US"/>
        </w:rPr>
        <w:t>crime against humanity</w:t>
      </w:r>
      <w:r w:rsidR="000744A8" w:rsidRPr="007B2402">
        <w:rPr>
          <w:rFonts w:eastAsia="Calibri" w:cs="Times New Roman"/>
          <w:szCs w:val="20"/>
          <w:lang w:val="en-US"/>
        </w:rPr>
        <w:t xml:space="preserve">. </w:t>
      </w:r>
      <w:r w:rsidR="00844CE7" w:rsidRPr="007B2402">
        <w:rPr>
          <w:rFonts w:eastAsia="Calibri" w:cs="Times New Roman"/>
          <w:szCs w:val="20"/>
          <w:lang w:val="en-US"/>
        </w:rPr>
        <w:t>For both</w:t>
      </w:r>
      <w:r w:rsidR="000744A8" w:rsidRPr="007B2402">
        <w:rPr>
          <w:rFonts w:eastAsia="Calibri" w:cs="Times New Roman"/>
          <w:szCs w:val="20"/>
          <w:lang w:val="en-US"/>
        </w:rPr>
        <w:t xml:space="preserve"> </w:t>
      </w:r>
      <w:r w:rsidRPr="007B2402">
        <w:rPr>
          <w:rFonts w:eastAsia="Calibri" w:cs="Times New Roman"/>
          <w:szCs w:val="20"/>
          <w:lang w:val="en-US"/>
        </w:rPr>
        <w:t>the Commission</w:t>
      </w:r>
      <w:r w:rsidR="000744A8" w:rsidRPr="007B2402">
        <w:rPr>
          <w:rFonts w:eastAsia="Calibri" w:cs="Times New Roman"/>
          <w:szCs w:val="20"/>
          <w:lang w:val="en-US"/>
        </w:rPr>
        <w:t xml:space="preserve"> </w:t>
      </w:r>
      <w:r w:rsidR="00844CE7" w:rsidRPr="007B2402">
        <w:rPr>
          <w:rFonts w:eastAsia="Calibri" w:cs="Times New Roman"/>
          <w:szCs w:val="20"/>
          <w:lang w:val="en-US"/>
        </w:rPr>
        <w:t>and</w:t>
      </w:r>
      <w:r w:rsidR="000744A8" w:rsidRPr="007B2402">
        <w:rPr>
          <w:rFonts w:eastAsia="Calibri" w:cs="Times New Roman"/>
          <w:szCs w:val="20"/>
          <w:lang w:val="en-US"/>
        </w:rPr>
        <w:t xml:space="preserve"> </w:t>
      </w:r>
      <w:r w:rsidR="005B1590" w:rsidRPr="007B2402">
        <w:rPr>
          <w:rFonts w:eastAsia="Calibri" w:cs="Times New Roman"/>
          <w:szCs w:val="20"/>
          <w:lang w:val="en-US"/>
        </w:rPr>
        <w:t>the representatives</w:t>
      </w:r>
      <w:r w:rsidR="000744A8" w:rsidRPr="007B2402">
        <w:rPr>
          <w:rFonts w:eastAsia="Calibri" w:cs="Times New Roman"/>
          <w:szCs w:val="20"/>
          <w:lang w:val="en-US"/>
        </w:rPr>
        <w:t xml:space="preserve">, </w:t>
      </w:r>
      <w:r w:rsidR="00844CE7" w:rsidRPr="007B2402">
        <w:rPr>
          <w:rFonts w:eastAsia="Calibri" w:cs="Times New Roman"/>
          <w:szCs w:val="20"/>
          <w:lang w:val="en-US"/>
        </w:rPr>
        <w:t xml:space="preserve">the consequences of either of these offenses would be the same: the obligation of the State to investigate, prosecute and punish those responsible for the facts, without using procedural obstacles that could protect them from legal action. </w:t>
      </w:r>
      <w:r w:rsidR="00844CE7" w:rsidRPr="007B2402">
        <w:rPr>
          <w:rFonts w:eastAsia="Calibri" w:cs="Times New Roman"/>
          <w:bCs/>
          <w:szCs w:val="20"/>
          <w:lang w:val="en-US"/>
        </w:rPr>
        <w:t>Meanwhile,</w:t>
      </w:r>
      <w:r w:rsidR="00844CE7" w:rsidRPr="007B2402">
        <w:rPr>
          <w:rFonts w:eastAsia="Calibri" w:cs="Times New Roman"/>
          <w:b/>
          <w:szCs w:val="20"/>
          <w:lang w:val="en-US"/>
        </w:rPr>
        <w:t xml:space="preserve"> </w:t>
      </w:r>
      <w:r w:rsidR="00844CE7" w:rsidRPr="007B2402">
        <w:rPr>
          <w:rFonts w:eastAsia="Calibri" w:cs="Times New Roman"/>
          <w:szCs w:val="20"/>
          <w:lang w:val="en-US"/>
        </w:rPr>
        <w:t>t</w:t>
      </w:r>
      <w:r w:rsidRPr="007B2402">
        <w:rPr>
          <w:rFonts w:eastAsia="Calibri" w:cs="Times New Roman"/>
          <w:szCs w:val="20"/>
          <w:lang w:val="en-US"/>
        </w:rPr>
        <w:t>he State</w:t>
      </w:r>
      <w:r w:rsidR="00844CE7" w:rsidRPr="007B2402">
        <w:rPr>
          <w:rFonts w:eastAsia="Calibri" w:cs="Times New Roman"/>
          <w:szCs w:val="20"/>
          <w:lang w:val="en-US"/>
        </w:rPr>
        <w:t xml:space="preserve"> did not refer to either of these classification</w:t>
      </w:r>
      <w:r w:rsidR="006C027C" w:rsidRPr="007B2402">
        <w:rPr>
          <w:rFonts w:eastAsia="Calibri" w:cs="Times New Roman"/>
          <w:szCs w:val="20"/>
          <w:lang w:val="en-US"/>
        </w:rPr>
        <w:t>s</w:t>
      </w:r>
      <w:r w:rsidR="00844CE7" w:rsidRPr="007B2402">
        <w:rPr>
          <w:rFonts w:eastAsia="Calibri" w:cs="Times New Roman"/>
          <w:szCs w:val="20"/>
          <w:lang w:val="en-US"/>
        </w:rPr>
        <w:t xml:space="preserve">, but contested the legal effects alleged by </w:t>
      </w:r>
      <w:r w:rsidR="000744A8" w:rsidRPr="007B2402">
        <w:rPr>
          <w:rFonts w:eastAsia="Calibri" w:cs="Times New Roman"/>
          <w:szCs w:val="20"/>
          <w:lang w:val="en-US"/>
        </w:rPr>
        <w:t xml:space="preserve"> </w:t>
      </w:r>
      <w:r w:rsidRPr="007B2402">
        <w:rPr>
          <w:rFonts w:eastAsia="Calibri" w:cs="Times New Roman"/>
          <w:szCs w:val="20"/>
          <w:lang w:val="en-US"/>
        </w:rPr>
        <w:t>the Commission</w:t>
      </w:r>
      <w:r w:rsidR="005B1590" w:rsidRPr="007B2402">
        <w:rPr>
          <w:rFonts w:eastAsia="Calibri" w:cs="Times New Roman"/>
          <w:szCs w:val="20"/>
          <w:lang w:val="en-US"/>
        </w:rPr>
        <w:t xml:space="preserve"> and the representatives</w:t>
      </w:r>
      <w:r w:rsidR="000744A8" w:rsidRPr="007B2402">
        <w:rPr>
          <w:rFonts w:eastAsia="Calibri" w:cs="Times New Roman"/>
          <w:szCs w:val="20"/>
          <w:lang w:val="en-US"/>
        </w:rPr>
        <w:t xml:space="preserve"> </w:t>
      </w:r>
      <w:r w:rsidR="00844CE7" w:rsidRPr="007B2402">
        <w:rPr>
          <w:rFonts w:eastAsia="Calibri" w:cs="Times New Roman"/>
          <w:szCs w:val="20"/>
          <w:lang w:val="en-US"/>
        </w:rPr>
        <w:t>in this specific case.</w:t>
      </w:r>
    </w:p>
    <w:p w14:paraId="5707E972" w14:textId="77777777" w:rsidR="000744A8" w:rsidRPr="007B2402" w:rsidRDefault="000744A8" w:rsidP="000744A8">
      <w:pPr>
        <w:spacing w:after="0" w:line="240" w:lineRule="auto"/>
        <w:jc w:val="both"/>
        <w:rPr>
          <w:rFonts w:eastAsia="Calibri" w:cs="Times New Roman"/>
          <w:b/>
          <w:szCs w:val="20"/>
          <w:lang w:val="en-US"/>
        </w:rPr>
      </w:pPr>
    </w:p>
    <w:p w14:paraId="6593A6C3" w14:textId="472D86C7" w:rsidR="000744A8" w:rsidRPr="007B2402" w:rsidRDefault="00844CE7" w:rsidP="004D0AEC">
      <w:pPr>
        <w:numPr>
          <w:ilvl w:val="0"/>
          <w:numId w:val="6"/>
        </w:numPr>
        <w:spacing w:after="0" w:line="240" w:lineRule="auto"/>
        <w:jc w:val="both"/>
        <w:rPr>
          <w:rFonts w:eastAsia="Calibri" w:cs="Times New Roman"/>
          <w:b/>
          <w:szCs w:val="20"/>
          <w:lang w:val="en-US"/>
        </w:rPr>
      </w:pPr>
      <w:r w:rsidRPr="007B2402">
        <w:rPr>
          <w:rFonts w:eastAsia="Calibri" w:cs="Times New Roman"/>
          <w:szCs w:val="20"/>
          <w:lang w:val="en-US"/>
        </w:rPr>
        <w:t>In the</w:t>
      </w:r>
      <w:r w:rsidR="000744A8" w:rsidRPr="007B2402">
        <w:rPr>
          <w:rFonts w:eastAsia="Calibri" w:cs="Times New Roman"/>
          <w:szCs w:val="20"/>
          <w:lang w:val="en-US"/>
        </w:rPr>
        <w:t xml:space="preserve"> </w:t>
      </w:r>
      <w:r w:rsidRPr="007B2402">
        <w:rPr>
          <w:rFonts w:eastAsia="Calibri" w:cs="Times New Roman"/>
          <w:szCs w:val="20"/>
          <w:lang w:val="en-US"/>
        </w:rPr>
        <w:t>j</w:t>
      </w:r>
      <w:r w:rsidR="00AF4344" w:rsidRPr="007B2402">
        <w:rPr>
          <w:rFonts w:eastAsia="Calibri" w:cs="Times New Roman"/>
          <w:szCs w:val="20"/>
          <w:lang w:val="en-US"/>
        </w:rPr>
        <w:t>udgment</w:t>
      </w:r>
      <w:r w:rsidR="00221E16" w:rsidRPr="007B2402">
        <w:rPr>
          <w:rFonts w:eastAsia="Calibri" w:cs="Times New Roman"/>
          <w:szCs w:val="20"/>
          <w:lang w:val="en-US"/>
        </w:rPr>
        <w:t xml:space="preserve"> </w:t>
      </w:r>
      <w:r w:rsidRPr="007B2402">
        <w:rPr>
          <w:rFonts w:eastAsia="Calibri" w:cs="Times New Roman"/>
          <w:szCs w:val="20"/>
          <w:lang w:val="en-US"/>
        </w:rPr>
        <w:t>in the</w:t>
      </w:r>
      <w:r w:rsidR="00221E16" w:rsidRPr="007B2402">
        <w:rPr>
          <w:rFonts w:eastAsia="Calibri" w:cs="Times New Roman"/>
          <w:szCs w:val="20"/>
          <w:lang w:val="en-US"/>
        </w:rPr>
        <w:t xml:space="preserve"> </w:t>
      </w:r>
      <w:r w:rsidR="006C027C" w:rsidRPr="007B2402">
        <w:rPr>
          <w:rFonts w:eastAsia="Calibri" w:cs="Times New Roman"/>
          <w:i/>
          <w:szCs w:val="20"/>
          <w:lang w:val="en-US"/>
        </w:rPr>
        <w:t>c</w:t>
      </w:r>
      <w:r w:rsidR="000744A8" w:rsidRPr="007B2402">
        <w:rPr>
          <w:rFonts w:eastAsia="Calibri" w:cs="Times New Roman"/>
          <w:i/>
          <w:szCs w:val="20"/>
          <w:lang w:val="en-US"/>
        </w:rPr>
        <w:t>as</w:t>
      </w:r>
      <w:r w:rsidRPr="007B2402">
        <w:rPr>
          <w:rFonts w:eastAsia="Calibri" w:cs="Times New Roman"/>
          <w:i/>
          <w:szCs w:val="20"/>
          <w:lang w:val="en-US"/>
        </w:rPr>
        <w:t>e of</w:t>
      </w:r>
      <w:r w:rsidR="000744A8" w:rsidRPr="007B2402">
        <w:rPr>
          <w:rFonts w:eastAsia="Calibri" w:cs="Times New Roman"/>
          <w:i/>
          <w:szCs w:val="20"/>
          <w:lang w:val="en-US"/>
        </w:rPr>
        <w:t xml:space="preserve"> Almonacid Arellano</w:t>
      </w:r>
      <w:r w:rsidRPr="007B2402">
        <w:rPr>
          <w:rFonts w:eastAsia="Calibri" w:cs="Times New Roman"/>
          <w:i/>
          <w:szCs w:val="20"/>
          <w:lang w:val="en-US"/>
        </w:rPr>
        <w:t xml:space="preserve"> v</w:t>
      </w:r>
      <w:r w:rsidR="000744A8" w:rsidRPr="007B2402">
        <w:rPr>
          <w:rFonts w:eastAsia="Calibri" w:cs="Times New Roman"/>
          <w:i/>
          <w:szCs w:val="20"/>
          <w:lang w:val="en-US"/>
        </w:rPr>
        <w:t>. Chile</w:t>
      </w:r>
      <w:r w:rsidRPr="007B2402">
        <w:rPr>
          <w:rFonts w:eastAsia="Calibri" w:cs="Times New Roman"/>
          <w:i/>
          <w:szCs w:val="20"/>
          <w:lang w:val="en-US"/>
        </w:rPr>
        <w:t>,</w:t>
      </w:r>
      <w:r w:rsidR="000744A8" w:rsidRPr="007B2402">
        <w:rPr>
          <w:rFonts w:eastAsia="Calibri" w:cs="Times New Roman"/>
          <w:szCs w:val="20"/>
          <w:vertAlign w:val="superscript"/>
          <w:lang w:val="en-US"/>
        </w:rPr>
        <w:footnoteReference w:id="146"/>
      </w:r>
      <w:r w:rsidR="000744A8" w:rsidRPr="007B2402">
        <w:rPr>
          <w:rFonts w:eastAsia="Calibri" w:cs="Times New Roman"/>
          <w:szCs w:val="20"/>
          <w:lang w:val="en-US"/>
        </w:rPr>
        <w:t xml:space="preserve"> </w:t>
      </w:r>
      <w:r w:rsidR="006C027C" w:rsidRPr="007B2402">
        <w:rPr>
          <w:rFonts w:eastAsia="Calibri" w:cs="Times New Roman"/>
          <w:szCs w:val="20"/>
          <w:lang w:val="en-US"/>
        </w:rPr>
        <w:t>relating to</w:t>
      </w:r>
      <w:r w:rsidRPr="007B2402">
        <w:rPr>
          <w:rFonts w:eastAsia="Calibri" w:cs="Times New Roman"/>
          <w:szCs w:val="20"/>
          <w:lang w:val="en-US"/>
        </w:rPr>
        <w:t xml:space="preserve"> the murder of </w:t>
      </w:r>
      <w:r w:rsidR="000744A8" w:rsidRPr="007B2402">
        <w:rPr>
          <w:rFonts w:eastAsia="Calibri" w:cs="Times New Roman"/>
          <w:szCs w:val="20"/>
          <w:lang w:val="en-US"/>
        </w:rPr>
        <w:t xml:space="preserve">Luis Alfredo Almonacid Arellano </w:t>
      </w:r>
      <w:r w:rsidRPr="007B2402">
        <w:rPr>
          <w:rFonts w:eastAsia="Calibri" w:cs="Times New Roman"/>
          <w:szCs w:val="20"/>
          <w:lang w:val="en-US"/>
        </w:rPr>
        <w:t>on September 16,</w:t>
      </w:r>
      <w:r w:rsidR="000744A8" w:rsidRPr="007B2402">
        <w:rPr>
          <w:rFonts w:eastAsia="Calibri" w:cs="Times New Roman"/>
          <w:szCs w:val="20"/>
          <w:lang w:val="en-US"/>
        </w:rPr>
        <w:t xml:space="preserve"> 1973, </w:t>
      </w:r>
      <w:r w:rsidR="00AF4344" w:rsidRPr="007B2402">
        <w:rPr>
          <w:rFonts w:eastAsia="Calibri" w:cs="Times New Roman"/>
          <w:szCs w:val="20"/>
          <w:lang w:val="en-US"/>
        </w:rPr>
        <w:t>the Inter-American Court</w:t>
      </w:r>
      <w:r w:rsidR="000744A8" w:rsidRPr="007B2402">
        <w:rPr>
          <w:rFonts w:eastAsia="Calibri" w:cs="Times New Roman"/>
          <w:szCs w:val="20"/>
          <w:lang w:val="en-US"/>
        </w:rPr>
        <w:t xml:space="preserve"> </w:t>
      </w:r>
      <w:r w:rsidRPr="007B2402">
        <w:rPr>
          <w:rFonts w:eastAsia="Calibri" w:cs="Times New Roman"/>
          <w:szCs w:val="20"/>
          <w:lang w:val="en-US"/>
        </w:rPr>
        <w:t>indicat</w:t>
      </w:r>
      <w:r w:rsidR="004D0AEC" w:rsidRPr="007B2402">
        <w:rPr>
          <w:rFonts w:eastAsia="Calibri" w:cs="Times New Roman"/>
          <w:szCs w:val="20"/>
          <w:lang w:val="en-US"/>
        </w:rPr>
        <w:t>e</w:t>
      </w:r>
      <w:r w:rsidRPr="007B2402">
        <w:rPr>
          <w:rFonts w:eastAsia="Calibri" w:cs="Times New Roman"/>
          <w:szCs w:val="20"/>
          <w:lang w:val="en-US"/>
        </w:rPr>
        <w:t>d that</w:t>
      </w:r>
      <w:r w:rsidR="00FF54D3" w:rsidRPr="007B2402">
        <w:rPr>
          <w:rFonts w:eastAsia="Calibri" w:cs="Times New Roman"/>
          <w:szCs w:val="20"/>
          <w:lang w:val="en-US"/>
        </w:rPr>
        <w:t xml:space="preserve"> “</w:t>
      </w:r>
      <w:r w:rsidR="004D0AEC" w:rsidRPr="007B2402">
        <w:rPr>
          <w:rFonts w:cs="Arial"/>
          <w:szCs w:val="20"/>
          <w:lang w:val="en-US"/>
        </w:rPr>
        <w:t xml:space="preserve">there is sufficient evidence to conclude that in 1973, the year in which Mr. Almonacid Arellano died, the perpetration of crimes against humanity, including murder committed in the course of a </w:t>
      </w:r>
      <w:r w:rsidR="00B520AC" w:rsidRPr="007B2402">
        <w:rPr>
          <w:rFonts w:cs="Arial"/>
          <w:szCs w:val="20"/>
          <w:lang w:val="en-US"/>
        </w:rPr>
        <w:t>widespread</w:t>
      </w:r>
      <w:r w:rsidR="004D0AEC" w:rsidRPr="007B2402">
        <w:rPr>
          <w:rFonts w:cs="Arial"/>
          <w:szCs w:val="20"/>
          <w:lang w:val="en-US"/>
        </w:rPr>
        <w:t xml:space="preserve"> or systematic attack against certain sectors of the civil</w:t>
      </w:r>
      <w:r w:rsidR="006C027C" w:rsidRPr="007B2402">
        <w:rPr>
          <w:rFonts w:cs="Arial"/>
          <w:szCs w:val="20"/>
          <w:lang w:val="en-US"/>
        </w:rPr>
        <w:t>ian</w:t>
      </w:r>
      <w:r w:rsidR="004D0AEC" w:rsidRPr="007B2402">
        <w:rPr>
          <w:rFonts w:cs="Arial"/>
          <w:szCs w:val="20"/>
          <w:lang w:val="en-US"/>
        </w:rPr>
        <w:t xml:space="preserve"> population, was in violation of a binding rule of international law. The said prohibition to commit crimes </w:t>
      </w:r>
      <w:r w:rsidR="004D0AEC" w:rsidRPr="007B2402">
        <w:rPr>
          <w:rFonts w:cs="Arial"/>
          <w:szCs w:val="20"/>
          <w:lang w:val="en-US"/>
        </w:rPr>
        <w:lastRenderedPageBreak/>
        <w:t xml:space="preserve">against humanity is a </w:t>
      </w:r>
      <w:r w:rsidR="00B0525F" w:rsidRPr="007B2402">
        <w:rPr>
          <w:rFonts w:cs="Arial"/>
          <w:i/>
          <w:iCs/>
          <w:szCs w:val="20"/>
          <w:lang w:val="en-US"/>
        </w:rPr>
        <w:t>j</w:t>
      </w:r>
      <w:r w:rsidR="004D0AEC" w:rsidRPr="007B2402">
        <w:rPr>
          <w:rFonts w:cs="Arial"/>
          <w:i/>
          <w:iCs/>
          <w:szCs w:val="20"/>
          <w:lang w:val="en-US"/>
        </w:rPr>
        <w:t>us cogens</w:t>
      </w:r>
      <w:r w:rsidR="004D0AEC" w:rsidRPr="007B2402">
        <w:rPr>
          <w:rFonts w:cs="Arial"/>
          <w:szCs w:val="20"/>
          <w:lang w:val="en-US"/>
        </w:rPr>
        <w:t xml:space="preserve"> rule, and the punishment of such crimes is obligatory pursuant to the general principles of international law.</w:t>
      </w:r>
      <w:r w:rsidR="00FF54D3" w:rsidRPr="007B2402">
        <w:rPr>
          <w:rFonts w:eastAsia="Calibri" w:cs="Times New Roman"/>
          <w:szCs w:val="20"/>
          <w:lang w:val="en-US"/>
        </w:rPr>
        <w:t>”</w:t>
      </w:r>
      <w:r w:rsidR="00FF54D3" w:rsidRPr="007B2402">
        <w:rPr>
          <w:rStyle w:val="Refdenotaalpie"/>
          <w:rFonts w:ascii="Verdana" w:eastAsia="Calibri" w:hAnsi="Verdana"/>
          <w:lang w:val="en-US"/>
        </w:rPr>
        <w:footnoteReference w:id="147"/>
      </w:r>
    </w:p>
    <w:p w14:paraId="6C716A58" w14:textId="77777777" w:rsidR="000744A8" w:rsidRPr="007B2402" w:rsidRDefault="000744A8" w:rsidP="00FF54D3">
      <w:pPr>
        <w:pStyle w:val="Textocomentario"/>
        <w:rPr>
          <w:rFonts w:eastAsia="Calibri" w:cs="Times New Roman"/>
          <w:noProof w:val="0"/>
          <w:lang w:val="en-US"/>
        </w:rPr>
      </w:pPr>
    </w:p>
    <w:p w14:paraId="56099433" w14:textId="635F5BAD" w:rsidR="000744A8" w:rsidRPr="007B2402" w:rsidRDefault="004D0AEC" w:rsidP="00D05845">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 xml:space="preserve">In this regard, the Court notes that, over its 40 years of existence, it has </w:t>
      </w:r>
      <w:r w:rsidR="00D05845" w:rsidRPr="007B2402">
        <w:rPr>
          <w:rFonts w:eastAsia="Calibri" w:cs="Times New Roman"/>
          <w:szCs w:val="20"/>
          <w:lang w:val="en-US"/>
        </w:rPr>
        <w:t>referred to</w:t>
      </w:r>
      <w:r w:rsidRPr="007B2402">
        <w:rPr>
          <w:rFonts w:eastAsia="Calibri" w:cs="Times New Roman"/>
          <w:szCs w:val="20"/>
          <w:lang w:val="en-US"/>
        </w:rPr>
        <w:t xml:space="preserve"> </w:t>
      </w:r>
      <w:r w:rsidR="00844CE7" w:rsidRPr="007B2402">
        <w:rPr>
          <w:rFonts w:eastAsia="Calibri" w:cs="Times New Roman"/>
          <w:szCs w:val="20"/>
          <w:lang w:val="en-US"/>
        </w:rPr>
        <w:t>crimes against humanity</w:t>
      </w:r>
      <w:r w:rsidR="00555279" w:rsidRPr="007B2402">
        <w:rPr>
          <w:rFonts w:eastAsia="Calibri" w:cs="Times New Roman"/>
          <w:szCs w:val="20"/>
          <w:lang w:val="en-US"/>
        </w:rPr>
        <w:t xml:space="preserve">, </w:t>
      </w:r>
      <w:r w:rsidR="00D05845" w:rsidRPr="007B2402">
        <w:rPr>
          <w:rFonts w:eastAsia="Calibri" w:cs="Times New Roman"/>
          <w:szCs w:val="20"/>
          <w:lang w:val="en-US"/>
        </w:rPr>
        <w:t xml:space="preserve">war crimes or </w:t>
      </w:r>
      <w:r w:rsidR="00955D71" w:rsidRPr="007B2402">
        <w:rPr>
          <w:rFonts w:eastAsia="Calibri" w:cs="Times New Roman"/>
          <w:szCs w:val="20"/>
          <w:lang w:val="en-US"/>
        </w:rPr>
        <w:t>crimes under international</w:t>
      </w:r>
      <w:r w:rsidR="00D05845" w:rsidRPr="007B2402">
        <w:rPr>
          <w:rFonts w:eastAsia="Calibri" w:cs="Times New Roman"/>
          <w:szCs w:val="20"/>
          <w:lang w:val="en-US"/>
        </w:rPr>
        <w:t xml:space="preserve"> law on very few occasions, given the exceptional nature and seriousness of these categories. It has only been in the </w:t>
      </w:r>
      <w:r w:rsidR="00D05845" w:rsidRPr="007B2402">
        <w:rPr>
          <w:rFonts w:eastAsia="Calibri" w:cs="Times New Roman"/>
          <w:i/>
          <w:iCs/>
          <w:szCs w:val="20"/>
          <w:lang w:val="en-US"/>
        </w:rPr>
        <w:t>Cases of</w:t>
      </w:r>
      <w:r w:rsidR="00D05845" w:rsidRPr="007B2402">
        <w:rPr>
          <w:rFonts w:eastAsia="Calibri" w:cs="Times New Roman"/>
          <w:szCs w:val="20"/>
          <w:lang w:val="en-US"/>
        </w:rPr>
        <w:t xml:space="preserve"> </w:t>
      </w:r>
      <w:r w:rsidR="000744A8" w:rsidRPr="007B2402">
        <w:rPr>
          <w:rFonts w:eastAsia="Calibri" w:cs="Times New Roman"/>
          <w:i/>
          <w:szCs w:val="20"/>
          <w:lang w:val="en-US"/>
        </w:rPr>
        <w:t xml:space="preserve">Goiburú </w:t>
      </w:r>
      <w:r w:rsidR="00D05845" w:rsidRPr="007B2402">
        <w:rPr>
          <w:rFonts w:eastAsia="Calibri" w:cs="Times New Roman"/>
          <w:i/>
          <w:szCs w:val="20"/>
          <w:lang w:val="en-US"/>
        </w:rPr>
        <w:t>v.</w:t>
      </w:r>
      <w:r w:rsidR="000744A8" w:rsidRPr="007B2402">
        <w:rPr>
          <w:rFonts w:eastAsia="Calibri" w:cs="Times New Roman"/>
          <w:i/>
          <w:szCs w:val="20"/>
          <w:lang w:val="en-US"/>
        </w:rPr>
        <w:t xml:space="preserve"> Paraguay</w:t>
      </w:r>
      <w:r w:rsidR="00D05845" w:rsidRPr="007B2402">
        <w:rPr>
          <w:rFonts w:eastAsia="Calibri" w:cs="Times New Roman"/>
          <w:i/>
          <w:szCs w:val="20"/>
          <w:lang w:val="en-US"/>
        </w:rPr>
        <w:t>,</w:t>
      </w:r>
      <w:r w:rsidR="000744A8" w:rsidRPr="007B2402">
        <w:rPr>
          <w:rFonts w:eastAsia="Calibri" w:cs="Times New Roman"/>
          <w:szCs w:val="20"/>
          <w:vertAlign w:val="superscript"/>
          <w:lang w:val="en-US"/>
        </w:rPr>
        <w:footnoteReference w:id="148"/>
      </w:r>
      <w:r w:rsidR="00932A75" w:rsidRPr="007B2402">
        <w:rPr>
          <w:rFonts w:eastAsia="Calibri" w:cs="Times New Roman"/>
          <w:szCs w:val="20"/>
          <w:lang w:val="en-US"/>
        </w:rPr>
        <w:t xml:space="preserve"> </w:t>
      </w:r>
      <w:r w:rsidR="00932A75" w:rsidRPr="007B2402">
        <w:rPr>
          <w:rFonts w:eastAsia="Calibri" w:cs="Times New Roman"/>
          <w:i/>
          <w:szCs w:val="20"/>
          <w:lang w:val="en-US"/>
        </w:rPr>
        <w:t>Gelma</w:t>
      </w:r>
      <w:r w:rsidR="000744A8" w:rsidRPr="007B2402">
        <w:rPr>
          <w:rFonts w:eastAsia="Calibri" w:cs="Times New Roman"/>
          <w:i/>
          <w:szCs w:val="20"/>
          <w:lang w:val="en-US"/>
        </w:rPr>
        <w:t xml:space="preserve">n </w:t>
      </w:r>
      <w:r w:rsidR="00D05845" w:rsidRPr="007B2402">
        <w:rPr>
          <w:rFonts w:eastAsia="Calibri" w:cs="Times New Roman"/>
          <w:i/>
          <w:szCs w:val="20"/>
          <w:lang w:val="en-US"/>
        </w:rPr>
        <w:t>v.</w:t>
      </w:r>
      <w:r w:rsidR="000744A8" w:rsidRPr="007B2402">
        <w:rPr>
          <w:rFonts w:eastAsia="Calibri" w:cs="Times New Roman"/>
          <w:i/>
          <w:szCs w:val="20"/>
          <w:lang w:val="en-US"/>
        </w:rPr>
        <w:t xml:space="preserve"> Uruguay</w:t>
      </w:r>
      <w:r w:rsidR="00D05845" w:rsidRPr="007B2402">
        <w:rPr>
          <w:rFonts w:eastAsia="Calibri" w:cs="Times New Roman"/>
          <w:i/>
          <w:szCs w:val="20"/>
          <w:lang w:val="en-US"/>
        </w:rPr>
        <w:t>.</w:t>
      </w:r>
      <w:r w:rsidR="000744A8" w:rsidRPr="007B2402">
        <w:rPr>
          <w:rFonts w:eastAsia="Calibri" w:cs="Times New Roman"/>
          <w:szCs w:val="20"/>
          <w:vertAlign w:val="superscript"/>
          <w:lang w:val="en-US"/>
        </w:rPr>
        <w:footnoteReference w:id="149"/>
      </w:r>
      <w:r w:rsidR="000744A8" w:rsidRPr="007B2402">
        <w:rPr>
          <w:rFonts w:eastAsia="Calibri" w:cs="Times New Roman"/>
          <w:szCs w:val="20"/>
          <w:lang w:val="en-US"/>
        </w:rPr>
        <w:t xml:space="preserve"> </w:t>
      </w:r>
      <w:r w:rsidR="000744A8" w:rsidRPr="007B2402">
        <w:rPr>
          <w:rFonts w:eastAsia="Calibri" w:cs="Times New Roman"/>
          <w:i/>
          <w:szCs w:val="20"/>
          <w:lang w:val="en-US"/>
        </w:rPr>
        <w:t xml:space="preserve">La Cantuta </w:t>
      </w:r>
      <w:r w:rsidR="00D05845" w:rsidRPr="007B2402">
        <w:rPr>
          <w:rFonts w:eastAsia="Calibri" w:cs="Times New Roman"/>
          <w:i/>
          <w:szCs w:val="20"/>
          <w:lang w:val="en-US"/>
        </w:rPr>
        <w:t>v.</w:t>
      </w:r>
      <w:r w:rsidR="000744A8" w:rsidRPr="007B2402">
        <w:rPr>
          <w:rFonts w:eastAsia="Calibri" w:cs="Times New Roman"/>
          <w:i/>
          <w:szCs w:val="20"/>
          <w:lang w:val="en-US"/>
        </w:rPr>
        <w:t xml:space="preserve"> </w:t>
      </w:r>
      <w:r w:rsidR="00D05845" w:rsidRPr="007B2402">
        <w:rPr>
          <w:rFonts w:eastAsia="Calibri" w:cs="Times New Roman"/>
          <w:i/>
          <w:szCs w:val="20"/>
          <w:lang w:val="en-US"/>
        </w:rPr>
        <w:t>Peru,</w:t>
      </w:r>
      <w:r w:rsidR="000744A8" w:rsidRPr="007B2402">
        <w:rPr>
          <w:rFonts w:eastAsia="Calibri" w:cs="Times New Roman"/>
          <w:szCs w:val="20"/>
          <w:vertAlign w:val="superscript"/>
          <w:lang w:val="en-US"/>
        </w:rPr>
        <w:footnoteReference w:id="150"/>
      </w:r>
      <w:r w:rsidR="004162DE" w:rsidRPr="007B2402">
        <w:rPr>
          <w:rFonts w:eastAsia="Calibri" w:cs="Times New Roman"/>
          <w:szCs w:val="20"/>
          <w:lang w:val="en-US"/>
        </w:rPr>
        <w:t xml:space="preserve"> </w:t>
      </w:r>
      <w:r w:rsidR="00D05845" w:rsidRPr="007B2402">
        <w:rPr>
          <w:rFonts w:eastAsia="Calibri" w:cs="Times New Roman"/>
          <w:i/>
          <w:szCs w:val="20"/>
          <w:lang w:val="en-US"/>
        </w:rPr>
        <w:t>the</w:t>
      </w:r>
      <w:r w:rsidR="004162DE" w:rsidRPr="007B2402">
        <w:rPr>
          <w:rFonts w:eastAsia="Calibri" w:cs="Times New Roman"/>
          <w:i/>
          <w:szCs w:val="20"/>
          <w:lang w:val="en-US"/>
        </w:rPr>
        <w:t xml:space="preserve"> Miguel Castro</w:t>
      </w:r>
      <w:r w:rsidR="00B0525F" w:rsidRPr="007B2402">
        <w:rPr>
          <w:rFonts w:eastAsia="Calibri" w:cs="Times New Roman"/>
          <w:i/>
          <w:szCs w:val="20"/>
          <w:lang w:val="en-US"/>
        </w:rPr>
        <w:t xml:space="preserve"> </w:t>
      </w:r>
      <w:r w:rsidR="00D05845" w:rsidRPr="007B2402">
        <w:rPr>
          <w:rFonts w:eastAsia="Calibri" w:cs="Times New Roman"/>
          <w:i/>
          <w:szCs w:val="20"/>
          <w:lang w:val="en-US"/>
        </w:rPr>
        <w:t>Prison</w:t>
      </w:r>
      <w:r w:rsidR="004162DE" w:rsidRPr="007B2402">
        <w:rPr>
          <w:rFonts w:eastAsia="Calibri" w:cs="Times New Roman"/>
          <w:i/>
          <w:szCs w:val="20"/>
          <w:lang w:val="en-US"/>
        </w:rPr>
        <w:t xml:space="preserve"> </w:t>
      </w:r>
      <w:r w:rsidR="00D05845" w:rsidRPr="007B2402">
        <w:rPr>
          <w:rFonts w:eastAsia="Calibri" w:cs="Times New Roman"/>
          <w:i/>
          <w:szCs w:val="20"/>
          <w:lang w:val="en-US"/>
        </w:rPr>
        <w:t>v.</w:t>
      </w:r>
      <w:r w:rsidR="004162DE" w:rsidRPr="007B2402">
        <w:rPr>
          <w:rFonts w:eastAsia="Calibri" w:cs="Times New Roman"/>
          <w:i/>
          <w:szCs w:val="20"/>
          <w:lang w:val="en-US"/>
        </w:rPr>
        <w:t xml:space="preserve"> </w:t>
      </w:r>
      <w:r w:rsidR="00D05845" w:rsidRPr="007B2402">
        <w:rPr>
          <w:rFonts w:eastAsia="Calibri" w:cs="Times New Roman"/>
          <w:i/>
          <w:szCs w:val="20"/>
          <w:lang w:val="en-US"/>
        </w:rPr>
        <w:t>Peru</w:t>
      </w:r>
      <w:r w:rsidR="004162DE" w:rsidRPr="007B2402">
        <w:rPr>
          <w:rStyle w:val="Refdenotaalpie"/>
          <w:rFonts w:ascii="Verdana" w:eastAsia="Calibri" w:hAnsi="Verdana"/>
          <w:lang w:val="en-US"/>
        </w:rPr>
        <w:footnoteReference w:id="151"/>
      </w:r>
      <w:r w:rsidR="000744A8" w:rsidRPr="007B2402">
        <w:rPr>
          <w:rFonts w:eastAsia="Calibri" w:cs="Times New Roman"/>
          <w:szCs w:val="20"/>
          <w:lang w:val="en-US"/>
        </w:rPr>
        <w:t xml:space="preserve"> (</w:t>
      </w:r>
      <w:r w:rsidR="00844CE7" w:rsidRPr="007B2402">
        <w:rPr>
          <w:rFonts w:eastAsia="Calibri" w:cs="Times New Roman"/>
          <w:szCs w:val="20"/>
          <w:lang w:val="en-US"/>
        </w:rPr>
        <w:t>crimes against humanity</w:t>
      </w:r>
      <w:r w:rsidR="000744A8" w:rsidRPr="007B2402">
        <w:rPr>
          <w:rFonts w:eastAsia="Calibri" w:cs="Times New Roman"/>
          <w:szCs w:val="20"/>
          <w:lang w:val="en-US"/>
        </w:rPr>
        <w:t xml:space="preserve">), </w:t>
      </w:r>
      <w:r w:rsidR="00D05845" w:rsidRPr="007B2402">
        <w:rPr>
          <w:rFonts w:eastAsia="Calibri" w:cs="Times New Roman"/>
          <w:i/>
          <w:iCs/>
          <w:szCs w:val="20"/>
          <w:lang w:val="en-US"/>
        </w:rPr>
        <w:t xml:space="preserve">the </w:t>
      </w:r>
      <w:r w:rsidR="000744A8" w:rsidRPr="007B2402">
        <w:rPr>
          <w:rFonts w:eastAsia="Calibri" w:cs="Times New Roman"/>
          <w:i/>
          <w:szCs w:val="20"/>
          <w:lang w:val="en-US"/>
        </w:rPr>
        <w:t>Mas</w:t>
      </w:r>
      <w:r w:rsidR="00D05845" w:rsidRPr="007B2402">
        <w:rPr>
          <w:rFonts w:eastAsia="Calibri" w:cs="Times New Roman"/>
          <w:i/>
          <w:szCs w:val="20"/>
          <w:lang w:val="en-US"/>
        </w:rPr>
        <w:t>s</w:t>
      </w:r>
      <w:r w:rsidR="000744A8" w:rsidRPr="007B2402">
        <w:rPr>
          <w:rFonts w:eastAsia="Calibri" w:cs="Times New Roman"/>
          <w:i/>
          <w:szCs w:val="20"/>
          <w:lang w:val="en-US"/>
        </w:rPr>
        <w:t xml:space="preserve">acres </w:t>
      </w:r>
      <w:r w:rsidR="00D05845" w:rsidRPr="007B2402">
        <w:rPr>
          <w:rFonts w:eastAsia="Calibri" w:cs="Times New Roman"/>
          <w:i/>
          <w:szCs w:val="20"/>
          <w:lang w:val="en-US"/>
        </w:rPr>
        <w:t>of</w:t>
      </w:r>
      <w:r w:rsidR="000744A8" w:rsidRPr="007B2402">
        <w:rPr>
          <w:rFonts w:eastAsia="Calibri" w:cs="Times New Roman"/>
          <w:i/>
          <w:szCs w:val="20"/>
          <w:lang w:val="en-US"/>
        </w:rPr>
        <w:t xml:space="preserve"> El Mozote</w:t>
      </w:r>
      <w:r w:rsidR="005B1590" w:rsidRPr="007B2402">
        <w:rPr>
          <w:rFonts w:eastAsia="Calibri" w:cs="Times New Roman"/>
          <w:i/>
          <w:szCs w:val="20"/>
          <w:lang w:val="en-US"/>
        </w:rPr>
        <w:t xml:space="preserve"> and </w:t>
      </w:r>
      <w:r w:rsidR="00D05845" w:rsidRPr="007B2402">
        <w:rPr>
          <w:rFonts w:eastAsia="Calibri" w:cs="Times New Roman"/>
          <w:i/>
          <w:szCs w:val="20"/>
          <w:lang w:val="en-US"/>
        </w:rPr>
        <w:t>neighboring places</w:t>
      </w:r>
      <w:r w:rsidR="000744A8" w:rsidRPr="007B2402">
        <w:rPr>
          <w:rFonts w:eastAsia="Calibri" w:cs="Times New Roman"/>
          <w:i/>
          <w:szCs w:val="20"/>
          <w:lang w:val="en-US"/>
        </w:rPr>
        <w:t xml:space="preserve"> </w:t>
      </w:r>
      <w:r w:rsidR="00D05845" w:rsidRPr="007B2402">
        <w:rPr>
          <w:rFonts w:eastAsia="Calibri" w:cs="Times New Roman"/>
          <w:i/>
          <w:szCs w:val="20"/>
          <w:lang w:val="en-US"/>
        </w:rPr>
        <w:t>v.</w:t>
      </w:r>
      <w:r w:rsidR="000744A8" w:rsidRPr="007B2402">
        <w:rPr>
          <w:rFonts w:eastAsia="Calibri" w:cs="Times New Roman"/>
          <w:i/>
          <w:szCs w:val="20"/>
          <w:lang w:val="en-US"/>
        </w:rPr>
        <w:t xml:space="preserve"> El Salvador</w:t>
      </w:r>
      <w:r w:rsidR="000744A8" w:rsidRPr="007B2402">
        <w:rPr>
          <w:rFonts w:eastAsia="Calibri" w:cs="Times New Roman"/>
          <w:szCs w:val="20"/>
          <w:vertAlign w:val="superscript"/>
          <w:lang w:val="en-US"/>
        </w:rPr>
        <w:footnoteReference w:id="152"/>
      </w:r>
      <w:r w:rsidR="000744A8" w:rsidRPr="007B2402">
        <w:rPr>
          <w:rFonts w:eastAsia="Calibri" w:cs="Times New Roman"/>
          <w:szCs w:val="20"/>
          <w:lang w:val="en-US"/>
        </w:rPr>
        <w:t xml:space="preserve"> (</w:t>
      </w:r>
      <w:r w:rsidR="00D05845" w:rsidRPr="007B2402">
        <w:rPr>
          <w:rFonts w:eastAsia="Calibri" w:cs="Times New Roman"/>
          <w:szCs w:val="20"/>
          <w:lang w:val="en-US"/>
        </w:rPr>
        <w:t>war crimes</w:t>
      </w:r>
      <w:r w:rsidR="000744A8" w:rsidRPr="007B2402">
        <w:rPr>
          <w:rFonts w:eastAsia="Calibri" w:cs="Times New Roman"/>
          <w:szCs w:val="20"/>
          <w:lang w:val="en-US"/>
        </w:rPr>
        <w:t>)</w:t>
      </w:r>
      <w:r w:rsidR="005B1590" w:rsidRPr="007B2402">
        <w:rPr>
          <w:rFonts w:eastAsia="Calibri" w:cs="Times New Roman"/>
          <w:szCs w:val="20"/>
          <w:lang w:val="en-US"/>
        </w:rPr>
        <w:t xml:space="preserve"> and </w:t>
      </w:r>
      <w:r w:rsidR="00D05845" w:rsidRPr="007B2402">
        <w:rPr>
          <w:rFonts w:eastAsia="Calibri" w:cs="Times New Roman"/>
          <w:i/>
          <w:szCs w:val="20"/>
          <w:lang w:val="en-US"/>
        </w:rPr>
        <w:t>the</w:t>
      </w:r>
      <w:r w:rsidR="000744A8" w:rsidRPr="007B2402">
        <w:rPr>
          <w:rFonts w:eastAsia="Calibri" w:cs="Times New Roman"/>
          <w:iCs/>
          <w:szCs w:val="20"/>
          <w:lang w:val="en-US"/>
        </w:rPr>
        <w:t xml:space="preserve"> </w:t>
      </w:r>
      <w:r w:rsidR="000744A8" w:rsidRPr="007B2402">
        <w:rPr>
          <w:rFonts w:eastAsia="Calibri" w:cs="Times New Roman"/>
          <w:i/>
          <w:szCs w:val="20"/>
          <w:lang w:val="en-US"/>
        </w:rPr>
        <w:t xml:space="preserve">Hacienda </w:t>
      </w:r>
      <w:r w:rsidR="00D05845" w:rsidRPr="007B2402">
        <w:rPr>
          <w:rFonts w:eastAsia="Calibri" w:cs="Times New Roman"/>
          <w:i/>
          <w:szCs w:val="20"/>
          <w:lang w:val="en-US"/>
        </w:rPr>
        <w:t>Brasil Verde Workers</w:t>
      </w:r>
      <w:r w:rsidR="000744A8" w:rsidRPr="007B2402">
        <w:rPr>
          <w:rFonts w:eastAsia="Calibri" w:cs="Times New Roman"/>
          <w:i/>
          <w:szCs w:val="20"/>
          <w:lang w:val="en-US"/>
        </w:rPr>
        <w:t xml:space="preserve"> </w:t>
      </w:r>
      <w:r w:rsidR="00D05845" w:rsidRPr="007B2402">
        <w:rPr>
          <w:rFonts w:eastAsia="Calibri" w:cs="Times New Roman"/>
          <w:i/>
          <w:szCs w:val="20"/>
          <w:lang w:val="en-US"/>
        </w:rPr>
        <w:t>v.</w:t>
      </w:r>
      <w:r w:rsidR="000744A8" w:rsidRPr="007B2402">
        <w:rPr>
          <w:rFonts w:eastAsia="Calibri" w:cs="Times New Roman"/>
          <w:i/>
          <w:szCs w:val="20"/>
          <w:lang w:val="en-US"/>
        </w:rPr>
        <w:t xml:space="preserve"> </w:t>
      </w:r>
      <w:r w:rsidR="00AF4344" w:rsidRPr="007B2402">
        <w:rPr>
          <w:rFonts w:eastAsia="Calibri" w:cs="Times New Roman"/>
          <w:i/>
          <w:szCs w:val="20"/>
          <w:lang w:val="en-US"/>
        </w:rPr>
        <w:t>Brazil</w:t>
      </w:r>
      <w:r w:rsidR="000744A8" w:rsidRPr="007B2402">
        <w:rPr>
          <w:rFonts w:eastAsia="Calibri" w:cs="Times New Roman"/>
          <w:szCs w:val="20"/>
          <w:vertAlign w:val="superscript"/>
          <w:lang w:val="en-US"/>
        </w:rPr>
        <w:footnoteReference w:id="153"/>
      </w:r>
      <w:r w:rsidR="000744A8" w:rsidRPr="007B2402">
        <w:rPr>
          <w:rFonts w:eastAsia="Calibri" w:cs="Times New Roman"/>
          <w:szCs w:val="20"/>
          <w:lang w:val="en-US"/>
        </w:rPr>
        <w:t xml:space="preserve"> (</w:t>
      </w:r>
      <w:r w:rsidR="00955D71" w:rsidRPr="007B2402">
        <w:rPr>
          <w:rFonts w:eastAsia="Calibri" w:cs="Times New Roman"/>
          <w:szCs w:val="20"/>
          <w:lang w:val="en-US"/>
        </w:rPr>
        <w:t>crimes under international</w:t>
      </w:r>
      <w:r w:rsidR="00D05845" w:rsidRPr="007B2402">
        <w:rPr>
          <w:rFonts w:eastAsia="Calibri" w:cs="Times New Roman"/>
          <w:szCs w:val="20"/>
          <w:lang w:val="en-US"/>
        </w:rPr>
        <w:t xml:space="preserve"> law</w:t>
      </w:r>
      <w:r w:rsidR="000744A8" w:rsidRPr="007B2402">
        <w:rPr>
          <w:rFonts w:eastAsia="Calibri" w:cs="Times New Roman"/>
          <w:szCs w:val="20"/>
          <w:lang w:val="en-US"/>
        </w:rPr>
        <w:t xml:space="preserve">), </w:t>
      </w:r>
      <w:r w:rsidR="00D05845" w:rsidRPr="007B2402">
        <w:rPr>
          <w:rFonts w:eastAsia="Calibri" w:cs="Times New Roman"/>
          <w:szCs w:val="20"/>
          <w:lang w:val="en-US"/>
        </w:rPr>
        <w:t>that it has used these categories for violations in the sense indicated in the</w:t>
      </w:r>
      <w:r w:rsidR="000744A8" w:rsidRPr="007B2402">
        <w:rPr>
          <w:rFonts w:eastAsia="Calibri" w:cs="Times New Roman"/>
          <w:szCs w:val="20"/>
          <w:lang w:val="en-US"/>
        </w:rPr>
        <w:t xml:space="preserve"> </w:t>
      </w:r>
      <w:r w:rsidR="00D05845" w:rsidRPr="007B2402">
        <w:rPr>
          <w:rFonts w:eastAsia="Calibri" w:cs="Times New Roman"/>
          <w:szCs w:val="20"/>
          <w:lang w:val="en-US"/>
        </w:rPr>
        <w:t>j</w:t>
      </w:r>
      <w:r w:rsidR="00AF4344" w:rsidRPr="007B2402">
        <w:rPr>
          <w:rFonts w:eastAsia="Calibri" w:cs="Times New Roman"/>
          <w:szCs w:val="20"/>
          <w:lang w:val="en-US"/>
        </w:rPr>
        <w:t>udgment</w:t>
      </w:r>
      <w:r w:rsidR="00221E16" w:rsidRPr="007B2402">
        <w:rPr>
          <w:rFonts w:eastAsia="Calibri" w:cs="Times New Roman"/>
          <w:szCs w:val="20"/>
          <w:lang w:val="en-US"/>
        </w:rPr>
        <w:t xml:space="preserve"> </w:t>
      </w:r>
      <w:r w:rsidR="00D05845" w:rsidRPr="007B2402">
        <w:rPr>
          <w:rFonts w:eastAsia="Calibri" w:cs="Times New Roman"/>
          <w:szCs w:val="20"/>
          <w:lang w:val="en-US"/>
        </w:rPr>
        <w:t>in the case of</w:t>
      </w:r>
      <w:r w:rsidR="000744A8" w:rsidRPr="007B2402">
        <w:rPr>
          <w:rFonts w:eastAsia="Calibri" w:cs="Times New Roman"/>
          <w:szCs w:val="20"/>
          <w:lang w:val="en-US"/>
        </w:rPr>
        <w:t xml:space="preserve"> Almonacid Arellano</w:t>
      </w:r>
      <w:r w:rsidR="000251CD" w:rsidRPr="007B2402">
        <w:rPr>
          <w:rFonts w:eastAsia="Calibri" w:cs="Times New Roman"/>
          <w:szCs w:val="20"/>
          <w:lang w:val="en-US"/>
        </w:rPr>
        <w:t xml:space="preserve">, </w:t>
      </w:r>
      <w:r w:rsidR="00D05845" w:rsidRPr="007B2402">
        <w:rPr>
          <w:rFonts w:eastAsia="Calibri" w:cs="Times New Roman"/>
          <w:szCs w:val="20"/>
          <w:lang w:val="en-US"/>
        </w:rPr>
        <w:t xml:space="preserve">in order to explain clearly the scope of State responsibility under </w:t>
      </w:r>
      <w:r w:rsidR="00AF4344" w:rsidRPr="007B2402">
        <w:rPr>
          <w:rFonts w:eastAsia="Calibri" w:cs="Times New Roman"/>
          <w:szCs w:val="20"/>
          <w:lang w:val="en-US"/>
        </w:rPr>
        <w:t>the Convention</w:t>
      </w:r>
      <w:r w:rsidR="000251CD" w:rsidRPr="007B2402">
        <w:rPr>
          <w:rFonts w:eastAsia="Calibri" w:cs="Times New Roman"/>
          <w:szCs w:val="20"/>
          <w:lang w:val="en-US"/>
        </w:rPr>
        <w:t xml:space="preserve"> </w:t>
      </w:r>
      <w:r w:rsidR="00D05845" w:rsidRPr="007B2402">
        <w:rPr>
          <w:rFonts w:eastAsia="Calibri" w:cs="Times New Roman"/>
          <w:szCs w:val="20"/>
          <w:lang w:val="en-US"/>
        </w:rPr>
        <w:t>in the specific case</w:t>
      </w:r>
      <w:r w:rsidR="004B021E" w:rsidRPr="007B2402">
        <w:rPr>
          <w:rFonts w:eastAsia="Calibri" w:cs="Times New Roman"/>
          <w:szCs w:val="20"/>
          <w:lang w:val="en-US"/>
        </w:rPr>
        <w:t>,</w:t>
      </w:r>
      <w:r w:rsidR="00D05845" w:rsidRPr="007B2402">
        <w:rPr>
          <w:rFonts w:eastAsia="Calibri" w:cs="Times New Roman"/>
          <w:szCs w:val="20"/>
          <w:lang w:val="en-US"/>
        </w:rPr>
        <w:t xml:space="preserve"> </w:t>
      </w:r>
      <w:r w:rsidR="004B021E" w:rsidRPr="007B2402">
        <w:rPr>
          <w:rFonts w:eastAsia="Calibri" w:cs="Times New Roman"/>
          <w:szCs w:val="20"/>
          <w:lang w:val="en-US"/>
        </w:rPr>
        <w:t>together with</w:t>
      </w:r>
      <w:r w:rsidR="00D05845" w:rsidRPr="007B2402">
        <w:rPr>
          <w:rFonts w:eastAsia="Calibri" w:cs="Times New Roman"/>
          <w:szCs w:val="20"/>
          <w:lang w:val="en-US"/>
        </w:rPr>
        <w:t xml:space="preserve"> the legal consequences for </w:t>
      </w:r>
      <w:r w:rsidR="00AF4344" w:rsidRPr="007B2402">
        <w:rPr>
          <w:rFonts w:eastAsia="Calibri" w:cs="Times New Roman"/>
          <w:szCs w:val="20"/>
          <w:lang w:val="en-US"/>
        </w:rPr>
        <w:t>the State</w:t>
      </w:r>
      <w:r w:rsidR="00D05845" w:rsidRPr="007B2402">
        <w:rPr>
          <w:rFonts w:eastAsia="Calibri" w:cs="Times New Roman"/>
          <w:szCs w:val="20"/>
          <w:lang w:val="en-US"/>
        </w:rPr>
        <w:t>.</w:t>
      </w:r>
      <w:r w:rsidR="000251CD" w:rsidRPr="007B2402">
        <w:rPr>
          <w:rFonts w:eastAsia="Calibri" w:cs="Times New Roman"/>
          <w:szCs w:val="20"/>
          <w:vertAlign w:val="superscript"/>
          <w:lang w:val="en-US"/>
        </w:rPr>
        <w:footnoteReference w:id="154"/>
      </w:r>
      <w:r w:rsidR="000744A8" w:rsidRPr="007B2402">
        <w:rPr>
          <w:rFonts w:eastAsia="Calibri" w:cs="Times New Roman"/>
          <w:szCs w:val="20"/>
          <w:lang w:val="en-US"/>
        </w:rPr>
        <w:t xml:space="preserve"> </w:t>
      </w:r>
    </w:p>
    <w:p w14:paraId="48874776" w14:textId="77777777" w:rsidR="000744A8" w:rsidRPr="007B2402" w:rsidRDefault="000744A8" w:rsidP="000744A8">
      <w:pPr>
        <w:spacing w:after="0" w:line="240" w:lineRule="auto"/>
        <w:jc w:val="both"/>
        <w:rPr>
          <w:rFonts w:eastAsia="Calibri" w:cs="Times New Roman"/>
          <w:szCs w:val="20"/>
          <w:lang w:val="en-US"/>
        </w:rPr>
      </w:pPr>
    </w:p>
    <w:p w14:paraId="2E80D6E3" w14:textId="22F4BFAD" w:rsidR="00010863" w:rsidRPr="007B2402" w:rsidRDefault="00D05845" w:rsidP="00FE3D86">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 xml:space="preserve">To complement the foregoing, the Court notes that the prohibition of </w:t>
      </w:r>
      <w:r w:rsidR="00955D71" w:rsidRPr="007B2402">
        <w:rPr>
          <w:rFonts w:eastAsia="Calibri" w:cs="Times New Roman"/>
          <w:szCs w:val="20"/>
          <w:lang w:val="en-US"/>
        </w:rPr>
        <w:t>crimes under international</w:t>
      </w:r>
      <w:r w:rsidRPr="007B2402">
        <w:rPr>
          <w:rFonts w:eastAsia="Calibri" w:cs="Times New Roman"/>
          <w:szCs w:val="20"/>
          <w:lang w:val="en-US"/>
        </w:rPr>
        <w:t xml:space="preserve"> law </w:t>
      </w:r>
      <w:r w:rsidR="004B021E" w:rsidRPr="007B2402">
        <w:rPr>
          <w:rFonts w:eastAsia="Calibri" w:cs="Times New Roman"/>
          <w:szCs w:val="20"/>
          <w:lang w:val="en-US"/>
        </w:rPr>
        <w:t>and crimes</w:t>
      </w:r>
      <w:r w:rsidRPr="007B2402">
        <w:rPr>
          <w:rFonts w:eastAsia="Calibri" w:cs="Times New Roman"/>
          <w:szCs w:val="20"/>
          <w:lang w:val="en-US"/>
        </w:rPr>
        <w:t xml:space="preserve"> against humanity w</w:t>
      </w:r>
      <w:r w:rsidR="004B021E" w:rsidRPr="007B2402">
        <w:rPr>
          <w:rFonts w:eastAsia="Calibri" w:cs="Times New Roman"/>
          <w:szCs w:val="20"/>
          <w:lang w:val="en-US"/>
        </w:rPr>
        <w:t>as</w:t>
      </w:r>
      <w:r w:rsidRPr="007B2402">
        <w:rPr>
          <w:rFonts w:eastAsia="Calibri" w:cs="Times New Roman"/>
          <w:szCs w:val="20"/>
          <w:lang w:val="en-US"/>
        </w:rPr>
        <w:t xml:space="preserve"> already considered part of general international law by the Convention on </w:t>
      </w:r>
      <w:r w:rsidR="00FE3D86" w:rsidRPr="007B2402">
        <w:rPr>
          <w:iCs/>
          <w:szCs w:val="16"/>
          <w:lang w:val="en-US"/>
        </w:rPr>
        <w:t>the Non-Applicability of Statutory Limitations to War Crimes and Crimes against Humanity</w:t>
      </w:r>
      <w:r w:rsidR="000744A8" w:rsidRPr="007B2402">
        <w:rPr>
          <w:rFonts w:eastAsia="Calibri" w:cs="Times New Roman"/>
          <w:szCs w:val="20"/>
          <w:lang w:val="en-US"/>
        </w:rPr>
        <w:t xml:space="preserve"> a</w:t>
      </w:r>
      <w:r w:rsidRPr="007B2402">
        <w:rPr>
          <w:rFonts w:eastAsia="Calibri" w:cs="Times New Roman"/>
          <w:szCs w:val="20"/>
          <w:lang w:val="en-US"/>
        </w:rPr>
        <w:t>dopted by the United Nations General Assembly on November 26,</w:t>
      </w:r>
      <w:r w:rsidR="000744A8" w:rsidRPr="007B2402">
        <w:rPr>
          <w:rFonts w:eastAsia="Calibri" w:cs="Times New Roman"/>
          <w:szCs w:val="20"/>
          <w:lang w:val="en-US"/>
        </w:rPr>
        <w:t xml:space="preserve"> 1968</w:t>
      </w:r>
      <w:r w:rsidR="000E3354" w:rsidRPr="007B2402">
        <w:rPr>
          <w:rStyle w:val="Refdenotaalpie"/>
          <w:rFonts w:ascii="Verdana" w:eastAsia="Calibri" w:hAnsi="Verdana"/>
          <w:lang w:val="en-US"/>
        </w:rPr>
        <w:footnoteReference w:id="155"/>
      </w:r>
      <w:r w:rsidR="00047310" w:rsidRPr="007B2402">
        <w:rPr>
          <w:rFonts w:eastAsia="Calibri" w:cs="Times New Roman"/>
          <w:szCs w:val="20"/>
          <w:lang w:val="en-US"/>
        </w:rPr>
        <w:t xml:space="preserve"> (</w:t>
      </w:r>
      <w:r w:rsidR="00AF4344" w:rsidRPr="007B2402">
        <w:rPr>
          <w:rFonts w:eastAsia="Calibri" w:cs="Times New Roman"/>
          <w:szCs w:val="20"/>
          <w:lang w:val="en-US"/>
        </w:rPr>
        <w:t>hereinafter</w:t>
      </w:r>
      <w:r w:rsidR="00047310" w:rsidRPr="007B2402">
        <w:rPr>
          <w:rFonts w:eastAsia="Calibri" w:cs="Times New Roman"/>
          <w:szCs w:val="20"/>
          <w:lang w:val="en-US"/>
        </w:rPr>
        <w:t xml:space="preserve"> “</w:t>
      </w:r>
      <w:r w:rsidR="00FE3D86" w:rsidRPr="007B2402">
        <w:rPr>
          <w:rFonts w:eastAsia="Calibri" w:cs="Times New Roman"/>
          <w:szCs w:val="20"/>
          <w:lang w:val="en-US"/>
        </w:rPr>
        <w:t xml:space="preserve">the </w:t>
      </w:r>
      <w:r w:rsidRPr="007B2402">
        <w:rPr>
          <w:rFonts w:eastAsia="Calibri" w:cs="Times New Roman"/>
          <w:szCs w:val="20"/>
          <w:lang w:val="en-US"/>
        </w:rPr>
        <w:t xml:space="preserve">1968 </w:t>
      </w:r>
      <w:r w:rsidR="00047310" w:rsidRPr="007B2402">
        <w:rPr>
          <w:rFonts w:eastAsia="Calibri" w:cs="Times New Roman"/>
          <w:szCs w:val="20"/>
          <w:lang w:val="en-US"/>
        </w:rPr>
        <w:t>Conven</w:t>
      </w:r>
      <w:r w:rsidRPr="007B2402">
        <w:rPr>
          <w:rFonts w:eastAsia="Calibri" w:cs="Times New Roman"/>
          <w:szCs w:val="20"/>
          <w:lang w:val="en-US"/>
        </w:rPr>
        <w:t>tion</w:t>
      </w:r>
      <w:r w:rsidR="00047310" w:rsidRPr="007B2402">
        <w:rPr>
          <w:rFonts w:eastAsia="Calibri" w:cs="Times New Roman"/>
          <w:szCs w:val="20"/>
          <w:lang w:val="en-US"/>
        </w:rPr>
        <w:t xml:space="preserve">” </w:t>
      </w:r>
      <w:r w:rsidRPr="007B2402">
        <w:rPr>
          <w:rFonts w:eastAsia="Calibri" w:cs="Times New Roman"/>
          <w:szCs w:val="20"/>
          <w:lang w:val="en-US"/>
        </w:rPr>
        <w:t>or</w:t>
      </w:r>
      <w:r w:rsidR="00047310" w:rsidRPr="007B2402">
        <w:rPr>
          <w:rFonts w:eastAsia="Calibri" w:cs="Times New Roman"/>
          <w:szCs w:val="20"/>
          <w:lang w:val="en-US"/>
        </w:rPr>
        <w:t xml:space="preserve"> “</w:t>
      </w:r>
      <w:r w:rsidR="00FE3D86" w:rsidRPr="007B2402">
        <w:rPr>
          <w:rFonts w:eastAsia="Calibri" w:cs="Times New Roman"/>
          <w:szCs w:val="20"/>
          <w:lang w:val="en-US"/>
        </w:rPr>
        <w:t xml:space="preserve">the </w:t>
      </w:r>
      <w:r w:rsidR="00047310" w:rsidRPr="007B2402">
        <w:rPr>
          <w:rFonts w:eastAsia="Calibri" w:cs="Times New Roman"/>
          <w:szCs w:val="20"/>
          <w:lang w:val="en-US"/>
        </w:rPr>
        <w:t>Conven</w:t>
      </w:r>
      <w:r w:rsidR="00FE3D86" w:rsidRPr="007B2402">
        <w:rPr>
          <w:rFonts w:eastAsia="Calibri" w:cs="Times New Roman"/>
          <w:szCs w:val="20"/>
          <w:lang w:val="en-US"/>
        </w:rPr>
        <w:t xml:space="preserve">tion on </w:t>
      </w:r>
      <w:r w:rsidR="00FE3D86" w:rsidRPr="007B2402">
        <w:rPr>
          <w:iCs/>
          <w:szCs w:val="16"/>
          <w:lang w:val="en-US"/>
        </w:rPr>
        <w:t>Non-Applicability of Statutory Limitations</w:t>
      </w:r>
      <w:r w:rsidR="00047310" w:rsidRPr="007B2402">
        <w:rPr>
          <w:rFonts w:eastAsia="Calibri" w:cs="Times New Roman"/>
          <w:szCs w:val="20"/>
          <w:lang w:val="en-US"/>
        </w:rPr>
        <w:t>”)</w:t>
      </w:r>
      <w:r w:rsidR="000744A8" w:rsidRPr="007B2402">
        <w:rPr>
          <w:rFonts w:eastAsia="Calibri" w:cs="Times New Roman"/>
          <w:szCs w:val="20"/>
          <w:lang w:val="en-US"/>
        </w:rPr>
        <w:t xml:space="preserve">. </w:t>
      </w:r>
      <w:r w:rsidR="00FE3D86" w:rsidRPr="007B2402">
        <w:rPr>
          <w:rFonts w:eastAsia="Calibri" w:cs="Times New Roman"/>
          <w:szCs w:val="20"/>
          <w:lang w:val="en-US"/>
        </w:rPr>
        <w:t xml:space="preserve">Bearing in mind Resolution </w:t>
      </w:r>
      <w:r w:rsidR="003540A0" w:rsidRPr="007B2402">
        <w:rPr>
          <w:rFonts w:eastAsia="Calibri" w:cs="Times New Roman"/>
          <w:szCs w:val="20"/>
          <w:lang w:val="en-US"/>
        </w:rPr>
        <w:t>2338</w:t>
      </w:r>
      <w:r w:rsidR="00FE3D86" w:rsidRPr="007B2402">
        <w:rPr>
          <w:rFonts w:eastAsia="Calibri" w:cs="Times New Roman"/>
          <w:szCs w:val="20"/>
          <w:lang w:val="en-US"/>
        </w:rPr>
        <w:t xml:space="preserve"> </w:t>
      </w:r>
      <w:r w:rsidR="003540A0" w:rsidRPr="007B2402">
        <w:rPr>
          <w:rFonts w:eastAsia="Calibri" w:cs="Times New Roman"/>
          <w:szCs w:val="20"/>
          <w:lang w:val="en-US"/>
        </w:rPr>
        <w:t>(XXII)</w:t>
      </w:r>
      <w:r w:rsidR="00FE3D86" w:rsidRPr="007B2402">
        <w:rPr>
          <w:rFonts w:eastAsia="Calibri" w:cs="Times New Roman"/>
          <w:szCs w:val="20"/>
          <w:lang w:val="en-US"/>
        </w:rPr>
        <w:t xml:space="preserve"> of the United Nations General Assembly,</w:t>
      </w:r>
      <w:r w:rsidR="003540A0" w:rsidRPr="007B2402">
        <w:rPr>
          <w:rFonts w:eastAsia="Calibri" w:cs="Times New Roman"/>
          <w:szCs w:val="20"/>
          <w:vertAlign w:val="superscript"/>
          <w:lang w:val="en-US"/>
        </w:rPr>
        <w:footnoteReference w:id="156"/>
      </w:r>
      <w:r w:rsidR="00FE3D86" w:rsidRPr="007B2402">
        <w:rPr>
          <w:rFonts w:eastAsia="Calibri" w:cs="Times New Roman"/>
          <w:szCs w:val="20"/>
          <w:lang w:val="en-US"/>
        </w:rPr>
        <w:t xml:space="preserve"> the interpretation derived from the Preamble of the 1968 Convention is that the imprescriptibility of crimes against humanity arises from the fact that none of the instruments relating to their prosecution and punishment made provision for a limitation</w:t>
      </w:r>
      <w:r w:rsidR="004B021E" w:rsidRPr="007B2402">
        <w:rPr>
          <w:rFonts w:eastAsia="Calibri" w:cs="Times New Roman"/>
          <w:szCs w:val="20"/>
          <w:lang w:val="en-US"/>
        </w:rPr>
        <w:t xml:space="preserve"> period</w:t>
      </w:r>
      <w:r w:rsidR="00FE3D86" w:rsidRPr="007B2402">
        <w:rPr>
          <w:rFonts w:eastAsia="Calibri" w:cs="Times New Roman"/>
          <w:szCs w:val="20"/>
          <w:lang w:val="en-US"/>
        </w:rPr>
        <w:t>, so that t</w:t>
      </w:r>
      <w:r w:rsidR="00C84AC3" w:rsidRPr="007B2402">
        <w:rPr>
          <w:rFonts w:eastAsia="Calibri" w:cs="Times New Roman"/>
          <w:szCs w:val="20"/>
          <w:lang w:val="en-US"/>
        </w:rPr>
        <w:t>his</w:t>
      </w:r>
      <w:r w:rsidR="00FE3D86" w:rsidRPr="007B2402">
        <w:rPr>
          <w:rFonts w:eastAsia="Calibri" w:cs="Times New Roman"/>
          <w:szCs w:val="20"/>
          <w:lang w:val="en-US"/>
        </w:rPr>
        <w:t xml:space="preserve"> Convention </w:t>
      </w:r>
      <w:r w:rsidR="00C84AC3" w:rsidRPr="007B2402">
        <w:rPr>
          <w:rFonts w:eastAsia="Calibri" w:cs="Times New Roman"/>
          <w:szCs w:val="20"/>
          <w:lang w:val="en-US"/>
        </w:rPr>
        <w:t xml:space="preserve">only reaffirmed pre-existing principles of international law. </w:t>
      </w:r>
      <w:r w:rsidR="00FE3D86" w:rsidRPr="007B2402">
        <w:rPr>
          <w:rFonts w:eastAsia="Calibri" w:cs="Times New Roman"/>
          <w:szCs w:val="20"/>
          <w:lang w:val="en-US"/>
        </w:rPr>
        <w:t>Thus</w:t>
      </w:r>
      <w:r w:rsidR="000744A8" w:rsidRPr="007B2402">
        <w:rPr>
          <w:rFonts w:eastAsia="Calibri" w:cs="Times New Roman"/>
          <w:szCs w:val="20"/>
          <w:lang w:val="en-US"/>
        </w:rPr>
        <w:t>,</w:t>
      </w:r>
      <w:r w:rsidR="00AF4344" w:rsidRPr="007B2402">
        <w:rPr>
          <w:rFonts w:eastAsia="Calibri" w:cs="Times New Roman"/>
          <w:szCs w:val="20"/>
          <w:lang w:val="en-US"/>
        </w:rPr>
        <w:t xml:space="preserve"> </w:t>
      </w:r>
      <w:r w:rsidR="00FE3D86" w:rsidRPr="007B2402">
        <w:rPr>
          <w:rFonts w:eastAsia="Calibri" w:cs="Times New Roman"/>
          <w:szCs w:val="20"/>
          <w:lang w:val="en-US"/>
        </w:rPr>
        <w:t xml:space="preserve">the Convention on </w:t>
      </w:r>
      <w:r w:rsidR="00FE3D86" w:rsidRPr="007B2402">
        <w:rPr>
          <w:iCs/>
          <w:szCs w:val="16"/>
          <w:lang w:val="en-US"/>
        </w:rPr>
        <w:t xml:space="preserve">Non-Applicability of Statutory Limitations </w:t>
      </w:r>
      <w:r w:rsidR="00C84AC3" w:rsidRPr="007B2402">
        <w:rPr>
          <w:rFonts w:eastAsia="Calibri" w:cs="Times New Roman"/>
          <w:szCs w:val="20"/>
          <w:lang w:val="en-US"/>
        </w:rPr>
        <w:t>is declarative in nature; that is, it reflects a principle of international law in force prior to its adoption.</w:t>
      </w:r>
      <w:r w:rsidR="000744A8" w:rsidRPr="007B2402">
        <w:rPr>
          <w:rFonts w:eastAsia="Calibri" w:cs="Times New Roman"/>
          <w:szCs w:val="20"/>
          <w:vertAlign w:val="superscript"/>
          <w:lang w:val="en-US"/>
        </w:rPr>
        <w:footnoteReference w:id="157"/>
      </w:r>
    </w:p>
    <w:p w14:paraId="116A4AE6" w14:textId="1FC07D10" w:rsidR="00010863" w:rsidRPr="007B2402" w:rsidRDefault="000744A8" w:rsidP="005A72EC">
      <w:pPr>
        <w:spacing w:after="0" w:line="240" w:lineRule="auto"/>
        <w:jc w:val="both"/>
        <w:rPr>
          <w:rFonts w:eastAsia="Calibri" w:cs="Times New Roman"/>
          <w:szCs w:val="20"/>
          <w:lang w:val="en-US"/>
        </w:rPr>
      </w:pPr>
      <w:r w:rsidRPr="007B2402">
        <w:rPr>
          <w:rFonts w:eastAsia="Calibri" w:cs="Times New Roman"/>
          <w:szCs w:val="20"/>
          <w:lang w:val="en-US"/>
        </w:rPr>
        <w:lastRenderedPageBreak/>
        <w:t xml:space="preserve"> </w:t>
      </w:r>
    </w:p>
    <w:p w14:paraId="08CD5908" w14:textId="1199C209" w:rsidR="000744A8" w:rsidRPr="007B2402" w:rsidRDefault="00800518" w:rsidP="00800518">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This circumstance has two main consequences: (a) State</w:t>
      </w:r>
      <w:r w:rsidR="00281E9C" w:rsidRPr="007B2402">
        <w:rPr>
          <w:rFonts w:eastAsia="Calibri" w:cs="Times New Roman"/>
          <w:szCs w:val="20"/>
          <w:lang w:val="en-US"/>
        </w:rPr>
        <w:t>s</w:t>
      </w:r>
      <w:r w:rsidRPr="007B2402">
        <w:rPr>
          <w:rFonts w:eastAsia="Calibri" w:cs="Times New Roman"/>
          <w:szCs w:val="20"/>
          <w:lang w:val="en-US"/>
        </w:rPr>
        <w:t xml:space="preserve"> must apply </w:t>
      </w:r>
      <w:r w:rsidR="00154156" w:rsidRPr="007B2402">
        <w:rPr>
          <w:rFonts w:eastAsia="Calibri" w:cs="Times New Roman"/>
          <w:szCs w:val="20"/>
          <w:lang w:val="en-US"/>
        </w:rPr>
        <w:t>the</w:t>
      </w:r>
      <w:r w:rsidRPr="007B2402">
        <w:rPr>
          <w:rFonts w:eastAsia="Calibri" w:cs="Times New Roman"/>
          <w:szCs w:val="20"/>
          <w:lang w:val="en-US"/>
        </w:rPr>
        <w:t xml:space="preserve"> content</w:t>
      </w:r>
      <w:r w:rsidR="00154156" w:rsidRPr="007B2402">
        <w:rPr>
          <w:rFonts w:eastAsia="Calibri" w:cs="Times New Roman"/>
          <w:szCs w:val="20"/>
          <w:lang w:val="en-US"/>
        </w:rPr>
        <w:t xml:space="preserve"> of this Convention</w:t>
      </w:r>
      <w:r w:rsidRPr="007B2402">
        <w:rPr>
          <w:rFonts w:eastAsia="Calibri" w:cs="Times New Roman"/>
          <w:szCs w:val="20"/>
          <w:lang w:val="en-US"/>
        </w:rPr>
        <w:t xml:space="preserve"> even though they have not ratified it, and (b) regarding its temporal </w:t>
      </w:r>
      <w:r w:rsidR="004B021E" w:rsidRPr="007B2402">
        <w:rPr>
          <w:rFonts w:eastAsia="Calibri" w:cs="Times New Roman"/>
          <w:szCs w:val="20"/>
          <w:lang w:val="en-US"/>
        </w:rPr>
        <w:t>sphere</w:t>
      </w:r>
      <w:r w:rsidRPr="007B2402">
        <w:rPr>
          <w:rFonts w:eastAsia="Calibri" w:cs="Times New Roman"/>
          <w:szCs w:val="20"/>
          <w:lang w:val="en-US"/>
        </w:rPr>
        <w:t xml:space="preserve">, </w:t>
      </w:r>
      <w:r w:rsidR="004B021E" w:rsidRPr="007B2402">
        <w:rPr>
          <w:rFonts w:eastAsia="Calibri" w:cs="Times New Roman"/>
          <w:szCs w:val="20"/>
          <w:lang w:val="en-US"/>
        </w:rPr>
        <w:t>it should</w:t>
      </w:r>
      <w:r w:rsidRPr="007B2402">
        <w:rPr>
          <w:rFonts w:eastAsia="Calibri" w:cs="Times New Roman"/>
          <w:szCs w:val="20"/>
          <w:lang w:val="en-US"/>
        </w:rPr>
        <w:t xml:space="preserve"> be applied </w:t>
      </w:r>
      <w:r w:rsidR="004B021E" w:rsidRPr="007B2402">
        <w:rPr>
          <w:rFonts w:eastAsia="Calibri" w:cs="Times New Roman"/>
          <w:szCs w:val="20"/>
          <w:lang w:val="en-US"/>
        </w:rPr>
        <w:t xml:space="preserve">even </w:t>
      </w:r>
      <w:r w:rsidRPr="007B2402">
        <w:rPr>
          <w:rFonts w:eastAsia="Calibri" w:cs="Times New Roman"/>
          <w:szCs w:val="20"/>
          <w:lang w:val="en-US"/>
        </w:rPr>
        <w:t xml:space="preserve">to crimes committed before </w:t>
      </w:r>
      <w:r w:rsidR="00154156" w:rsidRPr="007B2402">
        <w:rPr>
          <w:rFonts w:eastAsia="Calibri" w:cs="Times New Roman"/>
          <w:szCs w:val="20"/>
          <w:lang w:val="en-US"/>
        </w:rPr>
        <w:t>its</w:t>
      </w:r>
      <w:r w:rsidRPr="007B2402">
        <w:rPr>
          <w:rFonts w:eastAsia="Calibri" w:cs="Times New Roman"/>
          <w:szCs w:val="20"/>
          <w:lang w:val="en-US"/>
        </w:rPr>
        <w:t xml:space="preserve"> entry into force, because what would be applied would not be the treaty-based norm </w:t>
      </w:r>
      <w:r w:rsidR="004B021E" w:rsidRPr="007B2402">
        <w:rPr>
          <w:rFonts w:eastAsia="Calibri" w:cs="Times New Roman"/>
          <w:szCs w:val="20"/>
          <w:lang w:val="en-US"/>
        </w:rPr>
        <w:t>of</w:t>
      </w:r>
      <w:r w:rsidRPr="007B2402">
        <w:rPr>
          <w:rFonts w:eastAsia="Calibri" w:cs="Times New Roman"/>
          <w:szCs w:val="20"/>
          <w:lang w:val="en-US"/>
        </w:rPr>
        <w:t xml:space="preserve"> itself, but rather a pre-existing customary</w:t>
      </w:r>
      <w:r w:rsidR="004B021E" w:rsidRPr="007B2402">
        <w:rPr>
          <w:rFonts w:eastAsia="Calibri" w:cs="Times New Roman"/>
          <w:szCs w:val="20"/>
          <w:lang w:val="en-US"/>
        </w:rPr>
        <w:t xml:space="preserve"> norm</w:t>
      </w:r>
      <w:r w:rsidRPr="007B2402">
        <w:rPr>
          <w:rFonts w:eastAsia="Calibri" w:cs="Times New Roman"/>
          <w:szCs w:val="20"/>
          <w:lang w:val="en-US"/>
        </w:rPr>
        <w:t>.</w:t>
      </w:r>
      <w:r w:rsidR="000744A8" w:rsidRPr="007B2402">
        <w:rPr>
          <w:rFonts w:eastAsia="Calibri" w:cs="Times New Roman"/>
          <w:szCs w:val="20"/>
          <w:vertAlign w:val="superscript"/>
          <w:lang w:val="en-US"/>
        </w:rPr>
        <w:footnoteReference w:id="158"/>
      </w:r>
      <w:r w:rsidR="000744A8" w:rsidRPr="007B2402">
        <w:rPr>
          <w:rFonts w:eastAsia="Calibri" w:cs="Times New Roman"/>
          <w:szCs w:val="20"/>
          <w:lang w:val="en-US"/>
        </w:rPr>
        <w:t xml:space="preserve"> </w:t>
      </w:r>
    </w:p>
    <w:p w14:paraId="48DD2F3E" w14:textId="77777777" w:rsidR="000744A8" w:rsidRPr="007B2402" w:rsidRDefault="000744A8" w:rsidP="000744A8">
      <w:pPr>
        <w:spacing w:after="0" w:line="240" w:lineRule="auto"/>
        <w:jc w:val="both"/>
        <w:rPr>
          <w:rFonts w:eastAsia="Calibri" w:cs="Times New Roman"/>
          <w:szCs w:val="20"/>
          <w:lang w:val="en-US"/>
        </w:rPr>
      </w:pPr>
    </w:p>
    <w:p w14:paraId="4FEE8488" w14:textId="1D1CAFCB" w:rsidR="000744A8" w:rsidRPr="007B2402" w:rsidRDefault="00800518" w:rsidP="004C4447">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In this regard</w:t>
      </w:r>
      <w:r w:rsidR="000744A8" w:rsidRPr="007B2402">
        <w:rPr>
          <w:rFonts w:eastAsia="Calibri" w:cs="Times New Roman"/>
          <w:szCs w:val="20"/>
          <w:lang w:val="en-US"/>
        </w:rPr>
        <w:t xml:space="preserve">, </w:t>
      </w:r>
      <w:r w:rsidR="00AF4344" w:rsidRPr="007B2402">
        <w:rPr>
          <w:rFonts w:eastAsia="Calibri" w:cs="Times New Roman"/>
          <w:szCs w:val="20"/>
          <w:lang w:val="en-US"/>
        </w:rPr>
        <w:t>the Court</w:t>
      </w:r>
      <w:r w:rsidR="000744A8" w:rsidRPr="007B2402">
        <w:rPr>
          <w:rFonts w:eastAsia="Calibri" w:cs="Times New Roman"/>
          <w:szCs w:val="20"/>
          <w:lang w:val="en-US"/>
        </w:rPr>
        <w:t xml:space="preserve"> </w:t>
      </w:r>
      <w:r w:rsidRPr="007B2402">
        <w:rPr>
          <w:rFonts w:eastAsia="Calibri" w:cs="Times New Roman"/>
          <w:szCs w:val="20"/>
          <w:lang w:val="en-US"/>
        </w:rPr>
        <w:t xml:space="preserve">agrees with the </w:t>
      </w:r>
      <w:r w:rsidR="00A01192" w:rsidRPr="007B2402">
        <w:rPr>
          <w:rFonts w:eastAsia="Calibri" w:cs="Times New Roman"/>
          <w:szCs w:val="20"/>
          <w:lang w:val="en-US"/>
        </w:rPr>
        <w:t>study</w:t>
      </w:r>
      <w:r w:rsidRPr="007B2402">
        <w:rPr>
          <w:rFonts w:eastAsia="Calibri" w:cs="Times New Roman"/>
          <w:szCs w:val="20"/>
          <w:lang w:val="en-US"/>
        </w:rPr>
        <w:t xml:space="preserve"> of the Secretary-General of the United Nations on </w:t>
      </w:r>
      <w:r w:rsidR="00A01192" w:rsidRPr="007B2402">
        <w:rPr>
          <w:szCs w:val="20"/>
          <w:lang w:val="en-US"/>
        </w:rPr>
        <w:t xml:space="preserve">the question of the non-applicability of statutory limitation to war crimes and crimes against humanity, to the effect that the </w:t>
      </w:r>
      <w:r w:rsidR="00281E9C" w:rsidRPr="007B2402">
        <w:rPr>
          <w:szCs w:val="20"/>
          <w:lang w:val="en-US"/>
        </w:rPr>
        <w:t>non-applicability</w:t>
      </w:r>
      <w:r w:rsidR="00A01192" w:rsidRPr="007B2402">
        <w:rPr>
          <w:szCs w:val="20"/>
          <w:lang w:val="en-US"/>
        </w:rPr>
        <w:t xml:space="preserve"> results from the </w:t>
      </w:r>
      <w:r w:rsidR="00A65E06" w:rsidRPr="007B2402">
        <w:rPr>
          <w:szCs w:val="20"/>
          <w:lang w:val="en-US"/>
        </w:rPr>
        <w:t xml:space="preserve">exceptional gravity </w:t>
      </w:r>
      <w:r w:rsidR="00A01192" w:rsidRPr="007B2402">
        <w:rPr>
          <w:szCs w:val="20"/>
          <w:lang w:val="en-US"/>
        </w:rPr>
        <w:t xml:space="preserve">of such conducts and </w:t>
      </w:r>
      <w:r w:rsidR="00A65E06" w:rsidRPr="007B2402">
        <w:rPr>
          <w:szCs w:val="20"/>
          <w:lang w:val="en-US"/>
        </w:rPr>
        <w:t>their difference from crimes against domestic law results in the need for effective punishment of such crimes in accordance with international law</w:t>
      </w:r>
      <w:r w:rsidR="00281E9C" w:rsidRPr="007B2402">
        <w:rPr>
          <w:szCs w:val="20"/>
          <w:lang w:val="en-US"/>
        </w:rPr>
        <w:t>; that</w:t>
      </w:r>
      <w:r w:rsidR="00A65E06" w:rsidRPr="007B2402">
        <w:rPr>
          <w:szCs w:val="20"/>
          <w:lang w:val="en-US"/>
        </w:rPr>
        <w:t xml:space="preserve"> the universal conscience </w:t>
      </w:r>
      <w:r w:rsidR="00281E9C" w:rsidRPr="007B2402">
        <w:rPr>
          <w:szCs w:val="20"/>
          <w:lang w:val="en-US"/>
        </w:rPr>
        <w:t xml:space="preserve">which revolts against </w:t>
      </w:r>
      <w:r w:rsidR="00A65E06" w:rsidRPr="007B2402">
        <w:rPr>
          <w:szCs w:val="20"/>
          <w:lang w:val="en-US"/>
        </w:rPr>
        <w:t xml:space="preserve">such crimes </w:t>
      </w:r>
      <w:r w:rsidR="00281E9C" w:rsidRPr="007B2402">
        <w:rPr>
          <w:szCs w:val="20"/>
          <w:lang w:val="en-US"/>
        </w:rPr>
        <w:t xml:space="preserve">going unpunished, </w:t>
      </w:r>
      <w:r w:rsidR="00A65E06" w:rsidRPr="007B2402">
        <w:rPr>
          <w:szCs w:val="20"/>
          <w:lang w:val="en-US"/>
        </w:rPr>
        <w:t>and because failure to punish them would arouse violent reaction</w:t>
      </w:r>
      <w:r w:rsidR="00281E9C" w:rsidRPr="007B2402">
        <w:rPr>
          <w:szCs w:val="20"/>
          <w:lang w:val="en-US"/>
        </w:rPr>
        <w:t>s</w:t>
      </w:r>
      <w:r w:rsidR="00A65E06" w:rsidRPr="007B2402">
        <w:rPr>
          <w:szCs w:val="20"/>
          <w:lang w:val="en-US"/>
        </w:rPr>
        <w:t xml:space="preserve"> on a very large scale.</w:t>
      </w:r>
      <w:r w:rsidR="000744A8" w:rsidRPr="007B2402">
        <w:rPr>
          <w:rFonts w:eastAsia="Calibri" w:cs="Times New Roman"/>
          <w:szCs w:val="20"/>
          <w:vertAlign w:val="superscript"/>
          <w:lang w:val="en-US"/>
        </w:rPr>
        <w:footnoteReference w:id="159"/>
      </w:r>
    </w:p>
    <w:p w14:paraId="0AEABB7B" w14:textId="77777777" w:rsidR="00154156" w:rsidRPr="007B2402" w:rsidRDefault="00154156" w:rsidP="00154156">
      <w:pPr>
        <w:spacing w:after="0" w:line="240" w:lineRule="auto"/>
        <w:jc w:val="both"/>
        <w:rPr>
          <w:rFonts w:eastAsia="Calibri" w:cs="Times New Roman"/>
          <w:szCs w:val="20"/>
          <w:lang w:val="en-US"/>
        </w:rPr>
      </w:pPr>
    </w:p>
    <w:p w14:paraId="0C5F33AB" w14:textId="63A27607" w:rsidR="000744A8" w:rsidRPr="007B2402" w:rsidRDefault="004E026D"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The foregoing interpretation is consequent with contemporary rulings of the International Law</w:t>
      </w:r>
      <w:r w:rsidR="005B1590" w:rsidRPr="007B2402">
        <w:rPr>
          <w:rFonts w:eastAsia="Calibri" w:cs="Times New Roman"/>
          <w:szCs w:val="20"/>
          <w:lang w:val="en-US"/>
        </w:rPr>
        <w:t xml:space="preserve"> </w:t>
      </w:r>
      <w:r w:rsidR="00AF4344" w:rsidRPr="007B2402">
        <w:rPr>
          <w:rFonts w:eastAsia="Calibri" w:cs="Times New Roman"/>
          <w:szCs w:val="20"/>
          <w:lang w:val="en-US"/>
        </w:rPr>
        <w:t>Commission</w:t>
      </w:r>
      <w:r w:rsidR="000744A8" w:rsidRPr="007B2402">
        <w:rPr>
          <w:rFonts w:eastAsia="Calibri" w:cs="Times New Roman"/>
          <w:szCs w:val="20"/>
          <w:lang w:val="en-US"/>
        </w:rPr>
        <w:t xml:space="preserve"> </w:t>
      </w:r>
      <w:r w:rsidRPr="007B2402">
        <w:rPr>
          <w:rFonts w:eastAsia="Calibri" w:cs="Times New Roman"/>
          <w:szCs w:val="20"/>
          <w:lang w:val="en-US"/>
        </w:rPr>
        <w:t>of the United Nations, a body tasked with developing and codifying international law, which, in 1996, adopted the Draft code of crimes against the peace and security of mankind.</w:t>
      </w:r>
      <w:r w:rsidR="000744A8" w:rsidRPr="007B2402">
        <w:rPr>
          <w:rFonts w:eastAsia="Calibri" w:cs="Times New Roman"/>
          <w:szCs w:val="20"/>
          <w:vertAlign w:val="superscript"/>
          <w:lang w:val="en-US"/>
        </w:rPr>
        <w:footnoteReference w:id="160"/>
      </w:r>
    </w:p>
    <w:p w14:paraId="3B4DEDEE" w14:textId="77777777" w:rsidR="000744A8" w:rsidRPr="007B2402" w:rsidRDefault="000744A8" w:rsidP="000744A8">
      <w:pPr>
        <w:spacing w:after="0" w:line="240" w:lineRule="auto"/>
        <w:jc w:val="both"/>
        <w:rPr>
          <w:rFonts w:eastAsia="Calibri" w:cs="Times New Roman"/>
          <w:szCs w:val="20"/>
          <w:lang w:val="en-US"/>
        </w:rPr>
      </w:pPr>
      <w:r w:rsidRPr="007B2402">
        <w:rPr>
          <w:rFonts w:eastAsia="Calibri" w:cs="Times New Roman"/>
          <w:szCs w:val="20"/>
          <w:lang w:val="en-US"/>
        </w:rPr>
        <w:lastRenderedPageBreak/>
        <w:t xml:space="preserve"> </w:t>
      </w:r>
    </w:p>
    <w:p w14:paraId="37AD8FE3" w14:textId="04984755" w:rsidR="000744A8" w:rsidRPr="007B2402" w:rsidRDefault="004E026D"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That consistent interpretation was consolidated in international law in 1998 with the adoption of the Rome Statute of the International Criminal Court</w:t>
      </w:r>
      <w:r w:rsidR="000744A8" w:rsidRPr="007B2402">
        <w:rPr>
          <w:rFonts w:eastAsia="Calibri" w:cs="Times New Roman"/>
          <w:szCs w:val="20"/>
          <w:lang w:val="en-US"/>
        </w:rPr>
        <w:t xml:space="preserve">, </w:t>
      </w:r>
      <w:r w:rsidRPr="007B2402">
        <w:rPr>
          <w:rFonts w:eastAsia="Calibri" w:cs="Times New Roman"/>
          <w:szCs w:val="20"/>
          <w:lang w:val="en-US"/>
        </w:rPr>
        <w:t>establishing t</w:t>
      </w:r>
      <w:r w:rsidR="00281E9C" w:rsidRPr="007B2402">
        <w:rPr>
          <w:rFonts w:eastAsia="Calibri" w:cs="Times New Roman"/>
          <w:szCs w:val="20"/>
          <w:lang w:val="en-US"/>
        </w:rPr>
        <w:t>hat</w:t>
      </w:r>
      <w:r w:rsidRPr="007B2402">
        <w:rPr>
          <w:rFonts w:eastAsia="Calibri" w:cs="Times New Roman"/>
          <w:szCs w:val="20"/>
          <w:lang w:val="en-US"/>
        </w:rPr>
        <w:t xml:space="preserve"> court’s jurisdiction with regard to </w:t>
      </w:r>
      <w:r w:rsidR="00810476" w:rsidRPr="007B2402">
        <w:rPr>
          <w:rFonts w:eastAsia="Calibri" w:cs="Times New Roman"/>
          <w:szCs w:val="20"/>
          <w:lang w:val="en-US"/>
        </w:rPr>
        <w:t>crimes against humanity</w:t>
      </w:r>
      <w:r w:rsidR="000744A8" w:rsidRPr="007B2402">
        <w:rPr>
          <w:rFonts w:eastAsia="Calibri" w:cs="Times New Roman"/>
          <w:szCs w:val="20"/>
          <w:vertAlign w:val="superscript"/>
          <w:lang w:val="en-US"/>
        </w:rPr>
        <w:footnoteReference w:id="161"/>
      </w:r>
      <w:r w:rsidR="000744A8" w:rsidRPr="007B2402">
        <w:rPr>
          <w:rFonts w:eastAsia="Calibri" w:cs="Times New Roman"/>
          <w:szCs w:val="20"/>
          <w:lang w:val="en-US"/>
        </w:rPr>
        <w:t xml:space="preserve"> </w:t>
      </w:r>
      <w:r w:rsidRPr="007B2402">
        <w:rPr>
          <w:rFonts w:eastAsia="Calibri" w:cs="Times New Roman"/>
          <w:szCs w:val="20"/>
          <w:lang w:val="en-US"/>
        </w:rPr>
        <w:t>which,</w:t>
      </w:r>
      <w:r w:rsidR="000744A8" w:rsidRPr="007B2402">
        <w:rPr>
          <w:rFonts w:eastAsia="Calibri" w:cs="Times New Roman"/>
          <w:szCs w:val="20"/>
          <w:vertAlign w:val="superscript"/>
          <w:lang w:val="en-US"/>
        </w:rPr>
        <w:footnoteReference w:id="162"/>
      </w:r>
      <w:r w:rsidRPr="007B2402">
        <w:rPr>
          <w:rFonts w:eastAsia="Calibri" w:cs="Times New Roman"/>
          <w:szCs w:val="20"/>
          <w:lang w:val="en-US"/>
        </w:rPr>
        <w:t xml:space="preserve"> evidently</w:t>
      </w:r>
      <w:r w:rsidR="00281E9C" w:rsidRPr="007B2402">
        <w:rPr>
          <w:rFonts w:eastAsia="Calibri" w:cs="Times New Roman"/>
          <w:szCs w:val="20"/>
          <w:lang w:val="en-US"/>
        </w:rPr>
        <w:t>,</w:t>
      </w:r>
      <w:r w:rsidRPr="007B2402">
        <w:rPr>
          <w:rFonts w:eastAsia="Calibri" w:cs="Times New Roman"/>
          <w:szCs w:val="20"/>
          <w:lang w:val="en-US"/>
        </w:rPr>
        <w:t xml:space="preserve"> are not subject to statutory limitations.</w:t>
      </w:r>
      <w:r w:rsidR="000744A8" w:rsidRPr="007B2402">
        <w:rPr>
          <w:rFonts w:eastAsia="Calibri" w:cs="Times New Roman"/>
          <w:szCs w:val="20"/>
          <w:vertAlign w:val="superscript"/>
          <w:lang w:val="en-US"/>
        </w:rPr>
        <w:footnoteReference w:id="163"/>
      </w:r>
      <w:r w:rsidR="000744A8" w:rsidRPr="007B2402">
        <w:rPr>
          <w:rFonts w:eastAsia="Calibri" w:cs="Times New Roman"/>
          <w:szCs w:val="20"/>
          <w:lang w:val="en-US"/>
        </w:rPr>
        <w:t xml:space="preserve"> </w:t>
      </w:r>
    </w:p>
    <w:p w14:paraId="1875DBCC" w14:textId="77777777" w:rsidR="000744A8" w:rsidRPr="007B2402" w:rsidRDefault="000744A8" w:rsidP="000744A8">
      <w:pPr>
        <w:spacing w:after="0" w:line="240" w:lineRule="auto"/>
        <w:jc w:val="both"/>
        <w:rPr>
          <w:rFonts w:eastAsia="Calibri" w:cs="Times New Roman"/>
          <w:szCs w:val="20"/>
          <w:lang w:val="en-US"/>
        </w:rPr>
      </w:pPr>
    </w:p>
    <w:p w14:paraId="7C7DDCE6" w14:textId="59454E9C" w:rsidR="000744A8" w:rsidRPr="007B2402" w:rsidRDefault="000744A8" w:rsidP="007F0B6A">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Rec</w:t>
      </w:r>
      <w:r w:rsidR="004E026D" w:rsidRPr="007B2402">
        <w:rPr>
          <w:rFonts w:eastAsia="Calibri" w:cs="Times New Roman"/>
          <w:szCs w:val="20"/>
          <w:lang w:val="en-US"/>
        </w:rPr>
        <w:t xml:space="preserve">ently, in 2017, the last version of the </w:t>
      </w:r>
      <w:r w:rsidR="00A50B01" w:rsidRPr="007B2402">
        <w:rPr>
          <w:rFonts w:eastAsia="Calibri" w:cs="Times New Roman"/>
          <w:szCs w:val="20"/>
          <w:lang w:val="en-US"/>
        </w:rPr>
        <w:t>T</w:t>
      </w:r>
      <w:r w:rsidR="004E026D" w:rsidRPr="007B2402">
        <w:rPr>
          <w:rFonts w:eastAsia="Calibri" w:cs="Times New Roman"/>
          <w:szCs w:val="20"/>
          <w:lang w:val="en-US"/>
        </w:rPr>
        <w:t xml:space="preserve">ext of the </w:t>
      </w:r>
      <w:r w:rsidR="00A50B01" w:rsidRPr="007B2402">
        <w:rPr>
          <w:rFonts w:eastAsia="Calibri" w:cs="Times New Roman"/>
          <w:szCs w:val="20"/>
          <w:lang w:val="en-US"/>
        </w:rPr>
        <w:t>d</w:t>
      </w:r>
      <w:r w:rsidR="004E026D" w:rsidRPr="007B2402">
        <w:rPr>
          <w:rFonts w:eastAsia="Calibri" w:cs="Times New Roman"/>
          <w:szCs w:val="20"/>
          <w:lang w:val="en-US"/>
        </w:rPr>
        <w:t xml:space="preserve">raft articles on crimes against humanity </w:t>
      </w:r>
      <w:r w:rsidRPr="007B2402">
        <w:rPr>
          <w:rFonts w:eastAsia="Calibri" w:cs="Times New Roman"/>
          <w:szCs w:val="20"/>
          <w:lang w:val="en-US"/>
        </w:rPr>
        <w:t>(</w:t>
      </w:r>
      <w:r w:rsidR="00AF4344" w:rsidRPr="007B2402">
        <w:rPr>
          <w:rFonts w:eastAsia="Calibri" w:cs="Times New Roman"/>
          <w:szCs w:val="20"/>
          <w:lang w:val="en-US"/>
        </w:rPr>
        <w:t>hereinafter</w:t>
      </w:r>
      <w:r w:rsidRPr="007B2402">
        <w:rPr>
          <w:rFonts w:eastAsia="Calibri" w:cs="Times New Roman"/>
          <w:szCs w:val="20"/>
          <w:lang w:val="en-US"/>
        </w:rPr>
        <w:t xml:space="preserve">, </w:t>
      </w:r>
      <w:r w:rsidR="004E026D" w:rsidRPr="007B2402">
        <w:rPr>
          <w:rFonts w:eastAsia="Calibri" w:cs="Times New Roman"/>
          <w:szCs w:val="20"/>
          <w:lang w:val="en-US"/>
        </w:rPr>
        <w:t>also</w:t>
      </w:r>
      <w:r w:rsidRPr="007B2402">
        <w:rPr>
          <w:rFonts w:eastAsia="Calibri" w:cs="Times New Roman"/>
          <w:szCs w:val="20"/>
          <w:lang w:val="en-US"/>
        </w:rPr>
        <w:t>, “</w:t>
      </w:r>
      <w:r w:rsidR="004E026D" w:rsidRPr="007B2402">
        <w:rPr>
          <w:rFonts w:eastAsia="Calibri" w:cs="Times New Roman"/>
          <w:szCs w:val="20"/>
          <w:lang w:val="en-US"/>
        </w:rPr>
        <w:t>Draft articles</w:t>
      </w:r>
      <w:r w:rsidRPr="007B2402">
        <w:rPr>
          <w:rFonts w:eastAsia="Calibri" w:cs="Times New Roman"/>
          <w:szCs w:val="20"/>
          <w:lang w:val="en-US"/>
        </w:rPr>
        <w:t xml:space="preserve">”), </w:t>
      </w:r>
      <w:r w:rsidR="004E026D" w:rsidRPr="007B2402">
        <w:rPr>
          <w:rFonts w:eastAsia="Calibri" w:cs="Times New Roman"/>
          <w:szCs w:val="20"/>
          <w:lang w:val="en-US"/>
        </w:rPr>
        <w:t>adopted by</w:t>
      </w:r>
      <w:r w:rsidRPr="007B2402">
        <w:rPr>
          <w:rFonts w:eastAsia="Calibri" w:cs="Times New Roman"/>
          <w:szCs w:val="20"/>
          <w:lang w:val="en-US"/>
        </w:rPr>
        <w:t xml:space="preserve"> </w:t>
      </w:r>
      <w:r w:rsidR="00AF4344" w:rsidRPr="007B2402">
        <w:rPr>
          <w:rFonts w:eastAsia="Calibri" w:cs="Times New Roman"/>
          <w:szCs w:val="20"/>
          <w:lang w:val="en-US"/>
        </w:rPr>
        <w:t xml:space="preserve">the </w:t>
      </w:r>
      <w:r w:rsidR="004E026D" w:rsidRPr="007B2402">
        <w:rPr>
          <w:rFonts w:eastAsia="Calibri" w:cs="Times New Roman"/>
          <w:szCs w:val="20"/>
          <w:lang w:val="en-US"/>
        </w:rPr>
        <w:t>International Law Commission,</w:t>
      </w:r>
      <w:r w:rsidRPr="007B2402">
        <w:rPr>
          <w:rFonts w:eastAsia="Calibri" w:cs="Times New Roman"/>
          <w:szCs w:val="20"/>
          <w:vertAlign w:val="superscript"/>
          <w:lang w:val="en-US"/>
        </w:rPr>
        <w:footnoteReference w:id="164"/>
      </w:r>
      <w:r w:rsidRPr="007B2402">
        <w:rPr>
          <w:rFonts w:eastAsia="Calibri" w:cs="Times New Roman"/>
          <w:szCs w:val="20"/>
          <w:lang w:val="en-US"/>
        </w:rPr>
        <w:t xml:space="preserve"> </w:t>
      </w:r>
      <w:r w:rsidR="00425DA4" w:rsidRPr="007B2402">
        <w:rPr>
          <w:rFonts w:eastAsia="Calibri" w:cs="Times New Roman"/>
          <w:szCs w:val="20"/>
          <w:lang w:val="en-US"/>
        </w:rPr>
        <w:lastRenderedPageBreak/>
        <w:t>reiter</w:t>
      </w:r>
      <w:r w:rsidR="004E026D" w:rsidRPr="007B2402">
        <w:rPr>
          <w:rFonts w:eastAsia="Calibri" w:cs="Times New Roman"/>
          <w:szCs w:val="20"/>
          <w:lang w:val="en-US"/>
        </w:rPr>
        <w:t xml:space="preserve">ated the notion that </w:t>
      </w:r>
      <w:r w:rsidRPr="007B2402">
        <w:rPr>
          <w:rFonts w:eastAsia="Calibri" w:cs="Times New Roman"/>
          <w:szCs w:val="20"/>
          <w:lang w:val="en-US"/>
        </w:rPr>
        <w:t>“</w:t>
      </w:r>
      <w:r w:rsidR="00810476" w:rsidRPr="007B2402">
        <w:rPr>
          <w:rFonts w:eastAsia="Calibri" w:cs="Times New Roman"/>
          <w:szCs w:val="20"/>
          <w:lang w:val="en-US"/>
        </w:rPr>
        <w:t>crimes against humanity</w:t>
      </w:r>
      <w:r w:rsidRPr="007B2402">
        <w:rPr>
          <w:rFonts w:eastAsia="Calibri" w:cs="Times New Roman"/>
          <w:szCs w:val="20"/>
          <w:lang w:val="en-US"/>
        </w:rPr>
        <w:t xml:space="preserve"> </w:t>
      </w:r>
      <w:r w:rsidR="007F0B6A" w:rsidRPr="007B2402">
        <w:rPr>
          <w:rFonts w:eastAsia="Calibri" w:cs="Times New Roman"/>
          <w:szCs w:val="20"/>
          <w:lang w:val="en-US"/>
        </w:rPr>
        <w:t>threaten the peace, security and well-being of the world.” It also recalled the “duty of every State to exercise its criminal jurisdiction with respect to crimes against humanity, [c]onsidering that, because crimes against humanity must not go unpunished, the effective prosecution of such crimes must be ensured by taking measures at the national level and by enhancing international cooperation, including with respect to extradition and mutual legal assistance</w:t>
      </w:r>
      <w:r w:rsidRPr="007B2402">
        <w:rPr>
          <w:rFonts w:eastAsia="Calibri" w:cs="Times New Roman"/>
          <w:szCs w:val="20"/>
          <w:lang w:val="en-US"/>
        </w:rPr>
        <w:t>” (Pre</w:t>
      </w:r>
      <w:r w:rsidR="007F0B6A" w:rsidRPr="007B2402">
        <w:rPr>
          <w:rFonts w:eastAsia="Calibri" w:cs="Times New Roman"/>
          <w:szCs w:val="20"/>
          <w:lang w:val="en-US"/>
        </w:rPr>
        <w:t>amble</w:t>
      </w:r>
      <w:r w:rsidRPr="007B2402">
        <w:rPr>
          <w:rFonts w:eastAsia="Calibri" w:cs="Times New Roman"/>
          <w:szCs w:val="20"/>
          <w:lang w:val="en-US"/>
        </w:rPr>
        <w:t>)</w:t>
      </w:r>
      <w:r w:rsidR="007F0B6A" w:rsidRPr="007B2402">
        <w:rPr>
          <w:rFonts w:eastAsia="Calibri" w:cs="Times New Roman"/>
          <w:szCs w:val="20"/>
          <w:lang w:val="en-US"/>
        </w:rPr>
        <w:t>.</w:t>
      </w:r>
      <w:r w:rsidR="00483939" w:rsidRPr="007B2402">
        <w:rPr>
          <w:rStyle w:val="Refdenotaalpie"/>
          <w:rFonts w:ascii="Verdana" w:eastAsia="Calibri" w:hAnsi="Verdana"/>
          <w:lang w:val="en-US"/>
        </w:rPr>
        <w:footnoteReference w:id="165"/>
      </w:r>
      <w:r w:rsidR="007F0B6A" w:rsidRPr="007B2402">
        <w:rPr>
          <w:rFonts w:eastAsia="Calibri" w:cs="Times New Roman"/>
          <w:szCs w:val="20"/>
          <w:lang w:val="en-US"/>
        </w:rPr>
        <w:t xml:space="preserve"> </w:t>
      </w:r>
      <w:r w:rsidR="00A50B01" w:rsidRPr="007B2402">
        <w:rPr>
          <w:rFonts w:eastAsia="Calibri" w:cs="Times New Roman"/>
          <w:szCs w:val="20"/>
          <w:lang w:val="en-US"/>
        </w:rPr>
        <w:t xml:space="preserve">Regarding the substantive aspects of the prohibited conducts, the Draft articles included a definition of </w:t>
      </w:r>
      <w:r w:rsidR="00844CE7" w:rsidRPr="007B2402">
        <w:rPr>
          <w:rFonts w:eastAsia="Calibri" w:cs="Times New Roman"/>
          <w:szCs w:val="20"/>
          <w:lang w:val="en-US"/>
        </w:rPr>
        <w:t>crimes against humanity</w:t>
      </w:r>
      <w:r w:rsidRPr="007B2402">
        <w:rPr>
          <w:rFonts w:eastAsia="Calibri" w:cs="Times New Roman"/>
          <w:szCs w:val="20"/>
          <w:lang w:val="en-US"/>
        </w:rPr>
        <w:t xml:space="preserve"> </w:t>
      </w:r>
      <w:r w:rsidR="00A50B01" w:rsidRPr="007B2402">
        <w:rPr>
          <w:rFonts w:eastAsia="Calibri" w:cs="Times New Roman"/>
          <w:szCs w:val="20"/>
          <w:lang w:val="en-US"/>
        </w:rPr>
        <w:t>that was very similar to that in the Rome Statute</w:t>
      </w:r>
      <w:r w:rsidRPr="007B2402">
        <w:rPr>
          <w:rFonts w:eastAsia="Calibri" w:cs="Times New Roman"/>
          <w:szCs w:val="20"/>
          <w:lang w:val="en-US"/>
        </w:rPr>
        <w:t>.</w:t>
      </w:r>
      <w:r w:rsidR="00A50B01" w:rsidRPr="007B2402">
        <w:rPr>
          <w:rFonts w:eastAsia="Calibri" w:cs="Times New Roman"/>
          <w:szCs w:val="20"/>
          <w:lang w:val="en-US"/>
        </w:rPr>
        <w:t xml:space="preserve"> It also established that each State must take the necessary measures to ensure that, under its criminal law, the offenses referred in the draft articles are not be subject to any statute of limitations, and are punishable by appropriate penalties that take into account their grave nature </w:t>
      </w:r>
      <w:r w:rsidRPr="007B2402">
        <w:rPr>
          <w:rFonts w:eastAsia="Calibri" w:cs="Times New Roman"/>
          <w:szCs w:val="20"/>
          <w:lang w:val="en-US"/>
        </w:rPr>
        <w:t>(</w:t>
      </w:r>
      <w:r w:rsidR="00A65E06" w:rsidRPr="007B2402">
        <w:rPr>
          <w:rFonts w:eastAsia="Calibri" w:cs="Times New Roman"/>
          <w:szCs w:val="20"/>
          <w:lang w:val="en-US"/>
        </w:rPr>
        <w:t>Article</w:t>
      </w:r>
      <w:r w:rsidRPr="007B2402">
        <w:rPr>
          <w:rFonts w:eastAsia="Calibri" w:cs="Times New Roman"/>
          <w:szCs w:val="20"/>
          <w:lang w:val="en-US"/>
        </w:rPr>
        <w:t xml:space="preserve"> 6)</w:t>
      </w:r>
      <w:r w:rsidR="00A50B01" w:rsidRPr="007B2402">
        <w:rPr>
          <w:rFonts w:eastAsia="Calibri" w:cs="Times New Roman"/>
          <w:szCs w:val="20"/>
          <w:lang w:val="en-US"/>
        </w:rPr>
        <w:t>.</w:t>
      </w:r>
      <w:r w:rsidR="00483939" w:rsidRPr="007B2402">
        <w:rPr>
          <w:rStyle w:val="Refdenotaalpie"/>
          <w:rFonts w:ascii="Verdana" w:eastAsia="Calibri" w:hAnsi="Verdana"/>
          <w:lang w:val="en-US"/>
        </w:rPr>
        <w:footnoteReference w:id="166"/>
      </w:r>
      <w:r w:rsidRPr="007B2402">
        <w:rPr>
          <w:rFonts w:eastAsia="Calibri" w:cs="Times New Roman"/>
          <w:szCs w:val="20"/>
          <w:lang w:val="en-US"/>
        </w:rPr>
        <w:t xml:space="preserve"> </w:t>
      </w:r>
    </w:p>
    <w:p w14:paraId="039061D0" w14:textId="77777777" w:rsidR="000744A8" w:rsidRPr="007B2402" w:rsidRDefault="000744A8" w:rsidP="000744A8">
      <w:pPr>
        <w:spacing w:after="0" w:line="240" w:lineRule="auto"/>
        <w:jc w:val="both"/>
        <w:rPr>
          <w:rFonts w:eastAsia="Calibri" w:cs="Times New Roman"/>
          <w:szCs w:val="20"/>
          <w:lang w:val="en-US"/>
        </w:rPr>
      </w:pPr>
    </w:p>
    <w:p w14:paraId="55051E96" w14:textId="1FE724EF" w:rsidR="000744A8" w:rsidRPr="007B2402" w:rsidRDefault="00A50B01" w:rsidP="00DF5A6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According to</w:t>
      </w:r>
      <w:r w:rsidR="000744A8" w:rsidRPr="007B2402">
        <w:rPr>
          <w:rFonts w:eastAsia="Calibri" w:cs="Times New Roman"/>
          <w:szCs w:val="20"/>
          <w:lang w:val="en-US"/>
        </w:rPr>
        <w:t xml:space="preserve"> </w:t>
      </w:r>
      <w:r w:rsidR="00AF4344" w:rsidRPr="007B2402">
        <w:rPr>
          <w:rFonts w:eastAsia="Calibri" w:cs="Times New Roman"/>
          <w:szCs w:val="20"/>
          <w:lang w:val="en-US"/>
        </w:rPr>
        <w:t xml:space="preserve">the </w:t>
      </w:r>
      <w:r w:rsidR="004E026D" w:rsidRPr="007B2402">
        <w:rPr>
          <w:rFonts w:eastAsia="Calibri" w:cs="Times New Roman"/>
          <w:szCs w:val="20"/>
          <w:lang w:val="en-US"/>
        </w:rPr>
        <w:t>International Law Commission</w:t>
      </w:r>
      <w:r w:rsidR="000744A8" w:rsidRPr="007B2402">
        <w:rPr>
          <w:rFonts w:eastAsia="Calibri" w:cs="Times New Roman"/>
          <w:szCs w:val="20"/>
          <w:lang w:val="en-US"/>
        </w:rPr>
        <w:t xml:space="preserve">, </w:t>
      </w:r>
      <w:r w:rsidRPr="007B2402">
        <w:rPr>
          <w:rFonts w:eastAsia="Calibri" w:cs="Times New Roman"/>
          <w:szCs w:val="20"/>
          <w:lang w:val="en-US"/>
        </w:rPr>
        <w:t>the prohibition of</w:t>
      </w:r>
      <w:r w:rsidR="000744A8" w:rsidRPr="007B2402">
        <w:rPr>
          <w:rFonts w:eastAsia="Calibri" w:cs="Times New Roman"/>
          <w:szCs w:val="20"/>
          <w:lang w:val="en-US"/>
        </w:rPr>
        <w:t xml:space="preserve"> </w:t>
      </w:r>
      <w:r w:rsidR="00810476" w:rsidRPr="007B2402">
        <w:rPr>
          <w:rFonts w:eastAsia="Calibri" w:cs="Times New Roman"/>
          <w:szCs w:val="20"/>
          <w:lang w:val="en-US"/>
        </w:rPr>
        <w:t>crimes against humanity</w:t>
      </w:r>
      <w:r w:rsidR="000744A8" w:rsidRPr="007B2402">
        <w:rPr>
          <w:rFonts w:eastAsia="Calibri" w:cs="Times New Roman"/>
          <w:szCs w:val="20"/>
          <w:lang w:val="en-US"/>
        </w:rPr>
        <w:t xml:space="preserve"> </w:t>
      </w:r>
      <w:r w:rsidR="00E14F63" w:rsidRPr="007B2402">
        <w:rPr>
          <w:rFonts w:eastAsia="Calibri" w:cs="Times New Roman"/>
          <w:szCs w:val="20"/>
          <w:lang w:val="en-US"/>
        </w:rPr>
        <w:t>is clearly accepted and recognized as a peremptory rule of international law.</w:t>
      </w:r>
      <w:r w:rsidR="000744A8" w:rsidRPr="007B2402">
        <w:rPr>
          <w:rFonts w:eastAsia="Calibri" w:cs="Times New Roman"/>
          <w:szCs w:val="20"/>
          <w:vertAlign w:val="superscript"/>
          <w:lang w:val="en-US"/>
        </w:rPr>
        <w:footnoteReference w:id="167"/>
      </w:r>
      <w:r w:rsidR="00E14F63" w:rsidRPr="007B2402">
        <w:rPr>
          <w:rFonts w:eastAsia="Calibri" w:cs="Times New Roman"/>
          <w:szCs w:val="20"/>
          <w:lang w:val="en-US"/>
        </w:rPr>
        <w:t xml:space="preserve"> Similarly,</w:t>
      </w:r>
      <w:r w:rsidR="000744A8" w:rsidRPr="007B2402">
        <w:rPr>
          <w:rFonts w:eastAsia="Calibri" w:cs="Times New Roman"/>
          <w:szCs w:val="20"/>
          <w:lang w:val="en-US"/>
        </w:rPr>
        <w:t xml:space="preserve"> </w:t>
      </w:r>
      <w:r w:rsidR="00AF4344" w:rsidRPr="007B2402">
        <w:rPr>
          <w:rFonts w:eastAsia="Calibri" w:cs="Times New Roman"/>
          <w:szCs w:val="20"/>
          <w:lang w:val="en-US"/>
        </w:rPr>
        <w:t xml:space="preserve">the </w:t>
      </w:r>
      <w:r w:rsidR="00E14F63" w:rsidRPr="007B2402">
        <w:rPr>
          <w:rFonts w:eastAsia="Calibri" w:cs="Times New Roman"/>
          <w:szCs w:val="20"/>
          <w:lang w:val="en-US"/>
        </w:rPr>
        <w:t xml:space="preserve">International </w:t>
      </w:r>
      <w:r w:rsidR="00AF4344" w:rsidRPr="007B2402">
        <w:rPr>
          <w:rFonts w:eastAsia="Calibri" w:cs="Times New Roman"/>
          <w:szCs w:val="20"/>
          <w:lang w:val="en-US"/>
        </w:rPr>
        <w:t>Court</w:t>
      </w:r>
      <w:r w:rsidR="000744A8" w:rsidRPr="007B2402">
        <w:rPr>
          <w:rFonts w:eastAsia="Calibri" w:cs="Times New Roman"/>
          <w:szCs w:val="20"/>
          <w:lang w:val="en-US"/>
        </w:rPr>
        <w:t xml:space="preserve"> </w:t>
      </w:r>
      <w:r w:rsidR="00E14F63" w:rsidRPr="007B2402">
        <w:rPr>
          <w:rFonts w:eastAsia="Calibri" w:cs="Times New Roman"/>
          <w:szCs w:val="20"/>
          <w:lang w:val="en-US"/>
        </w:rPr>
        <w:t>of Justice has indicated that the prohibition of certain acts, such as torture</w:t>
      </w:r>
      <w:r w:rsidR="00DF5A60" w:rsidRPr="007B2402">
        <w:rPr>
          <w:rFonts w:eastAsia="Calibri" w:cs="Times New Roman"/>
          <w:szCs w:val="20"/>
          <w:lang w:val="en-US"/>
        </w:rPr>
        <w:t xml:space="preserve"> “has become a peremptory norm (</w:t>
      </w:r>
      <w:r w:rsidR="00DF5A60" w:rsidRPr="007B2402">
        <w:rPr>
          <w:rFonts w:eastAsia="Calibri" w:cs="Times New Roman"/>
          <w:i/>
          <w:iCs/>
          <w:szCs w:val="20"/>
          <w:lang w:val="en-US"/>
        </w:rPr>
        <w:t>jus cogens</w:t>
      </w:r>
      <w:r w:rsidR="00DF5A60" w:rsidRPr="007B2402">
        <w:rPr>
          <w:rFonts w:eastAsia="Calibri" w:cs="Times New Roman"/>
          <w:szCs w:val="20"/>
          <w:lang w:val="en-US"/>
        </w:rPr>
        <w:t>),”</w:t>
      </w:r>
      <w:r w:rsidR="000744A8" w:rsidRPr="007B2402">
        <w:rPr>
          <w:rFonts w:eastAsia="Calibri" w:cs="Times New Roman"/>
          <w:szCs w:val="20"/>
          <w:vertAlign w:val="superscript"/>
          <w:lang w:val="en-US"/>
        </w:rPr>
        <w:footnoteReference w:id="168"/>
      </w:r>
      <w:r w:rsidR="000744A8" w:rsidRPr="007B2402">
        <w:rPr>
          <w:rFonts w:eastAsia="Calibri" w:cs="Times New Roman"/>
          <w:szCs w:val="20"/>
          <w:lang w:val="en-US"/>
        </w:rPr>
        <w:t xml:space="preserve"> </w:t>
      </w:r>
      <w:r w:rsidR="00DF5A60" w:rsidRPr="007B2402">
        <w:rPr>
          <w:rFonts w:eastAsia="Calibri" w:cs="Times New Roman"/>
          <w:szCs w:val="20"/>
          <w:lang w:val="en-US"/>
        </w:rPr>
        <w:t xml:space="preserve">which, furthermore, indicates that the prohibition to commit such acts, </w:t>
      </w:r>
      <w:r w:rsidR="00281E9C" w:rsidRPr="007B2402">
        <w:rPr>
          <w:rFonts w:eastAsia="Calibri" w:cs="Times New Roman"/>
          <w:szCs w:val="20"/>
          <w:lang w:val="en-US"/>
        </w:rPr>
        <w:t>that</w:t>
      </w:r>
      <w:r w:rsidR="00DF5A60" w:rsidRPr="007B2402">
        <w:rPr>
          <w:rFonts w:eastAsia="Calibri" w:cs="Times New Roman"/>
          <w:szCs w:val="20"/>
          <w:lang w:val="en-US"/>
        </w:rPr>
        <w:t xml:space="preserve"> constitute crimes against humanity, in a </w:t>
      </w:r>
      <w:r w:rsidR="00B520AC" w:rsidRPr="007B2402">
        <w:rPr>
          <w:rFonts w:eastAsia="Calibri" w:cs="Times New Roman"/>
          <w:szCs w:val="20"/>
          <w:lang w:val="en-US"/>
        </w:rPr>
        <w:t>widespread</w:t>
      </w:r>
      <w:r w:rsidR="00DF5A60" w:rsidRPr="007B2402">
        <w:rPr>
          <w:rFonts w:eastAsia="Calibri" w:cs="Times New Roman"/>
          <w:szCs w:val="20"/>
          <w:lang w:val="en-US"/>
        </w:rPr>
        <w:t xml:space="preserve"> and systematic manner is also a peremptory norm of </w:t>
      </w:r>
      <w:r w:rsidR="00DF5A60" w:rsidRPr="007B2402">
        <w:rPr>
          <w:rFonts w:eastAsia="Calibri" w:cs="Times New Roman"/>
          <w:i/>
          <w:iCs/>
          <w:szCs w:val="20"/>
          <w:lang w:val="en-US"/>
        </w:rPr>
        <w:t>jus cogens</w:t>
      </w:r>
      <w:r w:rsidR="00DF5A60" w:rsidRPr="007B2402">
        <w:rPr>
          <w:rFonts w:eastAsia="Calibri" w:cs="Times New Roman"/>
          <w:szCs w:val="20"/>
          <w:lang w:val="en-US"/>
        </w:rPr>
        <w:t>.</w:t>
      </w:r>
      <w:r w:rsidR="000744A8" w:rsidRPr="007B2402">
        <w:rPr>
          <w:rFonts w:eastAsia="Calibri" w:cs="Times New Roman"/>
          <w:szCs w:val="20"/>
          <w:vertAlign w:val="superscript"/>
          <w:lang w:val="en-US"/>
        </w:rPr>
        <w:footnoteReference w:id="169"/>
      </w:r>
      <w:r w:rsidR="00DF5A60" w:rsidRPr="007B2402">
        <w:rPr>
          <w:rFonts w:eastAsia="Calibri" w:cs="Times New Roman"/>
          <w:szCs w:val="20"/>
          <w:lang w:val="en-US"/>
        </w:rPr>
        <w:t xml:space="preserve"> In this regard,</w:t>
      </w:r>
      <w:r w:rsidR="000744A8" w:rsidRPr="007B2402">
        <w:rPr>
          <w:rFonts w:eastAsia="Calibri" w:cs="Times New Roman"/>
          <w:szCs w:val="20"/>
          <w:lang w:val="en-US"/>
        </w:rPr>
        <w:t xml:space="preserve"> </w:t>
      </w:r>
      <w:r w:rsidR="00AF4344" w:rsidRPr="007B2402">
        <w:rPr>
          <w:rFonts w:eastAsia="Calibri" w:cs="Times New Roman"/>
          <w:szCs w:val="20"/>
          <w:lang w:val="en-US"/>
        </w:rPr>
        <w:t xml:space="preserve">the </w:t>
      </w:r>
      <w:r w:rsidR="004E026D" w:rsidRPr="007B2402">
        <w:rPr>
          <w:rFonts w:eastAsia="Calibri" w:cs="Times New Roman"/>
          <w:szCs w:val="20"/>
          <w:lang w:val="en-US"/>
        </w:rPr>
        <w:t>International Law Commission</w:t>
      </w:r>
      <w:r w:rsidR="000744A8" w:rsidRPr="007B2402">
        <w:rPr>
          <w:rFonts w:eastAsia="Calibri" w:cs="Times New Roman"/>
          <w:szCs w:val="20"/>
          <w:lang w:val="en-US"/>
        </w:rPr>
        <w:t xml:space="preserve"> </w:t>
      </w:r>
      <w:r w:rsidR="00DF5A60" w:rsidRPr="007B2402">
        <w:rPr>
          <w:rFonts w:eastAsia="Calibri" w:cs="Times New Roman"/>
          <w:szCs w:val="20"/>
          <w:lang w:val="en-US"/>
        </w:rPr>
        <w:t>has explicitly recognized that “</w:t>
      </w:r>
      <w:r w:rsidR="00DF5A60" w:rsidRPr="007B2402">
        <w:rPr>
          <w:rFonts w:cs="Arial"/>
          <w:szCs w:val="20"/>
          <w:lang w:val="en-US"/>
        </w:rPr>
        <w:t>[t]he characterization of crimes against humanity as ‘crimes under international law’ indicates that they exist as crimes whether or not the conduct has been criminalized under national law</w:t>
      </w:r>
      <w:r w:rsidR="000744A8" w:rsidRPr="007B2402">
        <w:rPr>
          <w:rFonts w:eastAsia="Calibri" w:cs="Times New Roman"/>
          <w:szCs w:val="20"/>
          <w:lang w:val="en-US"/>
        </w:rPr>
        <w:t>.</w:t>
      </w:r>
      <w:r w:rsidR="00AD7E26" w:rsidRPr="007B2402">
        <w:rPr>
          <w:rFonts w:eastAsia="Calibri" w:cs="Times New Roman"/>
          <w:szCs w:val="20"/>
          <w:lang w:val="en-US"/>
        </w:rPr>
        <w:t>”</w:t>
      </w:r>
      <w:r w:rsidR="000744A8" w:rsidRPr="007B2402">
        <w:rPr>
          <w:rFonts w:eastAsia="Calibri" w:cs="Times New Roman"/>
          <w:szCs w:val="20"/>
          <w:lang w:val="en-US"/>
        </w:rPr>
        <w:t xml:space="preserve"> </w:t>
      </w:r>
      <w:r w:rsidR="00DF5A60" w:rsidRPr="007B2402">
        <w:rPr>
          <w:rFonts w:eastAsia="Calibri" w:cs="Times New Roman"/>
          <w:szCs w:val="20"/>
          <w:lang w:val="en-US"/>
        </w:rPr>
        <w:t xml:space="preserve">In this regard, it indicated that </w:t>
      </w:r>
      <w:r w:rsidR="00AD7E26" w:rsidRPr="007B2402">
        <w:rPr>
          <w:rFonts w:eastAsia="Calibri" w:cs="Times New Roman"/>
          <w:szCs w:val="20"/>
          <w:lang w:val="en-US"/>
        </w:rPr>
        <w:t>“[</w:t>
      </w:r>
      <w:r w:rsidR="00EB7886" w:rsidRPr="007B2402">
        <w:rPr>
          <w:rFonts w:eastAsia="Calibri" w:cs="Times New Roman"/>
          <w:szCs w:val="20"/>
          <w:lang w:val="en-US"/>
        </w:rPr>
        <w:t>t</w:t>
      </w:r>
      <w:r w:rsidR="00AD7E26" w:rsidRPr="007B2402">
        <w:rPr>
          <w:rFonts w:eastAsia="Calibri" w:cs="Times New Roman"/>
          <w:szCs w:val="20"/>
          <w:lang w:val="en-US"/>
        </w:rPr>
        <w:t>]</w:t>
      </w:r>
      <w:r w:rsidR="00EB7886" w:rsidRPr="007B2402">
        <w:rPr>
          <w:rFonts w:cs="Arial"/>
          <w:szCs w:val="20"/>
          <w:lang w:val="en-US"/>
        </w:rPr>
        <w:t xml:space="preserve">he Nürnberg Charter defined crimes against humanity as the commission of certain acts “whether or not in violation of the domestic law of the country where perpetrated’ </w:t>
      </w:r>
      <w:r w:rsidR="00AD7E26" w:rsidRPr="007B2402">
        <w:rPr>
          <w:rFonts w:eastAsia="Calibri" w:cs="Times New Roman"/>
          <w:szCs w:val="20"/>
          <w:lang w:val="en-US"/>
        </w:rPr>
        <w:t>(</w:t>
      </w:r>
      <w:r w:rsidR="00EB7886" w:rsidRPr="007B2402">
        <w:rPr>
          <w:rFonts w:eastAsia="Calibri" w:cs="Times New Roman"/>
          <w:szCs w:val="20"/>
          <w:lang w:val="en-US"/>
        </w:rPr>
        <w:t>a</w:t>
      </w:r>
      <w:r w:rsidR="00A65E06" w:rsidRPr="007B2402">
        <w:rPr>
          <w:rFonts w:eastAsia="Calibri" w:cs="Times New Roman"/>
          <w:szCs w:val="20"/>
          <w:lang w:val="en-US"/>
        </w:rPr>
        <w:t>rt</w:t>
      </w:r>
      <w:r w:rsidR="00EB7886" w:rsidRPr="007B2402">
        <w:rPr>
          <w:rFonts w:eastAsia="Calibri" w:cs="Times New Roman"/>
          <w:szCs w:val="20"/>
          <w:lang w:val="en-US"/>
        </w:rPr>
        <w:t>.</w:t>
      </w:r>
      <w:r w:rsidR="00AD7E26" w:rsidRPr="007B2402">
        <w:rPr>
          <w:rFonts w:eastAsia="Calibri" w:cs="Times New Roman"/>
          <w:szCs w:val="20"/>
          <w:lang w:val="en-US"/>
        </w:rPr>
        <w:t xml:space="preserve"> 6</w:t>
      </w:r>
      <w:r w:rsidR="00EB7886" w:rsidRPr="007B2402">
        <w:rPr>
          <w:rFonts w:eastAsia="Calibri" w:cs="Times New Roman"/>
          <w:szCs w:val="20"/>
          <w:lang w:val="en-US"/>
        </w:rPr>
        <w:t>(</w:t>
      </w:r>
      <w:r w:rsidR="00AD7E26" w:rsidRPr="007B2402">
        <w:rPr>
          <w:rFonts w:eastAsia="Calibri" w:cs="Times New Roman"/>
          <w:szCs w:val="20"/>
          <w:lang w:val="en-US"/>
        </w:rPr>
        <w:t>c</w:t>
      </w:r>
      <w:r w:rsidR="00EB7886" w:rsidRPr="007B2402">
        <w:rPr>
          <w:rFonts w:eastAsia="Calibri" w:cs="Times New Roman"/>
          <w:szCs w:val="20"/>
          <w:lang w:val="en-US"/>
        </w:rPr>
        <w:t>)</w:t>
      </w:r>
      <w:r w:rsidR="00AD7E26" w:rsidRPr="007B2402">
        <w:rPr>
          <w:rFonts w:eastAsia="Calibri" w:cs="Times New Roman"/>
          <w:szCs w:val="20"/>
          <w:lang w:val="en-US"/>
        </w:rPr>
        <w:t>)</w:t>
      </w:r>
      <w:r w:rsidR="00EB7886" w:rsidRPr="007B2402">
        <w:rPr>
          <w:rFonts w:eastAsia="Calibri" w:cs="Times New Roman"/>
          <w:szCs w:val="20"/>
          <w:lang w:val="en-US"/>
        </w:rPr>
        <w:t>.</w:t>
      </w:r>
      <w:r w:rsidR="00AD7E26" w:rsidRPr="007B2402">
        <w:rPr>
          <w:rFonts w:eastAsia="Calibri" w:cs="Times New Roman"/>
          <w:szCs w:val="20"/>
          <w:lang w:val="en-US"/>
        </w:rPr>
        <w:t>”</w:t>
      </w:r>
      <w:r w:rsidR="000744A8" w:rsidRPr="007B2402">
        <w:rPr>
          <w:rFonts w:eastAsia="Calibri" w:cs="Times New Roman"/>
          <w:szCs w:val="20"/>
          <w:vertAlign w:val="superscript"/>
          <w:lang w:val="en-US"/>
        </w:rPr>
        <w:footnoteReference w:id="170"/>
      </w:r>
    </w:p>
    <w:p w14:paraId="407338E8" w14:textId="77777777" w:rsidR="000744A8" w:rsidRPr="007B2402" w:rsidRDefault="000744A8" w:rsidP="000744A8">
      <w:pPr>
        <w:spacing w:after="0" w:line="240" w:lineRule="auto"/>
        <w:jc w:val="both"/>
        <w:rPr>
          <w:rFonts w:eastAsia="Calibri" w:cs="Times New Roman"/>
          <w:szCs w:val="20"/>
          <w:lang w:val="en-US"/>
        </w:rPr>
      </w:pPr>
    </w:p>
    <w:p w14:paraId="1F5B0303" w14:textId="1D0F81A3" w:rsidR="000744A8" w:rsidRPr="007B2402" w:rsidRDefault="00EB7886"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 xml:space="preserve">This was the exact interpretation of </w:t>
      </w:r>
      <w:r w:rsidR="00AF4344" w:rsidRPr="007B2402">
        <w:rPr>
          <w:rFonts w:eastAsia="Calibri" w:cs="Times New Roman"/>
          <w:szCs w:val="20"/>
          <w:lang w:val="en-US"/>
        </w:rPr>
        <w:t>the Inter-American Court</w:t>
      </w:r>
      <w:r w:rsidR="000744A8" w:rsidRPr="007B2402">
        <w:rPr>
          <w:rFonts w:eastAsia="Calibri" w:cs="Times New Roman"/>
          <w:szCs w:val="20"/>
          <w:lang w:val="en-US"/>
        </w:rPr>
        <w:t xml:space="preserve"> </w:t>
      </w:r>
      <w:r w:rsidRPr="007B2402">
        <w:rPr>
          <w:rFonts w:eastAsia="Calibri" w:cs="Times New Roman"/>
          <w:szCs w:val="20"/>
          <w:lang w:val="en-US"/>
        </w:rPr>
        <w:t>in the case of</w:t>
      </w:r>
      <w:r w:rsidR="000744A8" w:rsidRPr="007B2402">
        <w:rPr>
          <w:rFonts w:eastAsia="Calibri" w:cs="Times New Roman"/>
          <w:szCs w:val="20"/>
          <w:lang w:val="en-US"/>
        </w:rPr>
        <w:t xml:space="preserve"> Almonacid Arellano (</w:t>
      </w:r>
      <w:r w:rsidR="000744A8" w:rsidRPr="007B2402">
        <w:rPr>
          <w:rFonts w:eastAsia="Calibri" w:cs="Times New Roman"/>
          <w:i/>
          <w:szCs w:val="20"/>
          <w:lang w:val="en-US"/>
        </w:rPr>
        <w:t xml:space="preserve">supra </w:t>
      </w:r>
      <w:r w:rsidR="005B1590" w:rsidRPr="007B2402">
        <w:rPr>
          <w:rFonts w:eastAsia="Calibri" w:cs="Times New Roman"/>
          <w:szCs w:val="20"/>
          <w:lang w:val="en-US"/>
        </w:rPr>
        <w:t>para.</w:t>
      </w:r>
      <w:r w:rsidR="000744A8" w:rsidRPr="007B2402">
        <w:rPr>
          <w:rFonts w:eastAsia="Calibri" w:cs="Times New Roman"/>
          <w:szCs w:val="20"/>
          <w:lang w:val="en-US"/>
        </w:rPr>
        <w:t xml:space="preserve"> </w:t>
      </w:r>
      <w:r w:rsidR="003A7CA8" w:rsidRPr="007B2402">
        <w:rPr>
          <w:rFonts w:eastAsia="Calibri" w:cs="Times New Roman"/>
          <w:szCs w:val="20"/>
          <w:lang w:val="en-US"/>
        </w:rPr>
        <w:t>212</w:t>
      </w:r>
      <w:r w:rsidR="000744A8" w:rsidRPr="007B2402">
        <w:rPr>
          <w:rFonts w:eastAsia="Calibri" w:cs="Times New Roman"/>
          <w:szCs w:val="20"/>
          <w:lang w:val="en-US"/>
        </w:rPr>
        <w:t xml:space="preserve">), </w:t>
      </w:r>
      <w:r w:rsidRPr="007B2402">
        <w:rPr>
          <w:rFonts w:eastAsia="Calibri" w:cs="Times New Roman"/>
          <w:szCs w:val="20"/>
          <w:lang w:val="en-US"/>
        </w:rPr>
        <w:t>and has been applied to th</w:t>
      </w:r>
      <w:r w:rsidR="00281E9C" w:rsidRPr="007B2402">
        <w:rPr>
          <w:rFonts w:eastAsia="Calibri" w:cs="Times New Roman"/>
          <w:szCs w:val="20"/>
          <w:lang w:val="en-US"/>
        </w:rPr>
        <w:t>e instant</w:t>
      </w:r>
      <w:r w:rsidRPr="007B2402">
        <w:rPr>
          <w:rFonts w:eastAsia="Calibri" w:cs="Times New Roman"/>
          <w:szCs w:val="20"/>
          <w:lang w:val="en-US"/>
        </w:rPr>
        <w:t xml:space="preserve"> case also. Moreover, it is </w:t>
      </w:r>
      <w:r w:rsidRPr="007B2402">
        <w:rPr>
          <w:rFonts w:eastAsia="Calibri" w:cs="Times New Roman"/>
          <w:szCs w:val="20"/>
          <w:lang w:val="en-US"/>
        </w:rPr>
        <w:lastRenderedPageBreak/>
        <w:t>important to point out that</w:t>
      </w:r>
      <w:r w:rsidR="002D2BE1" w:rsidRPr="007B2402">
        <w:rPr>
          <w:rFonts w:eastAsia="Calibri" w:cs="Times New Roman"/>
          <w:szCs w:val="20"/>
          <w:lang w:val="en-US"/>
        </w:rPr>
        <w:t>, over recent decades, international</w:t>
      </w:r>
      <w:r w:rsidR="000744A8" w:rsidRPr="007B2402">
        <w:rPr>
          <w:rFonts w:eastAsia="Calibri" w:cs="Times New Roman"/>
          <w:szCs w:val="20"/>
          <w:vertAlign w:val="superscript"/>
          <w:lang w:val="en-US"/>
        </w:rPr>
        <w:footnoteReference w:id="171"/>
      </w:r>
      <w:r w:rsidR="000744A8" w:rsidRPr="007B2402">
        <w:rPr>
          <w:rFonts w:eastAsia="Calibri" w:cs="Times New Roman"/>
          <w:szCs w:val="20"/>
          <w:lang w:val="en-US"/>
        </w:rPr>
        <w:t xml:space="preserve"> </w:t>
      </w:r>
      <w:r w:rsidR="002D2BE1" w:rsidRPr="007B2402">
        <w:rPr>
          <w:rFonts w:eastAsia="Calibri" w:cs="Times New Roman"/>
          <w:szCs w:val="20"/>
          <w:lang w:val="en-US"/>
        </w:rPr>
        <w:t>and national courts,</w:t>
      </w:r>
      <w:r w:rsidR="000744A8" w:rsidRPr="007B2402">
        <w:rPr>
          <w:rFonts w:eastAsia="Calibri" w:cs="Times New Roman"/>
          <w:szCs w:val="20"/>
          <w:vertAlign w:val="superscript"/>
          <w:lang w:val="en-US"/>
        </w:rPr>
        <w:footnoteReference w:id="172"/>
      </w:r>
      <w:r w:rsidR="005B1590" w:rsidRPr="007B2402">
        <w:rPr>
          <w:rFonts w:eastAsia="Calibri" w:cs="Times New Roman"/>
          <w:szCs w:val="20"/>
          <w:lang w:val="en-US"/>
        </w:rPr>
        <w:t xml:space="preserve"> and </w:t>
      </w:r>
      <w:r w:rsidR="002D2BE1" w:rsidRPr="007B2402">
        <w:rPr>
          <w:rFonts w:eastAsia="Calibri" w:cs="Times New Roman"/>
          <w:szCs w:val="20"/>
          <w:lang w:val="en-US"/>
        </w:rPr>
        <w:t>United Nations bodies</w:t>
      </w:r>
      <w:r w:rsidR="000744A8" w:rsidRPr="007B2402">
        <w:rPr>
          <w:rFonts w:eastAsia="Calibri" w:cs="Times New Roman"/>
          <w:szCs w:val="20"/>
          <w:vertAlign w:val="superscript"/>
          <w:lang w:val="en-US"/>
        </w:rPr>
        <w:footnoteReference w:id="173"/>
      </w:r>
      <w:r w:rsidR="002D2BE1" w:rsidRPr="007B2402">
        <w:rPr>
          <w:rFonts w:eastAsia="Calibri" w:cs="Times New Roman"/>
          <w:szCs w:val="20"/>
          <w:lang w:val="en-US"/>
        </w:rPr>
        <w:t xml:space="preserve"> have ruled similarly.</w:t>
      </w:r>
    </w:p>
    <w:p w14:paraId="018F3EB2" w14:textId="77777777" w:rsidR="000744A8" w:rsidRPr="007B2402" w:rsidRDefault="000744A8" w:rsidP="000744A8">
      <w:pPr>
        <w:spacing w:after="0" w:line="240" w:lineRule="auto"/>
        <w:jc w:val="both"/>
        <w:rPr>
          <w:rFonts w:eastAsia="Calibri" w:cs="Times New Roman"/>
          <w:szCs w:val="20"/>
          <w:lang w:val="en-US"/>
        </w:rPr>
      </w:pPr>
    </w:p>
    <w:p w14:paraId="6F64D368" w14:textId="184FA4BF" w:rsidR="000744A8" w:rsidRPr="007B2402" w:rsidRDefault="000744A8" w:rsidP="00E668B8">
      <w:pPr>
        <w:pStyle w:val="Ttulo3"/>
        <w:rPr>
          <w:lang w:val="en-US"/>
        </w:rPr>
      </w:pPr>
      <w:bookmarkStart w:id="162" w:name="_Toc506984121"/>
      <w:r w:rsidRPr="007B2402">
        <w:rPr>
          <w:lang w:val="en-US"/>
        </w:rPr>
        <w:t>B.</w:t>
      </w:r>
      <w:r w:rsidR="00375567" w:rsidRPr="007B2402">
        <w:rPr>
          <w:lang w:val="en-US"/>
        </w:rPr>
        <w:t>1</w:t>
      </w:r>
      <w:r w:rsidR="002D2BE1" w:rsidRPr="007B2402">
        <w:rPr>
          <w:lang w:val="en-US"/>
        </w:rPr>
        <w:t>.</w:t>
      </w:r>
      <w:r w:rsidR="00375567" w:rsidRPr="007B2402">
        <w:rPr>
          <w:lang w:val="en-US"/>
        </w:rPr>
        <w:t>1</w:t>
      </w:r>
      <w:r w:rsidR="0030524C" w:rsidRPr="007B2402">
        <w:rPr>
          <w:lang w:val="en-US"/>
        </w:rPr>
        <w:t>.</w:t>
      </w:r>
      <w:r w:rsidRPr="007B2402">
        <w:rPr>
          <w:lang w:val="en-US"/>
        </w:rPr>
        <w:t xml:space="preserve"> Element</w:t>
      </w:r>
      <w:r w:rsidR="002D2BE1" w:rsidRPr="007B2402">
        <w:rPr>
          <w:lang w:val="en-US"/>
        </w:rPr>
        <w:t>s of</w:t>
      </w:r>
      <w:r w:rsidRPr="007B2402">
        <w:rPr>
          <w:lang w:val="en-US"/>
        </w:rPr>
        <w:t xml:space="preserve"> </w:t>
      </w:r>
      <w:r w:rsidR="00810476" w:rsidRPr="007B2402">
        <w:rPr>
          <w:lang w:val="en-US"/>
        </w:rPr>
        <w:t>crimes against humanity</w:t>
      </w:r>
      <w:bookmarkEnd w:id="162"/>
    </w:p>
    <w:p w14:paraId="0A0F2516" w14:textId="77777777" w:rsidR="000744A8" w:rsidRPr="007B2402" w:rsidRDefault="000744A8" w:rsidP="000744A8">
      <w:pPr>
        <w:spacing w:after="0" w:line="240" w:lineRule="auto"/>
        <w:jc w:val="both"/>
        <w:rPr>
          <w:rFonts w:eastAsia="Calibri" w:cs="Times New Roman"/>
          <w:szCs w:val="20"/>
          <w:lang w:val="en-US"/>
        </w:rPr>
      </w:pPr>
    </w:p>
    <w:p w14:paraId="273943C4" w14:textId="6AC7242F" w:rsidR="009F0AF8" w:rsidRPr="007B2402" w:rsidRDefault="00810476"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Crimes against humanity</w:t>
      </w:r>
      <w:r w:rsidR="000744A8" w:rsidRPr="007B2402">
        <w:rPr>
          <w:rFonts w:eastAsia="Calibri" w:cs="Times New Roman"/>
          <w:szCs w:val="20"/>
          <w:lang w:val="en-US"/>
        </w:rPr>
        <w:t xml:space="preserve"> </w:t>
      </w:r>
      <w:r w:rsidR="009F0AF8" w:rsidRPr="007B2402">
        <w:rPr>
          <w:rFonts w:eastAsia="Calibri" w:cs="Times New Roman"/>
          <w:szCs w:val="20"/>
          <w:lang w:val="en-US"/>
        </w:rPr>
        <w:t xml:space="preserve">have been recognized as a crime </w:t>
      </w:r>
      <w:r w:rsidR="00955D71" w:rsidRPr="007B2402">
        <w:rPr>
          <w:rFonts w:eastAsia="Calibri" w:cs="Times New Roman"/>
          <w:szCs w:val="20"/>
          <w:lang w:val="en-US"/>
        </w:rPr>
        <w:t>under</w:t>
      </w:r>
      <w:r w:rsidR="009F0AF8" w:rsidRPr="007B2402">
        <w:rPr>
          <w:rFonts w:eastAsia="Calibri" w:cs="Times New Roman"/>
          <w:szCs w:val="20"/>
          <w:lang w:val="en-US"/>
        </w:rPr>
        <w:t xml:space="preserve"> international law, together with war crimes, genocide, slavery and aggression. That means that their content, nature and the related responsibilities have been established in international law irrespective of the provisions of the domestic law of the States. The fundamental characteristic of a crime </w:t>
      </w:r>
      <w:r w:rsidR="00955D71" w:rsidRPr="007B2402">
        <w:rPr>
          <w:rFonts w:eastAsia="Calibri" w:cs="Times New Roman"/>
          <w:szCs w:val="20"/>
          <w:lang w:val="en-US"/>
        </w:rPr>
        <w:t>under</w:t>
      </w:r>
      <w:r w:rsidR="009F0AF8" w:rsidRPr="007B2402">
        <w:rPr>
          <w:rFonts w:eastAsia="Calibri" w:cs="Times New Roman"/>
          <w:szCs w:val="20"/>
          <w:lang w:val="en-US"/>
        </w:rPr>
        <w:t xml:space="preserve"> international law is that it threatens the peace and security of mankind, because it offends the conscience of humanity. Such crimes are planned State crimes, that form part of an evident policy or strategy against a people or a group of </w:t>
      </w:r>
      <w:r w:rsidR="00955D71" w:rsidRPr="007B2402">
        <w:rPr>
          <w:rFonts w:eastAsia="Calibri" w:cs="Times New Roman"/>
          <w:szCs w:val="20"/>
          <w:lang w:val="en-US"/>
        </w:rPr>
        <w:t>individuals</w:t>
      </w:r>
      <w:r w:rsidR="009F0AF8" w:rsidRPr="007B2402">
        <w:rPr>
          <w:rFonts w:eastAsia="Calibri" w:cs="Times New Roman"/>
          <w:szCs w:val="20"/>
          <w:lang w:val="en-US"/>
        </w:rPr>
        <w:t xml:space="preserve">. The perpetrators, typically, </w:t>
      </w:r>
      <w:r w:rsidR="00955D71" w:rsidRPr="007B2402">
        <w:rPr>
          <w:rFonts w:eastAsia="Calibri" w:cs="Times New Roman"/>
          <w:szCs w:val="20"/>
          <w:lang w:val="en-US"/>
        </w:rPr>
        <w:t>are</w:t>
      </w:r>
      <w:r w:rsidR="009F0AF8" w:rsidRPr="007B2402">
        <w:rPr>
          <w:rFonts w:eastAsia="Calibri" w:cs="Times New Roman"/>
          <w:szCs w:val="20"/>
          <w:lang w:val="en-US"/>
        </w:rPr>
        <w:t xml:space="preserve"> State agents complying with this policy or plan, who take part, in widespread</w:t>
      </w:r>
      <w:r w:rsidR="004B46F7" w:rsidRPr="007B2402">
        <w:rPr>
          <w:rFonts w:eastAsia="Calibri" w:cs="Times New Roman"/>
          <w:szCs w:val="20"/>
          <w:lang w:val="en-US"/>
        </w:rPr>
        <w:t xml:space="preserve"> and systematic</w:t>
      </w:r>
      <w:r w:rsidR="009F0AF8" w:rsidRPr="007B2402">
        <w:rPr>
          <w:rFonts w:eastAsia="Calibri" w:cs="Times New Roman"/>
          <w:szCs w:val="20"/>
          <w:lang w:val="en-US"/>
        </w:rPr>
        <w:t xml:space="preserve"> acts of murder, torture, rape and other heinous acts against the civilian population.</w:t>
      </w:r>
    </w:p>
    <w:p w14:paraId="7FD233B1" w14:textId="77777777" w:rsidR="00F87635" w:rsidRPr="007B2402" w:rsidRDefault="00F87635" w:rsidP="00F87635">
      <w:pPr>
        <w:spacing w:after="0" w:line="240" w:lineRule="auto"/>
        <w:jc w:val="both"/>
        <w:rPr>
          <w:rFonts w:eastAsia="Calibri" w:cs="Times New Roman"/>
          <w:szCs w:val="20"/>
          <w:lang w:val="en-US"/>
        </w:rPr>
      </w:pPr>
    </w:p>
    <w:p w14:paraId="3E160F01" w14:textId="64CD3A22" w:rsidR="00F87635" w:rsidRPr="007B2402" w:rsidRDefault="00AF4344"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The Court</w:t>
      </w:r>
      <w:r w:rsidR="00B32CC0" w:rsidRPr="007B2402">
        <w:rPr>
          <w:rFonts w:eastAsia="Calibri" w:cs="Times New Roman"/>
          <w:szCs w:val="20"/>
          <w:lang w:val="en-US"/>
        </w:rPr>
        <w:t xml:space="preserve"> not</w:t>
      </w:r>
      <w:r w:rsidR="009F0AF8" w:rsidRPr="007B2402">
        <w:rPr>
          <w:rFonts w:eastAsia="Calibri" w:cs="Times New Roman"/>
          <w:szCs w:val="20"/>
          <w:lang w:val="en-US"/>
        </w:rPr>
        <w:t>es</w:t>
      </w:r>
      <w:r w:rsidR="00B32CC0" w:rsidRPr="007B2402">
        <w:rPr>
          <w:rFonts w:eastAsia="Calibri" w:cs="Times New Roman"/>
          <w:szCs w:val="20"/>
          <w:lang w:val="en-US"/>
        </w:rPr>
        <w:t xml:space="preserve"> </w:t>
      </w:r>
      <w:r w:rsidR="009F0AF8" w:rsidRPr="007B2402">
        <w:rPr>
          <w:rFonts w:eastAsia="Calibri" w:cs="Times New Roman"/>
          <w:szCs w:val="20"/>
          <w:lang w:val="en-US"/>
        </w:rPr>
        <w:t>that</w:t>
      </w:r>
      <w:r w:rsidR="00B32CC0" w:rsidRPr="007B2402">
        <w:rPr>
          <w:rFonts w:eastAsia="Calibri" w:cs="Times New Roman"/>
          <w:szCs w:val="20"/>
          <w:lang w:val="en-US"/>
        </w:rPr>
        <w:t xml:space="preserve"> </w:t>
      </w:r>
      <w:r w:rsidR="003B752F" w:rsidRPr="007B2402">
        <w:rPr>
          <w:rFonts w:eastAsia="Calibri" w:cs="Times New Roman"/>
          <w:szCs w:val="20"/>
          <w:lang w:val="en-US"/>
        </w:rPr>
        <w:t>the Rome Statute of the International Criminal Court</w:t>
      </w:r>
      <w:r w:rsidR="00F87635" w:rsidRPr="007B2402">
        <w:rPr>
          <w:rFonts w:eastAsia="Calibri" w:cs="Times New Roman"/>
          <w:szCs w:val="20"/>
          <w:lang w:val="en-US"/>
        </w:rPr>
        <w:t xml:space="preserve"> </w:t>
      </w:r>
      <w:r w:rsidR="004B46F7" w:rsidRPr="007B2402">
        <w:rPr>
          <w:rFonts w:eastAsia="Calibri" w:cs="Times New Roman"/>
          <w:szCs w:val="20"/>
          <w:lang w:val="en-US"/>
        </w:rPr>
        <w:t xml:space="preserve">established the definition of this legal concept in its article 7, which states that </w:t>
      </w:r>
      <w:r w:rsidR="00F87635" w:rsidRPr="007B2402">
        <w:rPr>
          <w:rFonts w:eastAsia="Calibri" w:cs="Times New Roman"/>
          <w:szCs w:val="20"/>
          <w:lang w:val="en-US"/>
        </w:rPr>
        <w:t>“</w:t>
      </w:r>
      <w:r w:rsidR="00810476" w:rsidRPr="007B2402">
        <w:rPr>
          <w:rFonts w:eastAsia="Calibri" w:cs="Times New Roman"/>
          <w:szCs w:val="20"/>
          <w:lang w:val="en-US"/>
        </w:rPr>
        <w:t>crime against humanity</w:t>
      </w:r>
      <w:r w:rsidR="00F87635" w:rsidRPr="007B2402">
        <w:rPr>
          <w:rFonts w:eastAsia="Calibri" w:cs="Times New Roman"/>
          <w:szCs w:val="20"/>
          <w:lang w:val="en-US"/>
        </w:rPr>
        <w:t>”</w:t>
      </w:r>
      <w:r w:rsidR="00955D71" w:rsidRPr="007B2402">
        <w:rPr>
          <w:rFonts w:eastAsia="Calibri" w:cs="Times New Roman"/>
          <w:szCs w:val="20"/>
          <w:lang w:val="en-US"/>
        </w:rPr>
        <w:t xml:space="preserve"> </w:t>
      </w:r>
      <w:r w:rsidR="004B46F7" w:rsidRPr="007B2402">
        <w:rPr>
          <w:rFonts w:eastAsia="Calibri" w:cs="Times New Roman"/>
          <w:szCs w:val="20"/>
          <w:lang w:val="en-US"/>
        </w:rPr>
        <w:t>means any of the acts listed in that article</w:t>
      </w:r>
      <w:r w:rsidR="00F87635" w:rsidRPr="007B2402">
        <w:rPr>
          <w:rStyle w:val="Refdenotaalpie"/>
          <w:rFonts w:ascii="Verdana" w:eastAsia="Calibri" w:hAnsi="Verdana"/>
          <w:lang w:val="en-US"/>
        </w:rPr>
        <w:footnoteReference w:id="174"/>
      </w:r>
      <w:r w:rsidR="00F87635" w:rsidRPr="007B2402">
        <w:rPr>
          <w:rFonts w:eastAsia="Calibri" w:cs="Times New Roman"/>
          <w:szCs w:val="20"/>
          <w:lang w:val="en-US"/>
        </w:rPr>
        <w:t xml:space="preserve"> </w:t>
      </w:r>
      <w:r w:rsidR="004B46F7" w:rsidRPr="007B2402">
        <w:rPr>
          <w:rFonts w:eastAsia="Calibri" w:cs="Times New Roman"/>
          <w:szCs w:val="20"/>
          <w:lang w:val="en-US"/>
        </w:rPr>
        <w:t>when committed as part of a widespread or systematic attack directed against any civilian population, with knowledge of the attack</w:t>
      </w:r>
      <w:r w:rsidR="00F87635" w:rsidRPr="007B2402">
        <w:rPr>
          <w:rFonts w:eastAsia="Calibri" w:cs="Times New Roman"/>
          <w:szCs w:val="20"/>
          <w:lang w:val="en-US"/>
        </w:rPr>
        <w:t>.</w:t>
      </w:r>
      <w:r w:rsidR="00B32CC0" w:rsidRPr="007B2402">
        <w:rPr>
          <w:rFonts w:eastAsia="Calibri" w:cs="Times New Roman"/>
          <w:szCs w:val="20"/>
          <w:lang w:val="en-US"/>
        </w:rPr>
        <w:t xml:space="preserve"> </w:t>
      </w:r>
      <w:r w:rsidR="004B46F7" w:rsidRPr="007B2402">
        <w:rPr>
          <w:rFonts w:eastAsia="Calibri" w:cs="Times New Roman"/>
          <w:szCs w:val="20"/>
          <w:lang w:val="en-US"/>
        </w:rPr>
        <w:t xml:space="preserve">The Court also notes that </w:t>
      </w:r>
      <w:r w:rsidRPr="007B2402">
        <w:rPr>
          <w:rFonts w:eastAsia="Calibri" w:cs="Times New Roman"/>
          <w:szCs w:val="20"/>
          <w:lang w:val="en-US"/>
        </w:rPr>
        <w:t xml:space="preserve">the </w:t>
      </w:r>
      <w:r w:rsidR="004E026D" w:rsidRPr="007B2402">
        <w:rPr>
          <w:rFonts w:eastAsia="Calibri" w:cs="Times New Roman"/>
          <w:szCs w:val="20"/>
          <w:lang w:val="en-US"/>
        </w:rPr>
        <w:t>International Law Commission</w:t>
      </w:r>
      <w:r w:rsidR="005B1590" w:rsidRPr="007B2402">
        <w:rPr>
          <w:rFonts w:eastAsia="Calibri" w:cs="Times New Roman"/>
          <w:szCs w:val="20"/>
          <w:lang w:val="en-US"/>
        </w:rPr>
        <w:t xml:space="preserve"> </w:t>
      </w:r>
      <w:r w:rsidR="004B46F7" w:rsidRPr="007B2402">
        <w:rPr>
          <w:rFonts w:eastAsia="Calibri" w:cs="Times New Roman"/>
          <w:szCs w:val="20"/>
          <w:lang w:val="en-US"/>
        </w:rPr>
        <w:t>and other national and international courts have established the elements of</w:t>
      </w:r>
      <w:r w:rsidR="00B32CC0" w:rsidRPr="007B2402">
        <w:rPr>
          <w:rFonts w:eastAsia="Calibri" w:cs="Times New Roman"/>
          <w:szCs w:val="20"/>
          <w:lang w:val="en-US"/>
        </w:rPr>
        <w:t xml:space="preserve"> </w:t>
      </w:r>
      <w:r w:rsidR="00810476" w:rsidRPr="007B2402">
        <w:rPr>
          <w:rFonts w:eastAsia="Calibri" w:cs="Times New Roman"/>
          <w:szCs w:val="20"/>
          <w:lang w:val="en-US"/>
        </w:rPr>
        <w:t>crimes against humanity</w:t>
      </w:r>
      <w:r w:rsidR="00B32CC0" w:rsidRPr="007B2402">
        <w:rPr>
          <w:rFonts w:eastAsia="Calibri" w:cs="Times New Roman"/>
          <w:szCs w:val="20"/>
          <w:lang w:val="en-US"/>
        </w:rPr>
        <w:t xml:space="preserve"> </w:t>
      </w:r>
      <w:r w:rsidR="004B46F7" w:rsidRPr="007B2402">
        <w:rPr>
          <w:rFonts w:eastAsia="Calibri" w:cs="Times New Roman"/>
          <w:szCs w:val="20"/>
          <w:lang w:val="en-US"/>
        </w:rPr>
        <w:t>in the same way as the Rome Statute.</w:t>
      </w:r>
    </w:p>
    <w:p w14:paraId="6F4A73F3" w14:textId="77777777" w:rsidR="000744A8" w:rsidRPr="007B2402" w:rsidRDefault="000744A8" w:rsidP="000744A8">
      <w:pPr>
        <w:spacing w:after="0" w:line="240" w:lineRule="auto"/>
        <w:jc w:val="both"/>
        <w:rPr>
          <w:rFonts w:eastAsia="Calibri" w:cs="Times New Roman"/>
          <w:szCs w:val="20"/>
          <w:lang w:val="en-US"/>
        </w:rPr>
      </w:pPr>
    </w:p>
    <w:p w14:paraId="164F2246" w14:textId="2BF73728" w:rsidR="000744A8" w:rsidRPr="007B2402" w:rsidRDefault="004B46F7" w:rsidP="00D94E24">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 xml:space="preserve">In this regard, </w:t>
      </w:r>
      <w:r w:rsidR="00AF4344" w:rsidRPr="007B2402">
        <w:rPr>
          <w:rFonts w:eastAsia="Calibri" w:cs="Times New Roman"/>
          <w:szCs w:val="20"/>
          <w:lang w:val="en-US"/>
        </w:rPr>
        <w:t xml:space="preserve">the </w:t>
      </w:r>
      <w:r w:rsidR="004E026D" w:rsidRPr="007B2402">
        <w:rPr>
          <w:rFonts w:eastAsia="Calibri" w:cs="Times New Roman"/>
          <w:szCs w:val="20"/>
          <w:lang w:val="en-US"/>
        </w:rPr>
        <w:t>International Law Commission</w:t>
      </w:r>
      <w:r w:rsidR="000744A8" w:rsidRPr="007B2402">
        <w:rPr>
          <w:rFonts w:eastAsia="Calibri" w:cs="Times New Roman"/>
          <w:szCs w:val="20"/>
          <w:lang w:val="en-US"/>
        </w:rPr>
        <w:t xml:space="preserve">, </w:t>
      </w:r>
      <w:r w:rsidRPr="007B2402">
        <w:rPr>
          <w:rFonts w:eastAsia="Calibri" w:cs="Times New Roman"/>
          <w:szCs w:val="20"/>
          <w:lang w:val="en-US"/>
        </w:rPr>
        <w:t xml:space="preserve">in the </w:t>
      </w:r>
      <w:r w:rsidRPr="007B2402">
        <w:rPr>
          <w:rFonts w:cs="Arial"/>
          <w:szCs w:val="20"/>
          <w:lang w:val="en-US"/>
        </w:rPr>
        <w:t>Draft</w:t>
      </w:r>
      <w:r w:rsidRPr="007B2402">
        <w:rPr>
          <w:rFonts w:cs="Courier New"/>
          <w:szCs w:val="20"/>
          <w:lang w:val="en-US"/>
        </w:rPr>
        <w:t xml:space="preserve"> code of crimes against the peace and security of mankind</w:t>
      </w:r>
      <w:r w:rsidR="0001528A" w:rsidRPr="007B2402">
        <w:rPr>
          <w:rFonts w:eastAsia="Calibri" w:cs="Times New Roman"/>
          <w:szCs w:val="20"/>
          <w:lang w:val="en-US"/>
        </w:rPr>
        <w:t>,</w:t>
      </w:r>
      <w:r w:rsidRPr="007B2402">
        <w:rPr>
          <w:rFonts w:eastAsia="Calibri" w:cs="Times New Roman"/>
          <w:szCs w:val="20"/>
          <w:lang w:val="en-US"/>
        </w:rPr>
        <w:t xml:space="preserve"> considered </w:t>
      </w:r>
      <w:r w:rsidR="00A47F4B" w:rsidRPr="007B2402">
        <w:rPr>
          <w:rFonts w:eastAsia="Calibri" w:cs="Times New Roman"/>
          <w:szCs w:val="20"/>
          <w:lang w:val="en-US"/>
        </w:rPr>
        <w:t xml:space="preserve">that </w:t>
      </w:r>
      <w:r w:rsidR="00D94E24" w:rsidRPr="007B2402">
        <w:rPr>
          <w:rFonts w:eastAsia="Calibri" w:cs="Times New Roman"/>
          <w:szCs w:val="20"/>
          <w:lang w:val="en-US"/>
        </w:rPr>
        <w:t xml:space="preserve">a </w:t>
      </w:r>
      <w:r w:rsidR="00A47F4B" w:rsidRPr="007B2402">
        <w:rPr>
          <w:rFonts w:eastAsia="Calibri" w:cs="Times New Roman"/>
          <w:szCs w:val="20"/>
          <w:lang w:val="en-US"/>
        </w:rPr>
        <w:t xml:space="preserve">crime against humanity </w:t>
      </w:r>
      <w:r w:rsidR="00D94E24" w:rsidRPr="007B2402">
        <w:rPr>
          <w:rFonts w:eastAsia="Calibri" w:cs="Times New Roman"/>
          <w:szCs w:val="20"/>
          <w:lang w:val="en-US"/>
        </w:rPr>
        <w:t xml:space="preserve">was the perpetration of specific inhumane acts </w:t>
      </w:r>
      <w:r w:rsidR="00A47F4B" w:rsidRPr="007B2402">
        <w:rPr>
          <w:rFonts w:eastAsia="Calibri" w:cs="Times New Roman"/>
          <w:szCs w:val="20"/>
          <w:lang w:val="en-US"/>
        </w:rPr>
        <w:t xml:space="preserve">in </w:t>
      </w:r>
      <w:r w:rsidR="00D94E24" w:rsidRPr="007B2402">
        <w:rPr>
          <w:rFonts w:eastAsia="Calibri" w:cs="Times New Roman"/>
          <w:szCs w:val="20"/>
          <w:lang w:val="en-US"/>
        </w:rPr>
        <w:t>a</w:t>
      </w:r>
      <w:r w:rsidR="00A47F4B" w:rsidRPr="007B2402">
        <w:rPr>
          <w:rFonts w:eastAsia="Calibri" w:cs="Times New Roman"/>
          <w:szCs w:val="20"/>
          <w:lang w:val="en-US"/>
        </w:rPr>
        <w:t xml:space="preserve"> systematic</w:t>
      </w:r>
      <w:r w:rsidR="00D94E24" w:rsidRPr="007B2402">
        <w:rPr>
          <w:rFonts w:eastAsia="Calibri" w:cs="Times New Roman"/>
          <w:szCs w:val="20"/>
          <w:lang w:val="en-US"/>
        </w:rPr>
        <w:t xml:space="preserve"> manner or</w:t>
      </w:r>
      <w:r w:rsidR="00A47F4B" w:rsidRPr="007B2402">
        <w:rPr>
          <w:rFonts w:eastAsia="Calibri" w:cs="Times New Roman"/>
          <w:szCs w:val="20"/>
          <w:lang w:val="en-US"/>
        </w:rPr>
        <w:t xml:space="preserve"> on a large scale </w:t>
      </w:r>
      <w:r w:rsidR="00D94E24" w:rsidRPr="007B2402">
        <w:rPr>
          <w:rFonts w:eastAsia="Calibri" w:cs="Times New Roman"/>
          <w:szCs w:val="20"/>
          <w:lang w:val="en-US"/>
        </w:rPr>
        <w:t>by a government or by an organization or group.</w:t>
      </w:r>
      <w:r w:rsidR="000744A8" w:rsidRPr="007B2402">
        <w:rPr>
          <w:rFonts w:eastAsia="Calibri" w:cs="Times New Roman"/>
          <w:szCs w:val="20"/>
          <w:vertAlign w:val="superscript"/>
          <w:lang w:val="en-US"/>
        </w:rPr>
        <w:footnoteReference w:id="175"/>
      </w:r>
      <w:r w:rsidR="00D94E24" w:rsidRPr="007B2402">
        <w:rPr>
          <w:rFonts w:eastAsia="Calibri" w:cs="Times New Roman"/>
          <w:szCs w:val="20"/>
          <w:lang w:val="en-US"/>
        </w:rPr>
        <w:t xml:space="preserve"> Thus, it recognizes three general condition: that the act(s) are committed as part of an act “committed in a systematic manner or on a large scale,” against the civilian population, and that the perpetrator(s) act “with full knowledge</w:t>
      </w:r>
      <w:r w:rsidR="00347287" w:rsidRPr="007B2402">
        <w:rPr>
          <w:rFonts w:eastAsia="Calibri" w:cs="Times New Roman"/>
          <w:szCs w:val="20"/>
          <w:lang w:val="en-US"/>
        </w:rPr>
        <w:t xml:space="preserve"> of this inhumane act”; in other words, it is carried out pursuant to a preconceived State plan or policy.</w:t>
      </w:r>
      <w:r w:rsidR="000744A8" w:rsidRPr="007B2402">
        <w:rPr>
          <w:rFonts w:eastAsia="Calibri" w:cs="Times New Roman"/>
          <w:szCs w:val="20"/>
          <w:vertAlign w:val="superscript"/>
          <w:lang w:val="en-US"/>
        </w:rPr>
        <w:footnoteReference w:id="176"/>
      </w:r>
      <w:r w:rsidR="000744A8" w:rsidRPr="007B2402">
        <w:rPr>
          <w:rFonts w:eastAsia="Calibri" w:cs="Times New Roman"/>
          <w:szCs w:val="20"/>
          <w:lang w:val="en-US"/>
        </w:rPr>
        <w:t xml:space="preserve"> </w:t>
      </w:r>
    </w:p>
    <w:p w14:paraId="74E2879B" w14:textId="77777777" w:rsidR="000744A8" w:rsidRPr="007B2402" w:rsidRDefault="000744A8" w:rsidP="000744A8">
      <w:pPr>
        <w:spacing w:after="0" w:line="240" w:lineRule="auto"/>
        <w:jc w:val="both"/>
        <w:rPr>
          <w:rFonts w:eastAsia="Calibri" w:cs="Times New Roman"/>
          <w:szCs w:val="20"/>
          <w:lang w:val="en-US"/>
        </w:rPr>
      </w:pPr>
    </w:p>
    <w:p w14:paraId="31793DA5" w14:textId="57F48B3F" w:rsidR="000744A8" w:rsidRPr="007B2402" w:rsidRDefault="00347287" w:rsidP="00347287">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In the case</w:t>
      </w:r>
      <w:r w:rsidR="00D05845" w:rsidRPr="007B2402">
        <w:rPr>
          <w:rFonts w:eastAsia="Calibri" w:cs="Times New Roman"/>
          <w:szCs w:val="20"/>
          <w:lang w:val="en-US"/>
        </w:rPr>
        <w:t xml:space="preserve"> of</w:t>
      </w:r>
      <w:r w:rsidR="000744A8" w:rsidRPr="007B2402">
        <w:rPr>
          <w:rFonts w:eastAsia="Calibri" w:cs="Times New Roman"/>
          <w:szCs w:val="20"/>
          <w:lang w:val="en-US"/>
        </w:rPr>
        <w:t xml:space="preserve"> </w:t>
      </w:r>
      <w:r w:rsidR="000744A8" w:rsidRPr="007B2402">
        <w:rPr>
          <w:rFonts w:eastAsia="Calibri" w:cs="Times New Roman"/>
          <w:i/>
          <w:szCs w:val="20"/>
          <w:lang w:val="en-US"/>
        </w:rPr>
        <w:t>Dusko Tadic</w:t>
      </w:r>
      <w:r w:rsidR="000744A8" w:rsidRPr="007B2402">
        <w:rPr>
          <w:rFonts w:eastAsia="Calibri" w:cs="Times New Roman"/>
          <w:szCs w:val="20"/>
          <w:lang w:val="en-US"/>
        </w:rPr>
        <w:t xml:space="preserve">, </w:t>
      </w:r>
      <w:r w:rsidR="003B752F" w:rsidRPr="007B2402">
        <w:rPr>
          <w:rFonts w:eastAsia="Calibri" w:cs="Times New Roman"/>
          <w:szCs w:val="20"/>
          <w:lang w:val="en-US"/>
        </w:rPr>
        <w:t xml:space="preserve">the International Criminal </w:t>
      </w:r>
      <w:r w:rsidRPr="007B2402">
        <w:rPr>
          <w:rFonts w:eastAsia="Calibri" w:cs="Times New Roman"/>
          <w:szCs w:val="20"/>
          <w:lang w:val="en-US"/>
        </w:rPr>
        <w:t xml:space="preserve">Tribunal for the former </w:t>
      </w:r>
      <w:r w:rsidR="005959D1" w:rsidRPr="007B2402">
        <w:rPr>
          <w:rFonts w:eastAsia="Calibri" w:cs="Times New Roman"/>
          <w:szCs w:val="20"/>
          <w:lang w:val="en-US"/>
        </w:rPr>
        <w:t>Yugoslavia</w:t>
      </w:r>
      <w:r w:rsidRPr="007B2402">
        <w:rPr>
          <w:rFonts w:eastAsia="Calibri" w:cs="Times New Roman"/>
          <w:szCs w:val="20"/>
          <w:lang w:val="en-US"/>
        </w:rPr>
        <w:t xml:space="preserve"> </w:t>
      </w:r>
      <w:r w:rsidR="000744A8" w:rsidRPr="007B2402">
        <w:rPr>
          <w:rFonts w:eastAsia="Calibri" w:cs="Times New Roman"/>
          <w:szCs w:val="20"/>
          <w:lang w:val="en-US"/>
        </w:rPr>
        <w:t>(</w:t>
      </w:r>
      <w:r w:rsidR="00AF4344" w:rsidRPr="007B2402">
        <w:rPr>
          <w:rFonts w:eastAsia="Calibri" w:cs="Times New Roman"/>
          <w:szCs w:val="20"/>
          <w:lang w:val="en-US"/>
        </w:rPr>
        <w:t>hereinafter</w:t>
      </w:r>
      <w:r w:rsidR="000744A8" w:rsidRPr="007B2402">
        <w:rPr>
          <w:rFonts w:eastAsia="Calibri" w:cs="Times New Roman"/>
          <w:szCs w:val="20"/>
          <w:lang w:val="en-US"/>
        </w:rPr>
        <w:t xml:space="preserve">, </w:t>
      </w:r>
      <w:r w:rsidRPr="007B2402">
        <w:rPr>
          <w:rFonts w:eastAsia="Calibri" w:cs="Times New Roman"/>
          <w:szCs w:val="20"/>
          <w:lang w:val="en-US"/>
        </w:rPr>
        <w:t xml:space="preserve">also </w:t>
      </w:r>
      <w:r w:rsidR="000744A8" w:rsidRPr="007B2402">
        <w:rPr>
          <w:rFonts w:eastAsia="Calibri" w:cs="Times New Roman"/>
          <w:szCs w:val="20"/>
          <w:lang w:val="en-US"/>
        </w:rPr>
        <w:t>“</w:t>
      </w:r>
      <w:r w:rsidRPr="007B2402">
        <w:rPr>
          <w:rFonts w:eastAsia="Calibri" w:cs="Times New Roman"/>
          <w:szCs w:val="20"/>
          <w:lang w:val="en-US"/>
        </w:rPr>
        <w:t>the ICTY</w:t>
      </w:r>
      <w:r w:rsidR="000744A8" w:rsidRPr="007B2402">
        <w:rPr>
          <w:rFonts w:eastAsia="Calibri" w:cs="Times New Roman"/>
          <w:szCs w:val="20"/>
          <w:lang w:val="en-US"/>
        </w:rPr>
        <w:t>”) consider</w:t>
      </w:r>
      <w:r w:rsidRPr="007B2402">
        <w:rPr>
          <w:rFonts w:eastAsia="Calibri" w:cs="Times New Roman"/>
          <w:szCs w:val="20"/>
          <w:lang w:val="en-US"/>
        </w:rPr>
        <w:t xml:space="preserve">ed that the requirements for </w:t>
      </w:r>
      <w:r w:rsidR="00810476" w:rsidRPr="007B2402">
        <w:rPr>
          <w:rFonts w:eastAsia="Calibri" w:cs="Times New Roman"/>
          <w:szCs w:val="20"/>
          <w:lang w:val="en-US"/>
        </w:rPr>
        <w:t>crimes against humanity</w:t>
      </w:r>
      <w:r w:rsidRPr="007B2402">
        <w:rPr>
          <w:rFonts w:eastAsia="Calibri" w:cs="Times New Roman"/>
          <w:szCs w:val="20"/>
          <w:lang w:val="en-US"/>
        </w:rPr>
        <w:t xml:space="preserve"> included</w:t>
      </w:r>
      <w:r w:rsidR="000744A8" w:rsidRPr="007B2402">
        <w:rPr>
          <w:rFonts w:eastAsia="Calibri" w:cs="Times New Roman"/>
          <w:szCs w:val="20"/>
          <w:lang w:val="en-US"/>
        </w:rPr>
        <w:t xml:space="preserve">: </w:t>
      </w:r>
      <w:r w:rsidRPr="007B2402">
        <w:rPr>
          <w:rFonts w:eastAsia="Calibri" w:cs="Times New Roman"/>
          <w:szCs w:val="20"/>
          <w:lang w:val="en-US"/>
        </w:rPr>
        <w:t>(</w:t>
      </w:r>
      <w:r w:rsidR="000744A8" w:rsidRPr="007B2402">
        <w:rPr>
          <w:rFonts w:eastAsia="Calibri" w:cs="Times New Roman"/>
          <w:szCs w:val="20"/>
          <w:lang w:val="en-US"/>
        </w:rPr>
        <w:t xml:space="preserve">i) </w:t>
      </w:r>
      <w:r w:rsidRPr="007B2402">
        <w:rPr>
          <w:rFonts w:eastAsia="Calibri" w:cs="Times New Roman"/>
          <w:szCs w:val="20"/>
          <w:lang w:val="en-US"/>
        </w:rPr>
        <w:t xml:space="preserve">that they were acts against the civilian population; (ii) that they were widespread and systematic acts; (iii) that they were acts </w:t>
      </w:r>
      <w:r w:rsidR="00780B94" w:rsidRPr="007B2402">
        <w:rPr>
          <w:rFonts w:eastAsia="Calibri" w:cs="Times New Roman"/>
          <w:szCs w:val="20"/>
          <w:lang w:val="en-US"/>
        </w:rPr>
        <w:t>undertaken on</w:t>
      </w:r>
      <w:r w:rsidRPr="007B2402">
        <w:rPr>
          <w:rFonts w:eastAsia="Calibri" w:cs="Times New Roman"/>
          <w:szCs w:val="20"/>
          <w:lang w:val="en-US"/>
        </w:rPr>
        <w:t xml:space="preserve"> discriminatory </w:t>
      </w:r>
      <w:r w:rsidR="00780B94" w:rsidRPr="007B2402">
        <w:rPr>
          <w:rFonts w:eastAsia="Calibri" w:cs="Times New Roman"/>
          <w:szCs w:val="20"/>
          <w:lang w:val="en-US"/>
        </w:rPr>
        <w:t xml:space="preserve">grounds </w:t>
      </w:r>
      <w:r w:rsidRPr="007B2402">
        <w:rPr>
          <w:rFonts w:eastAsia="Calibri" w:cs="Times New Roman"/>
          <w:szCs w:val="20"/>
          <w:lang w:val="en-US"/>
        </w:rPr>
        <w:t>or committed for discriminatory reasons; (iv) that these acts responded to a policy of the State or of organizations, and (v) that the perpetrator was aware of the systematic</w:t>
      </w:r>
      <w:r w:rsidR="00780B94" w:rsidRPr="007B2402">
        <w:rPr>
          <w:rFonts w:eastAsia="Calibri" w:cs="Times New Roman"/>
          <w:szCs w:val="20"/>
          <w:lang w:val="en-US"/>
        </w:rPr>
        <w:t xml:space="preserve"> or wider</w:t>
      </w:r>
      <w:r w:rsidRPr="007B2402">
        <w:rPr>
          <w:rFonts w:eastAsia="Calibri" w:cs="Times New Roman"/>
          <w:szCs w:val="20"/>
          <w:lang w:val="en-US"/>
        </w:rPr>
        <w:t xml:space="preserve"> context in which the act occurred. In addition, and pursuant to the jurisdiction granted to the ICTY by its Charter, such acts should be committed during an armed conflict.</w:t>
      </w:r>
      <w:r w:rsidR="000744A8" w:rsidRPr="007B2402">
        <w:rPr>
          <w:rFonts w:eastAsia="Calibri" w:cs="Times New Roman"/>
          <w:szCs w:val="20"/>
          <w:vertAlign w:val="superscript"/>
          <w:lang w:val="en-US"/>
        </w:rPr>
        <w:footnoteReference w:id="177"/>
      </w:r>
    </w:p>
    <w:p w14:paraId="1D8793B9" w14:textId="77777777" w:rsidR="00422026" w:rsidRPr="007B2402" w:rsidRDefault="00422026" w:rsidP="00422026">
      <w:pPr>
        <w:pStyle w:val="Prrafodelista"/>
        <w:rPr>
          <w:rFonts w:eastAsia="Calibri" w:cs="Times New Roman"/>
          <w:szCs w:val="20"/>
          <w:lang w:val="en-US"/>
        </w:rPr>
      </w:pPr>
    </w:p>
    <w:p w14:paraId="673F28F3" w14:textId="4543F0E9" w:rsidR="000744A8" w:rsidRPr="007B2402" w:rsidRDefault="00422026" w:rsidP="00422026">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Meanwhile</w:t>
      </w:r>
      <w:r w:rsidR="000744A8" w:rsidRPr="007B2402">
        <w:rPr>
          <w:rFonts w:eastAsia="Calibri" w:cs="Times New Roman"/>
          <w:szCs w:val="20"/>
          <w:lang w:val="en-US"/>
        </w:rPr>
        <w:t xml:space="preserve">, </w:t>
      </w:r>
      <w:r w:rsidR="003B752F" w:rsidRPr="007B2402">
        <w:rPr>
          <w:rFonts w:eastAsia="Calibri" w:cs="Times New Roman"/>
          <w:szCs w:val="20"/>
          <w:lang w:val="en-US"/>
        </w:rPr>
        <w:t xml:space="preserve">the International Criminal </w:t>
      </w:r>
      <w:r w:rsidR="00780B94" w:rsidRPr="007B2402">
        <w:rPr>
          <w:rFonts w:eastAsia="Calibri" w:cs="Times New Roman"/>
          <w:szCs w:val="20"/>
          <w:lang w:val="en-US"/>
        </w:rPr>
        <w:t>Tribunal for Rwanda</w:t>
      </w:r>
      <w:r w:rsidR="000744A8" w:rsidRPr="007B2402">
        <w:rPr>
          <w:rFonts w:eastAsia="Calibri" w:cs="Times New Roman"/>
          <w:szCs w:val="20"/>
          <w:lang w:val="en-US"/>
        </w:rPr>
        <w:t xml:space="preserve"> (</w:t>
      </w:r>
      <w:r w:rsidR="00AF4344" w:rsidRPr="007B2402">
        <w:rPr>
          <w:rFonts w:eastAsia="Calibri" w:cs="Times New Roman"/>
          <w:szCs w:val="20"/>
          <w:lang w:val="en-US"/>
        </w:rPr>
        <w:t>hereinafter</w:t>
      </w:r>
      <w:r w:rsidR="000744A8" w:rsidRPr="007B2402">
        <w:rPr>
          <w:rFonts w:eastAsia="Calibri" w:cs="Times New Roman"/>
          <w:szCs w:val="20"/>
          <w:lang w:val="en-US"/>
        </w:rPr>
        <w:t xml:space="preserve">, </w:t>
      </w:r>
      <w:r w:rsidR="00780B94" w:rsidRPr="007B2402">
        <w:rPr>
          <w:rFonts w:eastAsia="Calibri" w:cs="Times New Roman"/>
          <w:szCs w:val="20"/>
          <w:lang w:val="en-US"/>
        </w:rPr>
        <w:t>also</w:t>
      </w:r>
      <w:r w:rsidR="000744A8" w:rsidRPr="007B2402">
        <w:rPr>
          <w:rFonts w:eastAsia="Calibri" w:cs="Times New Roman"/>
          <w:szCs w:val="20"/>
          <w:lang w:val="en-US"/>
        </w:rPr>
        <w:t xml:space="preserve"> “</w:t>
      </w:r>
      <w:r w:rsidR="00780B94" w:rsidRPr="007B2402">
        <w:rPr>
          <w:rFonts w:eastAsia="Calibri" w:cs="Times New Roman"/>
          <w:szCs w:val="20"/>
          <w:lang w:val="en-US"/>
        </w:rPr>
        <w:t>ICTR</w:t>
      </w:r>
      <w:r w:rsidR="000744A8" w:rsidRPr="007B2402">
        <w:rPr>
          <w:rFonts w:eastAsia="Calibri" w:cs="Times New Roman"/>
          <w:szCs w:val="20"/>
          <w:lang w:val="en-US"/>
        </w:rPr>
        <w:t>”) establ</w:t>
      </w:r>
      <w:r w:rsidRPr="007B2402">
        <w:rPr>
          <w:rFonts w:eastAsia="Calibri" w:cs="Times New Roman"/>
          <w:szCs w:val="20"/>
          <w:lang w:val="en-US"/>
        </w:rPr>
        <w:t xml:space="preserve">ished in the judgment in the </w:t>
      </w:r>
      <w:r w:rsidR="005959D1" w:rsidRPr="007B2402">
        <w:rPr>
          <w:rFonts w:eastAsia="Calibri" w:cs="Times New Roman"/>
          <w:szCs w:val="20"/>
          <w:lang w:val="en-US"/>
        </w:rPr>
        <w:t>Takayasu</w:t>
      </w:r>
      <w:r w:rsidR="000744A8" w:rsidRPr="007B2402">
        <w:rPr>
          <w:rFonts w:eastAsia="Calibri" w:cs="Times New Roman"/>
          <w:szCs w:val="20"/>
          <w:lang w:val="en-US"/>
        </w:rPr>
        <w:t xml:space="preserve"> </w:t>
      </w:r>
      <w:r w:rsidRPr="007B2402">
        <w:rPr>
          <w:rFonts w:eastAsia="Calibri" w:cs="Times New Roman"/>
          <w:szCs w:val="20"/>
          <w:lang w:val="en-US"/>
        </w:rPr>
        <w:t xml:space="preserve">case that the category of </w:t>
      </w:r>
      <w:r w:rsidR="00844CE7" w:rsidRPr="007B2402">
        <w:rPr>
          <w:rFonts w:eastAsia="Calibri" w:cs="Times New Roman"/>
          <w:szCs w:val="20"/>
          <w:lang w:val="en-US"/>
        </w:rPr>
        <w:t>crimes against humanity</w:t>
      </w:r>
      <w:r w:rsidR="000744A8" w:rsidRPr="007B2402">
        <w:rPr>
          <w:rFonts w:eastAsia="Calibri" w:cs="Times New Roman"/>
          <w:szCs w:val="20"/>
          <w:lang w:val="en-US"/>
        </w:rPr>
        <w:t xml:space="preserve"> </w:t>
      </w:r>
      <w:r w:rsidRPr="007B2402">
        <w:rPr>
          <w:rFonts w:eastAsia="Calibri" w:cs="Times New Roman"/>
          <w:szCs w:val="20"/>
          <w:lang w:val="en-US"/>
        </w:rPr>
        <w:t>could be broken down into four elements</w:t>
      </w:r>
      <w:r w:rsidR="000744A8" w:rsidRPr="007B2402">
        <w:rPr>
          <w:rFonts w:eastAsia="Calibri" w:cs="Times New Roman"/>
          <w:szCs w:val="20"/>
          <w:lang w:val="en-US"/>
        </w:rPr>
        <w:t xml:space="preserve">: </w:t>
      </w:r>
      <w:r w:rsidRPr="007B2402">
        <w:rPr>
          <w:rFonts w:eastAsia="Calibri" w:cs="Times New Roman"/>
          <w:szCs w:val="20"/>
          <w:lang w:val="en-US"/>
        </w:rPr>
        <w:t>(</w:t>
      </w:r>
      <w:r w:rsidRPr="007B2402">
        <w:rPr>
          <w:szCs w:val="20"/>
          <w:lang w:val="en-US"/>
        </w:rPr>
        <w:t>i) the act must be inhumane in nature and character, causing great suffering, or serious injury to body or to mental or physical health; (ii) the act must be committed as part of a widespread or systematic attack; (iii) the act must be committed against members of the civilian population; (iv) the act must be committed on one or more discriminatory grounds, namely, national, political, ethnic, racial or religious grounds.</w:t>
      </w:r>
      <w:r w:rsidR="000744A8" w:rsidRPr="007B2402">
        <w:rPr>
          <w:rFonts w:eastAsia="Calibri" w:cs="Times New Roman"/>
          <w:szCs w:val="20"/>
          <w:vertAlign w:val="superscript"/>
          <w:lang w:val="en-US"/>
        </w:rPr>
        <w:footnoteReference w:id="178"/>
      </w:r>
      <w:r w:rsidR="000744A8" w:rsidRPr="007B2402">
        <w:rPr>
          <w:rFonts w:eastAsia="Calibri" w:cs="Times New Roman"/>
          <w:szCs w:val="20"/>
          <w:lang w:val="en-US"/>
        </w:rPr>
        <w:t xml:space="preserve"> </w:t>
      </w:r>
    </w:p>
    <w:p w14:paraId="7D12DDA5" w14:textId="77777777" w:rsidR="000744A8" w:rsidRPr="007B2402" w:rsidRDefault="000744A8" w:rsidP="000744A8">
      <w:pPr>
        <w:spacing w:after="0" w:line="240" w:lineRule="auto"/>
        <w:jc w:val="both"/>
        <w:rPr>
          <w:rFonts w:eastAsia="Calibri" w:cs="Times New Roman"/>
          <w:szCs w:val="20"/>
          <w:lang w:val="en-US"/>
        </w:rPr>
      </w:pPr>
    </w:p>
    <w:p w14:paraId="57CE0E4F" w14:textId="5E4BF833" w:rsidR="000744A8" w:rsidRPr="007B2402" w:rsidRDefault="00422026"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In the judgment in the c</w:t>
      </w:r>
      <w:r w:rsidR="00D05845" w:rsidRPr="007B2402">
        <w:rPr>
          <w:rFonts w:eastAsia="Calibri" w:cs="Times New Roman"/>
          <w:szCs w:val="20"/>
          <w:lang w:val="en-US"/>
        </w:rPr>
        <w:t>ase of</w:t>
      </w:r>
      <w:r w:rsidR="000744A8" w:rsidRPr="007B2402">
        <w:rPr>
          <w:rFonts w:eastAsia="Calibri" w:cs="Times New Roman"/>
          <w:szCs w:val="20"/>
          <w:lang w:val="en-US"/>
        </w:rPr>
        <w:t xml:space="preserve"> Alex Tamba Brima, Brima Bazzy Kamara</w:t>
      </w:r>
      <w:r w:rsidR="005B1590" w:rsidRPr="007B2402">
        <w:rPr>
          <w:rFonts w:eastAsia="Calibri" w:cs="Times New Roman"/>
          <w:szCs w:val="20"/>
          <w:lang w:val="en-US"/>
        </w:rPr>
        <w:t xml:space="preserve"> and </w:t>
      </w:r>
      <w:r w:rsidR="000744A8" w:rsidRPr="007B2402">
        <w:rPr>
          <w:rFonts w:eastAsia="Calibri" w:cs="Times New Roman"/>
          <w:szCs w:val="20"/>
          <w:lang w:val="en-US"/>
        </w:rPr>
        <w:t xml:space="preserve">Santigie Borbor Kanu, </w:t>
      </w:r>
      <w:r w:rsidRPr="007B2402">
        <w:rPr>
          <w:rFonts w:eastAsia="Calibri" w:cs="Times New Roman"/>
          <w:szCs w:val="20"/>
          <w:lang w:val="en-US"/>
        </w:rPr>
        <w:t xml:space="preserve">the Special Court for </w:t>
      </w:r>
      <w:r w:rsidR="000744A8" w:rsidRPr="007B2402">
        <w:rPr>
          <w:rFonts w:eastAsia="Calibri" w:cs="Times New Roman"/>
          <w:szCs w:val="20"/>
          <w:lang w:val="en-US"/>
        </w:rPr>
        <w:t>Sierra Leon</w:t>
      </w:r>
      <w:r w:rsidRPr="007B2402">
        <w:rPr>
          <w:rFonts w:eastAsia="Calibri" w:cs="Times New Roman"/>
          <w:szCs w:val="20"/>
          <w:lang w:val="en-US"/>
        </w:rPr>
        <w:t>e</w:t>
      </w:r>
      <w:r w:rsidR="000744A8" w:rsidRPr="007B2402">
        <w:rPr>
          <w:rFonts w:eastAsia="Calibri" w:cs="Times New Roman"/>
          <w:szCs w:val="20"/>
          <w:lang w:val="en-US"/>
        </w:rPr>
        <w:t xml:space="preserve"> (</w:t>
      </w:r>
      <w:r w:rsidR="00AF4344" w:rsidRPr="007B2402">
        <w:rPr>
          <w:rFonts w:eastAsia="Calibri" w:cs="Times New Roman"/>
          <w:szCs w:val="20"/>
          <w:lang w:val="en-US"/>
        </w:rPr>
        <w:t>hereinafter</w:t>
      </w:r>
      <w:r w:rsidR="000744A8" w:rsidRPr="007B2402">
        <w:rPr>
          <w:rFonts w:eastAsia="Calibri" w:cs="Times New Roman"/>
          <w:szCs w:val="20"/>
          <w:lang w:val="en-US"/>
        </w:rPr>
        <w:t xml:space="preserve">, </w:t>
      </w:r>
      <w:r w:rsidRPr="007B2402">
        <w:rPr>
          <w:rFonts w:eastAsia="Calibri" w:cs="Times New Roman"/>
          <w:szCs w:val="20"/>
          <w:lang w:val="en-US"/>
        </w:rPr>
        <w:t>also</w:t>
      </w:r>
      <w:r w:rsidR="000744A8" w:rsidRPr="007B2402">
        <w:rPr>
          <w:rFonts w:eastAsia="Calibri" w:cs="Times New Roman"/>
          <w:szCs w:val="20"/>
          <w:lang w:val="en-US"/>
        </w:rPr>
        <w:t>, “</w:t>
      </w:r>
      <w:r w:rsidRPr="007B2402">
        <w:rPr>
          <w:rFonts w:eastAsia="Calibri" w:cs="Times New Roman"/>
          <w:szCs w:val="20"/>
          <w:lang w:val="en-US"/>
        </w:rPr>
        <w:t>the</w:t>
      </w:r>
      <w:r w:rsidR="000744A8" w:rsidRPr="007B2402">
        <w:rPr>
          <w:rFonts w:eastAsia="Calibri" w:cs="Times New Roman"/>
          <w:szCs w:val="20"/>
          <w:lang w:val="en-US"/>
        </w:rPr>
        <w:t xml:space="preserve"> </w:t>
      </w:r>
      <w:r w:rsidR="00880755" w:rsidRPr="007B2402">
        <w:rPr>
          <w:rFonts w:eastAsia="Calibri" w:cs="Times New Roman"/>
          <w:szCs w:val="20"/>
          <w:lang w:val="en-US"/>
        </w:rPr>
        <w:t>SCSL</w:t>
      </w:r>
      <w:r w:rsidR="000744A8" w:rsidRPr="007B2402">
        <w:rPr>
          <w:rFonts w:eastAsia="Calibri" w:cs="Times New Roman"/>
          <w:szCs w:val="20"/>
          <w:lang w:val="en-US"/>
        </w:rPr>
        <w:t xml:space="preserve">”) </w:t>
      </w:r>
      <w:r w:rsidRPr="007B2402">
        <w:rPr>
          <w:rFonts w:eastAsia="Calibri" w:cs="Times New Roman"/>
          <w:szCs w:val="20"/>
          <w:lang w:val="en-US"/>
        </w:rPr>
        <w:t>stated that the elements of a</w:t>
      </w:r>
      <w:r w:rsidR="000744A8" w:rsidRPr="007B2402">
        <w:rPr>
          <w:rFonts w:eastAsia="Calibri" w:cs="Times New Roman"/>
          <w:szCs w:val="20"/>
          <w:lang w:val="en-US"/>
        </w:rPr>
        <w:t xml:space="preserve"> </w:t>
      </w:r>
      <w:r w:rsidR="00810476" w:rsidRPr="007B2402">
        <w:rPr>
          <w:rFonts w:eastAsia="Calibri" w:cs="Times New Roman"/>
          <w:szCs w:val="20"/>
          <w:lang w:val="en-US"/>
        </w:rPr>
        <w:t>crime against humanity</w:t>
      </w:r>
      <w:r w:rsidR="000744A8" w:rsidRPr="007B2402">
        <w:rPr>
          <w:rFonts w:eastAsia="Calibri" w:cs="Times New Roman"/>
          <w:szCs w:val="20"/>
          <w:lang w:val="en-US"/>
        </w:rPr>
        <w:t xml:space="preserve"> </w:t>
      </w:r>
      <w:r w:rsidRPr="007B2402">
        <w:rPr>
          <w:rFonts w:eastAsia="Calibri" w:cs="Times New Roman"/>
          <w:szCs w:val="20"/>
          <w:lang w:val="en-US"/>
        </w:rPr>
        <w:t>are</w:t>
      </w:r>
      <w:r w:rsidR="000744A8" w:rsidRPr="007B2402">
        <w:rPr>
          <w:rFonts w:eastAsia="Calibri" w:cs="Times New Roman"/>
          <w:szCs w:val="20"/>
          <w:lang w:val="en-US"/>
        </w:rPr>
        <w:t xml:space="preserve">: </w:t>
      </w:r>
      <w:r w:rsidR="00B520AC" w:rsidRPr="007B2402">
        <w:rPr>
          <w:rFonts w:eastAsia="Calibri" w:cs="Times New Roman"/>
          <w:szCs w:val="20"/>
          <w:lang w:val="en-US"/>
        </w:rPr>
        <w:t>(</w:t>
      </w:r>
      <w:r w:rsidR="000744A8" w:rsidRPr="007B2402">
        <w:rPr>
          <w:rFonts w:eastAsia="Calibri" w:cs="Times New Roman"/>
          <w:szCs w:val="20"/>
          <w:lang w:val="en-US"/>
        </w:rPr>
        <w:t xml:space="preserve">i) </w:t>
      </w:r>
      <w:r w:rsidRPr="007B2402">
        <w:rPr>
          <w:rFonts w:eastAsia="Calibri" w:cs="Times New Roman"/>
          <w:szCs w:val="20"/>
          <w:lang w:val="en-US"/>
        </w:rPr>
        <w:t>there must be an attack</w:t>
      </w:r>
      <w:r w:rsidR="000744A8" w:rsidRPr="007B2402">
        <w:rPr>
          <w:rFonts w:eastAsia="Calibri" w:cs="Times New Roman"/>
          <w:szCs w:val="20"/>
          <w:lang w:val="en-US"/>
        </w:rPr>
        <w:t xml:space="preserve">; </w:t>
      </w:r>
      <w:r w:rsidR="00B520AC" w:rsidRPr="007B2402">
        <w:rPr>
          <w:rFonts w:eastAsia="Calibri" w:cs="Times New Roman"/>
          <w:szCs w:val="20"/>
          <w:lang w:val="en-US"/>
        </w:rPr>
        <w:t>(</w:t>
      </w:r>
      <w:r w:rsidR="000744A8" w:rsidRPr="007B2402">
        <w:rPr>
          <w:rFonts w:eastAsia="Calibri" w:cs="Times New Roman"/>
          <w:szCs w:val="20"/>
          <w:lang w:val="en-US"/>
        </w:rPr>
        <w:t xml:space="preserve">ii) </w:t>
      </w:r>
      <w:r w:rsidR="00B520AC" w:rsidRPr="007B2402">
        <w:rPr>
          <w:rFonts w:eastAsia="Calibri" w:cs="Times New Roman"/>
          <w:szCs w:val="20"/>
          <w:lang w:val="en-US"/>
        </w:rPr>
        <w:t xml:space="preserve">the attack must be widespread or systematic; (iii) the attack must be directed against any civilian population; (iv) the acts of the perpetrator must be part of the attack, </w:t>
      </w:r>
      <w:r w:rsidR="005B1590" w:rsidRPr="007B2402">
        <w:rPr>
          <w:rFonts w:eastAsia="Calibri" w:cs="Times New Roman"/>
          <w:szCs w:val="20"/>
          <w:lang w:val="en-US"/>
        </w:rPr>
        <w:t xml:space="preserve">and </w:t>
      </w:r>
      <w:r w:rsidR="00B520AC" w:rsidRPr="007B2402">
        <w:rPr>
          <w:rFonts w:eastAsia="Calibri" w:cs="Times New Roman"/>
          <w:szCs w:val="20"/>
          <w:lang w:val="en-US"/>
        </w:rPr>
        <w:t>(</w:t>
      </w:r>
      <w:r w:rsidR="000744A8" w:rsidRPr="007B2402">
        <w:rPr>
          <w:rFonts w:eastAsia="Calibri" w:cs="Times New Roman"/>
          <w:szCs w:val="20"/>
          <w:lang w:val="en-US"/>
        </w:rPr>
        <w:t xml:space="preserve">v) </w:t>
      </w:r>
      <w:r w:rsidR="00B520AC" w:rsidRPr="007B2402">
        <w:rPr>
          <w:rFonts w:eastAsia="Calibri" w:cs="Times New Roman"/>
          <w:szCs w:val="20"/>
          <w:lang w:val="en-US"/>
        </w:rPr>
        <w:t xml:space="preserve">the perpetrator must have </w:t>
      </w:r>
      <w:r w:rsidR="00B520AC" w:rsidRPr="007B2402">
        <w:rPr>
          <w:rFonts w:eastAsia="Calibri" w:cs="Times New Roman"/>
          <w:szCs w:val="20"/>
          <w:lang w:val="en-US"/>
        </w:rPr>
        <w:lastRenderedPageBreak/>
        <w:t>knowledge that his acts constitute part of a widespread or systematic attack directed against a civilian population.</w:t>
      </w:r>
      <w:r w:rsidR="000744A8" w:rsidRPr="007B2402">
        <w:rPr>
          <w:rFonts w:eastAsia="Calibri" w:cs="Times New Roman"/>
          <w:szCs w:val="20"/>
          <w:vertAlign w:val="superscript"/>
          <w:lang w:val="en-US"/>
        </w:rPr>
        <w:footnoteReference w:id="179"/>
      </w:r>
    </w:p>
    <w:p w14:paraId="1707C0D9" w14:textId="77777777" w:rsidR="005D72BD" w:rsidRPr="007B2402" w:rsidRDefault="005D72BD" w:rsidP="005D72BD">
      <w:pPr>
        <w:pStyle w:val="Prrafodelista"/>
        <w:rPr>
          <w:rFonts w:eastAsia="Calibri" w:cs="Times New Roman"/>
          <w:szCs w:val="20"/>
          <w:lang w:val="en-US"/>
        </w:rPr>
      </w:pPr>
    </w:p>
    <w:p w14:paraId="1F7DF7A3" w14:textId="08CB4648" w:rsidR="00C9210F" w:rsidRPr="007B2402" w:rsidRDefault="00B520AC" w:rsidP="005D72BD">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Similarly, the European Court of Human Rights</w:t>
      </w:r>
      <w:r w:rsidR="00862DF1" w:rsidRPr="007B2402">
        <w:rPr>
          <w:rFonts w:eastAsia="Calibri" w:cs="Times New Roman"/>
          <w:szCs w:val="20"/>
          <w:lang w:val="en-US"/>
        </w:rPr>
        <w:t xml:space="preserve">, </w:t>
      </w:r>
      <w:r w:rsidRPr="007B2402">
        <w:rPr>
          <w:rFonts w:eastAsia="Calibri" w:cs="Times New Roman"/>
          <w:szCs w:val="20"/>
          <w:lang w:val="en-US"/>
        </w:rPr>
        <w:t xml:space="preserve">in a case in which the facts </w:t>
      </w:r>
      <w:r w:rsidR="0001528A" w:rsidRPr="007B2402">
        <w:rPr>
          <w:rFonts w:eastAsia="Calibri" w:cs="Times New Roman"/>
          <w:szCs w:val="20"/>
          <w:lang w:val="en-US"/>
        </w:rPr>
        <w:t>occurred</w:t>
      </w:r>
      <w:r w:rsidRPr="007B2402">
        <w:rPr>
          <w:rFonts w:eastAsia="Calibri" w:cs="Times New Roman"/>
          <w:szCs w:val="20"/>
          <w:lang w:val="en-US"/>
        </w:rPr>
        <w:t xml:space="preserve"> in 1956, recognized as elements of </w:t>
      </w:r>
      <w:r w:rsidR="00844CE7" w:rsidRPr="007B2402">
        <w:rPr>
          <w:rFonts w:eastAsia="Calibri" w:cs="Times New Roman"/>
          <w:szCs w:val="20"/>
          <w:lang w:val="en-US"/>
        </w:rPr>
        <w:t>crimes against humanity</w:t>
      </w:r>
      <w:r w:rsidR="00B417C3" w:rsidRPr="007B2402">
        <w:rPr>
          <w:rFonts w:eastAsia="Calibri" w:cs="Times New Roman"/>
          <w:szCs w:val="20"/>
          <w:lang w:val="en-US"/>
        </w:rPr>
        <w:t xml:space="preserve"> </w:t>
      </w:r>
      <w:r w:rsidRPr="007B2402">
        <w:rPr>
          <w:rFonts w:eastAsia="Calibri" w:cs="Times New Roman"/>
          <w:szCs w:val="20"/>
          <w:lang w:val="en-US"/>
        </w:rPr>
        <w:t xml:space="preserve">the presence of discrimination or persecution against a specific group of the civilian population and the existence of a </w:t>
      </w:r>
      <w:r w:rsidR="0001528A" w:rsidRPr="007B2402">
        <w:rPr>
          <w:rFonts w:eastAsia="Calibri" w:cs="Times New Roman"/>
          <w:szCs w:val="20"/>
          <w:lang w:val="en-US"/>
        </w:rPr>
        <w:t xml:space="preserve">systematic and widespread </w:t>
      </w:r>
      <w:r w:rsidRPr="007B2402">
        <w:rPr>
          <w:rFonts w:eastAsia="Calibri" w:cs="Times New Roman"/>
          <w:szCs w:val="20"/>
          <w:lang w:val="en-US"/>
        </w:rPr>
        <w:t>state policy or action.</w:t>
      </w:r>
      <w:r w:rsidR="00B417C3" w:rsidRPr="007B2402">
        <w:rPr>
          <w:rStyle w:val="Refdenotaalpie"/>
          <w:rFonts w:ascii="Verdana" w:eastAsia="Calibri" w:hAnsi="Verdana"/>
          <w:lang w:val="en-US"/>
        </w:rPr>
        <w:footnoteReference w:id="180"/>
      </w:r>
      <w:r w:rsidR="00C9210F" w:rsidRPr="007B2402">
        <w:rPr>
          <w:rFonts w:eastAsia="Calibri" w:cs="Times New Roman"/>
          <w:szCs w:val="20"/>
          <w:lang w:val="en-US"/>
        </w:rPr>
        <w:t xml:space="preserve"> </w:t>
      </w:r>
    </w:p>
    <w:p w14:paraId="3E91E189" w14:textId="77777777" w:rsidR="00C9210F" w:rsidRPr="007B2402" w:rsidRDefault="00C9210F" w:rsidP="00C9210F">
      <w:pPr>
        <w:pStyle w:val="Prrafodelista"/>
        <w:rPr>
          <w:rFonts w:eastAsia="Calibri" w:cs="Times New Roman"/>
          <w:szCs w:val="20"/>
          <w:lang w:val="en-US"/>
        </w:rPr>
      </w:pPr>
    </w:p>
    <w:p w14:paraId="191D6EB4" w14:textId="3746822D" w:rsidR="00B520AC" w:rsidRPr="007B2402" w:rsidRDefault="00B520AC" w:rsidP="005D72BD">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 xml:space="preserve">National courts of </w:t>
      </w:r>
      <w:r w:rsidR="00C9210F" w:rsidRPr="007B2402">
        <w:rPr>
          <w:rFonts w:eastAsia="Calibri" w:cs="Times New Roman"/>
          <w:szCs w:val="20"/>
          <w:lang w:val="en-US"/>
        </w:rPr>
        <w:t>Argentina</w:t>
      </w:r>
      <w:r w:rsidRPr="007B2402">
        <w:rPr>
          <w:rFonts w:eastAsia="Calibri" w:cs="Times New Roman"/>
          <w:szCs w:val="20"/>
          <w:lang w:val="en-US"/>
        </w:rPr>
        <w:t>,</w:t>
      </w:r>
      <w:r w:rsidR="009B724F" w:rsidRPr="007B2402">
        <w:rPr>
          <w:rStyle w:val="Refdenotaalpie"/>
          <w:rFonts w:ascii="Verdana" w:eastAsia="Calibri" w:hAnsi="Verdana"/>
          <w:lang w:val="en-US"/>
        </w:rPr>
        <w:footnoteReference w:id="181"/>
      </w:r>
      <w:r w:rsidR="00C9210F" w:rsidRPr="007B2402">
        <w:rPr>
          <w:rFonts w:eastAsia="Calibri" w:cs="Times New Roman"/>
          <w:szCs w:val="20"/>
          <w:lang w:val="en-US"/>
        </w:rPr>
        <w:t xml:space="preserve"> Colombia</w:t>
      </w:r>
      <w:r w:rsidRPr="007B2402">
        <w:rPr>
          <w:rFonts w:eastAsia="Calibri" w:cs="Times New Roman"/>
          <w:szCs w:val="20"/>
          <w:lang w:val="en-US"/>
        </w:rPr>
        <w:t>,</w:t>
      </w:r>
      <w:r w:rsidR="009B724F" w:rsidRPr="007B2402">
        <w:rPr>
          <w:rStyle w:val="Refdenotaalpie"/>
          <w:rFonts w:ascii="Verdana" w:eastAsia="Calibri" w:hAnsi="Verdana"/>
          <w:lang w:val="en-US"/>
        </w:rPr>
        <w:footnoteReference w:id="182"/>
      </w:r>
      <w:r w:rsidR="00C9210F" w:rsidRPr="007B2402">
        <w:rPr>
          <w:rFonts w:eastAsia="Calibri" w:cs="Times New Roman"/>
          <w:szCs w:val="20"/>
          <w:lang w:val="en-US"/>
        </w:rPr>
        <w:t xml:space="preserve"> </w:t>
      </w:r>
      <w:r w:rsidR="00D05845" w:rsidRPr="007B2402">
        <w:rPr>
          <w:rFonts w:eastAsia="Calibri" w:cs="Times New Roman"/>
          <w:szCs w:val="20"/>
          <w:lang w:val="en-US"/>
        </w:rPr>
        <w:t>Peru</w:t>
      </w:r>
      <w:r w:rsidRPr="007B2402">
        <w:rPr>
          <w:rFonts w:eastAsia="Calibri" w:cs="Times New Roman"/>
          <w:szCs w:val="20"/>
          <w:lang w:val="en-US"/>
        </w:rPr>
        <w:t>,</w:t>
      </w:r>
      <w:r w:rsidR="009B724F" w:rsidRPr="007B2402">
        <w:rPr>
          <w:rStyle w:val="Refdenotaalpie"/>
          <w:rFonts w:ascii="Verdana" w:eastAsia="Calibri" w:hAnsi="Verdana"/>
          <w:lang w:val="en-US"/>
        </w:rPr>
        <w:footnoteReference w:id="183"/>
      </w:r>
      <w:r w:rsidR="00C9210F" w:rsidRPr="007B2402">
        <w:rPr>
          <w:rFonts w:eastAsia="Calibri" w:cs="Times New Roman"/>
          <w:szCs w:val="20"/>
          <w:lang w:val="en-US"/>
        </w:rPr>
        <w:t xml:space="preserve"> Chile</w:t>
      </w:r>
      <w:r w:rsidR="009B724F" w:rsidRPr="007B2402">
        <w:rPr>
          <w:rStyle w:val="Refdenotaalpie"/>
          <w:rFonts w:ascii="Verdana" w:eastAsia="Calibri" w:hAnsi="Verdana"/>
          <w:lang w:val="en-US"/>
        </w:rPr>
        <w:footnoteReference w:id="184"/>
      </w:r>
      <w:r w:rsidRPr="007B2402">
        <w:rPr>
          <w:rFonts w:eastAsia="Calibri" w:cs="Times New Roman"/>
          <w:szCs w:val="20"/>
          <w:lang w:val="en-US"/>
        </w:rPr>
        <w:t xml:space="preserve"> and</w:t>
      </w:r>
      <w:r w:rsidR="00C9210F" w:rsidRPr="007B2402">
        <w:rPr>
          <w:rFonts w:eastAsia="Calibri" w:cs="Times New Roman"/>
          <w:szCs w:val="20"/>
          <w:lang w:val="en-US"/>
        </w:rPr>
        <w:t xml:space="preserve"> Guatemala</w:t>
      </w:r>
      <w:r w:rsidR="009B724F" w:rsidRPr="007B2402">
        <w:rPr>
          <w:rStyle w:val="Refdenotaalpie"/>
          <w:rFonts w:ascii="Verdana" w:eastAsia="Calibri" w:hAnsi="Verdana"/>
          <w:lang w:val="en-US"/>
        </w:rPr>
        <w:footnoteReference w:id="185"/>
      </w:r>
      <w:r w:rsidR="00C9210F" w:rsidRPr="007B2402">
        <w:rPr>
          <w:rFonts w:eastAsia="Calibri" w:cs="Times New Roman"/>
          <w:szCs w:val="20"/>
          <w:lang w:val="en-US"/>
        </w:rPr>
        <w:t xml:space="preserve"> ha</w:t>
      </w:r>
      <w:r w:rsidRPr="007B2402">
        <w:rPr>
          <w:rFonts w:eastAsia="Calibri" w:cs="Times New Roman"/>
          <w:szCs w:val="20"/>
          <w:lang w:val="en-US"/>
        </w:rPr>
        <w:t xml:space="preserve">ve recognized the following elements as constituting </w:t>
      </w:r>
      <w:r w:rsidR="00810476" w:rsidRPr="007B2402">
        <w:rPr>
          <w:rFonts w:eastAsia="Calibri" w:cs="Times New Roman"/>
          <w:szCs w:val="20"/>
          <w:lang w:val="en-US"/>
        </w:rPr>
        <w:t>crimes against humanity</w:t>
      </w:r>
      <w:r w:rsidR="00794862" w:rsidRPr="007B2402">
        <w:rPr>
          <w:rFonts w:eastAsia="Calibri" w:cs="Times New Roman"/>
          <w:szCs w:val="20"/>
          <w:lang w:val="en-US"/>
        </w:rPr>
        <w:t xml:space="preserve">: </w:t>
      </w:r>
      <w:r w:rsidRPr="007B2402">
        <w:rPr>
          <w:rFonts w:eastAsia="Calibri" w:cs="Times New Roman"/>
          <w:szCs w:val="20"/>
          <w:lang w:val="en-US"/>
        </w:rPr>
        <w:t>the existence of a systematic or widespread attack against the civilian population o</w:t>
      </w:r>
      <w:r w:rsidR="0001528A" w:rsidRPr="007B2402">
        <w:rPr>
          <w:rFonts w:eastAsia="Calibri" w:cs="Times New Roman"/>
          <w:szCs w:val="20"/>
          <w:lang w:val="en-US"/>
        </w:rPr>
        <w:t>r</w:t>
      </w:r>
      <w:r w:rsidRPr="007B2402">
        <w:rPr>
          <w:rFonts w:eastAsia="Calibri" w:cs="Times New Roman"/>
          <w:szCs w:val="20"/>
          <w:lang w:val="en-US"/>
        </w:rPr>
        <w:t xml:space="preserve"> a specific group of civilians,</w:t>
      </w:r>
      <w:r w:rsidR="00F153CA" w:rsidRPr="007B2402">
        <w:rPr>
          <w:rFonts w:eastAsia="Calibri" w:cs="Times New Roman"/>
          <w:szCs w:val="20"/>
          <w:lang w:val="en-US"/>
        </w:rPr>
        <w:t xml:space="preserve"> which should include inhumane acts committed as part of a coordinate</w:t>
      </w:r>
      <w:r w:rsidR="0001528A" w:rsidRPr="007B2402">
        <w:rPr>
          <w:rFonts w:eastAsia="Calibri" w:cs="Times New Roman"/>
          <w:szCs w:val="20"/>
          <w:lang w:val="en-US"/>
        </w:rPr>
        <w:t>s</w:t>
      </w:r>
      <w:r w:rsidR="00F153CA" w:rsidRPr="007B2402">
        <w:rPr>
          <w:rFonts w:eastAsia="Calibri" w:cs="Times New Roman"/>
          <w:szCs w:val="20"/>
          <w:lang w:val="en-US"/>
        </w:rPr>
        <w:t xml:space="preserve"> </w:t>
      </w:r>
      <w:r w:rsidR="0001528A" w:rsidRPr="007B2402">
        <w:rPr>
          <w:rFonts w:eastAsia="Calibri" w:cs="Times New Roman"/>
          <w:szCs w:val="20"/>
          <w:lang w:val="en-US"/>
        </w:rPr>
        <w:t>S</w:t>
      </w:r>
      <w:r w:rsidR="00F153CA" w:rsidRPr="007B2402">
        <w:rPr>
          <w:rFonts w:eastAsia="Calibri" w:cs="Times New Roman"/>
          <w:szCs w:val="20"/>
          <w:lang w:val="en-US"/>
        </w:rPr>
        <w:t>tate plan or policy to this end. In addition, some courts have considered relevant the existence of discrimination for political, ideological, religious, ethnic or national reasons.</w:t>
      </w:r>
    </w:p>
    <w:p w14:paraId="1D0EFB52" w14:textId="77777777" w:rsidR="000744A8" w:rsidRPr="007B2402" w:rsidRDefault="000744A8" w:rsidP="000744A8">
      <w:pPr>
        <w:spacing w:after="0" w:line="240" w:lineRule="auto"/>
        <w:jc w:val="both"/>
        <w:rPr>
          <w:rFonts w:eastAsia="Calibri" w:cs="Times New Roman"/>
          <w:szCs w:val="20"/>
          <w:lang w:val="en-US"/>
        </w:rPr>
      </w:pPr>
    </w:p>
    <w:p w14:paraId="62CC3DF2" w14:textId="359D6727" w:rsidR="000744A8" w:rsidRPr="007B2402" w:rsidRDefault="000744A8" w:rsidP="00E668B8">
      <w:pPr>
        <w:pStyle w:val="Ttulo3"/>
        <w:rPr>
          <w:lang w:val="en-US"/>
        </w:rPr>
      </w:pPr>
      <w:bookmarkStart w:id="163" w:name="_Toc506984122"/>
      <w:r w:rsidRPr="007B2402">
        <w:rPr>
          <w:lang w:val="en-US"/>
        </w:rPr>
        <w:t>B.</w:t>
      </w:r>
      <w:r w:rsidR="0030524C" w:rsidRPr="007B2402">
        <w:rPr>
          <w:lang w:val="en-US"/>
        </w:rPr>
        <w:t>2</w:t>
      </w:r>
      <w:r w:rsidRPr="007B2402">
        <w:rPr>
          <w:lang w:val="en-US"/>
        </w:rPr>
        <w:t xml:space="preserve">. </w:t>
      </w:r>
      <w:r w:rsidR="00FD0126" w:rsidRPr="007B2402">
        <w:rPr>
          <w:lang w:val="en-US"/>
        </w:rPr>
        <w:t>Consequence of the perpetration of a</w:t>
      </w:r>
      <w:r w:rsidRPr="007B2402">
        <w:rPr>
          <w:lang w:val="en-US"/>
        </w:rPr>
        <w:t xml:space="preserve"> </w:t>
      </w:r>
      <w:r w:rsidR="00810476" w:rsidRPr="007B2402">
        <w:rPr>
          <w:lang w:val="en-US"/>
        </w:rPr>
        <w:t>crime against humanity</w:t>
      </w:r>
      <w:bookmarkEnd w:id="163"/>
    </w:p>
    <w:p w14:paraId="50715FDA" w14:textId="77777777" w:rsidR="000744A8" w:rsidRPr="007B2402" w:rsidRDefault="000744A8" w:rsidP="000744A8">
      <w:pPr>
        <w:spacing w:after="0" w:line="240" w:lineRule="auto"/>
        <w:jc w:val="both"/>
        <w:rPr>
          <w:rFonts w:eastAsia="Calibri" w:cs="Times New Roman"/>
          <w:szCs w:val="20"/>
          <w:lang w:val="en-US"/>
        </w:rPr>
      </w:pPr>
    </w:p>
    <w:p w14:paraId="28772076" w14:textId="526990F0" w:rsidR="000744A8" w:rsidRPr="007B2402" w:rsidRDefault="00FD0126" w:rsidP="00FD0126">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As</w:t>
      </w:r>
      <w:r w:rsidR="000C4476" w:rsidRPr="007B2402">
        <w:rPr>
          <w:rFonts w:eastAsia="Calibri" w:cs="Times New Roman"/>
          <w:szCs w:val="20"/>
          <w:lang w:val="en-US"/>
        </w:rPr>
        <w:t xml:space="preserve"> previously</w:t>
      </w:r>
      <w:r w:rsidRPr="007B2402">
        <w:rPr>
          <w:rFonts w:eastAsia="Calibri" w:cs="Times New Roman"/>
          <w:szCs w:val="20"/>
          <w:lang w:val="en-US"/>
        </w:rPr>
        <w:t xml:space="preserve"> indicated </w:t>
      </w:r>
      <w:r w:rsidR="000744A8" w:rsidRPr="007B2402">
        <w:rPr>
          <w:rFonts w:eastAsia="Calibri" w:cs="Times New Roman"/>
          <w:szCs w:val="20"/>
          <w:lang w:val="en-US"/>
        </w:rPr>
        <w:t>(</w:t>
      </w:r>
      <w:r w:rsidR="000744A8" w:rsidRPr="007B2402">
        <w:rPr>
          <w:rFonts w:eastAsia="Calibri" w:cs="Times New Roman"/>
          <w:i/>
          <w:szCs w:val="20"/>
          <w:lang w:val="en-US"/>
        </w:rPr>
        <w:t xml:space="preserve">supra </w:t>
      </w:r>
      <w:r w:rsidR="005B1590" w:rsidRPr="007B2402">
        <w:rPr>
          <w:rFonts w:eastAsia="Calibri" w:cs="Times New Roman"/>
          <w:szCs w:val="20"/>
          <w:lang w:val="en-US"/>
        </w:rPr>
        <w:t>para.</w:t>
      </w:r>
      <w:r w:rsidR="000744A8" w:rsidRPr="007B2402">
        <w:rPr>
          <w:rFonts w:eastAsia="Calibri" w:cs="Times New Roman"/>
          <w:szCs w:val="20"/>
          <w:lang w:val="en-US"/>
        </w:rPr>
        <w:t xml:space="preserve"> </w:t>
      </w:r>
      <w:r w:rsidR="00455A02" w:rsidRPr="007B2402">
        <w:rPr>
          <w:rFonts w:eastAsia="Calibri" w:cs="Times New Roman"/>
          <w:szCs w:val="20"/>
          <w:lang w:val="en-US"/>
        </w:rPr>
        <w:t>219</w:t>
      </w:r>
      <w:r w:rsidR="000744A8" w:rsidRPr="007B2402">
        <w:rPr>
          <w:rFonts w:eastAsia="Calibri" w:cs="Times New Roman"/>
          <w:szCs w:val="20"/>
          <w:lang w:val="en-US"/>
        </w:rPr>
        <w:t xml:space="preserve">), </w:t>
      </w:r>
      <w:r w:rsidRPr="007B2402">
        <w:rPr>
          <w:rFonts w:eastAsia="Calibri" w:cs="Times New Roman"/>
          <w:szCs w:val="20"/>
          <w:lang w:val="en-US"/>
        </w:rPr>
        <w:t>the prohibition of</w:t>
      </w:r>
      <w:r w:rsidR="000744A8" w:rsidRPr="007B2402">
        <w:rPr>
          <w:rFonts w:eastAsia="Calibri" w:cs="Times New Roman"/>
          <w:szCs w:val="20"/>
          <w:lang w:val="en-US"/>
        </w:rPr>
        <w:t xml:space="preserve"> </w:t>
      </w:r>
      <w:r w:rsidR="00810476" w:rsidRPr="007B2402">
        <w:rPr>
          <w:rFonts w:eastAsia="Calibri" w:cs="Times New Roman"/>
          <w:szCs w:val="20"/>
          <w:lang w:val="en-US"/>
        </w:rPr>
        <w:t>crimes against humanity</w:t>
      </w:r>
      <w:r w:rsidR="000744A8" w:rsidRPr="007B2402">
        <w:rPr>
          <w:rFonts w:eastAsia="Calibri" w:cs="Times New Roman"/>
          <w:szCs w:val="20"/>
          <w:lang w:val="en-US"/>
        </w:rPr>
        <w:t xml:space="preserve"> </w:t>
      </w:r>
      <w:r w:rsidRPr="007B2402">
        <w:rPr>
          <w:rFonts w:eastAsia="Calibri" w:cs="Times New Roman"/>
          <w:szCs w:val="20"/>
          <w:lang w:val="en-US"/>
        </w:rPr>
        <w:t xml:space="preserve">is a peremptory norm of international law </w:t>
      </w:r>
      <w:r w:rsidR="000744A8" w:rsidRPr="007B2402">
        <w:rPr>
          <w:rFonts w:eastAsia="Calibri" w:cs="Times New Roman"/>
          <w:szCs w:val="20"/>
          <w:lang w:val="en-US"/>
        </w:rPr>
        <w:t>(</w:t>
      </w:r>
      <w:r w:rsidR="000744A8" w:rsidRPr="007B2402">
        <w:rPr>
          <w:rFonts w:eastAsia="Calibri" w:cs="Times New Roman"/>
          <w:i/>
          <w:szCs w:val="20"/>
          <w:lang w:val="en-US"/>
        </w:rPr>
        <w:t>jus cogens</w:t>
      </w:r>
      <w:r w:rsidR="000744A8" w:rsidRPr="007B2402">
        <w:rPr>
          <w:rFonts w:eastAsia="Calibri" w:cs="Times New Roman"/>
          <w:szCs w:val="20"/>
          <w:lang w:val="en-US"/>
        </w:rPr>
        <w:t xml:space="preserve">). </w:t>
      </w:r>
      <w:r w:rsidRPr="007B2402">
        <w:rPr>
          <w:rFonts w:eastAsia="Calibri" w:cs="Times New Roman"/>
          <w:szCs w:val="20"/>
          <w:lang w:val="en-US"/>
        </w:rPr>
        <w:t xml:space="preserve">This means that the said prohibition </w:t>
      </w:r>
      <w:r w:rsidR="000C4476" w:rsidRPr="007B2402">
        <w:rPr>
          <w:rFonts w:eastAsia="Calibri" w:cs="Times New Roman"/>
          <w:szCs w:val="20"/>
          <w:lang w:val="en-US"/>
        </w:rPr>
        <w:t>“</w:t>
      </w:r>
      <w:r w:rsidRPr="007B2402">
        <w:rPr>
          <w:rFonts w:eastAsia="Calibri" w:cs="Times New Roman"/>
          <w:szCs w:val="20"/>
          <w:lang w:val="en-US"/>
        </w:rPr>
        <w:t xml:space="preserve">is accepted and recognized by the international community of States as a whole as a norm </w:t>
      </w:r>
      <w:r w:rsidR="000C4476" w:rsidRPr="007B2402">
        <w:rPr>
          <w:rFonts w:eastAsia="Calibri" w:cs="Times New Roman"/>
          <w:szCs w:val="20"/>
          <w:lang w:val="en-US"/>
        </w:rPr>
        <w:t xml:space="preserve">from which </w:t>
      </w:r>
      <w:r w:rsidR="000C4476" w:rsidRPr="007B2402">
        <w:rPr>
          <w:lang w:val="en-US"/>
        </w:rPr>
        <w:t>no derogation is permitted and which can be modified only by a subsequent norm of general international law having the same character.</w:t>
      </w:r>
      <w:r w:rsidR="000C4476" w:rsidRPr="007B2402">
        <w:rPr>
          <w:rFonts w:eastAsia="Calibri" w:cs="Times New Roman"/>
          <w:szCs w:val="20"/>
          <w:lang w:val="en-US"/>
        </w:rPr>
        <w:t>”</w:t>
      </w:r>
      <w:r w:rsidR="007A5488" w:rsidRPr="007B2402">
        <w:rPr>
          <w:rStyle w:val="Refdenotaalpie"/>
          <w:rFonts w:ascii="Verdana" w:eastAsia="Calibri" w:hAnsi="Verdana"/>
          <w:lang w:val="en-US"/>
        </w:rPr>
        <w:footnoteReference w:id="186"/>
      </w:r>
      <w:r w:rsidR="000C4476" w:rsidRPr="007B2402">
        <w:rPr>
          <w:rFonts w:eastAsia="Calibri" w:cs="Times New Roman"/>
          <w:szCs w:val="20"/>
          <w:lang w:val="en-US"/>
        </w:rPr>
        <w:t xml:space="preserve"> Specifically, the first obligation of States is to avoid such conditions occurring. </w:t>
      </w:r>
      <w:r w:rsidR="0001528A" w:rsidRPr="007B2402">
        <w:rPr>
          <w:rFonts w:eastAsia="Calibri" w:cs="Times New Roman"/>
          <w:szCs w:val="20"/>
          <w:lang w:val="en-US"/>
        </w:rPr>
        <w:t>If they do occur</w:t>
      </w:r>
      <w:r w:rsidR="00581A5E" w:rsidRPr="007B2402">
        <w:rPr>
          <w:rFonts w:eastAsia="Calibri" w:cs="Times New Roman"/>
          <w:szCs w:val="20"/>
          <w:lang w:val="en-US"/>
        </w:rPr>
        <w:t>, the State’s duty is to ensure that such conducts are criminally prosecuted and the perpetrators punished,</w:t>
      </w:r>
      <w:r w:rsidR="000744A8" w:rsidRPr="007B2402">
        <w:rPr>
          <w:rFonts w:eastAsia="Calibri" w:cs="Times New Roman"/>
          <w:szCs w:val="20"/>
          <w:vertAlign w:val="superscript"/>
          <w:lang w:val="en-US"/>
        </w:rPr>
        <w:footnoteReference w:id="187"/>
      </w:r>
      <w:r w:rsidR="00581A5E" w:rsidRPr="007B2402">
        <w:rPr>
          <w:rFonts w:eastAsia="Calibri" w:cs="Times New Roman"/>
          <w:szCs w:val="20"/>
          <w:lang w:val="en-US"/>
        </w:rPr>
        <w:t xml:space="preserve"> so that such conducts do not remain in impunity.</w:t>
      </w:r>
      <w:r w:rsidR="000744A8" w:rsidRPr="007B2402">
        <w:rPr>
          <w:rFonts w:eastAsia="Calibri" w:cs="Times New Roman"/>
          <w:szCs w:val="20"/>
          <w:vertAlign w:val="superscript"/>
          <w:lang w:val="en-US"/>
        </w:rPr>
        <w:footnoteReference w:id="188"/>
      </w:r>
      <w:r w:rsidR="000744A8" w:rsidRPr="007B2402">
        <w:rPr>
          <w:rFonts w:eastAsia="Calibri" w:cs="Times New Roman"/>
          <w:szCs w:val="20"/>
          <w:lang w:val="en-US"/>
        </w:rPr>
        <w:t xml:space="preserve"> </w:t>
      </w:r>
    </w:p>
    <w:p w14:paraId="7D2528C7" w14:textId="77777777" w:rsidR="000744A8" w:rsidRPr="007B2402" w:rsidRDefault="000744A8" w:rsidP="000744A8">
      <w:pPr>
        <w:spacing w:after="0" w:line="240" w:lineRule="auto"/>
        <w:jc w:val="both"/>
        <w:rPr>
          <w:rFonts w:eastAsia="Calibri" w:cs="Times New Roman"/>
          <w:szCs w:val="20"/>
          <w:lang w:val="en-US"/>
        </w:rPr>
      </w:pPr>
    </w:p>
    <w:p w14:paraId="159A594D" w14:textId="68E5F153" w:rsidR="000744A8" w:rsidRPr="007B2402" w:rsidRDefault="00581A5E"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 xml:space="preserve">Even if certain conducts that are considered </w:t>
      </w:r>
      <w:r w:rsidR="00844CE7" w:rsidRPr="007B2402">
        <w:rPr>
          <w:rFonts w:eastAsia="Calibri" w:cs="Times New Roman"/>
          <w:szCs w:val="20"/>
          <w:lang w:val="en-US"/>
        </w:rPr>
        <w:t>crimes against humanity</w:t>
      </w:r>
      <w:r w:rsidR="000744A8" w:rsidRPr="007B2402">
        <w:rPr>
          <w:rFonts w:eastAsia="Calibri" w:cs="Times New Roman"/>
          <w:szCs w:val="20"/>
          <w:lang w:val="en-US"/>
        </w:rPr>
        <w:t xml:space="preserve"> </w:t>
      </w:r>
      <w:r w:rsidRPr="007B2402">
        <w:rPr>
          <w:rFonts w:eastAsia="Calibri" w:cs="Times New Roman"/>
          <w:szCs w:val="20"/>
          <w:lang w:val="en-US"/>
        </w:rPr>
        <w:t xml:space="preserve">are not formally defined as such in domestic law, or </w:t>
      </w:r>
      <w:r w:rsidR="0001528A" w:rsidRPr="007B2402">
        <w:rPr>
          <w:rFonts w:eastAsia="Calibri" w:cs="Times New Roman"/>
          <w:szCs w:val="20"/>
          <w:lang w:val="en-US"/>
        </w:rPr>
        <w:t>might</w:t>
      </w:r>
      <w:r w:rsidRPr="007B2402">
        <w:rPr>
          <w:rFonts w:eastAsia="Calibri" w:cs="Times New Roman"/>
          <w:szCs w:val="20"/>
          <w:lang w:val="en-US"/>
        </w:rPr>
        <w:t xml:space="preserve"> even be legal under domestic law, this does not </w:t>
      </w:r>
      <w:r w:rsidR="0019515E" w:rsidRPr="007B2402">
        <w:rPr>
          <w:rFonts w:eastAsia="Calibri" w:cs="Times New Roman"/>
          <w:szCs w:val="20"/>
          <w:lang w:val="en-US"/>
        </w:rPr>
        <w:t>reliev</w:t>
      </w:r>
      <w:r w:rsidR="0001528A" w:rsidRPr="007B2402">
        <w:rPr>
          <w:rFonts w:eastAsia="Calibri" w:cs="Times New Roman"/>
          <w:szCs w:val="20"/>
          <w:lang w:val="en-US"/>
        </w:rPr>
        <w:t>e</w:t>
      </w:r>
      <w:r w:rsidR="00771304" w:rsidRPr="007B2402">
        <w:rPr>
          <w:rFonts w:eastAsia="Calibri" w:cs="Times New Roman"/>
          <w:szCs w:val="20"/>
          <w:lang w:val="en-US"/>
        </w:rPr>
        <w:t xml:space="preserve"> </w:t>
      </w:r>
      <w:r w:rsidRPr="007B2402">
        <w:rPr>
          <w:rFonts w:eastAsia="Calibri" w:cs="Times New Roman"/>
          <w:szCs w:val="20"/>
          <w:lang w:val="en-US"/>
        </w:rPr>
        <w:t>the person who commit</w:t>
      </w:r>
      <w:r w:rsidR="0001528A" w:rsidRPr="007B2402">
        <w:rPr>
          <w:rFonts w:eastAsia="Calibri" w:cs="Times New Roman"/>
          <w:szCs w:val="20"/>
          <w:lang w:val="en-US"/>
        </w:rPr>
        <w:t>ted</w:t>
      </w:r>
      <w:r w:rsidRPr="007B2402">
        <w:rPr>
          <w:rFonts w:eastAsia="Calibri" w:cs="Times New Roman"/>
          <w:szCs w:val="20"/>
          <w:lang w:val="en-US"/>
        </w:rPr>
        <w:t xml:space="preserve"> the act </w:t>
      </w:r>
      <w:r w:rsidR="0001528A" w:rsidRPr="007B2402">
        <w:rPr>
          <w:rFonts w:eastAsia="Calibri" w:cs="Times New Roman"/>
          <w:szCs w:val="20"/>
          <w:lang w:val="en-US"/>
        </w:rPr>
        <w:t>from</w:t>
      </w:r>
      <w:r w:rsidRPr="007B2402">
        <w:rPr>
          <w:rFonts w:eastAsia="Calibri" w:cs="Times New Roman"/>
          <w:szCs w:val="20"/>
          <w:lang w:val="en-US"/>
        </w:rPr>
        <w:t xml:space="preserve"> his </w:t>
      </w:r>
      <w:r w:rsidR="0019515E" w:rsidRPr="007B2402">
        <w:rPr>
          <w:rFonts w:eastAsia="Calibri" w:cs="Times New Roman"/>
          <w:szCs w:val="20"/>
          <w:lang w:val="en-US"/>
        </w:rPr>
        <w:t>responsibility</w:t>
      </w:r>
      <w:r w:rsidRPr="007B2402">
        <w:rPr>
          <w:rFonts w:eastAsia="Calibri" w:cs="Times New Roman"/>
          <w:szCs w:val="20"/>
          <w:lang w:val="en-US"/>
        </w:rPr>
        <w:t xml:space="preserve"> under international law</w:t>
      </w:r>
      <w:r w:rsidR="000744A8" w:rsidRPr="007B2402">
        <w:rPr>
          <w:rFonts w:eastAsia="Calibri" w:cs="Times New Roman"/>
          <w:szCs w:val="20"/>
          <w:lang w:val="en-US"/>
        </w:rPr>
        <w:t xml:space="preserve">. </w:t>
      </w:r>
      <w:r w:rsidRPr="007B2402">
        <w:rPr>
          <w:rFonts w:eastAsia="Calibri" w:cs="Times New Roman"/>
          <w:szCs w:val="20"/>
          <w:lang w:val="en-US"/>
        </w:rPr>
        <w:t xml:space="preserve">In other words, the inexistence of domestic legal provisions that establish and punish </w:t>
      </w:r>
      <w:r w:rsidRPr="007B2402">
        <w:rPr>
          <w:rFonts w:eastAsia="Calibri" w:cs="Times New Roman"/>
          <w:szCs w:val="20"/>
          <w:lang w:val="en-US"/>
        </w:rPr>
        <w:lastRenderedPageBreak/>
        <w:t xml:space="preserve">international crimes can never </w:t>
      </w:r>
      <w:r w:rsidR="0019515E" w:rsidRPr="007B2402">
        <w:rPr>
          <w:rFonts w:eastAsia="Calibri" w:cs="Times New Roman"/>
          <w:szCs w:val="20"/>
          <w:lang w:val="en-US"/>
        </w:rPr>
        <w:t>relieve</w:t>
      </w:r>
      <w:r w:rsidRPr="007B2402">
        <w:rPr>
          <w:rFonts w:eastAsia="Calibri" w:cs="Times New Roman"/>
          <w:szCs w:val="20"/>
          <w:lang w:val="en-US"/>
        </w:rPr>
        <w:t xml:space="preserve"> the perpetrators from their international </w:t>
      </w:r>
      <w:r w:rsidR="0019515E" w:rsidRPr="007B2402">
        <w:rPr>
          <w:rFonts w:eastAsia="Calibri" w:cs="Times New Roman"/>
          <w:szCs w:val="20"/>
          <w:lang w:val="en-US"/>
        </w:rPr>
        <w:t xml:space="preserve">responsibility </w:t>
      </w:r>
      <w:r w:rsidR="00771304" w:rsidRPr="007B2402">
        <w:rPr>
          <w:rFonts w:eastAsia="Calibri" w:cs="Times New Roman"/>
          <w:szCs w:val="20"/>
          <w:lang w:val="en-US"/>
        </w:rPr>
        <w:t>or</w:t>
      </w:r>
      <w:r w:rsidRPr="007B2402">
        <w:rPr>
          <w:rFonts w:eastAsia="Calibri" w:cs="Times New Roman"/>
          <w:szCs w:val="20"/>
          <w:lang w:val="en-US"/>
        </w:rPr>
        <w:t xml:space="preserve"> the State from punishing such crimes.</w:t>
      </w:r>
      <w:r w:rsidR="000744A8" w:rsidRPr="007B2402">
        <w:rPr>
          <w:rFonts w:eastAsia="Calibri" w:cs="Times New Roman"/>
          <w:szCs w:val="20"/>
          <w:vertAlign w:val="superscript"/>
          <w:lang w:val="en-US"/>
        </w:rPr>
        <w:footnoteReference w:id="189"/>
      </w:r>
    </w:p>
    <w:p w14:paraId="5D608DF4" w14:textId="77777777" w:rsidR="000744A8" w:rsidRPr="007B2402" w:rsidRDefault="000744A8" w:rsidP="000744A8">
      <w:pPr>
        <w:spacing w:after="0" w:line="240" w:lineRule="auto"/>
        <w:jc w:val="both"/>
        <w:rPr>
          <w:rFonts w:eastAsia="Calibri" w:cs="Times New Roman"/>
          <w:szCs w:val="20"/>
          <w:lang w:val="en-US"/>
        </w:rPr>
      </w:pPr>
    </w:p>
    <w:p w14:paraId="32434033" w14:textId="6B490146" w:rsidR="004C3623" w:rsidRPr="007B2402" w:rsidRDefault="00581A5E" w:rsidP="004C3623">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 xml:space="preserve">Starting with </w:t>
      </w:r>
      <w:r w:rsidR="0019515E" w:rsidRPr="007B2402">
        <w:rPr>
          <w:rFonts w:eastAsia="Calibri" w:cs="Times New Roman"/>
          <w:szCs w:val="20"/>
          <w:lang w:val="en-US"/>
        </w:rPr>
        <w:t>its</w:t>
      </w:r>
      <w:r w:rsidRPr="007B2402">
        <w:rPr>
          <w:rFonts w:eastAsia="Calibri" w:cs="Times New Roman"/>
          <w:szCs w:val="20"/>
          <w:lang w:val="en-US"/>
        </w:rPr>
        <w:t xml:space="preserve"> first judgment, </w:t>
      </w:r>
      <w:r w:rsidR="0019515E" w:rsidRPr="007B2402">
        <w:rPr>
          <w:rFonts w:eastAsia="Calibri" w:cs="Times New Roman"/>
          <w:szCs w:val="20"/>
          <w:lang w:val="en-US"/>
        </w:rPr>
        <w:t>t</w:t>
      </w:r>
      <w:r w:rsidRPr="007B2402">
        <w:rPr>
          <w:rFonts w:eastAsia="Calibri" w:cs="Times New Roman"/>
          <w:szCs w:val="20"/>
          <w:lang w:val="en-US"/>
        </w:rPr>
        <w:t>his Court has emphasized the importance of the State obligation to investigate and punish human rights violations. The obligation to investigate and, when appropriate</w:t>
      </w:r>
      <w:r w:rsidR="0019515E" w:rsidRPr="007B2402">
        <w:rPr>
          <w:rFonts w:eastAsia="Calibri" w:cs="Times New Roman"/>
          <w:szCs w:val="20"/>
          <w:lang w:val="en-US"/>
        </w:rPr>
        <w:t>,</w:t>
      </w:r>
      <w:r w:rsidRPr="007B2402">
        <w:rPr>
          <w:rFonts w:eastAsia="Calibri" w:cs="Times New Roman"/>
          <w:szCs w:val="20"/>
          <w:lang w:val="en-US"/>
        </w:rPr>
        <w:t xml:space="preserve"> prosecute and punish acquires particular importance considering the heinous nature of the crimes committed and the nature of the rights violated,</w:t>
      </w:r>
      <w:r w:rsidR="000744A8" w:rsidRPr="007B2402">
        <w:rPr>
          <w:rFonts w:eastAsia="Calibri" w:cs="Times New Roman"/>
          <w:szCs w:val="20"/>
          <w:vertAlign w:val="superscript"/>
          <w:lang w:val="en-US"/>
        </w:rPr>
        <w:footnoteReference w:id="190"/>
      </w:r>
      <w:r w:rsidR="000744A8" w:rsidRPr="007B2402">
        <w:rPr>
          <w:rFonts w:eastAsia="Calibri" w:cs="Times New Roman"/>
          <w:szCs w:val="20"/>
          <w:lang w:val="en-US"/>
        </w:rPr>
        <w:t xml:space="preserve"> especial</w:t>
      </w:r>
      <w:r w:rsidRPr="007B2402">
        <w:rPr>
          <w:rFonts w:eastAsia="Calibri" w:cs="Times New Roman"/>
          <w:szCs w:val="20"/>
          <w:lang w:val="en-US"/>
        </w:rPr>
        <w:t>ly in view of the prohibition of torture and extrajudicial executions as part of a systematic attack against the civilian population.</w:t>
      </w:r>
      <w:r w:rsidR="000744A8" w:rsidRPr="007B2402">
        <w:rPr>
          <w:rFonts w:eastAsia="Calibri" w:cs="Times New Roman"/>
          <w:szCs w:val="20"/>
          <w:vertAlign w:val="superscript"/>
          <w:lang w:val="en-US"/>
        </w:rPr>
        <w:footnoteReference w:id="191"/>
      </w:r>
      <w:r w:rsidRPr="007B2402">
        <w:rPr>
          <w:rFonts w:eastAsia="Calibri" w:cs="Times New Roman"/>
          <w:szCs w:val="20"/>
          <w:lang w:val="en-US"/>
        </w:rPr>
        <w:t xml:space="preserve"> The special and determinant intensity and importance of this obligation in cases of </w:t>
      </w:r>
      <w:r w:rsidR="00844CE7" w:rsidRPr="007B2402">
        <w:rPr>
          <w:rFonts w:eastAsia="Calibri" w:cs="Times New Roman"/>
          <w:szCs w:val="20"/>
          <w:lang w:val="en-US"/>
        </w:rPr>
        <w:t>crimes against humanity</w:t>
      </w:r>
      <w:r w:rsidR="000744A8" w:rsidRPr="007B2402">
        <w:rPr>
          <w:rFonts w:eastAsia="Calibri" w:cs="Times New Roman"/>
          <w:szCs w:val="20"/>
          <w:vertAlign w:val="superscript"/>
          <w:lang w:val="en-US"/>
        </w:rPr>
        <w:footnoteReference w:id="192"/>
      </w:r>
      <w:r w:rsidRPr="007B2402">
        <w:rPr>
          <w:rFonts w:eastAsia="Calibri" w:cs="Times New Roman"/>
          <w:szCs w:val="20"/>
          <w:lang w:val="en-US"/>
        </w:rPr>
        <w:t xml:space="preserve"> means that State may not use</w:t>
      </w:r>
      <w:r w:rsidR="002F1A63" w:rsidRPr="007B2402">
        <w:rPr>
          <w:rFonts w:eastAsia="Calibri" w:cs="Times New Roman"/>
          <w:szCs w:val="20"/>
          <w:lang w:val="en-US"/>
        </w:rPr>
        <w:t>:</w:t>
      </w:r>
      <w:r w:rsidR="000744A8" w:rsidRPr="007B2402">
        <w:rPr>
          <w:rFonts w:eastAsia="Calibri" w:cs="Times New Roman"/>
          <w:szCs w:val="20"/>
          <w:lang w:val="en-US"/>
        </w:rPr>
        <w:t xml:space="preserve"> </w:t>
      </w:r>
      <w:r w:rsidRPr="007B2402">
        <w:rPr>
          <w:rFonts w:eastAsia="Calibri" w:cs="Times New Roman"/>
          <w:szCs w:val="20"/>
          <w:lang w:val="en-US"/>
        </w:rPr>
        <w:t>(</w:t>
      </w:r>
      <w:r w:rsidR="000744A8" w:rsidRPr="007B2402">
        <w:rPr>
          <w:rFonts w:eastAsia="Calibri" w:cs="Times New Roman"/>
          <w:szCs w:val="20"/>
          <w:lang w:val="en-US"/>
        </w:rPr>
        <w:t xml:space="preserve">i) </w:t>
      </w:r>
      <w:r w:rsidRPr="007B2402">
        <w:rPr>
          <w:rFonts w:eastAsia="Calibri" w:cs="Times New Roman"/>
          <w:szCs w:val="20"/>
          <w:lang w:val="en-US"/>
        </w:rPr>
        <w:t>statutory limitations</w:t>
      </w:r>
      <w:r w:rsidR="00EA3475" w:rsidRPr="007B2402">
        <w:rPr>
          <w:rFonts w:eastAsia="Calibri" w:cs="Times New Roman"/>
          <w:szCs w:val="20"/>
          <w:lang w:val="en-US"/>
        </w:rPr>
        <w:t>;</w:t>
      </w:r>
      <w:r w:rsidR="000744A8" w:rsidRPr="007B2402">
        <w:rPr>
          <w:rFonts w:eastAsia="Calibri" w:cs="Times New Roman"/>
          <w:szCs w:val="20"/>
          <w:lang w:val="en-US"/>
        </w:rPr>
        <w:t xml:space="preserve"> </w:t>
      </w:r>
      <w:r w:rsidRPr="007B2402">
        <w:rPr>
          <w:rFonts w:eastAsia="Calibri" w:cs="Times New Roman"/>
          <w:szCs w:val="20"/>
          <w:lang w:val="en-US"/>
        </w:rPr>
        <w:t>(</w:t>
      </w:r>
      <w:r w:rsidR="000744A8" w:rsidRPr="007B2402">
        <w:rPr>
          <w:rFonts w:eastAsia="Calibri" w:cs="Times New Roman"/>
          <w:szCs w:val="20"/>
          <w:lang w:val="en-US"/>
        </w:rPr>
        <w:t xml:space="preserve">ii) </w:t>
      </w:r>
      <w:r w:rsidRPr="007B2402">
        <w:rPr>
          <w:rFonts w:eastAsia="Calibri" w:cs="Times New Roman"/>
          <w:szCs w:val="20"/>
          <w:lang w:val="en-US"/>
        </w:rPr>
        <w:t>the</w:t>
      </w:r>
      <w:r w:rsidR="000744A8" w:rsidRPr="007B2402">
        <w:rPr>
          <w:rFonts w:eastAsia="Calibri" w:cs="Times New Roman"/>
          <w:szCs w:val="20"/>
          <w:lang w:val="en-US"/>
        </w:rPr>
        <w:t xml:space="preserve"> </w:t>
      </w:r>
      <w:r w:rsidR="000744A8" w:rsidRPr="007B2402">
        <w:rPr>
          <w:rFonts w:eastAsia="Calibri" w:cs="Times New Roman"/>
          <w:i/>
          <w:szCs w:val="20"/>
          <w:lang w:val="en-US"/>
        </w:rPr>
        <w:t xml:space="preserve">ne bis in </w:t>
      </w:r>
      <w:r w:rsidR="00993DBA" w:rsidRPr="007B2402">
        <w:rPr>
          <w:rFonts w:eastAsia="Calibri" w:cs="Times New Roman"/>
          <w:i/>
          <w:szCs w:val="20"/>
          <w:lang w:val="en-US"/>
        </w:rPr>
        <w:t>idem</w:t>
      </w:r>
      <w:r w:rsidRPr="007B2402">
        <w:rPr>
          <w:rFonts w:eastAsia="Calibri" w:cs="Times New Roman"/>
          <w:iCs/>
          <w:szCs w:val="20"/>
          <w:lang w:val="en-US"/>
        </w:rPr>
        <w:t xml:space="preserve"> principle</w:t>
      </w:r>
      <w:r w:rsidR="00EA3475" w:rsidRPr="007B2402">
        <w:rPr>
          <w:rFonts w:eastAsia="Calibri" w:cs="Times New Roman"/>
          <w:i/>
          <w:szCs w:val="20"/>
          <w:lang w:val="en-US"/>
        </w:rPr>
        <w:t>;</w:t>
      </w:r>
      <w:r w:rsidR="000744A8" w:rsidRPr="007B2402">
        <w:rPr>
          <w:rFonts w:eastAsia="Calibri" w:cs="Times New Roman"/>
          <w:szCs w:val="20"/>
          <w:lang w:val="en-US"/>
        </w:rPr>
        <w:t xml:space="preserve"> </w:t>
      </w:r>
      <w:r w:rsidRPr="007B2402">
        <w:rPr>
          <w:rFonts w:eastAsia="Calibri" w:cs="Times New Roman"/>
          <w:szCs w:val="20"/>
          <w:lang w:val="en-US"/>
        </w:rPr>
        <w:t>(</w:t>
      </w:r>
      <w:r w:rsidR="000744A8" w:rsidRPr="007B2402">
        <w:rPr>
          <w:rFonts w:eastAsia="Calibri" w:cs="Times New Roman"/>
          <w:szCs w:val="20"/>
          <w:lang w:val="en-US"/>
        </w:rPr>
        <w:t xml:space="preserve">iii) </w:t>
      </w:r>
      <w:r w:rsidRPr="007B2402">
        <w:rPr>
          <w:rFonts w:eastAsia="Calibri" w:cs="Times New Roman"/>
          <w:szCs w:val="20"/>
          <w:lang w:val="en-US"/>
        </w:rPr>
        <w:t>amnesty laws, or (iv) any similar provision</w:t>
      </w:r>
      <w:r w:rsidR="004C3623" w:rsidRPr="007B2402">
        <w:rPr>
          <w:rFonts w:eastAsia="Calibri" w:cs="Times New Roman"/>
          <w:szCs w:val="20"/>
          <w:lang w:val="en-US"/>
        </w:rPr>
        <w:t xml:space="preserve"> that precludes responsibility, to waive its obligation to investigate and punish those responsible.</w:t>
      </w:r>
      <w:r w:rsidR="000744A8" w:rsidRPr="007B2402">
        <w:rPr>
          <w:rFonts w:eastAsia="Calibri" w:cs="Times New Roman"/>
          <w:szCs w:val="20"/>
          <w:vertAlign w:val="superscript"/>
          <w:lang w:val="en-US"/>
        </w:rPr>
        <w:footnoteReference w:id="193"/>
      </w:r>
      <w:r w:rsidR="004C3623" w:rsidRPr="007B2402">
        <w:rPr>
          <w:rFonts w:eastAsia="Calibri" w:cs="Times New Roman"/>
          <w:szCs w:val="20"/>
          <w:lang w:val="en-US"/>
        </w:rPr>
        <w:t xml:space="preserve"> In addition, the Court considers that the obligation to prevent and to punish </w:t>
      </w:r>
      <w:r w:rsidR="00955D71" w:rsidRPr="007B2402">
        <w:rPr>
          <w:rFonts w:eastAsia="Calibri" w:cs="Times New Roman"/>
          <w:szCs w:val="20"/>
          <w:lang w:val="en-US"/>
        </w:rPr>
        <w:t>crimes under international</w:t>
      </w:r>
      <w:r w:rsidR="004C3623" w:rsidRPr="007B2402">
        <w:rPr>
          <w:rFonts w:eastAsia="Calibri" w:cs="Times New Roman"/>
          <w:szCs w:val="20"/>
          <w:lang w:val="en-US"/>
        </w:rPr>
        <w:t xml:space="preserve"> law, includes the duty of States to cooperate and they may (v) apply the principle of universal jurisdiction with regard to such conducts.</w:t>
      </w:r>
    </w:p>
    <w:p w14:paraId="1D129EBB" w14:textId="77777777" w:rsidR="000744A8" w:rsidRPr="007B2402" w:rsidRDefault="000744A8" w:rsidP="000744A8">
      <w:pPr>
        <w:spacing w:after="0" w:line="240" w:lineRule="auto"/>
        <w:jc w:val="both"/>
        <w:rPr>
          <w:rFonts w:eastAsia="Calibri" w:cs="Times New Roman"/>
          <w:szCs w:val="20"/>
          <w:lang w:val="en-US"/>
        </w:rPr>
      </w:pPr>
    </w:p>
    <w:p w14:paraId="6E6023AE" w14:textId="5E105B90" w:rsidR="000744A8" w:rsidRPr="007B2402" w:rsidRDefault="000744A8" w:rsidP="00E668B8">
      <w:pPr>
        <w:pStyle w:val="Ttulo3"/>
        <w:rPr>
          <w:lang w:val="en-US"/>
        </w:rPr>
      </w:pPr>
      <w:bookmarkStart w:id="164" w:name="_Toc506984123"/>
      <w:r w:rsidRPr="007B2402">
        <w:rPr>
          <w:lang w:val="en-US"/>
        </w:rPr>
        <w:t>B.</w:t>
      </w:r>
      <w:r w:rsidR="0030524C" w:rsidRPr="007B2402">
        <w:rPr>
          <w:lang w:val="en-US"/>
        </w:rPr>
        <w:t>3</w:t>
      </w:r>
      <w:r w:rsidRPr="007B2402">
        <w:rPr>
          <w:lang w:val="en-US"/>
        </w:rPr>
        <w:t xml:space="preserve">. </w:t>
      </w:r>
      <w:r w:rsidR="008B5281" w:rsidRPr="007B2402">
        <w:rPr>
          <w:lang w:val="en-US"/>
        </w:rPr>
        <w:t xml:space="preserve">The torture and murder of Vladimir Herzog </w:t>
      </w:r>
      <w:bookmarkEnd w:id="164"/>
    </w:p>
    <w:p w14:paraId="7945A971" w14:textId="77777777" w:rsidR="000744A8" w:rsidRPr="007B2402" w:rsidRDefault="000744A8" w:rsidP="000744A8">
      <w:pPr>
        <w:spacing w:after="0" w:line="240" w:lineRule="auto"/>
        <w:jc w:val="both"/>
        <w:rPr>
          <w:rFonts w:eastAsia="Calibri" w:cs="Times New Roman"/>
          <w:szCs w:val="20"/>
          <w:lang w:val="en-US"/>
        </w:rPr>
      </w:pPr>
    </w:p>
    <w:p w14:paraId="00824F2A" w14:textId="52A218F0" w:rsidR="000744A8" w:rsidRPr="007B2402" w:rsidRDefault="0034363C"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Having</w:t>
      </w:r>
      <w:r w:rsidR="000744A8" w:rsidRPr="007B2402">
        <w:rPr>
          <w:rFonts w:eastAsia="Calibri" w:cs="Times New Roman"/>
          <w:szCs w:val="20"/>
          <w:lang w:val="en-US"/>
        </w:rPr>
        <w:t xml:space="preserve"> establ</w:t>
      </w:r>
      <w:r w:rsidRPr="007B2402">
        <w:rPr>
          <w:rFonts w:eastAsia="Calibri" w:cs="Times New Roman"/>
          <w:szCs w:val="20"/>
          <w:lang w:val="en-US"/>
        </w:rPr>
        <w:t xml:space="preserve">ished the standards relating to </w:t>
      </w:r>
      <w:r w:rsidR="00810476" w:rsidRPr="007B2402">
        <w:rPr>
          <w:rFonts w:eastAsia="Calibri" w:cs="Times New Roman"/>
          <w:szCs w:val="20"/>
          <w:lang w:val="en-US"/>
        </w:rPr>
        <w:t>crimes against humanity</w:t>
      </w:r>
      <w:r w:rsidR="005B1590" w:rsidRPr="007B2402">
        <w:rPr>
          <w:rFonts w:eastAsia="Calibri" w:cs="Times New Roman"/>
          <w:szCs w:val="20"/>
          <w:lang w:val="en-US"/>
        </w:rPr>
        <w:t xml:space="preserve"> and </w:t>
      </w:r>
      <w:r w:rsidRPr="007B2402">
        <w:rPr>
          <w:rFonts w:eastAsia="Calibri" w:cs="Times New Roman"/>
          <w:szCs w:val="20"/>
          <w:lang w:val="en-US"/>
        </w:rPr>
        <w:t xml:space="preserve">their consequences for the States, the Court will now examine the case </w:t>
      </w:r>
      <w:r w:rsidR="000744A8" w:rsidRPr="007B2402">
        <w:rPr>
          <w:rFonts w:eastAsia="Calibri" w:cs="Times New Roman"/>
          <w:i/>
          <w:szCs w:val="20"/>
          <w:lang w:val="en-US"/>
        </w:rPr>
        <w:t>sub judice</w:t>
      </w:r>
      <w:r w:rsidR="000744A8" w:rsidRPr="007B2402">
        <w:rPr>
          <w:rFonts w:eastAsia="Calibri" w:cs="Times New Roman"/>
          <w:szCs w:val="20"/>
          <w:lang w:val="en-US"/>
        </w:rPr>
        <w:t xml:space="preserve"> </w:t>
      </w:r>
      <w:r w:rsidRPr="007B2402">
        <w:rPr>
          <w:rFonts w:eastAsia="Calibri" w:cs="Times New Roman"/>
          <w:szCs w:val="20"/>
          <w:lang w:val="en-US"/>
        </w:rPr>
        <w:t>to establish: (</w:t>
      </w:r>
      <w:r w:rsidR="000744A8" w:rsidRPr="007B2402">
        <w:rPr>
          <w:rFonts w:eastAsia="Calibri" w:cs="Times New Roman"/>
          <w:szCs w:val="20"/>
          <w:lang w:val="en-US"/>
        </w:rPr>
        <w:t xml:space="preserve">i) </w:t>
      </w:r>
      <w:r w:rsidRPr="007B2402">
        <w:rPr>
          <w:rFonts w:eastAsia="Calibri" w:cs="Times New Roman"/>
          <w:szCs w:val="20"/>
          <w:lang w:val="en-US"/>
        </w:rPr>
        <w:t>whether or not</w:t>
      </w:r>
      <w:r w:rsidR="000744A8" w:rsidRPr="007B2402">
        <w:rPr>
          <w:rFonts w:eastAsia="Calibri" w:cs="Times New Roman"/>
          <w:szCs w:val="20"/>
          <w:lang w:val="en-US"/>
        </w:rPr>
        <w:t xml:space="preserve"> </w:t>
      </w:r>
      <w:r w:rsidR="008B5281" w:rsidRPr="007B2402">
        <w:rPr>
          <w:rFonts w:eastAsia="Calibri" w:cs="Times New Roman"/>
          <w:szCs w:val="20"/>
          <w:lang w:val="en-US"/>
        </w:rPr>
        <w:t xml:space="preserve">the torture and murder of Vladimir Herzog </w:t>
      </w:r>
      <w:r w:rsidR="000744A8" w:rsidRPr="007B2402">
        <w:rPr>
          <w:rFonts w:eastAsia="Calibri" w:cs="Times New Roman"/>
          <w:szCs w:val="20"/>
          <w:lang w:val="en-US"/>
        </w:rPr>
        <w:t xml:space="preserve"> oc</w:t>
      </w:r>
      <w:r w:rsidRPr="007B2402">
        <w:rPr>
          <w:rFonts w:eastAsia="Calibri" w:cs="Times New Roman"/>
          <w:szCs w:val="20"/>
          <w:lang w:val="en-US"/>
        </w:rPr>
        <w:t xml:space="preserve">curred in a context of </w:t>
      </w:r>
      <w:r w:rsidR="00844CE7" w:rsidRPr="007B2402">
        <w:rPr>
          <w:rFonts w:eastAsia="Calibri" w:cs="Times New Roman"/>
          <w:szCs w:val="20"/>
          <w:lang w:val="en-US"/>
        </w:rPr>
        <w:t>crimes against humanity</w:t>
      </w:r>
      <w:r w:rsidR="000744A8" w:rsidRPr="007B2402">
        <w:rPr>
          <w:rFonts w:eastAsia="Calibri" w:cs="Times New Roman"/>
          <w:szCs w:val="20"/>
          <w:lang w:val="en-US"/>
        </w:rPr>
        <w:t xml:space="preserve"> perpetra</w:t>
      </w:r>
      <w:r w:rsidRPr="007B2402">
        <w:rPr>
          <w:rFonts w:eastAsia="Calibri" w:cs="Times New Roman"/>
          <w:szCs w:val="20"/>
          <w:lang w:val="en-US"/>
        </w:rPr>
        <w:t>ted by the Brazilian military dictatorship</w:t>
      </w:r>
      <w:r w:rsidR="0019515E" w:rsidRPr="007B2402">
        <w:rPr>
          <w:rFonts w:eastAsia="Calibri" w:cs="Times New Roman"/>
          <w:szCs w:val="20"/>
          <w:lang w:val="en-US"/>
        </w:rPr>
        <w:t>, and</w:t>
      </w:r>
      <w:r w:rsidRPr="007B2402">
        <w:rPr>
          <w:rFonts w:eastAsia="Calibri" w:cs="Times New Roman"/>
          <w:szCs w:val="20"/>
          <w:lang w:val="en-US"/>
        </w:rPr>
        <w:t xml:space="preserve"> (</w:t>
      </w:r>
      <w:r w:rsidR="000744A8" w:rsidRPr="007B2402">
        <w:rPr>
          <w:rFonts w:eastAsia="Calibri" w:cs="Times New Roman"/>
          <w:szCs w:val="20"/>
          <w:lang w:val="en-US"/>
        </w:rPr>
        <w:t xml:space="preserve">ii) </w:t>
      </w:r>
      <w:r w:rsidRPr="007B2402">
        <w:rPr>
          <w:rFonts w:eastAsia="Calibri" w:cs="Times New Roman"/>
          <w:szCs w:val="20"/>
          <w:lang w:val="en-US"/>
        </w:rPr>
        <w:t xml:space="preserve">the eventual consequences of this determination for Brazil at the time of the facts and after </w:t>
      </w:r>
      <w:r w:rsidR="00D86EEA" w:rsidRPr="007B2402">
        <w:rPr>
          <w:rFonts w:eastAsia="Calibri" w:cs="Times New Roman"/>
          <w:szCs w:val="20"/>
          <w:lang w:val="en-US"/>
        </w:rPr>
        <w:t>December 10,</w:t>
      </w:r>
      <w:r w:rsidR="000744A8" w:rsidRPr="007B2402">
        <w:rPr>
          <w:rFonts w:eastAsia="Calibri" w:cs="Times New Roman"/>
          <w:szCs w:val="20"/>
          <w:lang w:val="en-US"/>
        </w:rPr>
        <w:t xml:space="preserve"> 1998. </w:t>
      </w:r>
      <w:r w:rsidRPr="007B2402">
        <w:rPr>
          <w:rFonts w:eastAsia="Calibri" w:cs="Times New Roman"/>
          <w:szCs w:val="20"/>
          <w:lang w:val="en-US"/>
        </w:rPr>
        <w:t>Subsequently</w:t>
      </w:r>
      <w:r w:rsidR="000744A8" w:rsidRPr="007B2402">
        <w:rPr>
          <w:rFonts w:eastAsia="Calibri" w:cs="Times New Roman"/>
          <w:szCs w:val="20"/>
          <w:lang w:val="en-US"/>
        </w:rPr>
        <w:t xml:space="preserve">, </w:t>
      </w:r>
      <w:r w:rsidR="00AF4344" w:rsidRPr="007B2402">
        <w:rPr>
          <w:rFonts w:eastAsia="Calibri" w:cs="Times New Roman"/>
          <w:szCs w:val="20"/>
          <w:lang w:val="en-US"/>
        </w:rPr>
        <w:t>the Court</w:t>
      </w:r>
      <w:r w:rsidR="000744A8" w:rsidRPr="007B2402">
        <w:rPr>
          <w:rFonts w:eastAsia="Calibri" w:cs="Times New Roman"/>
          <w:szCs w:val="20"/>
          <w:lang w:val="en-US"/>
        </w:rPr>
        <w:t xml:space="preserve"> </w:t>
      </w:r>
      <w:r w:rsidRPr="007B2402">
        <w:rPr>
          <w:rFonts w:eastAsia="Calibri" w:cs="Times New Roman"/>
          <w:szCs w:val="20"/>
          <w:lang w:val="en-US"/>
        </w:rPr>
        <w:t>(</w:t>
      </w:r>
      <w:r w:rsidR="000744A8" w:rsidRPr="007B2402">
        <w:rPr>
          <w:rFonts w:eastAsia="Calibri" w:cs="Times New Roman"/>
          <w:szCs w:val="20"/>
          <w:lang w:val="en-US"/>
        </w:rPr>
        <w:t xml:space="preserve">iii) </w:t>
      </w:r>
      <w:r w:rsidRPr="007B2402">
        <w:rPr>
          <w:rFonts w:eastAsia="Calibri" w:cs="Times New Roman"/>
          <w:szCs w:val="20"/>
          <w:lang w:val="en-US"/>
        </w:rPr>
        <w:t xml:space="preserve">will summarize the measures taken by the State, and (iv) analyze their compatibility with </w:t>
      </w:r>
      <w:r w:rsidR="00AF4344" w:rsidRPr="007B2402">
        <w:rPr>
          <w:rFonts w:eastAsia="Calibri" w:cs="Times New Roman"/>
          <w:szCs w:val="20"/>
          <w:lang w:val="en-US"/>
        </w:rPr>
        <w:t>the American Convention</w:t>
      </w:r>
      <w:r w:rsidR="000744A8" w:rsidRPr="007B2402">
        <w:rPr>
          <w:rFonts w:eastAsia="Calibri" w:cs="Times New Roman"/>
          <w:szCs w:val="20"/>
          <w:lang w:val="en-US"/>
        </w:rPr>
        <w:t xml:space="preserve"> </w:t>
      </w:r>
      <w:r w:rsidRPr="007B2402">
        <w:rPr>
          <w:rFonts w:eastAsia="Calibri" w:cs="Times New Roman"/>
          <w:szCs w:val="20"/>
          <w:lang w:val="en-US"/>
        </w:rPr>
        <w:t xml:space="preserve">to determine the alleged international responsibility pursuant to </w:t>
      </w:r>
      <w:r w:rsidR="00AF4344" w:rsidRPr="007B2402">
        <w:rPr>
          <w:rFonts w:eastAsia="Calibri" w:cs="Times New Roman"/>
          <w:szCs w:val="20"/>
          <w:lang w:val="en-US"/>
        </w:rPr>
        <w:t>Articles</w:t>
      </w:r>
      <w:r w:rsidR="000744A8" w:rsidRPr="007B2402">
        <w:rPr>
          <w:rFonts w:eastAsia="Calibri" w:cs="Times New Roman"/>
          <w:szCs w:val="20"/>
          <w:lang w:val="en-US"/>
        </w:rPr>
        <w:t xml:space="preserve"> 8</w:t>
      </w:r>
      <w:r w:rsidR="005B1590" w:rsidRPr="007B2402">
        <w:rPr>
          <w:rFonts w:eastAsia="Calibri" w:cs="Times New Roman"/>
          <w:szCs w:val="20"/>
          <w:lang w:val="en-US"/>
        </w:rPr>
        <w:t xml:space="preserve"> and </w:t>
      </w:r>
      <w:r w:rsidR="000744A8" w:rsidRPr="007B2402">
        <w:rPr>
          <w:rFonts w:eastAsia="Calibri" w:cs="Times New Roman"/>
          <w:szCs w:val="20"/>
          <w:lang w:val="en-US"/>
        </w:rPr>
        <w:t xml:space="preserve">25 </w:t>
      </w:r>
      <w:r w:rsidRPr="007B2402">
        <w:rPr>
          <w:rFonts w:eastAsia="Calibri" w:cs="Times New Roman"/>
          <w:szCs w:val="20"/>
          <w:lang w:val="en-US"/>
        </w:rPr>
        <w:t>of the Convention</w:t>
      </w:r>
      <w:r w:rsidR="000744A8" w:rsidRPr="007B2402">
        <w:rPr>
          <w:rFonts w:eastAsia="Calibri" w:cs="Times New Roman"/>
          <w:szCs w:val="20"/>
          <w:lang w:val="en-US"/>
        </w:rPr>
        <w:t xml:space="preserve">, </w:t>
      </w:r>
      <w:r w:rsidR="00BF1A22" w:rsidRPr="007B2402">
        <w:rPr>
          <w:rFonts w:eastAsia="Calibri" w:cs="Times New Roman"/>
          <w:szCs w:val="20"/>
          <w:lang w:val="en-US"/>
        </w:rPr>
        <w:t xml:space="preserve">in relation to </w:t>
      </w:r>
      <w:r w:rsidR="00BF1A22" w:rsidRPr="007B2402">
        <w:rPr>
          <w:rFonts w:eastAsia="Calibri" w:cs="Times New Roman"/>
          <w:szCs w:val="20"/>
          <w:lang w:val="en-US"/>
        </w:rPr>
        <w:lastRenderedPageBreak/>
        <w:t>Article</w:t>
      </w:r>
      <w:r w:rsidR="00AF4344" w:rsidRPr="007B2402">
        <w:rPr>
          <w:rFonts w:eastAsia="Calibri" w:cs="Times New Roman"/>
          <w:szCs w:val="20"/>
          <w:lang w:val="en-US"/>
        </w:rPr>
        <w:t>s</w:t>
      </w:r>
      <w:r w:rsidR="000744A8" w:rsidRPr="007B2402">
        <w:rPr>
          <w:rFonts w:eastAsia="Calibri" w:cs="Times New Roman"/>
          <w:szCs w:val="20"/>
          <w:lang w:val="en-US"/>
        </w:rPr>
        <w:t xml:space="preserve"> </w:t>
      </w:r>
      <w:r w:rsidR="00375567" w:rsidRPr="007B2402">
        <w:rPr>
          <w:rFonts w:eastAsia="Calibri" w:cs="Times New Roman"/>
          <w:szCs w:val="20"/>
          <w:lang w:val="en-US"/>
        </w:rPr>
        <w:t>1(1) and 2</w:t>
      </w:r>
      <w:r w:rsidR="000744A8" w:rsidRPr="007B2402">
        <w:rPr>
          <w:rFonts w:eastAsia="Calibri" w:cs="Times New Roman"/>
          <w:szCs w:val="20"/>
          <w:lang w:val="en-US"/>
        </w:rPr>
        <w:t xml:space="preserve"> </w:t>
      </w:r>
      <w:r w:rsidR="00375567" w:rsidRPr="007B2402">
        <w:rPr>
          <w:rFonts w:eastAsia="Calibri" w:cs="Times New Roman"/>
          <w:szCs w:val="20"/>
          <w:lang w:val="en-US"/>
        </w:rPr>
        <w:t>of this instrument</w:t>
      </w:r>
      <w:r w:rsidR="000744A8" w:rsidRPr="007B2402">
        <w:rPr>
          <w:rFonts w:eastAsia="Calibri" w:cs="Times New Roman"/>
          <w:szCs w:val="20"/>
          <w:lang w:val="en-US"/>
        </w:rPr>
        <w:t>,</w:t>
      </w:r>
      <w:r w:rsidR="005B1590" w:rsidRPr="007B2402">
        <w:rPr>
          <w:rFonts w:eastAsia="Calibri" w:cs="Times New Roman"/>
          <w:szCs w:val="20"/>
          <w:lang w:val="en-US"/>
        </w:rPr>
        <w:t xml:space="preserve"> and </w:t>
      </w:r>
      <w:r w:rsidR="000744A8" w:rsidRPr="007B2402">
        <w:rPr>
          <w:rFonts w:eastAsia="Calibri" w:cs="Times New Roman"/>
          <w:szCs w:val="20"/>
          <w:lang w:val="en-US"/>
        </w:rPr>
        <w:t>1, 6</w:t>
      </w:r>
      <w:r w:rsidR="005B1590" w:rsidRPr="007B2402">
        <w:rPr>
          <w:rFonts w:eastAsia="Calibri" w:cs="Times New Roman"/>
          <w:szCs w:val="20"/>
          <w:lang w:val="en-US"/>
        </w:rPr>
        <w:t xml:space="preserve"> and </w:t>
      </w:r>
      <w:r w:rsidR="000744A8" w:rsidRPr="007B2402">
        <w:rPr>
          <w:rFonts w:eastAsia="Calibri" w:cs="Times New Roman"/>
          <w:szCs w:val="20"/>
          <w:lang w:val="en-US"/>
        </w:rPr>
        <w:t>8</w:t>
      </w:r>
      <w:r w:rsidR="00AF4344" w:rsidRPr="007B2402">
        <w:rPr>
          <w:rFonts w:eastAsia="Calibri" w:cs="Times New Roman"/>
          <w:szCs w:val="20"/>
          <w:lang w:val="en-US"/>
        </w:rPr>
        <w:t xml:space="preserve"> of the </w:t>
      </w:r>
      <w:r w:rsidR="00375567" w:rsidRPr="007B2402">
        <w:rPr>
          <w:rFonts w:eastAsia="Calibri" w:cs="Times New Roman"/>
          <w:szCs w:val="20"/>
          <w:lang w:val="en-US"/>
        </w:rPr>
        <w:t>Inter-American Convention to Prevent and Punish Torture</w:t>
      </w:r>
      <w:r w:rsidR="000744A8" w:rsidRPr="007B2402">
        <w:rPr>
          <w:rFonts w:eastAsia="Calibri" w:cs="Times New Roman"/>
          <w:szCs w:val="20"/>
          <w:lang w:val="en-US"/>
        </w:rPr>
        <w:t xml:space="preserve">. </w:t>
      </w:r>
    </w:p>
    <w:p w14:paraId="22239C28" w14:textId="77777777" w:rsidR="000744A8" w:rsidRPr="007B2402" w:rsidRDefault="000744A8" w:rsidP="000744A8">
      <w:pPr>
        <w:spacing w:after="0" w:line="240" w:lineRule="auto"/>
        <w:jc w:val="both"/>
        <w:rPr>
          <w:rFonts w:eastAsia="Calibri" w:cs="Times New Roman"/>
          <w:szCs w:val="20"/>
          <w:lang w:val="en-US"/>
        </w:rPr>
      </w:pPr>
    </w:p>
    <w:p w14:paraId="4B2A7037" w14:textId="0585A183" w:rsidR="000744A8" w:rsidRPr="007B2402" w:rsidRDefault="008B5281" w:rsidP="00761CF9">
      <w:pPr>
        <w:pStyle w:val="Prrafodelista"/>
        <w:numPr>
          <w:ilvl w:val="0"/>
          <w:numId w:val="20"/>
        </w:numPr>
        <w:ind w:hanging="371"/>
        <w:outlineLvl w:val="3"/>
        <w:rPr>
          <w:rFonts w:eastAsia="Calibri" w:cs="Times New Roman"/>
          <w:i/>
          <w:szCs w:val="20"/>
          <w:lang w:val="en-US"/>
        </w:rPr>
      </w:pPr>
      <w:r w:rsidRPr="007B2402">
        <w:rPr>
          <w:rFonts w:eastAsia="Calibri" w:cs="Times New Roman"/>
          <w:i/>
          <w:szCs w:val="20"/>
          <w:lang w:val="en-US"/>
        </w:rPr>
        <w:t>The torture and murder of Vladimir Herzog</w:t>
      </w:r>
      <w:r w:rsidR="005B1590" w:rsidRPr="007B2402">
        <w:rPr>
          <w:rFonts w:eastAsia="Calibri" w:cs="Times New Roman"/>
          <w:i/>
          <w:szCs w:val="20"/>
          <w:lang w:val="en-US"/>
        </w:rPr>
        <w:t xml:space="preserve"> and </w:t>
      </w:r>
      <w:r w:rsidR="0034363C" w:rsidRPr="007B2402">
        <w:rPr>
          <w:rFonts w:eastAsia="Calibri" w:cs="Times New Roman"/>
          <w:i/>
          <w:szCs w:val="20"/>
          <w:lang w:val="en-US"/>
        </w:rPr>
        <w:t xml:space="preserve">the context at the time of the facts </w:t>
      </w:r>
    </w:p>
    <w:p w14:paraId="361FD07A" w14:textId="77777777" w:rsidR="000744A8" w:rsidRPr="007B2402" w:rsidRDefault="000744A8" w:rsidP="000744A8">
      <w:pPr>
        <w:spacing w:after="0" w:line="240" w:lineRule="auto"/>
        <w:jc w:val="both"/>
        <w:rPr>
          <w:rFonts w:eastAsia="Calibri" w:cs="Times New Roman"/>
          <w:szCs w:val="20"/>
          <w:lang w:val="en-US"/>
        </w:rPr>
      </w:pPr>
    </w:p>
    <w:p w14:paraId="7D8D960F" w14:textId="6C023AD1" w:rsidR="000744A8" w:rsidRPr="007B2402" w:rsidRDefault="00AF4344"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The Court</w:t>
      </w:r>
      <w:r w:rsidR="000E2621" w:rsidRPr="007B2402">
        <w:rPr>
          <w:rFonts w:eastAsia="Calibri" w:cs="Times New Roman"/>
          <w:szCs w:val="20"/>
          <w:lang w:val="en-US"/>
        </w:rPr>
        <w:t xml:space="preserve"> </w:t>
      </w:r>
      <w:r w:rsidR="0034363C" w:rsidRPr="007B2402">
        <w:rPr>
          <w:rFonts w:eastAsia="Calibri" w:cs="Times New Roman"/>
          <w:szCs w:val="20"/>
          <w:lang w:val="en-US"/>
        </w:rPr>
        <w:t xml:space="preserve">notes that there is no dispute between the parties on this issue. Brazil </w:t>
      </w:r>
      <w:r w:rsidR="00DF1102" w:rsidRPr="007B2402">
        <w:rPr>
          <w:rFonts w:eastAsia="Calibri" w:cs="Times New Roman"/>
          <w:szCs w:val="20"/>
          <w:lang w:val="en-US"/>
        </w:rPr>
        <w:t>has</w:t>
      </w:r>
      <w:r w:rsidR="0034363C" w:rsidRPr="007B2402">
        <w:rPr>
          <w:rFonts w:eastAsia="Calibri" w:cs="Times New Roman"/>
          <w:szCs w:val="20"/>
          <w:lang w:val="en-US"/>
        </w:rPr>
        <w:t xml:space="preserve"> acknowledged its responsibility for the arbitrary detention, torture and murder of</w:t>
      </w:r>
      <w:r w:rsidR="000744A8" w:rsidRPr="007B2402">
        <w:rPr>
          <w:rFonts w:eastAsia="Calibri" w:cs="Times New Roman"/>
          <w:szCs w:val="20"/>
          <w:lang w:val="en-US"/>
        </w:rPr>
        <w:t xml:space="preserve"> Vladimir Herzog </w:t>
      </w:r>
      <w:r w:rsidR="0034363C" w:rsidRPr="007B2402">
        <w:rPr>
          <w:rFonts w:eastAsia="Calibri" w:cs="Times New Roman"/>
          <w:szCs w:val="20"/>
          <w:lang w:val="en-US"/>
        </w:rPr>
        <w:t xml:space="preserve">by State agents in the </w:t>
      </w:r>
      <w:r w:rsidR="00386EF5" w:rsidRPr="007B2402">
        <w:rPr>
          <w:rFonts w:eastAsia="Calibri" w:cs="Times New Roman"/>
          <w:szCs w:val="20"/>
          <w:lang w:val="en-US"/>
        </w:rPr>
        <w:t xml:space="preserve">Second Army’s </w:t>
      </w:r>
      <w:r w:rsidR="000744A8" w:rsidRPr="007B2402">
        <w:rPr>
          <w:rFonts w:eastAsia="Calibri" w:cs="Times New Roman"/>
          <w:szCs w:val="20"/>
          <w:lang w:val="en-US"/>
        </w:rPr>
        <w:t xml:space="preserve">DOI/CODI </w:t>
      </w:r>
      <w:r w:rsidR="00221E16" w:rsidRPr="007B2402">
        <w:rPr>
          <w:rFonts w:eastAsia="Calibri" w:cs="Times New Roman"/>
          <w:szCs w:val="20"/>
          <w:lang w:val="en-US"/>
        </w:rPr>
        <w:t>on October 25,</w:t>
      </w:r>
      <w:r w:rsidR="000744A8" w:rsidRPr="007B2402">
        <w:rPr>
          <w:rFonts w:eastAsia="Calibri" w:cs="Times New Roman"/>
          <w:szCs w:val="20"/>
          <w:lang w:val="en-US"/>
        </w:rPr>
        <w:t xml:space="preserve"> 1975</w:t>
      </w:r>
      <w:r w:rsidR="0034363C" w:rsidRPr="007B2402">
        <w:rPr>
          <w:rFonts w:eastAsia="Calibri" w:cs="Times New Roman"/>
          <w:szCs w:val="20"/>
          <w:lang w:val="en-US"/>
        </w:rPr>
        <w:t>.</w:t>
      </w:r>
      <w:r w:rsidR="000744A8" w:rsidRPr="007B2402">
        <w:rPr>
          <w:rFonts w:eastAsia="Calibri" w:cs="Times New Roman"/>
          <w:szCs w:val="20"/>
          <w:vertAlign w:val="superscript"/>
          <w:lang w:val="en-US"/>
        </w:rPr>
        <w:footnoteReference w:id="194"/>
      </w:r>
    </w:p>
    <w:p w14:paraId="3BC2B110" w14:textId="77777777" w:rsidR="000744A8" w:rsidRPr="007B2402" w:rsidRDefault="000744A8" w:rsidP="000744A8">
      <w:pPr>
        <w:spacing w:after="0" w:line="240" w:lineRule="auto"/>
        <w:jc w:val="both"/>
        <w:rPr>
          <w:rFonts w:eastAsia="Calibri" w:cs="Times New Roman"/>
          <w:szCs w:val="20"/>
          <w:lang w:val="en-US"/>
        </w:rPr>
      </w:pPr>
    </w:p>
    <w:p w14:paraId="370F9724" w14:textId="2044F39C" w:rsidR="000744A8" w:rsidRPr="007B2402" w:rsidRDefault="000E2621" w:rsidP="0034363C">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A</w:t>
      </w:r>
      <w:r w:rsidR="0034363C" w:rsidRPr="007B2402">
        <w:rPr>
          <w:rFonts w:eastAsia="Calibri" w:cs="Times New Roman"/>
          <w:szCs w:val="20"/>
          <w:lang w:val="en-US"/>
        </w:rPr>
        <w:t xml:space="preserve">lso, witnesses of the events have testified on numerous occasions that </w:t>
      </w:r>
      <w:r w:rsidR="000744A8" w:rsidRPr="007B2402">
        <w:rPr>
          <w:rFonts w:eastAsia="Calibri" w:cs="Times New Roman"/>
          <w:szCs w:val="20"/>
          <w:lang w:val="en-US"/>
        </w:rPr>
        <w:t xml:space="preserve">Vladimir Herzog </w:t>
      </w:r>
      <w:r w:rsidR="0034363C" w:rsidRPr="007B2402">
        <w:rPr>
          <w:rFonts w:eastAsia="Calibri" w:cs="Times New Roman"/>
          <w:szCs w:val="20"/>
          <w:lang w:val="en-US"/>
        </w:rPr>
        <w:t xml:space="preserve">was hooded, subjected to electric shocks by a team of torturers and </w:t>
      </w:r>
      <w:r w:rsidR="00386EF5" w:rsidRPr="007B2402">
        <w:rPr>
          <w:rFonts w:eastAsia="Calibri" w:cs="Times New Roman"/>
          <w:szCs w:val="20"/>
          <w:lang w:val="en-US"/>
        </w:rPr>
        <w:t>asphyxiated</w:t>
      </w:r>
      <w:r w:rsidR="0034363C" w:rsidRPr="007B2402">
        <w:rPr>
          <w:rFonts w:eastAsia="Calibri" w:cs="Times New Roman"/>
          <w:szCs w:val="20"/>
          <w:lang w:val="en-US"/>
        </w:rPr>
        <w:t xml:space="preserve"> </w:t>
      </w:r>
      <w:r w:rsidR="000744A8" w:rsidRPr="007B2402">
        <w:rPr>
          <w:rFonts w:eastAsia="Calibri" w:cs="Times New Roman"/>
          <w:szCs w:val="20"/>
          <w:lang w:val="en-US"/>
        </w:rPr>
        <w:t>(</w:t>
      </w:r>
      <w:r w:rsidR="000744A8" w:rsidRPr="007B2402">
        <w:rPr>
          <w:rFonts w:eastAsia="Calibri" w:cs="Times New Roman"/>
          <w:i/>
          <w:szCs w:val="20"/>
          <w:lang w:val="en-US"/>
        </w:rPr>
        <w:t xml:space="preserve">supra </w:t>
      </w:r>
      <w:r w:rsidR="005B1590" w:rsidRPr="007B2402">
        <w:rPr>
          <w:rFonts w:eastAsia="Calibri" w:cs="Times New Roman"/>
          <w:szCs w:val="20"/>
          <w:lang w:val="en-US"/>
        </w:rPr>
        <w:t>para.</w:t>
      </w:r>
      <w:r w:rsidR="009C4A88" w:rsidRPr="007B2402">
        <w:rPr>
          <w:rFonts w:eastAsia="Calibri" w:cs="Times New Roman"/>
          <w:szCs w:val="20"/>
          <w:lang w:val="en-US"/>
        </w:rPr>
        <w:t xml:space="preserve"> </w:t>
      </w:r>
      <w:r w:rsidR="00D369A3" w:rsidRPr="007B2402">
        <w:rPr>
          <w:rFonts w:eastAsia="Calibri" w:cs="Times New Roman"/>
          <w:szCs w:val="20"/>
          <w:lang w:val="en-US"/>
        </w:rPr>
        <w:t>122</w:t>
      </w:r>
      <w:r w:rsidR="000744A8" w:rsidRPr="007B2402">
        <w:rPr>
          <w:rFonts w:eastAsia="Calibri" w:cs="Times New Roman"/>
          <w:szCs w:val="20"/>
          <w:lang w:val="en-US"/>
        </w:rPr>
        <w:t xml:space="preserve">). </w:t>
      </w:r>
      <w:r w:rsidR="0034363C" w:rsidRPr="007B2402">
        <w:rPr>
          <w:rFonts w:eastAsia="Calibri" w:cs="Times New Roman"/>
          <w:szCs w:val="20"/>
          <w:lang w:val="en-US"/>
        </w:rPr>
        <w:t xml:space="preserve">The indirect expert report on his death determined that, </w:t>
      </w:r>
      <w:r w:rsidR="000744A8" w:rsidRPr="007B2402">
        <w:rPr>
          <w:rFonts w:eastAsia="Calibri" w:cs="Times New Roman"/>
          <w:szCs w:val="20"/>
          <w:lang w:val="en-US"/>
        </w:rPr>
        <w:t>“</w:t>
      </w:r>
      <w:r w:rsidR="0034363C" w:rsidRPr="007B2402">
        <w:rPr>
          <w:rFonts w:eastAsia="Calibri" w:cs="Times New Roman"/>
          <w:szCs w:val="20"/>
          <w:lang w:val="en-US"/>
        </w:rPr>
        <w:t>first, Vladimir Herzog was strangled, probably with the belt cited by the forensic expert and, then, a gallows system was devised, one end of the belt was tied to the protective grillwork of the window, and the other to Vladimir Herzog’s neck by a slip knot. The body was the</w:t>
      </w:r>
      <w:r w:rsidR="0019492B" w:rsidRPr="007B2402">
        <w:rPr>
          <w:rFonts w:eastAsia="Calibri" w:cs="Times New Roman"/>
          <w:szCs w:val="20"/>
          <w:lang w:val="en-US"/>
        </w:rPr>
        <w:t>n</w:t>
      </w:r>
      <w:r w:rsidR="0034363C" w:rsidRPr="007B2402">
        <w:rPr>
          <w:rFonts w:eastAsia="Calibri" w:cs="Times New Roman"/>
          <w:szCs w:val="20"/>
          <w:lang w:val="en-US"/>
        </w:rPr>
        <w:t xml:space="preserve"> placed in partial suspension to simulate an actual hanging</w:t>
      </w:r>
      <w:r w:rsidR="0019492B" w:rsidRPr="007B2402">
        <w:rPr>
          <w:rFonts w:eastAsia="Calibri" w:cs="Times New Roman"/>
          <w:szCs w:val="20"/>
          <w:lang w:val="en-US"/>
        </w:rPr>
        <w:t>.</w:t>
      </w:r>
      <w:r w:rsidR="000744A8" w:rsidRPr="007B2402">
        <w:rPr>
          <w:rFonts w:eastAsia="Calibri" w:cs="Times New Roman"/>
          <w:szCs w:val="20"/>
          <w:lang w:val="en-US"/>
        </w:rPr>
        <w:t>”</w:t>
      </w:r>
      <w:r w:rsidR="000744A8" w:rsidRPr="007B2402">
        <w:rPr>
          <w:rFonts w:eastAsia="Calibri" w:cs="Times New Roman"/>
          <w:szCs w:val="20"/>
          <w:vertAlign w:val="superscript"/>
          <w:lang w:val="en-US"/>
        </w:rPr>
        <w:footnoteReference w:id="195"/>
      </w:r>
    </w:p>
    <w:p w14:paraId="6C26223B" w14:textId="77777777" w:rsidR="000744A8" w:rsidRPr="007B2402" w:rsidRDefault="000744A8" w:rsidP="000744A8">
      <w:pPr>
        <w:spacing w:after="0" w:line="240" w:lineRule="auto"/>
        <w:jc w:val="both"/>
        <w:rPr>
          <w:rFonts w:eastAsia="Calibri" w:cs="Times New Roman"/>
          <w:szCs w:val="20"/>
          <w:lang w:val="en-US"/>
        </w:rPr>
      </w:pPr>
    </w:p>
    <w:p w14:paraId="0DFC2FB1" w14:textId="658B750F" w:rsidR="000744A8" w:rsidRPr="007B2402" w:rsidRDefault="0019492B"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 xml:space="preserve">The dispute exists only with regard to the possibility of prosecuting the perpetrators and to the application of the concept of </w:t>
      </w:r>
      <w:r w:rsidR="00844CE7" w:rsidRPr="007B2402">
        <w:rPr>
          <w:rFonts w:eastAsia="Calibri" w:cs="Times New Roman"/>
          <w:szCs w:val="20"/>
          <w:lang w:val="en-US"/>
        </w:rPr>
        <w:t>crimes against humanity</w:t>
      </w:r>
      <w:r w:rsidR="000744A8" w:rsidRPr="007B2402">
        <w:rPr>
          <w:rFonts w:eastAsia="Calibri" w:cs="Times New Roman"/>
          <w:szCs w:val="20"/>
          <w:lang w:val="en-US"/>
        </w:rPr>
        <w:t xml:space="preserve"> </w:t>
      </w:r>
      <w:r w:rsidRPr="007B2402">
        <w:rPr>
          <w:rFonts w:eastAsia="Calibri" w:cs="Times New Roman"/>
          <w:szCs w:val="20"/>
          <w:lang w:val="en-US"/>
        </w:rPr>
        <w:t>i</w:t>
      </w:r>
      <w:r w:rsidR="000744A8" w:rsidRPr="007B2402">
        <w:rPr>
          <w:rFonts w:eastAsia="Calibri" w:cs="Times New Roman"/>
          <w:szCs w:val="20"/>
          <w:lang w:val="en-US"/>
        </w:rPr>
        <w:t>n 1975</w:t>
      </w:r>
      <w:r w:rsidR="004633CE" w:rsidRPr="007B2402">
        <w:rPr>
          <w:rFonts w:eastAsia="Calibri" w:cs="Times New Roman"/>
          <w:szCs w:val="20"/>
          <w:lang w:val="en-US"/>
        </w:rPr>
        <w:t>,</w:t>
      </w:r>
      <w:r w:rsidR="005B1590" w:rsidRPr="007B2402">
        <w:rPr>
          <w:rFonts w:eastAsia="Calibri" w:cs="Times New Roman"/>
          <w:szCs w:val="20"/>
          <w:lang w:val="en-US"/>
        </w:rPr>
        <w:t xml:space="preserve"> and</w:t>
      </w:r>
      <w:r w:rsidRPr="007B2402">
        <w:rPr>
          <w:rFonts w:eastAsia="Calibri" w:cs="Times New Roman"/>
          <w:szCs w:val="20"/>
          <w:lang w:val="en-US"/>
        </w:rPr>
        <w:t xml:space="preserve"> provisions such as the Brazilian Amnesty Law, the statute of limitations, the </w:t>
      </w:r>
      <w:r w:rsidR="000744A8" w:rsidRPr="007B2402">
        <w:rPr>
          <w:rFonts w:eastAsia="Calibri" w:cs="Times New Roman"/>
          <w:i/>
          <w:szCs w:val="20"/>
          <w:lang w:val="en-US"/>
        </w:rPr>
        <w:t xml:space="preserve">ne bis in </w:t>
      </w:r>
      <w:r w:rsidR="00993DBA" w:rsidRPr="007B2402">
        <w:rPr>
          <w:rFonts w:eastAsia="Calibri" w:cs="Times New Roman"/>
          <w:i/>
          <w:szCs w:val="20"/>
          <w:lang w:val="en-US"/>
        </w:rPr>
        <w:t>idem</w:t>
      </w:r>
      <w:r w:rsidR="005B1590" w:rsidRPr="007B2402">
        <w:rPr>
          <w:rFonts w:eastAsia="Calibri" w:cs="Times New Roman"/>
          <w:szCs w:val="20"/>
          <w:lang w:val="en-US"/>
        </w:rPr>
        <w:t xml:space="preserve"> </w:t>
      </w:r>
      <w:r w:rsidRPr="007B2402">
        <w:rPr>
          <w:rFonts w:eastAsia="Calibri" w:cs="Times New Roman"/>
          <w:szCs w:val="20"/>
          <w:lang w:val="en-US"/>
        </w:rPr>
        <w:t xml:space="preserve">principle, </w:t>
      </w:r>
      <w:r w:rsidR="005B1590" w:rsidRPr="007B2402">
        <w:rPr>
          <w:rFonts w:eastAsia="Calibri" w:cs="Times New Roman"/>
          <w:szCs w:val="20"/>
          <w:lang w:val="en-US"/>
        </w:rPr>
        <w:t>and</w:t>
      </w:r>
      <w:r w:rsidRPr="007B2402">
        <w:rPr>
          <w:rFonts w:eastAsia="Calibri" w:cs="Times New Roman"/>
          <w:i/>
          <w:iCs/>
          <w:szCs w:val="20"/>
          <w:lang w:val="en-US"/>
        </w:rPr>
        <w:t xml:space="preserve"> res judicata</w:t>
      </w:r>
      <w:r w:rsidRPr="007B2402">
        <w:rPr>
          <w:rFonts w:eastAsia="Calibri" w:cs="Times New Roman"/>
          <w:szCs w:val="20"/>
          <w:lang w:val="en-US"/>
        </w:rPr>
        <w:t>.</w:t>
      </w:r>
    </w:p>
    <w:p w14:paraId="1EBE4F54" w14:textId="77777777" w:rsidR="000744A8" w:rsidRPr="007B2402" w:rsidRDefault="000744A8" w:rsidP="000744A8">
      <w:pPr>
        <w:spacing w:after="0" w:line="240" w:lineRule="auto"/>
        <w:jc w:val="both"/>
        <w:rPr>
          <w:rFonts w:eastAsia="Calibri" w:cs="Times New Roman"/>
          <w:szCs w:val="20"/>
          <w:lang w:val="en-US"/>
        </w:rPr>
      </w:pPr>
    </w:p>
    <w:p w14:paraId="05F5FB92" w14:textId="0A51BEF6" w:rsidR="000744A8" w:rsidRPr="007B2402" w:rsidRDefault="0019492B" w:rsidP="0019492B">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 xml:space="preserve">According to the </w:t>
      </w:r>
      <w:r w:rsidR="00386EF5" w:rsidRPr="007B2402">
        <w:rPr>
          <w:rFonts w:eastAsia="Calibri" w:cs="Times New Roman"/>
          <w:szCs w:val="20"/>
          <w:lang w:val="en-US"/>
        </w:rPr>
        <w:t>jurisprudence</w:t>
      </w:r>
      <w:r w:rsidRPr="007B2402">
        <w:rPr>
          <w:rFonts w:eastAsia="Calibri" w:cs="Times New Roman"/>
          <w:szCs w:val="20"/>
          <w:lang w:val="en-US"/>
        </w:rPr>
        <w:t xml:space="preserve"> </w:t>
      </w:r>
      <w:r w:rsidR="00AF4344" w:rsidRPr="007B2402">
        <w:rPr>
          <w:rFonts w:eastAsia="Calibri" w:cs="Times New Roman"/>
          <w:szCs w:val="20"/>
          <w:lang w:val="en-US"/>
        </w:rPr>
        <w:t>of the Inter-American Court</w:t>
      </w:r>
      <w:r w:rsidR="005B1590" w:rsidRPr="007B2402">
        <w:rPr>
          <w:rFonts w:eastAsia="Calibri" w:cs="Times New Roman"/>
          <w:szCs w:val="20"/>
          <w:lang w:val="en-US"/>
        </w:rPr>
        <w:t xml:space="preserve"> and </w:t>
      </w:r>
      <w:r w:rsidRPr="007B2402">
        <w:rPr>
          <w:rFonts w:eastAsia="Calibri" w:cs="Times New Roman"/>
          <w:szCs w:val="20"/>
          <w:lang w:val="en-US"/>
        </w:rPr>
        <w:t xml:space="preserve">other national and international courts and human rights bodies, the torture and murder of Mr. Herzog would be considered a </w:t>
      </w:r>
      <w:r w:rsidR="00386EF5" w:rsidRPr="007B2402">
        <w:rPr>
          <w:rFonts w:eastAsia="Calibri" w:cs="Times New Roman"/>
          <w:szCs w:val="20"/>
          <w:lang w:val="en-US"/>
        </w:rPr>
        <w:t>very serious</w:t>
      </w:r>
      <w:r w:rsidRPr="007B2402">
        <w:rPr>
          <w:rFonts w:eastAsia="Calibri" w:cs="Times New Roman"/>
          <w:szCs w:val="20"/>
          <w:lang w:val="en-US"/>
        </w:rPr>
        <w:t xml:space="preserve"> violation of human rights. However, in view of the need to establish whether the obligation to investigate, prosecute and punish those responsible for the torture and death of Vladimir Herzog as crimes against humanity persisted when Brazil accepted the Court’s jurisdiction, the Court must also analyze whether </w:t>
      </w:r>
      <w:r w:rsidR="008B5281" w:rsidRPr="007B2402">
        <w:rPr>
          <w:rFonts w:eastAsia="Calibri" w:cs="Times New Roman"/>
          <w:szCs w:val="20"/>
          <w:lang w:val="en-US"/>
        </w:rPr>
        <w:t>the torture and murder of Vladimir Herzog</w:t>
      </w:r>
      <w:r w:rsidR="00563693" w:rsidRPr="007B2402">
        <w:rPr>
          <w:rFonts w:eastAsia="Calibri" w:cs="Times New Roman"/>
          <w:szCs w:val="20"/>
          <w:lang w:val="en-US"/>
        </w:rPr>
        <w:t xml:space="preserve"> </w:t>
      </w:r>
      <w:r w:rsidRPr="007B2402">
        <w:rPr>
          <w:rFonts w:eastAsia="Calibri" w:cs="Times New Roman"/>
          <w:szCs w:val="20"/>
          <w:lang w:val="en-US"/>
        </w:rPr>
        <w:t>were:</w:t>
      </w:r>
      <w:r w:rsidR="00563693" w:rsidRPr="007B2402">
        <w:rPr>
          <w:rFonts w:eastAsia="Calibri" w:cs="Times New Roman"/>
          <w:szCs w:val="20"/>
          <w:lang w:val="en-US"/>
        </w:rPr>
        <w:t xml:space="preserve"> </w:t>
      </w:r>
      <w:r w:rsidRPr="007B2402">
        <w:rPr>
          <w:rFonts w:eastAsia="Calibri" w:cs="Times New Roman"/>
          <w:szCs w:val="20"/>
          <w:lang w:val="en-US"/>
        </w:rPr>
        <w:t>(</w:t>
      </w:r>
      <w:r w:rsidR="000744A8" w:rsidRPr="007B2402">
        <w:rPr>
          <w:rFonts w:eastAsia="Calibri" w:cs="Times New Roman"/>
          <w:szCs w:val="20"/>
          <w:lang w:val="en-US"/>
        </w:rPr>
        <w:t>i) perpetra</w:t>
      </w:r>
      <w:r w:rsidRPr="007B2402">
        <w:rPr>
          <w:rFonts w:eastAsia="Calibri" w:cs="Times New Roman"/>
          <w:szCs w:val="20"/>
          <w:lang w:val="en-US"/>
        </w:rPr>
        <w:t xml:space="preserve">ted by State agents or by an organized group as part of a preconceived plan or strategy; in other words, with full intention and knowledge of the plan; (ii) in a widespread and systematic manner; (ii) against the civilian population, and (iv) with a discriminatory/prohibited purpose. To this end, the Court will examine the evidence provided to this case and the context and the facts that the Court has already found proved in the judgment in the case </w:t>
      </w:r>
      <w:r w:rsidR="00D05845" w:rsidRPr="007B2402">
        <w:rPr>
          <w:rFonts w:eastAsia="Calibri" w:cs="Times New Roman"/>
          <w:szCs w:val="20"/>
          <w:lang w:val="en-US"/>
        </w:rPr>
        <w:t>of</w:t>
      </w:r>
      <w:r w:rsidR="000744A8" w:rsidRPr="007B2402">
        <w:rPr>
          <w:rFonts w:eastAsia="Calibri" w:cs="Times New Roman"/>
          <w:szCs w:val="20"/>
          <w:lang w:val="en-US"/>
        </w:rPr>
        <w:t xml:space="preserve"> </w:t>
      </w:r>
      <w:r w:rsidR="000744A8" w:rsidRPr="007B2402">
        <w:rPr>
          <w:rFonts w:eastAsia="Calibri" w:cs="Times New Roman"/>
          <w:i/>
          <w:szCs w:val="20"/>
          <w:lang w:val="en-US"/>
        </w:rPr>
        <w:t>Gomes Lund</w:t>
      </w:r>
      <w:r w:rsidR="005B1590" w:rsidRPr="007B2402">
        <w:rPr>
          <w:rFonts w:eastAsia="Calibri" w:cs="Times New Roman"/>
          <w:i/>
          <w:szCs w:val="20"/>
          <w:lang w:val="en-US"/>
        </w:rPr>
        <w:t xml:space="preserve"> </w:t>
      </w:r>
      <w:r w:rsidR="00892CA3" w:rsidRPr="007B2402">
        <w:rPr>
          <w:rFonts w:eastAsia="Calibri" w:cs="Times New Roman"/>
          <w:i/>
          <w:szCs w:val="20"/>
          <w:lang w:val="en-US"/>
        </w:rPr>
        <w:t>et al.</w:t>
      </w:r>
    </w:p>
    <w:p w14:paraId="48C0D067" w14:textId="77777777" w:rsidR="000744A8" w:rsidRPr="007B2402" w:rsidRDefault="000744A8" w:rsidP="000744A8">
      <w:pPr>
        <w:spacing w:after="0" w:line="240" w:lineRule="auto"/>
        <w:jc w:val="both"/>
        <w:rPr>
          <w:rFonts w:eastAsia="Calibri" w:cs="Times New Roman"/>
          <w:szCs w:val="20"/>
          <w:lang w:val="en-US"/>
        </w:rPr>
      </w:pPr>
    </w:p>
    <w:p w14:paraId="2807DA62" w14:textId="1F7DF2AF" w:rsidR="000744A8" w:rsidRPr="007B2402" w:rsidRDefault="0019492B"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First, the Court must identify whether the facts were part of a State plan or strategy. In this regard, the Court considers that it has been proved that</w:t>
      </w:r>
      <w:r w:rsidR="000744A8" w:rsidRPr="007B2402">
        <w:rPr>
          <w:rFonts w:eastAsia="Calibri" w:cs="Times New Roman"/>
          <w:szCs w:val="20"/>
          <w:lang w:val="en-US"/>
        </w:rPr>
        <w:t>:</w:t>
      </w:r>
    </w:p>
    <w:p w14:paraId="5051A8B5" w14:textId="77777777" w:rsidR="000744A8" w:rsidRPr="007B2402" w:rsidRDefault="000744A8" w:rsidP="000744A8">
      <w:pPr>
        <w:spacing w:after="0" w:line="240" w:lineRule="auto"/>
        <w:ind w:left="1068"/>
        <w:jc w:val="both"/>
        <w:rPr>
          <w:rFonts w:eastAsia="Calibri" w:cs="Times New Roman"/>
          <w:szCs w:val="20"/>
          <w:lang w:val="en-US"/>
        </w:rPr>
      </w:pPr>
    </w:p>
    <w:p w14:paraId="67C2100D" w14:textId="6D001636" w:rsidR="000744A8" w:rsidRPr="007B2402" w:rsidRDefault="0019492B" w:rsidP="00CD3304">
      <w:pPr>
        <w:numPr>
          <w:ilvl w:val="0"/>
          <w:numId w:val="14"/>
        </w:numPr>
        <w:spacing w:after="60" w:line="240" w:lineRule="auto"/>
        <w:jc w:val="both"/>
        <w:rPr>
          <w:rFonts w:eastAsia="Calibri" w:cs="Times New Roman"/>
          <w:szCs w:val="20"/>
          <w:lang w:val="en-US"/>
        </w:rPr>
      </w:pPr>
      <w:r w:rsidRPr="007B2402">
        <w:rPr>
          <w:rFonts w:eastAsia="Calibri" w:cs="Times New Roman"/>
          <w:szCs w:val="20"/>
          <w:lang w:val="en-US"/>
        </w:rPr>
        <w:t xml:space="preserve">The 1964 military coup d’état </w:t>
      </w:r>
      <w:r w:rsidR="00CD3304" w:rsidRPr="007B2402">
        <w:rPr>
          <w:rFonts w:eastAsia="Calibri" w:cs="Times New Roman"/>
          <w:szCs w:val="20"/>
          <w:lang w:val="en-US"/>
        </w:rPr>
        <w:t>established itself based on a</w:t>
      </w:r>
      <w:r w:rsidR="00386EF5" w:rsidRPr="007B2402">
        <w:rPr>
          <w:rFonts w:eastAsia="Calibri" w:cs="Times New Roman"/>
          <w:szCs w:val="20"/>
          <w:lang w:val="en-US"/>
        </w:rPr>
        <w:t xml:space="preserve"> doctrine of</w:t>
      </w:r>
      <w:r w:rsidR="00CD3304" w:rsidRPr="007B2402">
        <w:rPr>
          <w:rFonts w:eastAsia="Calibri" w:cs="Times New Roman"/>
          <w:szCs w:val="20"/>
          <w:lang w:val="en-US"/>
        </w:rPr>
        <w:t xml:space="preserve"> national security and the </w:t>
      </w:r>
      <w:r w:rsidR="00386EF5" w:rsidRPr="007B2402">
        <w:rPr>
          <w:rFonts w:eastAsia="Calibri" w:cs="Times New Roman"/>
          <w:szCs w:val="20"/>
          <w:lang w:val="en-US"/>
        </w:rPr>
        <w:t>promulgation</w:t>
      </w:r>
      <w:r w:rsidR="00CD3304" w:rsidRPr="007B2402">
        <w:rPr>
          <w:rFonts w:eastAsia="Calibri" w:cs="Times New Roman"/>
          <w:szCs w:val="20"/>
          <w:lang w:val="en-US"/>
        </w:rPr>
        <w:t xml:space="preserve"> of national security and emergency laws </w:t>
      </w:r>
      <w:r w:rsidR="00386EF5" w:rsidRPr="007B2402">
        <w:rPr>
          <w:rFonts w:eastAsia="Calibri" w:cs="Times New Roman"/>
          <w:szCs w:val="20"/>
          <w:lang w:val="en-US"/>
        </w:rPr>
        <w:t>that</w:t>
      </w:r>
      <w:r w:rsidR="00CD3304" w:rsidRPr="007B2402">
        <w:rPr>
          <w:rFonts w:eastAsia="Calibri" w:cs="Times New Roman"/>
          <w:szCs w:val="20"/>
          <w:lang w:val="en-US"/>
        </w:rPr>
        <w:t xml:space="preserve"> “served as a supposed legal framework to provide</w:t>
      </w:r>
      <w:r w:rsidR="00386EF5" w:rsidRPr="007B2402">
        <w:rPr>
          <w:rFonts w:eastAsia="Calibri" w:cs="Times New Roman"/>
          <w:szCs w:val="20"/>
          <w:lang w:val="en-US"/>
        </w:rPr>
        <w:t xml:space="preserve"> the increased repression with</w:t>
      </w:r>
      <w:r w:rsidR="00CD3304" w:rsidRPr="007B2402">
        <w:rPr>
          <w:rFonts w:eastAsia="Calibri" w:cs="Times New Roman"/>
          <w:szCs w:val="20"/>
          <w:lang w:val="en-US"/>
        </w:rPr>
        <w:t xml:space="preserve"> legal support.</w:t>
      </w:r>
      <w:r w:rsidR="000744A8" w:rsidRPr="007B2402">
        <w:rPr>
          <w:rFonts w:eastAsia="Calibri" w:cs="Times New Roman"/>
          <w:szCs w:val="20"/>
          <w:lang w:val="en-US"/>
        </w:rPr>
        <w:t>”</w:t>
      </w:r>
      <w:r w:rsidR="008E7385" w:rsidRPr="007B2402">
        <w:rPr>
          <w:rStyle w:val="Refdenotaalpie"/>
          <w:rFonts w:ascii="Verdana" w:eastAsia="Calibri" w:hAnsi="Verdana"/>
          <w:lang w:val="en-US"/>
        </w:rPr>
        <w:footnoteReference w:id="196"/>
      </w:r>
      <w:r w:rsidR="00CD3304" w:rsidRPr="007B2402">
        <w:rPr>
          <w:rFonts w:eastAsia="Calibri" w:cs="Times New Roman"/>
          <w:szCs w:val="20"/>
          <w:lang w:val="en-US"/>
        </w:rPr>
        <w:t xml:space="preserve"> The enemy could be anywhere in the country, could even be a Brazilian, and a popular </w:t>
      </w:r>
      <w:r w:rsidR="00386EF5" w:rsidRPr="007B2402">
        <w:rPr>
          <w:rFonts w:eastAsia="Calibri" w:cs="Times New Roman"/>
          <w:szCs w:val="20"/>
          <w:lang w:val="en-US"/>
        </w:rPr>
        <w:t>mindset</w:t>
      </w:r>
      <w:r w:rsidR="00CD3304" w:rsidRPr="007B2402">
        <w:rPr>
          <w:rFonts w:eastAsia="Calibri" w:cs="Times New Roman"/>
          <w:szCs w:val="20"/>
          <w:lang w:val="en-US"/>
        </w:rPr>
        <w:t xml:space="preserve"> of constant control</w:t>
      </w:r>
      <w:r w:rsidR="00B158C7" w:rsidRPr="007B2402">
        <w:rPr>
          <w:rFonts w:eastAsia="Calibri" w:cs="Times New Roman"/>
          <w:szCs w:val="20"/>
          <w:lang w:val="en-US"/>
        </w:rPr>
        <w:t xml:space="preserve"> was established</w:t>
      </w:r>
      <w:r w:rsidR="00CD3304" w:rsidRPr="007B2402">
        <w:rPr>
          <w:rFonts w:eastAsia="Calibri" w:cs="Times New Roman"/>
          <w:szCs w:val="20"/>
          <w:lang w:val="en-US"/>
        </w:rPr>
        <w:t>, typical of totalitarian States. To confront th</w:t>
      </w:r>
      <w:r w:rsidR="00B158C7" w:rsidRPr="007B2402">
        <w:rPr>
          <w:rFonts w:eastAsia="Calibri" w:cs="Times New Roman"/>
          <w:szCs w:val="20"/>
          <w:lang w:val="en-US"/>
        </w:rPr>
        <w:t>e</w:t>
      </w:r>
      <w:r w:rsidR="00CD3304" w:rsidRPr="007B2402">
        <w:rPr>
          <w:rFonts w:eastAsia="Calibri" w:cs="Times New Roman"/>
          <w:szCs w:val="20"/>
          <w:lang w:val="en-US"/>
        </w:rPr>
        <w:t xml:space="preserve"> new challenge</w:t>
      </w:r>
      <w:r w:rsidR="00B158C7" w:rsidRPr="007B2402">
        <w:rPr>
          <w:rFonts w:eastAsia="Calibri" w:cs="Times New Roman"/>
          <w:szCs w:val="20"/>
          <w:lang w:val="en-US"/>
        </w:rPr>
        <w:t>s</w:t>
      </w:r>
      <w:r w:rsidR="00E40F91" w:rsidRPr="007B2402">
        <w:rPr>
          <w:rFonts w:eastAsia="Calibri" w:cs="Times New Roman"/>
          <w:szCs w:val="20"/>
          <w:lang w:val="en-US"/>
        </w:rPr>
        <w:t>,</w:t>
      </w:r>
      <w:r w:rsidR="00CD3304" w:rsidRPr="007B2402">
        <w:rPr>
          <w:rFonts w:eastAsia="Calibri" w:cs="Times New Roman"/>
          <w:szCs w:val="20"/>
          <w:lang w:val="en-US"/>
        </w:rPr>
        <w:t xml:space="preserve"> it was urgent to create a new repressive apparatus. Thus, different warlike concepts were adopted: adverse psychological </w:t>
      </w:r>
      <w:r w:rsidR="00CD3304" w:rsidRPr="007B2402">
        <w:rPr>
          <w:rFonts w:eastAsia="Calibri" w:cs="Times New Roman"/>
          <w:szCs w:val="20"/>
          <w:lang w:val="en-US"/>
        </w:rPr>
        <w:lastRenderedPageBreak/>
        <w:t>war; internal war and subversive war were some of the terms used by the military jurisdiction to prosecute political prisoners;</w:t>
      </w:r>
      <w:r w:rsidR="000744A8" w:rsidRPr="007B2402">
        <w:rPr>
          <w:rFonts w:eastAsia="Calibri" w:cs="Times New Roman"/>
          <w:szCs w:val="20"/>
          <w:vertAlign w:val="superscript"/>
          <w:lang w:val="en-US"/>
        </w:rPr>
        <w:footnoteReference w:id="197"/>
      </w:r>
      <w:r w:rsidR="000744A8" w:rsidRPr="007B2402">
        <w:rPr>
          <w:rFonts w:eastAsia="Calibri" w:cs="Times New Roman"/>
          <w:szCs w:val="20"/>
          <w:lang w:val="en-US"/>
        </w:rPr>
        <w:t xml:space="preserve"> </w:t>
      </w:r>
    </w:p>
    <w:p w14:paraId="1AEEBCEF" w14:textId="6BB94F33" w:rsidR="000744A8" w:rsidRPr="007B2402" w:rsidRDefault="00CD3304" w:rsidP="00A549B7">
      <w:pPr>
        <w:numPr>
          <w:ilvl w:val="0"/>
          <w:numId w:val="14"/>
        </w:numPr>
        <w:spacing w:after="60" w:line="240" w:lineRule="auto"/>
        <w:jc w:val="both"/>
        <w:rPr>
          <w:rFonts w:eastAsia="Calibri" w:cs="Times New Roman"/>
          <w:szCs w:val="20"/>
          <w:lang w:val="en-US"/>
        </w:rPr>
      </w:pPr>
      <w:r w:rsidRPr="007B2402">
        <w:rPr>
          <w:rFonts w:eastAsia="Calibri" w:cs="Times New Roman"/>
          <w:szCs w:val="20"/>
          <w:lang w:val="en-US"/>
        </w:rPr>
        <w:t>In March</w:t>
      </w:r>
      <w:r w:rsidR="000744A8" w:rsidRPr="007B2402">
        <w:rPr>
          <w:rFonts w:eastAsia="Calibri" w:cs="Times New Roman"/>
          <w:szCs w:val="20"/>
          <w:lang w:val="en-US"/>
        </w:rPr>
        <w:t xml:space="preserve"> 1970, </w:t>
      </w:r>
      <w:r w:rsidRPr="007B2402">
        <w:rPr>
          <w:rFonts w:eastAsia="Calibri" w:cs="Times New Roman"/>
          <w:szCs w:val="20"/>
          <w:lang w:val="en-US"/>
        </w:rPr>
        <w:t xml:space="preserve">the system was entrenched by an act of the Executive called the “Presidential Internal Security Directive,” which became known as the </w:t>
      </w:r>
      <w:r w:rsidR="000744A8" w:rsidRPr="007B2402">
        <w:rPr>
          <w:rFonts w:eastAsia="Calibri" w:cs="Times New Roman"/>
          <w:szCs w:val="20"/>
          <w:lang w:val="en-US"/>
        </w:rPr>
        <w:t>"</w:t>
      </w:r>
      <w:r w:rsidRPr="007B2402">
        <w:rPr>
          <w:rFonts w:eastAsia="Calibri" w:cs="Times New Roman"/>
          <w:szCs w:val="20"/>
          <w:lang w:val="en-US"/>
        </w:rPr>
        <w:t>Internal Security System.</w:t>
      </w:r>
      <w:r w:rsidR="000744A8" w:rsidRPr="007B2402">
        <w:rPr>
          <w:rFonts w:eastAsia="Calibri" w:cs="Times New Roman"/>
          <w:szCs w:val="20"/>
          <w:lang w:val="en-US"/>
        </w:rPr>
        <w:t>"</w:t>
      </w:r>
      <w:r w:rsidRPr="007B2402">
        <w:rPr>
          <w:rFonts w:eastAsia="Calibri" w:cs="Times New Roman"/>
          <w:szCs w:val="20"/>
          <w:lang w:val="en-US"/>
        </w:rPr>
        <w:t xml:space="preserve"> Under this directive, all national public administration bodies were subject to </w:t>
      </w:r>
      <w:r w:rsidR="00553049" w:rsidRPr="007B2402">
        <w:rPr>
          <w:rFonts w:eastAsia="Calibri" w:cs="Times New Roman"/>
          <w:szCs w:val="20"/>
          <w:lang w:val="en-US"/>
        </w:rPr>
        <w:t>the ”coordination measures” of the unified command of the political repression</w:t>
      </w:r>
      <w:r w:rsidR="00B158C7" w:rsidRPr="007B2402">
        <w:rPr>
          <w:rFonts w:eastAsia="Calibri" w:cs="Times New Roman"/>
          <w:szCs w:val="20"/>
          <w:lang w:val="en-US"/>
        </w:rPr>
        <w:t xml:space="preserve"> machine</w:t>
      </w:r>
      <w:r w:rsidR="00553049" w:rsidRPr="007B2402">
        <w:rPr>
          <w:rFonts w:eastAsia="Calibri" w:cs="Times New Roman"/>
          <w:szCs w:val="20"/>
          <w:lang w:val="en-US"/>
        </w:rPr>
        <w:t>. The system was implemented on two levels</w:t>
      </w:r>
      <w:r w:rsidR="000744A8" w:rsidRPr="007B2402">
        <w:rPr>
          <w:rFonts w:eastAsia="Calibri" w:cs="Times New Roman"/>
          <w:szCs w:val="20"/>
          <w:lang w:val="en-US"/>
        </w:rPr>
        <w:t xml:space="preserve">: </w:t>
      </w:r>
    </w:p>
    <w:p w14:paraId="53D2DA1D" w14:textId="60FABB8D" w:rsidR="000744A8" w:rsidRPr="007B2402" w:rsidRDefault="000744A8" w:rsidP="00B158C7">
      <w:pPr>
        <w:spacing w:after="60" w:line="240" w:lineRule="auto"/>
        <w:ind w:left="1080"/>
        <w:jc w:val="both"/>
        <w:rPr>
          <w:rFonts w:eastAsia="Calibri" w:cs="Times New Roman"/>
          <w:szCs w:val="20"/>
          <w:lang w:val="en-US"/>
        </w:rPr>
      </w:pPr>
      <w:r w:rsidRPr="007B2402">
        <w:rPr>
          <w:rFonts w:eastAsia="Calibri" w:cs="Times New Roman"/>
          <w:szCs w:val="20"/>
          <w:lang w:val="en-US"/>
        </w:rPr>
        <w:t>1</w:t>
      </w:r>
      <w:r w:rsidR="002B6E07" w:rsidRPr="007B2402">
        <w:rPr>
          <w:rFonts w:eastAsia="Calibri" w:cs="Times New Roman"/>
          <w:szCs w:val="20"/>
          <w:lang w:val="en-US"/>
        </w:rPr>
        <w:t>.</w:t>
      </w:r>
      <w:r w:rsidRPr="007B2402">
        <w:rPr>
          <w:rFonts w:eastAsia="Calibri" w:cs="Times New Roman"/>
          <w:szCs w:val="20"/>
          <w:lang w:val="en-US"/>
        </w:rPr>
        <w:t xml:space="preserve"> </w:t>
      </w:r>
      <w:r w:rsidR="00553049" w:rsidRPr="007B2402">
        <w:rPr>
          <w:rFonts w:eastAsia="Calibri" w:cs="Times New Roman"/>
          <w:szCs w:val="20"/>
          <w:lang w:val="en-US"/>
        </w:rPr>
        <w:t>At the national level</w:t>
      </w:r>
      <w:r w:rsidRPr="007B2402">
        <w:rPr>
          <w:rFonts w:eastAsia="Calibri" w:cs="Times New Roman"/>
          <w:szCs w:val="20"/>
          <w:lang w:val="en-US"/>
        </w:rPr>
        <w:t xml:space="preserve">, </w:t>
      </w:r>
      <w:r w:rsidR="00553049" w:rsidRPr="007B2402">
        <w:rPr>
          <w:rFonts w:eastAsia="Calibri" w:cs="Times New Roman"/>
          <w:szCs w:val="20"/>
          <w:lang w:val="en-US"/>
        </w:rPr>
        <w:t xml:space="preserve">it comprised the </w:t>
      </w:r>
      <w:r w:rsidRPr="007B2402">
        <w:rPr>
          <w:rFonts w:eastAsia="Calibri" w:cs="Times New Roman"/>
          <w:szCs w:val="20"/>
          <w:lang w:val="en-US"/>
        </w:rPr>
        <w:t>SNI</w:t>
      </w:r>
      <w:r w:rsidR="005B1590" w:rsidRPr="007B2402">
        <w:rPr>
          <w:rFonts w:eastAsia="Calibri" w:cs="Times New Roman"/>
          <w:szCs w:val="20"/>
          <w:lang w:val="en-US"/>
        </w:rPr>
        <w:t xml:space="preserve"> and </w:t>
      </w:r>
      <w:r w:rsidR="00553049" w:rsidRPr="007B2402">
        <w:rPr>
          <w:rFonts w:eastAsia="Calibri" w:cs="Times New Roman"/>
          <w:szCs w:val="20"/>
          <w:lang w:val="en-US"/>
        </w:rPr>
        <w:t xml:space="preserve">the Information Centers of the Army </w:t>
      </w:r>
      <w:r w:rsidRPr="007B2402">
        <w:rPr>
          <w:rFonts w:eastAsia="Calibri" w:cs="Times New Roman"/>
          <w:szCs w:val="20"/>
          <w:lang w:val="en-US"/>
        </w:rPr>
        <w:t xml:space="preserve">(CIE), </w:t>
      </w:r>
      <w:r w:rsidR="00553049" w:rsidRPr="007B2402">
        <w:rPr>
          <w:rFonts w:eastAsia="Calibri" w:cs="Times New Roman"/>
          <w:szCs w:val="20"/>
          <w:lang w:val="en-US"/>
        </w:rPr>
        <w:t>the Navy</w:t>
      </w:r>
      <w:r w:rsidRPr="007B2402">
        <w:rPr>
          <w:rFonts w:eastAsia="Calibri" w:cs="Times New Roman"/>
          <w:szCs w:val="20"/>
          <w:lang w:val="en-US"/>
        </w:rPr>
        <w:t xml:space="preserve"> (CENIMAR)</w:t>
      </w:r>
      <w:r w:rsidR="005B1590" w:rsidRPr="007B2402">
        <w:rPr>
          <w:rFonts w:eastAsia="Calibri" w:cs="Times New Roman"/>
          <w:szCs w:val="20"/>
          <w:lang w:val="en-US"/>
        </w:rPr>
        <w:t xml:space="preserve"> and </w:t>
      </w:r>
      <w:r w:rsidR="00553049" w:rsidRPr="007B2402">
        <w:rPr>
          <w:rFonts w:eastAsia="Calibri" w:cs="Times New Roman"/>
          <w:szCs w:val="20"/>
          <w:lang w:val="en-US"/>
        </w:rPr>
        <w:t>the Air Force</w:t>
      </w:r>
      <w:r w:rsidRPr="007B2402">
        <w:rPr>
          <w:rFonts w:eastAsia="Calibri" w:cs="Times New Roman"/>
          <w:szCs w:val="20"/>
          <w:lang w:val="en-US"/>
        </w:rPr>
        <w:t xml:space="preserve"> (CISA)</w:t>
      </w:r>
      <w:r w:rsidR="00553049" w:rsidRPr="007B2402">
        <w:rPr>
          <w:rFonts w:eastAsia="Calibri" w:cs="Times New Roman"/>
          <w:szCs w:val="20"/>
          <w:lang w:val="en-US"/>
        </w:rPr>
        <w:t xml:space="preserve">; the centers were linked directly to the cabinets of the </w:t>
      </w:r>
      <w:r w:rsidR="00B158C7" w:rsidRPr="007B2402">
        <w:rPr>
          <w:rFonts w:eastAsia="Calibri" w:cs="Times New Roman"/>
          <w:szCs w:val="20"/>
          <w:lang w:val="en-US"/>
        </w:rPr>
        <w:t xml:space="preserve">ministers who were members of the </w:t>
      </w:r>
      <w:r w:rsidR="00553049" w:rsidRPr="007B2402">
        <w:rPr>
          <w:rFonts w:eastAsia="Calibri" w:cs="Times New Roman"/>
          <w:szCs w:val="20"/>
          <w:lang w:val="en-US"/>
        </w:rPr>
        <w:t>military.</w:t>
      </w:r>
      <w:r w:rsidRPr="007B2402">
        <w:rPr>
          <w:rFonts w:eastAsia="Calibri" w:cs="Times New Roman"/>
          <w:szCs w:val="20"/>
          <w:lang w:val="en-US"/>
        </w:rPr>
        <w:t xml:space="preserve"> </w:t>
      </w:r>
    </w:p>
    <w:p w14:paraId="5B067AB4" w14:textId="4179691B" w:rsidR="000744A8" w:rsidRPr="007B2402" w:rsidRDefault="000744A8" w:rsidP="00B158C7">
      <w:pPr>
        <w:spacing w:after="60" w:line="240" w:lineRule="auto"/>
        <w:ind w:left="1080"/>
        <w:jc w:val="both"/>
        <w:rPr>
          <w:rFonts w:eastAsia="Calibri" w:cs="Times New Roman"/>
          <w:szCs w:val="20"/>
          <w:lang w:val="en-US"/>
        </w:rPr>
      </w:pPr>
      <w:r w:rsidRPr="007B2402">
        <w:rPr>
          <w:rFonts w:eastAsia="Calibri" w:cs="Times New Roman"/>
          <w:szCs w:val="20"/>
          <w:lang w:val="en-US"/>
        </w:rPr>
        <w:t>2</w:t>
      </w:r>
      <w:r w:rsidR="002B6E07" w:rsidRPr="007B2402">
        <w:rPr>
          <w:rFonts w:eastAsia="Calibri" w:cs="Times New Roman"/>
          <w:szCs w:val="20"/>
          <w:lang w:val="en-US"/>
        </w:rPr>
        <w:t>.</w:t>
      </w:r>
      <w:r w:rsidRPr="007B2402">
        <w:rPr>
          <w:rFonts w:eastAsia="Calibri" w:cs="Times New Roman"/>
          <w:szCs w:val="20"/>
          <w:lang w:val="en-US"/>
        </w:rPr>
        <w:t xml:space="preserve"> </w:t>
      </w:r>
      <w:r w:rsidR="00553049" w:rsidRPr="007B2402">
        <w:rPr>
          <w:rFonts w:eastAsia="Calibri" w:cs="Times New Roman"/>
          <w:szCs w:val="20"/>
          <w:lang w:val="en-US"/>
        </w:rPr>
        <w:t>At the regional level</w:t>
      </w:r>
      <w:r w:rsidRPr="007B2402">
        <w:rPr>
          <w:rFonts w:eastAsia="Calibri" w:cs="Times New Roman"/>
          <w:szCs w:val="20"/>
          <w:lang w:val="en-US"/>
        </w:rPr>
        <w:t xml:space="preserve">, </w:t>
      </w:r>
      <w:r w:rsidR="00553049" w:rsidRPr="007B2402">
        <w:rPr>
          <w:rFonts w:eastAsia="Calibri" w:cs="Times New Roman"/>
          <w:szCs w:val="20"/>
          <w:lang w:val="en-US"/>
        </w:rPr>
        <w:t xml:space="preserve">Internal Defense Zones </w:t>
      </w:r>
      <w:r w:rsidRPr="007B2402">
        <w:rPr>
          <w:rFonts w:eastAsia="Calibri" w:cs="Times New Roman"/>
          <w:szCs w:val="20"/>
          <w:lang w:val="en-US"/>
        </w:rPr>
        <w:t>(ZDIs)</w:t>
      </w:r>
      <w:r w:rsidR="00553049" w:rsidRPr="007B2402">
        <w:rPr>
          <w:rFonts w:eastAsia="Calibri" w:cs="Times New Roman"/>
          <w:szCs w:val="20"/>
          <w:lang w:val="en-US"/>
        </w:rPr>
        <w:t xml:space="preserve"> were established, corresponding to the division of the commands of the </w:t>
      </w:r>
      <w:r w:rsidRPr="007B2402">
        <w:rPr>
          <w:rFonts w:eastAsia="Calibri" w:cs="Times New Roman"/>
          <w:szCs w:val="20"/>
          <w:lang w:val="en-US"/>
        </w:rPr>
        <w:t>I, II, III, IV</w:t>
      </w:r>
      <w:r w:rsidR="005B1590" w:rsidRPr="007B2402">
        <w:rPr>
          <w:rFonts w:eastAsia="Calibri" w:cs="Times New Roman"/>
          <w:szCs w:val="20"/>
          <w:lang w:val="en-US"/>
        </w:rPr>
        <w:t xml:space="preserve"> and </w:t>
      </w:r>
      <w:r w:rsidRPr="007B2402">
        <w:rPr>
          <w:rFonts w:eastAsia="Calibri" w:cs="Times New Roman"/>
          <w:szCs w:val="20"/>
          <w:lang w:val="en-US"/>
        </w:rPr>
        <w:t xml:space="preserve">IV </w:t>
      </w:r>
      <w:r w:rsidR="00553049" w:rsidRPr="007B2402">
        <w:rPr>
          <w:rFonts w:eastAsia="Calibri" w:cs="Times New Roman"/>
          <w:szCs w:val="20"/>
          <w:lang w:val="en-US"/>
        </w:rPr>
        <w:t>Armies</w:t>
      </w:r>
      <w:r w:rsidRPr="007B2402">
        <w:rPr>
          <w:rFonts w:eastAsia="Calibri" w:cs="Times New Roman"/>
          <w:szCs w:val="20"/>
          <w:lang w:val="en-US"/>
        </w:rPr>
        <w:t xml:space="preserve">. </w:t>
      </w:r>
      <w:r w:rsidR="00B158C7" w:rsidRPr="007B2402">
        <w:rPr>
          <w:rFonts w:eastAsia="Calibri" w:cs="Times New Roman"/>
          <w:szCs w:val="20"/>
          <w:lang w:val="en-US"/>
        </w:rPr>
        <w:t>The</w:t>
      </w:r>
      <w:r w:rsidR="00553049" w:rsidRPr="007B2402">
        <w:rPr>
          <w:rFonts w:eastAsia="Calibri" w:cs="Times New Roman"/>
          <w:szCs w:val="20"/>
          <w:lang w:val="en-US"/>
        </w:rPr>
        <w:t xml:space="preserve"> following were established</w:t>
      </w:r>
      <w:r w:rsidR="00B158C7" w:rsidRPr="007B2402">
        <w:rPr>
          <w:rFonts w:eastAsia="Calibri" w:cs="Times New Roman"/>
          <w:szCs w:val="20"/>
          <w:lang w:val="en-US"/>
        </w:rPr>
        <w:t xml:space="preserve"> within each zone</w:t>
      </w:r>
      <w:r w:rsidRPr="007B2402">
        <w:rPr>
          <w:rFonts w:eastAsia="Calibri" w:cs="Times New Roman"/>
          <w:szCs w:val="20"/>
          <w:lang w:val="en-US"/>
        </w:rPr>
        <w:t xml:space="preserve">: </w:t>
      </w:r>
    </w:p>
    <w:p w14:paraId="229E2203" w14:textId="11DC2D77" w:rsidR="000744A8" w:rsidRPr="007B2402" w:rsidRDefault="000744A8" w:rsidP="007F0325">
      <w:pPr>
        <w:spacing w:after="60" w:line="240" w:lineRule="auto"/>
        <w:ind w:left="1620"/>
        <w:jc w:val="both"/>
        <w:rPr>
          <w:rFonts w:eastAsia="Calibri" w:cs="Times New Roman"/>
          <w:szCs w:val="20"/>
          <w:lang w:val="en-US"/>
        </w:rPr>
      </w:pPr>
      <w:r w:rsidRPr="007B2402">
        <w:rPr>
          <w:rFonts w:eastAsia="Calibri" w:cs="Times New Roman"/>
          <w:szCs w:val="20"/>
          <w:lang w:val="en-US"/>
        </w:rPr>
        <w:t>2.1</w:t>
      </w:r>
      <w:r w:rsidR="002B6E07" w:rsidRPr="007B2402">
        <w:rPr>
          <w:rFonts w:eastAsia="Calibri" w:cs="Times New Roman"/>
          <w:szCs w:val="20"/>
          <w:lang w:val="en-US"/>
        </w:rPr>
        <w:t>.</w:t>
      </w:r>
      <w:r w:rsidRPr="007B2402">
        <w:rPr>
          <w:rFonts w:eastAsia="Calibri" w:cs="Times New Roman"/>
          <w:szCs w:val="20"/>
          <w:lang w:val="en-US"/>
        </w:rPr>
        <w:t xml:space="preserve"> </w:t>
      </w:r>
      <w:r w:rsidR="00553049" w:rsidRPr="007B2402">
        <w:rPr>
          <w:rFonts w:eastAsia="Calibri" w:cs="Times New Roman"/>
          <w:szCs w:val="20"/>
          <w:lang w:val="en-US"/>
        </w:rPr>
        <w:t xml:space="preserve">Internal Defense Councils and Centers of Operations </w:t>
      </w:r>
      <w:r w:rsidRPr="007B2402">
        <w:rPr>
          <w:rFonts w:eastAsia="Calibri" w:cs="Times New Roman"/>
          <w:szCs w:val="20"/>
          <w:lang w:val="en-US"/>
        </w:rPr>
        <w:t>(respecti</w:t>
      </w:r>
      <w:r w:rsidR="00553049" w:rsidRPr="007B2402">
        <w:rPr>
          <w:rFonts w:eastAsia="Calibri" w:cs="Times New Roman"/>
          <w:szCs w:val="20"/>
          <w:lang w:val="en-US"/>
        </w:rPr>
        <w:t xml:space="preserve">vely, </w:t>
      </w:r>
      <w:r w:rsidRPr="007B2402">
        <w:rPr>
          <w:rFonts w:eastAsia="Calibri" w:cs="Times New Roman"/>
          <w:szCs w:val="20"/>
          <w:lang w:val="en-US"/>
        </w:rPr>
        <w:t>CONDIS</w:t>
      </w:r>
      <w:r w:rsidR="005B1590" w:rsidRPr="007B2402">
        <w:rPr>
          <w:rFonts w:eastAsia="Calibri" w:cs="Times New Roman"/>
          <w:szCs w:val="20"/>
          <w:lang w:val="en-US"/>
        </w:rPr>
        <w:t xml:space="preserve"> and </w:t>
      </w:r>
      <w:r w:rsidRPr="007B2402">
        <w:rPr>
          <w:rFonts w:eastAsia="Calibri" w:cs="Times New Roman"/>
          <w:szCs w:val="20"/>
          <w:lang w:val="en-US"/>
        </w:rPr>
        <w:t xml:space="preserve">CODIS), </w:t>
      </w:r>
      <w:r w:rsidR="00553049" w:rsidRPr="007B2402">
        <w:rPr>
          <w:rFonts w:eastAsia="Calibri" w:cs="Times New Roman"/>
          <w:szCs w:val="20"/>
          <w:lang w:val="en-US"/>
        </w:rPr>
        <w:t>consisting of members of the three branches of the Armed Forces and of the Secretariats of Security of the states, w</w:t>
      </w:r>
      <w:r w:rsidR="00B158C7" w:rsidRPr="007B2402">
        <w:rPr>
          <w:rFonts w:eastAsia="Calibri" w:cs="Times New Roman"/>
          <w:szCs w:val="20"/>
          <w:lang w:val="en-US"/>
        </w:rPr>
        <w:t>hose</w:t>
      </w:r>
      <w:r w:rsidR="00553049" w:rsidRPr="007B2402">
        <w:rPr>
          <w:rFonts w:eastAsia="Calibri" w:cs="Times New Roman"/>
          <w:szCs w:val="20"/>
          <w:lang w:val="en-US"/>
        </w:rPr>
        <w:t xml:space="preserve"> functions </w:t>
      </w:r>
      <w:r w:rsidR="00B158C7" w:rsidRPr="007B2402">
        <w:rPr>
          <w:rFonts w:eastAsia="Calibri" w:cs="Times New Roman"/>
          <w:szCs w:val="20"/>
          <w:lang w:val="en-US"/>
        </w:rPr>
        <w:t>were to</w:t>
      </w:r>
      <w:r w:rsidR="00553049" w:rsidRPr="007B2402">
        <w:rPr>
          <w:rFonts w:eastAsia="Calibri" w:cs="Times New Roman"/>
          <w:szCs w:val="20"/>
          <w:lang w:val="en-US"/>
        </w:rPr>
        <w:t xml:space="preserve"> coordina</w:t>
      </w:r>
      <w:r w:rsidR="00B158C7" w:rsidRPr="007B2402">
        <w:rPr>
          <w:rFonts w:eastAsia="Calibri" w:cs="Times New Roman"/>
          <w:szCs w:val="20"/>
          <w:lang w:val="en-US"/>
        </w:rPr>
        <w:t>te</w:t>
      </w:r>
      <w:r w:rsidR="00553049" w:rsidRPr="007B2402">
        <w:rPr>
          <w:rFonts w:eastAsia="Calibri" w:cs="Times New Roman"/>
          <w:szCs w:val="20"/>
          <w:lang w:val="en-US"/>
        </w:rPr>
        <w:t xml:space="preserve"> the</w:t>
      </w:r>
      <w:r w:rsidR="00B158C7" w:rsidRPr="007B2402">
        <w:rPr>
          <w:rFonts w:eastAsia="Calibri" w:cs="Times New Roman"/>
          <w:szCs w:val="20"/>
          <w:lang w:val="en-US"/>
        </w:rPr>
        <w:t xml:space="preserve"> acts of</w:t>
      </w:r>
      <w:r w:rsidR="00553049" w:rsidRPr="007B2402">
        <w:rPr>
          <w:rFonts w:eastAsia="Calibri" w:cs="Times New Roman"/>
          <w:szCs w:val="20"/>
          <w:lang w:val="en-US"/>
        </w:rPr>
        <w:t xml:space="preserve"> political repression in the respective</w:t>
      </w:r>
      <w:r w:rsidRPr="007B2402">
        <w:rPr>
          <w:rFonts w:eastAsia="Calibri" w:cs="Times New Roman"/>
          <w:szCs w:val="20"/>
          <w:lang w:val="en-US"/>
        </w:rPr>
        <w:t xml:space="preserve"> ZDIs; </w:t>
      </w:r>
      <w:r w:rsidR="00B158C7" w:rsidRPr="007B2402">
        <w:rPr>
          <w:rFonts w:eastAsia="Calibri" w:cs="Times New Roman"/>
          <w:szCs w:val="20"/>
          <w:lang w:val="en-US"/>
        </w:rPr>
        <w:t>and</w:t>
      </w:r>
    </w:p>
    <w:p w14:paraId="278B7FAB" w14:textId="5FD3487E" w:rsidR="000744A8" w:rsidRPr="007B2402" w:rsidRDefault="000744A8" w:rsidP="007F0325">
      <w:pPr>
        <w:spacing w:after="60" w:line="240" w:lineRule="auto"/>
        <w:ind w:left="1620"/>
        <w:jc w:val="both"/>
        <w:rPr>
          <w:rFonts w:eastAsia="Calibri" w:cs="Times New Roman"/>
          <w:szCs w:val="20"/>
          <w:lang w:val="en-US"/>
        </w:rPr>
      </w:pPr>
      <w:r w:rsidRPr="007B2402">
        <w:rPr>
          <w:rFonts w:eastAsia="Calibri" w:cs="Times New Roman"/>
          <w:szCs w:val="20"/>
          <w:lang w:val="en-US"/>
        </w:rPr>
        <w:t>2.2</w:t>
      </w:r>
      <w:r w:rsidR="002B6E07" w:rsidRPr="007B2402">
        <w:rPr>
          <w:rFonts w:eastAsia="Calibri" w:cs="Times New Roman"/>
          <w:szCs w:val="20"/>
          <w:lang w:val="en-US"/>
        </w:rPr>
        <w:t>.</w:t>
      </w:r>
      <w:r w:rsidRPr="007B2402">
        <w:rPr>
          <w:rFonts w:eastAsia="Calibri" w:cs="Times New Roman"/>
          <w:szCs w:val="20"/>
          <w:lang w:val="en-US"/>
        </w:rPr>
        <w:t xml:space="preserve"> </w:t>
      </w:r>
      <w:r w:rsidR="00553049" w:rsidRPr="007B2402">
        <w:rPr>
          <w:rFonts w:eastAsia="Calibri" w:cs="Times New Roman"/>
          <w:szCs w:val="20"/>
          <w:lang w:val="en-US"/>
        </w:rPr>
        <w:t xml:space="preserve">In the second half of 1970, </w:t>
      </w:r>
      <w:r w:rsidR="00E9745A" w:rsidRPr="007B2402">
        <w:rPr>
          <w:rFonts w:eastAsia="Calibri" w:cs="Times New Roman"/>
          <w:szCs w:val="20"/>
          <w:lang w:val="en-US"/>
        </w:rPr>
        <w:t xml:space="preserve">Departments of </w:t>
      </w:r>
      <w:r w:rsidR="00553049" w:rsidRPr="007B2402">
        <w:rPr>
          <w:rFonts w:eastAsia="Calibri" w:cs="Times New Roman"/>
          <w:szCs w:val="20"/>
          <w:lang w:val="en-US"/>
        </w:rPr>
        <w:t xml:space="preserve">Information Operations </w:t>
      </w:r>
      <w:r w:rsidR="00E9745A" w:rsidRPr="007B2402">
        <w:rPr>
          <w:rFonts w:eastAsia="Calibri" w:cs="Times New Roman"/>
          <w:szCs w:val="20"/>
          <w:lang w:val="en-US"/>
        </w:rPr>
        <w:t xml:space="preserve">(DOI) were established in </w:t>
      </w:r>
      <w:r w:rsidRPr="007B2402">
        <w:rPr>
          <w:rFonts w:eastAsia="Calibri" w:cs="Times New Roman"/>
          <w:szCs w:val="20"/>
          <w:lang w:val="en-US"/>
        </w:rPr>
        <w:t xml:space="preserve">São Paulo, Río de Janeiro, Recife </w:t>
      </w:r>
      <w:r w:rsidR="00E9745A" w:rsidRPr="007B2402">
        <w:rPr>
          <w:rFonts w:eastAsia="Calibri" w:cs="Times New Roman"/>
          <w:szCs w:val="20"/>
          <w:lang w:val="en-US"/>
        </w:rPr>
        <w:t xml:space="preserve">and </w:t>
      </w:r>
      <w:r w:rsidR="00AF4344" w:rsidRPr="007B2402">
        <w:rPr>
          <w:rFonts w:eastAsia="Calibri" w:cs="Times New Roman"/>
          <w:szCs w:val="20"/>
          <w:lang w:val="en-US"/>
        </w:rPr>
        <w:t>Bra</w:t>
      </w:r>
      <w:r w:rsidR="00E9745A" w:rsidRPr="007B2402">
        <w:rPr>
          <w:rFonts w:eastAsia="Calibri" w:cs="Times New Roman"/>
          <w:szCs w:val="20"/>
          <w:lang w:val="en-US"/>
        </w:rPr>
        <w:t>s</w:t>
      </w:r>
      <w:r w:rsidR="00AF4344" w:rsidRPr="007B2402">
        <w:rPr>
          <w:rFonts w:eastAsia="Calibri" w:cs="Times New Roman"/>
          <w:szCs w:val="20"/>
          <w:lang w:val="en-US"/>
        </w:rPr>
        <w:t>il</w:t>
      </w:r>
      <w:r w:rsidRPr="007B2402">
        <w:rPr>
          <w:rFonts w:eastAsia="Calibri" w:cs="Times New Roman"/>
          <w:szCs w:val="20"/>
          <w:lang w:val="en-US"/>
        </w:rPr>
        <w:t>ia,</w:t>
      </w:r>
      <w:r w:rsidR="005B1590" w:rsidRPr="007B2402">
        <w:rPr>
          <w:rFonts w:eastAsia="Calibri" w:cs="Times New Roman"/>
          <w:szCs w:val="20"/>
          <w:lang w:val="en-US"/>
        </w:rPr>
        <w:t xml:space="preserve"> and </w:t>
      </w:r>
      <w:r w:rsidR="00E9745A" w:rsidRPr="007B2402">
        <w:rPr>
          <w:rFonts w:eastAsia="Calibri" w:cs="Times New Roman"/>
          <w:szCs w:val="20"/>
          <w:lang w:val="en-US"/>
        </w:rPr>
        <w:t xml:space="preserve">the following year also in </w:t>
      </w:r>
      <w:r w:rsidRPr="007B2402">
        <w:rPr>
          <w:rFonts w:eastAsia="Calibri" w:cs="Times New Roman"/>
          <w:szCs w:val="20"/>
          <w:lang w:val="en-US"/>
        </w:rPr>
        <w:t>Curitiba, Belo Horizonte, Salvador, Bel</w:t>
      </w:r>
      <w:r w:rsidR="00B158C7" w:rsidRPr="007B2402">
        <w:rPr>
          <w:rFonts w:eastAsia="Calibri" w:cs="Times New Roman"/>
          <w:szCs w:val="20"/>
          <w:lang w:val="en-US"/>
        </w:rPr>
        <w:t>e</w:t>
      </w:r>
      <w:r w:rsidRPr="007B2402">
        <w:rPr>
          <w:rFonts w:eastAsia="Calibri" w:cs="Times New Roman"/>
          <w:szCs w:val="20"/>
          <w:lang w:val="en-US"/>
        </w:rPr>
        <w:t>m</w:t>
      </w:r>
      <w:r w:rsidR="005B1590" w:rsidRPr="007B2402">
        <w:rPr>
          <w:rFonts w:eastAsia="Calibri" w:cs="Times New Roman"/>
          <w:szCs w:val="20"/>
          <w:lang w:val="en-US"/>
        </w:rPr>
        <w:t xml:space="preserve"> and </w:t>
      </w:r>
      <w:r w:rsidRPr="007B2402">
        <w:rPr>
          <w:rFonts w:eastAsia="Calibri" w:cs="Times New Roman"/>
          <w:szCs w:val="20"/>
          <w:lang w:val="en-US"/>
        </w:rPr>
        <w:t xml:space="preserve">Fortaleza. </w:t>
      </w:r>
      <w:r w:rsidR="00E9745A" w:rsidRPr="007B2402">
        <w:rPr>
          <w:rFonts w:eastAsia="Calibri" w:cs="Times New Roman"/>
          <w:szCs w:val="20"/>
          <w:lang w:val="en-US"/>
        </w:rPr>
        <w:t>In 1974, a DOI was established</w:t>
      </w:r>
      <w:r w:rsidR="00B158C7" w:rsidRPr="007B2402">
        <w:rPr>
          <w:rFonts w:eastAsia="Calibri" w:cs="Times New Roman"/>
          <w:szCs w:val="20"/>
          <w:lang w:val="en-US"/>
        </w:rPr>
        <w:t xml:space="preserve"> in Porto Alegre</w:t>
      </w:r>
      <w:r w:rsidR="00E9745A" w:rsidRPr="007B2402">
        <w:rPr>
          <w:rFonts w:eastAsia="Calibri" w:cs="Times New Roman"/>
          <w:szCs w:val="20"/>
          <w:lang w:val="en-US"/>
        </w:rPr>
        <w:t>.</w:t>
      </w:r>
      <w:r w:rsidRPr="007B2402">
        <w:rPr>
          <w:rFonts w:eastAsia="Calibri" w:cs="Times New Roman"/>
          <w:szCs w:val="20"/>
          <w:vertAlign w:val="superscript"/>
          <w:lang w:val="en-US"/>
        </w:rPr>
        <w:footnoteReference w:id="198"/>
      </w:r>
    </w:p>
    <w:p w14:paraId="2DAD8DE7" w14:textId="4EB7FC4D" w:rsidR="000744A8" w:rsidRPr="007B2402" w:rsidRDefault="00E9745A" w:rsidP="00E9745A">
      <w:pPr>
        <w:numPr>
          <w:ilvl w:val="0"/>
          <w:numId w:val="14"/>
        </w:numPr>
        <w:spacing w:after="60" w:line="240" w:lineRule="auto"/>
        <w:jc w:val="both"/>
        <w:rPr>
          <w:rFonts w:eastAsia="Calibri" w:cs="Times New Roman"/>
          <w:szCs w:val="20"/>
          <w:lang w:val="en-US"/>
        </w:rPr>
      </w:pPr>
      <w:r w:rsidRPr="007B2402">
        <w:rPr>
          <w:rFonts w:eastAsia="Calibri" w:cs="Times New Roman"/>
          <w:szCs w:val="20"/>
          <w:lang w:val="en-US"/>
        </w:rPr>
        <w:t xml:space="preserve">The 1971 CIE Interrogation Manual established that, in order to bring a detainee before a court, he should be treated in a way that would not reveal that his confession had been </w:t>
      </w:r>
      <w:r w:rsidR="00B158C7" w:rsidRPr="007B2402">
        <w:rPr>
          <w:rFonts w:eastAsia="Calibri" w:cs="Times New Roman"/>
          <w:szCs w:val="20"/>
          <w:lang w:val="en-US"/>
        </w:rPr>
        <w:t>obtained</w:t>
      </w:r>
      <w:r w:rsidRPr="007B2402">
        <w:rPr>
          <w:rFonts w:eastAsia="Calibri" w:cs="Times New Roman"/>
          <w:szCs w:val="20"/>
          <w:lang w:val="en-US"/>
        </w:rPr>
        <w:t xml:space="preserve"> under duress. </w:t>
      </w:r>
      <w:r w:rsidR="00B158C7" w:rsidRPr="007B2402">
        <w:rPr>
          <w:rFonts w:eastAsia="Calibri" w:cs="Times New Roman"/>
          <w:szCs w:val="20"/>
          <w:lang w:val="en-US"/>
        </w:rPr>
        <w:t>It also</w:t>
      </w:r>
      <w:r w:rsidRPr="007B2402">
        <w:rPr>
          <w:rFonts w:eastAsia="Calibri" w:cs="Times New Roman"/>
          <w:szCs w:val="20"/>
          <w:lang w:val="en-US"/>
        </w:rPr>
        <w:t xml:space="preserve"> indicated that the purpose of an interrogation of subversives was not to provide information for the criminal justice system; its real purpose was to obtain the most information possible. To achieve this, it was necessary to use interrogation methods that, legally, constituted the use of force.</w:t>
      </w:r>
      <w:r w:rsidR="000744A8" w:rsidRPr="007B2402">
        <w:rPr>
          <w:rFonts w:eastAsia="Calibri" w:cs="Times New Roman"/>
          <w:szCs w:val="20"/>
          <w:vertAlign w:val="superscript"/>
          <w:lang w:val="en-US"/>
        </w:rPr>
        <w:footnoteReference w:id="199"/>
      </w:r>
      <w:r w:rsidR="000744A8" w:rsidRPr="007B2402">
        <w:rPr>
          <w:rFonts w:eastAsia="Calibri" w:cs="Times New Roman"/>
          <w:b/>
          <w:szCs w:val="20"/>
          <w:lang w:val="en-US"/>
        </w:rPr>
        <w:t xml:space="preserve"> </w:t>
      </w:r>
    </w:p>
    <w:p w14:paraId="76299508" w14:textId="374EE7FE" w:rsidR="000744A8" w:rsidRPr="007B2402" w:rsidRDefault="00E9745A" w:rsidP="00A549B7">
      <w:pPr>
        <w:numPr>
          <w:ilvl w:val="0"/>
          <w:numId w:val="14"/>
        </w:numPr>
        <w:spacing w:after="60" w:line="240" w:lineRule="auto"/>
        <w:jc w:val="both"/>
        <w:rPr>
          <w:rFonts w:eastAsia="Calibri" w:cs="Times New Roman"/>
          <w:szCs w:val="20"/>
          <w:lang w:val="en-US"/>
        </w:rPr>
      </w:pPr>
      <w:r w:rsidRPr="007B2402">
        <w:rPr>
          <w:rFonts w:eastAsia="Calibri" w:cs="Times New Roman"/>
          <w:szCs w:val="20"/>
          <w:lang w:val="en-US"/>
        </w:rPr>
        <w:t>Between</w:t>
      </w:r>
      <w:r w:rsidR="000744A8" w:rsidRPr="007B2402">
        <w:rPr>
          <w:rFonts w:eastAsia="Calibri" w:cs="Times New Roman"/>
          <w:szCs w:val="20"/>
          <w:lang w:val="en-US"/>
        </w:rPr>
        <w:t xml:space="preserve"> 1973</w:t>
      </w:r>
      <w:r w:rsidR="005B1590" w:rsidRPr="007B2402">
        <w:rPr>
          <w:rFonts w:eastAsia="Calibri" w:cs="Times New Roman"/>
          <w:szCs w:val="20"/>
          <w:lang w:val="en-US"/>
        </w:rPr>
        <w:t xml:space="preserve"> and </w:t>
      </w:r>
      <w:r w:rsidR="000744A8" w:rsidRPr="007B2402">
        <w:rPr>
          <w:rFonts w:eastAsia="Calibri" w:cs="Times New Roman"/>
          <w:szCs w:val="20"/>
          <w:lang w:val="en-US"/>
        </w:rPr>
        <w:t xml:space="preserve">1975, </w:t>
      </w:r>
      <w:r w:rsidRPr="007B2402">
        <w:rPr>
          <w:rFonts w:eastAsia="Calibri" w:cs="Times New Roman"/>
          <w:szCs w:val="20"/>
          <w:lang w:val="en-US"/>
        </w:rPr>
        <w:t>journalist</w:t>
      </w:r>
      <w:r w:rsidR="00122A67" w:rsidRPr="007B2402">
        <w:rPr>
          <w:rFonts w:eastAsia="Calibri" w:cs="Times New Roman"/>
          <w:szCs w:val="20"/>
          <w:lang w:val="en-US"/>
        </w:rPr>
        <w:t>s</w:t>
      </w:r>
      <w:r w:rsidRPr="007B2402">
        <w:rPr>
          <w:rFonts w:eastAsia="Calibri" w:cs="Times New Roman"/>
          <w:szCs w:val="20"/>
          <w:lang w:val="en-US"/>
        </w:rPr>
        <w:t xml:space="preserve"> of the</w:t>
      </w:r>
      <w:r w:rsidR="000744A8" w:rsidRPr="007B2402">
        <w:rPr>
          <w:rFonts w:eastAsia="Calibri" w:cs="Times New Roman"/>
          <w:szCs w:val="20"/>
          <w:lang w:val="en-US"/>
        </w:rPr>
        <w:t xml:space="preserve"> “</w:t>
      </w:r>
      <w:r w:rsidR="000744A8" w:rsidRPr="007B2402">
        <w:rPr>
          <w:rFonts w:eastAsia="Calibri" w:cs="Times New Roman"/>
          <w:i/>
          <w:iCs/>
          <w:szCs w:val="20"/>
          <w:lang w:val="en-US"/>
        </w:rPr>
        <w:t>Voz Operária</w:t>
      </w:r>
      <w:r w:rsidR="000744A8" w:rsidRPr="007B2402">
        <w:rPr>
          <w:rFonts w:eastAsia="Calibri" w:cs="Times New Roman"/>
          <w:szCs w:val="20"/>
          <w:lang w:val="en-US"/>
        </w:rPr>
        <w:t>”</w:t>
      </w:r>
      <w:r w:rsidR="005B1590" w:rsidRPr="007B2402">
        <w:rPr>
          <w:rFonts w:eastAsia="Calibri" w:cs="Times New Roman"/>
          <w:szCs w:val="20"/>
          <w:lang w:val="en-US"/>
        </w:rPr>
        <w:t xml:space="preserve"> and </w:t>
      </w:r>
      <w:r w:rsidRPr="007B2402">
        <w:rPr>
          <w:rFonts w:eastAsia="Calibri" w:cs="Times New Roman"/>
          <w:szCs w:val="20"/>
          <w:lang w:val="en-US"/>
        </w:rPr>
        <w:t>members of the Brazilian Communist Party</w:t>
      </w:r>
      <w:r w:rsidR="000744A8" w:rsidRPr="007B2402">
        <w:rPr>
          <w:rFonts w:eastAsia="Calibri" w:cs="Times New Roman"/>
          <w:szCs w:val="20"/>
          <w:lang w:val="en-US"/>
        </w:rPr>
        <w:t xml:space="preserve"> (PCB) </w:t>
      </w:r>
      <w:r w:rsidRPr="007B2402">
        <w:rPr>
          <w:rFonts w:eastAsia="Calibri" w:cs="Times New Roman"/>
          <w:szCs w:val="20"/>
          <w:lang w:val="en-US"/>
        </w:rPr>
        <w:t xml:space="preserve">began to be </w:t>
      </w:r>
      <w:r w:rsidR="00122A67" w:rsidRPr="007B2402">
        <w:rPr>
          <w:rFonts w:eastAsia="Calibri" w:cs="Times New Roman"/>
          <w:szCs w:val="20"/>
          <w:lang w:val="en-US"/>
        </w:rPr>
        <w:t>abducted</w:t>
      </w:r>
      <w:r w:rsidRPr="007B2402">
        <w:rPr>
          <w:rFonts w:eastAsia="Calibri" w:cs="Times New Roman"/>
          <w:szCs w:val="20"/>
          <w:lang w:val="en-US"/>
        </w:rPr>
        <w:t xml:space="preserve"> or detained and, at times, tortured. The so-called</w:t>
      </w:r>
      <w:r w:rsidR="000744A8" w:rsidRPr="007B2402">
        <w:rPr>
          <w:rFonts w:eastAsia="Calibri" w:cs="Times New Roman"/>
          <w:szCs w:val="20"/>
          <w:lang w:val="en-US"/>
        </w:rPr>
        <w:t xml:space="preserve"> “Opera</w:t>
      </w:r>
      <w:r w:rsidRPr="007B2402">
        <w:rPr>
          <w:rFonts w:eastAsia="Calibri" w:cs="Times New Roman"/>
          <w:szCs w:val="20"/>
          <w:lang w:val="en-US"/>
        </w:rPr>
        <w:t>tio</w:t>
      </w:r>
      <w:r w:rsidR="000744A8" w:rsidRPr="007B2402">
        <w:rPr>
          <w:rFonts w:eastAsia="Calibri" w:cs="Times New Roman"/>
          <w:szCs w:val="20"/>
          <w:lang w:val="en-US"/>
        </w:rPr>
        <w:t>n Radar”</w:t>
      </w:r>
      <w:r w:rsidR="007534DD" w:rsidRPr="007B2402">
        <w:rPr>
          <w:rFonts w:eastAsia="Calibri" w:cs="Times New Roman"/>
          <w:szCs w:val="20"/>
          <w:lang w:val="en-US"/>
        </w:rPr>
        <w:t xml:space="preserve"> carried out by the Army’s Information Center and the</w:t>
      </w:r>
      <w:r w:rsidR="00122A67" w:rsidRPr="007B2402">
        <w:rPr>
          <w:rFonts w:eastAsia="Calibri" w:cs="Times New Roman"/>
          <w:szCs w:val="20"/>
          <w:lang w:val="en-US"/>
        </w:rPr>
        <w:t xml:space="preserve"> Second Army’s</w:t>
      </w:r>
      <w:r w:rsidR="000744A8" w:rsidRPr="007B2402">
        <w:rPr>
          <w:rFonts w:eastAsia="Calibri" w:cs="Times New Roman"/>
          <w:szCs w:val="20"/>
          <w:lang w:val="en-US"/>
        </w:rPr>
        <w:t xml:space="preserve"> DOI/CODI </w:t>
      </w:r>
      <w:r w:rsidR="007534DD" w:rsidRPr="007B2402">
        <w:rPr>
          <w:rFonts w:eastAsia="Calibri" w:cs="Times New Roman"/>
          <w:szCs w:val="20"/>
          <w:lang w:val="en-US"/>
        </w:rPr>
        <w:t xml:space="preserve">was an offensive </w:t>
      </w:r>
      <w:r w:rsidR="00122A67" w:rsidRPr="007B2402">
        <w:rPr>
          <w:rFonts w:eastAsia="Calibri" w:cs="Times New Roman"/>
          <w:szCs w:val="20"/>
          <w:lang w:val="en-US"/>
        </w:rPr>
        <w:t>by</w:t>
      </w:r>
      <w:r w:rsidR="007534DD" w:rsidRPr="007B2402">
        <w:rPr>
          <w:rFonts w:eastAsia="Calibri" w:cs="Times New Roman"/>
          <w:szCs w:val="20"/>
          <w:lang w:val="en-US"/>
        </w:rPr>
        <w:t xml:space="preserve"> the security agencies to combat and disband the PCB and its members</w:t>
      </w:r>
      <w:r w:rsidR="000744A8" w:rsidRPr="007B2402">
        <w:rPr>
          <w:rFonts w:eastAsia="Calibri" w:cs="Times New Roman"/>
          <w:szCs w:val="20"/>
          <w:lang w:val="en-US"/>
        </w:rPr>
        <w:t xml:space="preserve">. </w:t>
      </w:r>
      <w:r w:rsidR="007534DD" w:rsidRPr="007B2402">
        <w:rPr>
          <w:rFonts w:eastAsia="Calibri" w:cs="Times New Roman"/>
          <w:szCs w:val="20"/>
          <w:lang w:val="en-US"/>
        </w:rPr>
        <w:t xml:space="preserve">The Operation did not limit its actions to detaining PCB members, but was </w:t>
      </w:r>
      <w:r w:rsidR="00122A67" w:rsidRPr="007B2402">
        <w:rPr>
          <w:rFonts w:eastAsia="Calibri" w:cs="Times New Roman"/>
          <w:szCs w:val="20"/>
          <w:lang w:val="en-US"/>
        </w:rPr>
        <w:t xml:space="preserve">also </w:t>
      </w:r>
      <w:r w:rsidR="007534DD" w:rsidRPr="007B2402">
        <w:rPr>
          <w:rFonts w:eastAsia="Calibri" w:cs="Times New Roman"/>
          <w:szCs w:val="20"/>
          <w:lang w:val="en-US"/>
        </w:rPr>
        <w:t>aimed at killing its leaders.</w:t>
      </w:r>
      <w:r w:rsidR="000744A8" w:rsidRPr="007B2402">
        <w:rPr>
          <w:rFonts w:eastAsia="Calibri" w:cs="Times New Roman"/>
          <w:szCs w:val="20"/>
          <w:vertAlign w:val="superscript"/>
          <w:lang w:val="en-US"/>
        </w:rPr>
        <w:footnoteReference w:id="200"/>
      </w:r>
      <w:r w:rsidR="000744A8" w:rsidRPr="007B2402">
        <w:rPr>
          <w:rFonts w:eastAsia="Calibri" w:cs="Times New Roman"/>
          <w:b/>
          <w:szCs w:val="20"/>
          <w:lang w:val="en-US"/>
        </w:rPr>
        <w:t xml:space="preserve"> </w:t>
      </w:r>
      <w:r w:rsidR="007534DD" w:rsidRPr="007B2402">
        <w:rPr>
          <w:rFonts w:eastAsia="Calibri" w:cs="Times New Roman"/>
          <w:szCs w:val="20"/>
          <w:lang w:val="en-US"/>
        </w:rPr>
        <w:t>From</w:t>
      </w:r>
      <w:r w:rsidR="000744A8" w:rsidRPr="007B2402">
        <w:rPr>
          <w:rFonts w:eastAsia="Calibri" w:cs="Times New Roman"/>
          <w:szCs w:val="20"/>
          <w:lang w:val="en-US"/>
        </w:rPr>
        <w:t xml:space="preserve"> 1974</w:t>
      </w:r>
      <w:r w:rsidR="005B1590" w:rsidRPr="007B2402">
        <w:rPr>
          <w:rFonts w:eastAsia="Calibri" w:cs="Times New Roman"/>
          <w:szCs w:val="20"/>
          <w:lang w:val="en-US"/>
        </w:rPr>
        <w:t xml:space="preserve"> </w:t>
      </w:r>
      <w:r w:rsidR="007534DD" w:rsidRPr="007B2402">
        <w:rPr>
          <w:rFonts w:eastAsia="Calibri" w:cs="Times New Roman"/>
          <w:szCs w:val="20"/>
          <w:lang w:val="en-US"/>
        </w:rPr>
        <w:t>to</w:t>
      </w:r>
      <w:r w:rsidR="005B1590" w:rsidRPr="007B2402">
        <w:rPr>
          <w:rFonts w:eastAsia="Calibri" w:cs="Times New Roman"/>
          <w:szCs w:val="20"/>
          <w:lang w:val="en-US"/>
        </w:rPr>
        <w:t xml:space="preserve"> </w:t>
      </w:r>
      <w:r w:rsidR="000744A8" w:rsidRPr="007B2402">
        <w:rPr>
          <w:rFonts w:eastAsia="Calibri" w:cs="Times New Roman"/>
          <w:szCs w:val="20"/>
          <w:lang w:val="en-US"/>
        </w:rPr>
        <w:t>1976</w:t>
      </w:r>
      <w:r w:rsidR="007534DD" w:rsidRPr="007B2402">
        <w:rPr>
          <w:rFonts w:eastAsia="Calibri" w:cs="Times New Roman"/>
          <w:szCs w:val="20"/>
          <w:lang w:val="en-US"/>
        </w:rPr>
        <w:t>, dozens of PCB members and leaders were detained, tortured and killed by the Operation, so that almost the whole of its Central Committee were eliminated;</w:t>
      </w:r>
      <w:r w:rsidR="000744A8" w:rsidRPr="007B2402">
        <w:rPr>
          <w:rFonts w:eastAsia="Calibri" w:cs="Times New Roman"/>
          <w:szCs w:val="20"/>
          <w:vertAlign w:val="superscript"/>
          <w:lang w:val="en-US"/>
        </w:rPr>
        <w:footnoteReference w:id="201"/>
      </w:r>
      <w:r w:rsidR="000744A8" w:rsidRPr="007B2402">
        <w:rPr>
          <w:rFonts w:eastAsia="Calibri" w:cs="Times New Roman"/>
          <w:szCs w:val="20"/>
          <w:lang w:val="en-US"/>
        </w:rPr>
        <w:t xml:space="preserve"> </w:t>
      </w:r>
    </w:p>
    <w:p w14:paraId="34474400" w14:textId="10B7CC23" w:rsidR="000744A8" w:rsidRPr="007B2402" w:rsidRDefault="007534DD" w:rsidP="00A549B7">
      <w:pPr>
        <w:numPr>
          <w:ilvl w:val="0"/>
          <w:numId w:val="14"/>
        </w:numPr>
        <w:spacing w:after="60" w:line="240" w:lineRule="auto"/>
        <w:jc w:val="both"/>
        <w:rPr>
          <w:rFonts w:eastAsia="Calibri" w:cs="Times New Roman"/>
          <w:szCs w:val="20"/>
          <w:lang w:val="en-US"/>
        </w:rPr>
      </w:pPr>
      <w:r w:rsidRPr="007B2402">
        <w:rPr>
          <w:rFonts w:eastAsia="Calibri" w:cs="Times New Roman"/>
          <w:szCs w:val="20"/>
          <w:lang w:val="en-US"/>
        </w:rPr>
        <w:lastRenderedPageBreak/>
        <w:t>The</w:t>
      </w:r>
      <w:r w:rsidR="000744A8" w:rsidRPr="007B2402">
        <w:rPr>
          <w:rFonts w:eastAsia="Calibri" w:cs="Times New Roman"/>
          <w:szCs w:val="20"/>
          <w:lang w:val="en-US"/>
        </w:rPr>
        <w:t xml:space="preserve"> DOI-CODI/</w:t>
      </w:r>
      <w:r w:rsidR="00BE2A6C" w:rsidRPr="007B2402">
        <w:rPr>
          <w:rFonts w:eastAsia="Calibri" w:cs="Times New Roman"/>
          <w:szCs w:val="20"/>
          <w:lang w:val="en-US"/>
        </w:rPr>
        <w:t>Second Army</w:t>
      </w:r>
      <w:r w:rsidR="000744A8" w:rsidRPr="007B2402">
        <w:rPr>
          <w:rFonts w:eastAsia="Calibri" w:cs="Times New Roman"/>
          <w:szCs w:val="20"/>
          <w:lang w:val="en-US"/>
        </w:rPr>
        <w:t xml:space="preserve"> </w:t>
      </w:r>
      <w:r w:rsidRPr="007B2402">
        <w:rPr>
          <w:rFonts w:eastAsia="Calibri" w:cs="Times New Roman"/>
          <w:szCs w:val="20"/>
          <w:lang w:val="en-US"/>
        </w:rPr>
        <w:t>consisted of</w:t>
      </w:r>
      <w:r w:rsidR="000744A8" w:rsidRPr="007B2402">
        <w:rPr>
          <w:rFonts w:eastAsia="Calibri" w:cs="Times New Roman"/>
          <w:szCs w:val="20"/>
          <w:lang w:val="en-US"/>
        </w:rPr>
        <w:t xml:space="preserve"> 116 </w:t>
      </w:r>
      <w:r w:rsidRPr="007B2402">
        <w:rPr>
          <w:rFonts w:eastAsia="Calibri" w:cs="Times New Roman"/>
          <w:szCs w:val="20"/>
          <w:lang w:val="en-US"/>
        </w:rPr>
        <w:t xml:space="preserve">men from the Army, the </w:t>
      </w:r>
      <w:r w:rsidR="00122A67" w:rsidRPr="007B2402">
        <w:rPr>
          <w:rFonts w:eastAsia="Calibri" w:cs="Times New Roman"/>
          <w:szCs w:val="20"/>
          <w:lang w:val="en-US"/>
        </w:rPr>
        <w:t xml:space="preserve">state of São Paulo </w:t>
      </w:r>
      <w:r w:rsidRPr="007B2402">
        <w:rPr>
          <w:rFonts w:eastAsia="Calibri" w:cs="Times New Roman"/>
          <w:szCs w:val="20"/>
          <w:lang w:val="en-US"/>
        </w:rPr>
        <w:t>Military Police</w:t>
      </w:r>
      <w:r w:rsidR="000744A8" w:rsidRPr="007B2402">
        <w:rPr>
          <w:rFonts w:eastAsia="Calibri" w:cs="Times New Roman"/>
          <w:szCs w:val="20"/>
          <w:lang w:val="en-US"/>
        </w:rPr>
        <w:t xml:space="preserve">, </w:t>
      </w:r>
      <w:r w:rsidRPr="007B2402">
        <w:rPr>
          <w:rFonts w:eastAsia="Calibri" w:cs="Times New Roman"/>
          <w:szCs w:val="20"/>
          <w:lang w:val="en-US"/>
        </w:rPr>
        <w:t>the Civil Police, the Air Force, and the Federal Police. The way the</w:t>
      </w:r>
      <w:r w:rsidR="000744A8" w:rsidRPr="007B2402">
        <w:rPr>
          <w:rFonts w:eastAsia="Calibri" w:cs="Times New Roman"/>
          <w:szCs w:val="20"/>
          <w:lang w:val="en-US"/>
        </w:rPr>
        <w:t xml:space="preserve"> </w:t>
      </w:r>
      <w:r w:rsidRPr="007B2402">
        <w:rPr>
          <w:rFonts w:eastAsia="Calibri" w:cs="Times New Roman"/>
          <w:szCs w:val="20"/>
          <w:lang w:val="en-US"/>
        </w:rPr>
        <w:t>DOI</w:t>
      </w:r>
      <w:r w:rsidR="000744A8" w:rsidRPr="007B2402">
        <w:rPr>
          <w:rFonts w:eastAsia="Calibri" w:cs="Times New Roman"/>
          <w:szCs w:val="20"/>
          <w:lang w:val="en-US"/>
        </w:rPr>
        <w:t xml:space="preserve">-CODI </w:t>
      </w:r>
      <w:r w:rsidRPr="007B2402">
        <w:rPr>
          <w:rFonts w:eastAsia="Calibri" w:cs="Times New Roman"/>
          <w:szCs w:val="20"/>
          <w:lang w:val="en-US"/>
        </w:rPr>
        <w:t xml:space="preserve">were structured made it </w:t>
      </w:r>
      <w:r w:rsidR="005959D1" w:rsidRPr="007B2402">
        <w:rPr>
          <w:rFonts w:eastAsia="Calibri" w:cs="Times New Roman"/>
          <w:szCs w:val="20"/>
          <w:lang w:val="en-US"/>
        </w:rPr>
        <w:t>possible</w:t>
      </w:r>
      <w:r w:rsidRPr="007B2402">
        <w:rPr>
          <w:rFonts w:eastAsia="Calibri" w:cs="Times New Roman"/>
          <w:szCs w:val="20"/>
          <w:lang w:val="en-US"/>
        </w:rPr>
        <w:t xml:space="preserve"> to combine efforts between these agencies when necessary. Its members referred to is as “grandmother’s house” </w:t>
      </w:r>
      <w:r w:rsidR="000744A8" w:rsidRPr="007B2402">
        <w:rPr>
          <w:rFonts w:eastAsia="Calibri" w:cs="Times New Roman"/>
          <w:szCs w:val="20"/>
          <w:lang w:val="en-US"/>
        </w:rPr>
        <w:t>(</w:t>
      </w:r>
      <w:r w:rsidR="000744A8" w:rsidRPr="007B2402">
        <w:rPr>
          <w:rFonts w:eastAsia="Calibri" w:cs="Times New Roman"/>
          <w:i/>
          <w:szCs w:val="20"/>
          <w:lang w:val="en-US"/>
        </w:rPr>
        <w:t>casa da vovó</w:t>
      </w:r>
      <w:r w:rsidR="000744A8" w:rsidRPr="007B2402">
        <w:rPr>
          <w:rFonts w:eastAsia="Calibri" w:cs="Times New Roman"/>
          <w:szCs w:val="20"/>
          <w:lang w:val="en-US"/>
        </w:rPr>
        <w:t>)</w:t>
      </w:r>
      <w:r w:rsidRPr="007B2402">
        <w:rPr>
          <w:rFonts w:eastAsia="Calibri" w:cs="Times New Roman"/>
          <w:szCs w:val="20"/>
          <w:lang w:val="en-US"/>
        </w:rPr>
        <w:t>,</w:t>
      </w:r>
      <w:r w:rsidR="000744A8" w:rsidRPr="007B2402">
        <w:rPr>
          <w:rFonts w:eastAsia="Calibri" w:cs="Times New Roman"/>
          <w:szCs w:val="20"/>
          <w:lang w:val="en-US"/>
        </w:rPr>
        <w:t>”</w:t>
      </w:r>
      <w:r w:rsidR="000744A8" w:rsidRPr="007B2402">
        <w:rPr>
          <w:rFonts w:eastAsia="Calibri" w:cs="Times New Roman"/>
          <w:szCs w:val="20"/>
          <w:vertAlign w:val="superscript"/>
          <w:lang w:val="en-US"/>
        </w:rPr>
        <w:footnoteReference w:id="202"/>
      </w:r>
      <w:r w:rsidR="005B1590" w:rsidRPr="007B2402">
        <w:rPr>
          <w:rFonts w:eastAsia="Calibri" w:cs="Times New Roman"/>
          <w:szCs w:val="20"/>
          <w:lang w:val="en-US"/>
        </w:rPr>
        <w:t xml:space="preserve"> and </w:t>
      </w:r>
    </w:p>
    <w:p w14:paraId="2D0883A6" w14:textId="1D62DCF6" w:rsidR="000744A8" w:rsidRPr="007B2402" w:rsidRDefault="007534DD" w:rsidP="002014AF">
      <w:pPr>
        <w:numPr>
          <w:ilvl w:val="0"/>
          <w:numId w:val="14"/>
        </w:numPr>
        <w:spacing w:after="0" w:line="240" w:lineRule="auto"/>
        <w:ind w:left="1066" w:hanging="357"/>
        <w:jc w:val="both"/>
        <w:rPr>
          <w:rFonts w:eastAsia="Calibri" w:cs="Times New Roman"/>
          <w:szCs w:val="20"/>
          <w:lang w:val="en-US"/>
        </w:rPr>
      </w:pPr>
      <w:r w:rsidRPr="007B2402">
        <w:rPr>
          <w:rFonts w:eastAsia="Calibri" w:cs="Times New Roman"/>
          <w:szCs w:val="20"/>
          <w:lang w:val="en-US"/>
        </w:rPr>
        <w:t>The legal framework created by the regime gave special attention to ensuring the impunity of the perpetrators of abductions, torture, murders and disappearances, by excluding from judicial control all the acts carried out by the “</w:t>
      </w:r>
      <w:r w:rsidR="000D6E3E" w:rsidRPr="007B2402">
        <w:rPr>
          <w:rFonts w:eastAsia="Calibri" w:cs="Times New Roman"/>
          <w:szCs w:val="20"/>
          <w:lang w:val="en-US"/>
        </w:rPr>
        <w:t xml:space="preserve">Revolution’s </w:t>
      </w:r>
      <w:r w:rsidRPr="007B2402">
        <w:rPr>
          <w:rFonts w:eastAsia="Calibri" w:cs="Times New Roman"/>
          <w:szCs w:val="20"/>
          <w:lang w:val="en-US"/>
        </w:rPr>
        <w:t xml:space="preserve">Supreme </w:t>
      </w:r>
      <w:r w:rsidR="000D6E3E" w:rsidRPr="007B2402">
        <w:rPr>
          <w:rFonts w:eastAsia="Calibri" w:cs="Times New Roman"/>
          <w:szCs w:val="20"/>
          <w:lang w:val="en-US"/>
        </w:rPr>
        <w:t>C</w:t>
      </w:r>
      <w:r w:rsidRPr="007B2402">
        <w:rPr>
          <w:rFonts w:eastAsia="Calibri" w:cs="Times New Roman"/>
          <w:szCs w:val="20"/>
          <w:lang w:val="en-US"/>
        </w:rPr>
        <w:t>ommand” and by establishing the competence of the military jurisdiction to prosecute crimes against national security.</w:t>
      </w:r>
      <w:r w:rsidR="000744A8" w:rsidRPr="007B2402">
        <w:rPr>
          <w:rFonts w:eastAsia="Calibri" w:cs="Times New Roman"/>
          <w:szCs w:val="20"/>
          <w:vertAlign w:val="superscript"/>
          <w:lang w:val="en-US"/>
        </w:rPr>
        <w:footnoteReference w:id="203"/>
      </w:r>
    </w:p>
    <w:p w14:paraId="3AAF545E" w14:textId="77777777" w:rsidR="000744A8" w:rsidRPr="007B2402" w:rsidRDefault="000744A8" w:rsidP="00C40582">
      <w:pPr>
        <w:pStyle w:val="Textocomentario"/>
        <w:rPr>
          <w:rFonts w:eastAsia="Calibri" w:cs="Times New Roman"/>
          <w:noProof w:val="0"/>
          <w:lang w:val="en-US"/>
        </w:rPr>
      </w:pPr>
    </w:p>
    <w:p w14:paraId="7344648D" w14:textId="7C722DAF" w:rsidR="000744A8" w:rsidRPr="007B2402" w:rsidRDefault="009560A6"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With regard to</w:t>
      </w:r>
      <w:r w:rsidR="000D6E3E" w:rsidRPr="007B2402">
        <w:rPr>
          <w:rFonts w:eastAsia="Calibri" w:cs="Times New Roman"/>
          <w:szCs w:val="20"/>
          <w:lang w:val="en-US"/>
        </w:rPr>
        <w:t xml:space="preserve"> the widespread or systematic nature of the facts that occurred and their discriminatory or prohibited nature, as well as the fact that the victims were civilians, the Court also finds that it has been proved that, within the temporal framework in which the facts occurred</w:t>
      </w:r>
      <w:r w:rsidR="000744A8" w:rsidRPr="007B2402">
        <w:rPr>
          <w:rFonts w:eastAsia="Calibri" w:cs="Times New Roman"/>
          <w:szCs w:val="20"/>
          <w:lang w:val="en-US"/>
        </w:rPr>
        <w:t xml:space="preserve">: </w:t>
      </w:r>
    </w:p>
    <w:p w14:paraId="21D25D3A" w14:textId="77777777" w:rsidR="000744A8" w:rsidRPr="007B2402" w:rsidRDefault="000744A8" w:rsidP="00C40582">
      <w:pPr>
        <w:pStyle w:val="Textocomentario"/>
        <w:rPr>
          <w:rFonts w:eastAsia="Calibri" w:cs="Times New Roman"/>
          <w:noProof w:val="0"/>
          <w:lang w:val="en-US"/>
        </w:rPr>
      </w:pPr>
    </w:p>
    <w:p w14:paraId="1E4F320B" w14:textId="4FF15543" w:rsidR="000744A8" w:rsidRPr="007B2402" w:rsidRDefault="000D6E3E" w:rsidP="000D6E3E">
      <w:pPr>
        <w:numPr>
          <w:ilvl w:val="0"/>
          <w:numId w:val="18"/>
        </w:numPr>
        <w:spacing w:after="60" w:line="240" w:lineRule="auto"/>
        <w:ind w:left="1066" w:hanging="357"/>
        <w:jc w:val="both"/>
        <w:rPr>
          <w:rFonts w:eastAsia="Calibri" w:cs="Times New Roman"/>
          <w:szCs w:val="20"/>
          <w:lang w:val="en-US"/>
        </w:rPr>
      </w:pPr>
      <w:r w:rsidRPr="007B2402">
        <w:rPr>
          <w:rFonts w:eastAsia="Calibri" w:cs="Times New Roman"/>
          <w:szCs w:val="20"/>
          <w:lang w:val="en-US"/>
        </w:rPr>
        <w:t>The political opponents of the dictatorship – and all those who, in some way, were perceived by the regime as its enemies – were persecuted, abducted, tortured and/or killed.</w:t>
      </w:r>
      <w:r w:rsidRPr="007B2402">
        <w:rPr>
          <w:rFonts w:eastAsia="Calibri" w:cs="Times New Roman"/>
          <w:szCs w:val="20"/>
          <w:vertAlign w:val="superscript"/>
          <w:lang w:val="en-US"/>
        </w:rPr>
        <w:footnoteReference w:id="204"/>
      </w:r>
      <w:r w:rsidRPr="007B2402">
        <w:rPr>
          <w:rFonts w:eastAsia="Calibri" w:cs="Times New Roman"/>
          <w:szCs w:val="20"/>
          <w:lang w:val="en-US"/>
        </w:rPr>
        <w:t xml:space="preserve"> Following the issue of Institutional Act No. 5 in December 1968, the State intensified its operations of systematic control and attack on the civilian population. Indeed, the authoritarian instruments that had been imposed on the so-called “subversive enemies” were extended to all social strata, revealing the systemic nature of their use;</w:t>
      </w:r>
      <w:r w:rsidR="00031F73" w:rsidRPr="007B2402">
        <w:rPr>
          <w:rFonts w:eastAsia="Calibri" w:cs="Times New Roman"/>
          <w:szCs w:val="20"/>
          <w:vertAlign w:val="superscript"/>
          <w:lang w:val="en-US"/>
        </w:rPr>
        <w:footnoteReference w:id="205"/>
      </w:r>
    </w:p>
    <w:p w14:paraId="5F3F9DC5" w14:textId="23E94EAF" w:rsidR="000744A8" w:rsidRPr="007B2402" w:rsidRDefault="000D6E3E" w:rsidP="000D6E3E">
      <w:pPr>
        <w:numPr>
          <w:ilvl w:val="0"/>
          <w:numId w:val="18"/>
        </w:numPr>
        <w:spacing w:after="60" w:line="240" w:lineRule="auto"/>
        <w:ind w:left="1066" w:hanging="357"/>
        <w:jc w:val="both"/>
        <w:rPr>
          <w:rFonts w:eastAsia="Calibri" w:cs="Times New Roman"/>
          <w:szCs w:val="20"/>
          <w:lang w:val="en-US"/>
        </w:rPr>
      </w:pPr>
      <w:r w:rsidRPr="007B2402">
        <w:rPr>
          <w:rFonts w:eastAsia="Calibri" w:cs="Times New Roman"/>
          <w:szCs w:val="20"/>
          <w:lang w:val="en-US"/>
        </w:rPr>
        <w:t>Accordingly, star</w:t>
      </w:r>
      <w:r w:rsidR="009560A6" w:rsidRPr="007B2402">
        <w:rPr>
          <w:rFonts w:eastAsia="Calibri" w:cs="Times New Roman"/>
          <w:szCs w:val="20"/>
          <w:lang w:val="en-US"/>
        </w:rPr>
        <w:t>t</w:t>
      </w:r>
      <w:r w:rsidRPr="007B2402">
        <w:rPr>
          <w:rFonts w:eastAsia="Calibri" w:cs="Times New Roman"/>
          <w:szCs w:val="20"/>
          <w:lang w:val="en-US"/>
        </w:rPr>
        <w:t>ing in 1970 and up until 1975, the regime carried out the systematic practice of executi</w:t>
      </w:r>
      <w:r w:rsidR="009560A6" w:rsidRPr="007B2402">
        <w:rPr>
          <w:rFonts w:eastAsia="Calibri" w:cs="Times New Roman"/>
          <w:szCs w:val="20"/>
          <w:lang w:val="en-US"/>
        </w:rPr>
        <w:t>ng</w:t>
      </w:r>
      <w:r w:rsidRPr="007B2402">
        <w:rPr>
          <w:rFonts w:eastAsia="Calibri" w:cs="Times New Roman"/>
          <w:szCs w:val="20"/>
          <w:lang w:val="en-US"/>
        </w:rPr>
        <w:t xml:space="preserve"> or disappear</w:t>
      </w:r>
      <w:r w:rsidR="009560A6" w:rsidRPr="007B2402">
        <w:rPr>
          <w:rFonts w:eastAsia="Calibri" w:cs="Times New Roman"/>
          <w:szCs w:val="20"/>
          <w:lang w:val="en-US"/>
        </w:rPr>
        <w:t>ing its</w:t>
      </w:r>
      <w:r w:rsidRPr="007B2402">
        <w:rPr>
          <w:rFonts w:eastAsia="Calibri" w:cs="Times New Roman"/>
          <w:szCs w:val="20"/>
          <w:lang w:val="en-US"/>
        </w:rPr>
        <w:t xml:space="preserve"> opponents, especially those considered most “dangerous” or of most importance in the ranks of opposition organizations and/or those who represented a threat. Over this period, 281 deaths or disappearances of dissidents were recorded, the equivalent to 75% of the total number of deaths or disappearances throughout the dictatorship</w:t>
      </w:r>
      <w:r w:rsidR="000744A8" w:rsidRPr="007B2402">
        <w:rPr>
          <w:rFonts w:eastAsia="Calibri" w:cs="Times New Roman"/>
          <w:szCs w:val="20"/>
          <w:lang w:val="en-US"/>
        </w:rPr>
        <w:t xml:space="preserve"> (369)</w:t>
      </w:r>
      <w:r w:rsidRPr="007B2402">
        <w:rPr>
          <w:rFonts w:eastAsia="Calibri" w:cs="Times New Roman"/>
          <w:szCs w:val="20"/>
          <w:lang w:val="en-US"/>
        </w:rPr>
        <w:t>;</w:t>
      </w:r>
      <w:r w:rsidR="000744A8" w:rsidRPr="007B2402">
        <w:rPr>
          <w:rFonts w:eastAsia="Calibri" w:cs="Times New Roman"/>
          <w:szCs w:val="20"/>
          <w:vertAlign w:val="superscript"/>
          <w:lang w:val="en-US"/>
        </w:rPr>
        <w:footnoteReference w:id="206"/>
      </w:r>
      <w:r w:rsidR="000744A8" w:rsidRPr="007B2402">
        <w:rPr>
          <w:rFonts w:eastAsia="Calibri" w:cs="Times New Roman"/>
          <w:szCs w:val="20"/>
          <w:lang w:val="en-US"/>
        </w:rPr>
        <w:t xml:space="preserve"> </w:t>
      </w:r>
    </w:p>
    <w:p w14:paraId="26947D3D" w14:textId="4CA831BF" w:rsidR="000744A8" w:rsidRPr="007B2402" w:rsidRDefault="000D6E3E" w:rsidP="007B7F95">
      <w:pPr>
        <w:numPr>
          <w:ilvl w:val="0"/>
          <w:numId w:val="18"/>
        </w:numPr>
        <w:spacing w:after="60" w:line="240" w:lineRule="auto"/>
        <w:ind w:left="1066" w:hanging="357"/>
        <w:jc w:val="both"/>
        <w:rPr>
          <w:rFonts w:eastAsia="Calibri" w:cs="Times New Roman"/>
          <w:szCs w:val="20"/>
          <w:lang w:val="en-US"/>
        </w:rPr>
      </w:pPr>
      <w:r w:rsidRPr="007B2402">
        <w:rPr>
          <w:rFonts w:eastAsia="Calibri" w:cs="Times New Roman"/>
          <w:szCs w:val="20"/>
          <w:lang w:val="en-US"/>
        </w:rPr>
        <w:t>The practice of raids</w:t>
      </w:r>
      <w:r w:rsidR="009560A6" w:rsidRPr="007B2402">
        <w:rPr>
          <w:rFonts w:eastAsia="Calibri" w:cs="Times New Roman"/>
          <w:szCs w:val="20"/>
          <w:lang w:val="en-US"/>
        </w:rPr>
        <w:t xml:space="preserve"> </w:t>
      </w:r>
      <w:r w:rsidRPr="007B2402">
        <w:rPr>
          <w:rFonts w:eastAsia="Calibri" w:cs="Times New Roman"/>
          <w:szCs w:val="20"/>
          <w:lang w:val="en-US"/>
        </w:rPr>
        <w:t xml:space="preserve">on homes, abductions and torture formed part of the regular </w:t>
      </w:r>
      <w:r w:rsidR="009560A6" w:rsidRPr="007B2402">
        <w:rPr>
          <w:rFonts w:eastAsia="Calibri" w:cs="Times New Roman"/>
          <w:szCs w:val="20"/>
          <w:lang w:val="en-US"/>
        </w:rPr>
        <w:t>methods</w:t>
      </w:r>
      <w:r w:rsidRPr="007B2402">
        <w:rPr>
          <w:rFonts w:eastAsia="Calibri" w:cs="Times New Roman"/>
          <w:szCs w:val="20"/>
          <w:lang w:val="en-US"/>
        </w:rPr>
        <w:t xml:space="preserve"> </w:t>
      </w:r>
      <w:r w:rsidR="007B7F95" w:rsidRPr="007B2402">
        <w:rPr>
          <w:rFonts w:eastAsia="Calibri" w:cs="Times New Roman"/>
          <w:szCs w:val="20"/>
          <w:lang w:val="en-US"/>
        </w:rPr>
        <w:t xml:space="preserve">used by agencies such as the </w:t>
      </w:r>
      <w:r w:rsidR="000744A8" w:rsidRPr="007B2402">
        <w:rPr>
          <w:rFonts w:eastAsia="Calibri" w:cs="Times New Roman"/>
          <w:szCs w:val="20"/>
          <w:lang w:val="en-US"/>
        </w:rPr>
        <w:t>CIE</w:t>
      </w:r>
      <w:r w:rsidR="005B1590" w:rsidRPr="007B2402">
        <w:rPr>
          <w:rFonts w:eastAsia="Calibri" w:cs="Times New Roman"/>
          <w:szCs w:val="20"/>
          <w:lang w:val="en-US"/>
        </w:rPr>
        <w:t xml:space="preserve"> and </w:t>
      </w:r>
      <w:r w:rsidR="007B7F95" w:rsidRPr="007B2402">
        <w:rPr>
          <w:rFonts w:eastAsia="Calibri" w:cs="Times New Roman"/>
          <w:szCs w:val="20"/>
          <w:lang w:val="en-US"/>
        </w:rPr>
        <w:t>the</w:t>
      </w:r>
      <w:r w:rsidR="000744A8" w:rsidRPr="007B2402">
        <w:rPr>
          <w:rFonts w:eastAsia="Calibri" w:cs="Times New Roman"/>
          <w:szCs w:val="20"/>
          <w:lang w:val="en-US"/>
        </w:rPr>
        <w:t xml:space="preserve"> DOIs</w:t>
      </w:r>
      <w:r w:rsidR="009560A6" w:rsidRPr="007B2402">
        <w:rPr>
          <w:rFonts w:eastAsia="Calibri" w:cs="Times New Roman"/>
          <w:szCs w:val="20"/>
          <w:lang w:val="en-US"/>
        </w:rPr>
        <w:t xml:space="preserve"> to obtain information</w:t>
      </w:r>
      <w:r w:rsidR="007B7F95" w:rsidRPr="007B2402">
        <w:rPr>
          <w:rFonts w:eastAsia="Calibri" w:cs="Times New Roman"/>
          <w:szCs w:val="20"/>
          <w:lang w:val="en-US"/>
        </w:rPr>
        <w:t>.</w:t>
      </w:r>
      <w:r w:rsidR="000744A8" w:rsidRPr="007B2402">
        <w:rPr>
          <w:rFonts w:eastAsia="Calibri" w:cs="Times New Roman"/>
          <w:szCs w:val="20"/>
          <w:vertAlign w:val="superscript"/>
          <w:lang w:val="en-US"/>
        </w:rPr>
        <w:footnoteReference w:id="207"/>
      </w:r>
      <w:r w:rsidR="000744A8" w:rsidRPr="007B2402">
        <w:rPr>
          <w:rFonts w:eastAsia="Calibri" w:cs="Times New Roman"/>
          <w:szCs w:val="20"/>
          <w:lang w:val="en-US"/>
        </w:rPr>
        <w:t xml:space="preserve"> </w:t>
      </w:r>
      <w:r w:rsidR="007B7F95" w:rsidRPr="007B2402">
        <w:rPr>
          <w:rFonts w:eastAsia="Calibri" w:cs="Times New Roman"/>
          <w:szCs w:val="20"/>
          <w:lang w:val="en-US"/>
        </w:rPr>
        <w:t>The security forces used clandestine detention centers to carry out th</w:t>
      </w:r>
      <w:r w:rsidR="009560A6" w:rsidRPr="007B2402">
        <w:rPr>
          <w:rFonts w:eastAsia="Calibri" w:cs="Times New Roman"/>
          <w:szCs w:val="20"/>
          <w:lang w:val="en-US"/>
        </w:rPr>
        <w:t xml:space="preserve">e </w:t>
      </w:r>
      <w:r w:rsidR="007B7F95" w:rsidRPr="007B2402">
        <w:rPr>
          <w:rFonts w:eastAsia="Calibri" w:cs="Times New Roman"/>
          <w:szCs w:val="20"/>
          <w:lang w:val="en-US"/>
        </w:rPr>
        <w:t>torture and murder of members of the PCB considered enemies of the regime. These sites of terror, funded by public resources, were created deliberately to ensure that the agents involved had total freedom to act, without any legal control over what was done there, and even facilitating the possibility of making the bodies disappear;</w:t>
      </w:r>
      <w:r w:rsidR="000744A8" w:rsidRPr="007B2402">
        <w:rPr>
          <w:rFonts w:eastAsia="Calibri" w:cs="Times New Roman"/>
          <w:szCs w:val="20"/>
          <w:vertAlign w:val="superscript"/>
          <w:lang w:val="en-US"/>
        </w:rPr>
        <w:footnoteReference w:id="208"/>
      </w:r>
      <w:r w:rsidR="000744A8" w:rsidRPr="007B2402">
        <w:rPr>
          <w:rFonts w:eastAsia="Calibri" w:cs="Times New Roman"/>
          <w:b/>
          <w:szCs w:val="20"/>
          <w:lang w:val="en-US"/>
        </w:rPr>
        <w:t xml:space="preserve"> </w:t>
      </w:r>
    </w:p>
    <w:p w14:paraId="29954B81" w14:textId="625496A7" w:rsidR="000744A8" w:rsidRPr="007B2402" w:rsidRDefault="007B7F95" w:rsidP="007B7F95">
      <w:pPr>
        <w:numPr>
          <w:ilvl w:val="0"/>
          <w:numId w:val="18"/>
        </w:numPr>
        <w:spacing w:after="60" w:line="240" w:lineRule="auto"/>
        <w:ind w:left="1066" w:hanging="357"/>
        <w:jc w:val="both"/>
        <w:rPr>
          <w:rFonts w:eastAsia="Calibri" w:cs="Times New Roman"/>
          <w:szCs w:val="20"/>
          <w:lang w:val="en-US"/>
        </w:rPr>
      </w:pPr>
      <w:r w:rsidRPr="007B2402">
        <w:rPr>
          <w:rFonts w:eastAsia="Calibri" w:cs="Times New Roman"/>
          <w:szCs w:val="20"/>
          <w:lang w:val="en-US"/>
        </w:rPr>
        <w:t xml:space="preserve">The methods used to repress the opposition violated even the authoritarian laws enacted by the 1964 coup d’état because, </w:t>
      </w:r>
      <w:r w:rsidR="009560A6" w:rsidRPr="007B2402">
        <w:rPr>
          <w:rFonts w:eastAsia="Calibri" w:cs="Times New Roman"/>
          <w:i/>
          <w:iCs/>
          <w:szCs w:val="20"/>
          <w:lang w:val="en-US"/>
        </w:rPr>
        <w:t>inter alia</w:t>
      </w:r>
      <w:r w:rsidRPr="007B2402">
        <w:rPr>
          <w:rFonts w:eastAsia="Calibri" w:cs="Times New Roman"/>
          <w:szCs w:val="20"/>
          <w:lang w:val="en-US"/>
        </w:rPr>
        <w:t xml:space="preserve">, the primary purpose of the system was not to produce valid evidence to be used in judicial proceedings, but to disband – at any cost – the opposition organizations. These actions were aimed </w:t>
      </w:r>
      <w:r w:rsidRPr="007B2402">
        <w:rPr>
          <w:rFonts w:eastAsia="Calibri" w:cs="Times New Roman"/>
          <w:szCs w:val="20"/>
          <w:lang w:val="en-US"/>
        </w:rPr>
        <w:lastRenderedPageBreak/>
        <w:t>especially against organisations involved in armed resistance actions,</w:t>
      </w:r>
      <w:r w:rsidR="000744A8" w:rsidRPr="007B2402">
        <w:rPr>
          <w:rFonts w:eastAsia="Calibri" w:cs="Times New Roman"/>
          <w:szCs w:val="20"/>
          <w:vertAlign w:val="superscript"/>
          <w:lang w:val="en-US"/>
        </w:rPr>
        <w:footnoteReference w:id="209"/>
      </w:r>
      <w:r w:rsidRPr="007B2402">
        <w:rPr>
          <w:rFonts w:eastAsia="Calibri" w:cs="Times New Roman"/>
          <w:szCs w:val="20"/>
          <w:lang w:val="en-US"/>
        </w:rPr>
        <w:t xml:space="preserve"> but also against unarmed civilians;</w:t>
      </w:r>
      <w:r w:rsidR="000744A8" w:rsidRPr="007B2402">
        <w:rPr>
          <w:rFonts w:eastAsia="Calibri" w:cs="Times New Roman"/>
          <w:szCs w:val="20"/>
          <w:vertAlign w:val="superscript"/>
          <w:lang w:val="en-US"/>
        </w:rPr>
        <w:footnoteReference w:id="210"/>
      </w:r>
    </w:p>
    <w:p w14:paraId="5F7E4C22" w14:textId="129CC8DC" w:rsidR="000744A8" w:rsidRPr="007B2402" w:rsidRDefault="007B7F95" w:rsidP="00631634">
      <w:pPr>
        <w:numPr>
          <w:ilvl w:val="0"/>
          <w:numId w:val="18"/>
        </w:numPr>
        <w:spacing w:after="60" w:line="240" w:lineRule="auto"/>
        <w:ind w:left="1066" w:hanging="357"/>
        <w:jc w:val="both"/>
        <w:rPr>
          <w:rFonts w:eastAsia="Calibri" w:cs="Times New Roman"/>
          <w:szCs w:val="20"/>
          <w:lang w:val="en-US"/>
        </w:rPr>
      </w:pPr>
      <w:r w:rsidRPr="007B2402">
        <w:rPr>
          <w:rFonts w:eastAsia="Calibri" w:cs="Times New Roman"/>
          <w:szCs w:val="20"/>
          <w:lang w:val="en-US"/>
        </w:rPr>
        <w:t>The</w:t>
      </w:r>
      <w:r w:rsidR="000744A8" w:rsidRPr="007B2402">
        <w:rPr>
          <w:rFonts w:eastAsia="Calibri" w:cs="Times New Roman"/>
          <w:szCs w:val="20"/>
          <w:lang w:val="en-US"/>
        </w:rPr>
        <w:t xml:space="preserve"> </w:t>
      </w:r>
      <w:r w:rsidR="000744A8" w:rsidRPr="007B2402">
        <w:rPr>
          <w:rFonts w:eastAsia="Calibri" w:cs="Times New Roman"/>
          <w:i/>
          <w:szCs w:val="20"/>
          <w:lang w:val="en-US"/>
        </w:rPr>
        <w:t>modus operandi</w:t>
      </w:r>
      <w:r w:rsidR="000744A8" w:rsidRPr="007B2402">
        <w:rPr>
          <w:rFonts w:eastAsia="Calibri" w:cs="Times New Roman"/>
          <w:szCs w:val="20"/>
          <w:lang w:val="en-US"/>
        </w:rPr>
        <w:t xml:space="preserve"> </w:t>
      </w:r>
      <w:r w:rsidR="00631634" w:rsidRPr="007B2402">
        <w:rPr>
          <w:rFonts w:eastAsia="Calibri" w:cs="Times New Roman"/>
          <w:szCs w:val="20"/>
          <w:lang w:val="en-US"/>
        </w:rPr>
        <w:t>of political repression at that time was as follows: using informers, witnesses, undercover agents or the interrogation of suspects, the DOI agents identified a possible members of an organization classified as “subversive” or “terrorist,” The suspect was then abducted by agents of the search and arrest teams from the Operations Section and immediately taken to one of the Interrogation Subsection</w:t>
      </w:r>
      <w:r w:rsidR="00016BA4" w:rsidRPr="007B2402">
        <w:rPr>
          <w:rFonts w:eastAsia="Calibri" w:cs="Times New Roman"/>
          <w:szCs w:val="20"/>
          <w:lang w:val="en-US"/>
        </w:rPr>
        <w:t xml:space="preserve"> teams</w:t>
      </w:r>
      <w:r w:rsidR="00631634" w:rsidRPr="007B2402">
        <w:rPr>
          <w:rFonts w:eastAsia="Calibri" w:cs="Times New Roman"/>
          <w:szCs w:val="20"/>
          <w:lang w:val="en-US"/>
        </w:rPr>
        <w:t>;</w:t>
      </w:r>
      <w:r w:rsidR="000744A8" w:rsidRPr="007B2402">
        <w:rPr>
          <w:rFonts w:eastAsia="Calibri" w:cs="Times New Roman"/>
          <w:szCs w:val="20"/>
          <w:vertAlign w:val="superscript"/>
          <w:lang w:val="en-US"/>
        </w:rPr>
        <w:footnoteReference w:id="211"/>
      </w:r>
    </w:p>
    <w:p w14:paraId="0B3B9E01" w14:textId="389B76F5" w:rsidR="000744A8" w:rsidRPr="007B2402" w:rsidRDefault="00631634" w:rsidP="00675059">
      <w:pPr>
        <w:numPr>
          <w:ilvl w:val="0"/>
          <w:numId w:val="18"/>
        </w:numPr>
        <w:spacing w:after="60" w:line="240" w:lineRule="auto"/>
        <w:ind w:left="1066" w:hanging="357"/>
        <w:jc w:val="both"/>
        <w:rPr>
          <w:rFonts w:eastAsia="Calibri" w:cs="Times New Roman"/>
          <w:szCs w:val="20"/>
          <w:lang w:val="en-US"/>
        </w:rPr>
      </w:pPr>
      <w:r w:rsidRPr="007B2402">
        <w:rPr>
          <w:rFonts w:eastAsia="Calibri" w:cs="Times New Roman"/>
          <w:szCs w:val="20"/>
          <w:lang w:val="en-US"/>
        </w:rPr>
        <w:t xml:space="preserve">Following the 1964 coup d’état, torture was used systematically by the Brazilian State, either as a means of gathering information or obtaining confessions (interrogation technique), or as a way of spreading fear (intimidation strategy). It became an essential part of the military system of political repression, based on the arguments of the supremacy of national security and the existence of a “war against terrorism.” It was used regularly by different agencies of the repressive structure, including </w:t>
      </w:r>
      <w:r w:rsidR="00016BA4" w:rsidRPr="007B2402">
        <w:rPr>
          <w:rFonts w:eastAsia="Calibri" w:cs="Times New Roman"/>
          <w:szCs w:val="20"/>
          <w:lang w:val="en-US"/>
        </w:rPr>
        <w:t xml:space="preserve">police stations </w:t>
      </w:r>
      <w:r w:rsidRPr="007B2402">
        <w:rPr>
          <w:rFonts w:eastAsia="Calibri" w:cs="Times New Roman"/>
          <w:szCs w:val="20"/>
          <w:lang w:val="en-US"/>
        </w:rPr>
        <w:t xml:space="preserve">and military </w:t>
      </w:r>
      <w:r w:rsidR="00675059" w:rsidRPr="007B2402">
        <w:rPr>
          <w:rFonts w:eastAsia="Calibri" w:cs="Times New Roman"/>
          <w:szCs w:val="20"/>
          <w:lang w:val="en-US"/>
        </w:rPr>
        <w:t xml:space="preserve">establishments, as well as </w:t>
      </w:r>
      <w:r w:rsidR="00016BA4" w:rsidRPr="007B2402">
        <w:rPr>
          <w:rFonts w:eastAsia="Calibri" w:cs="Times New Roman"/>
          <w:szCs w:val="20"/>
          <w:lang w:val="en-US"/>
        </w:rPr>
        <w:t>o</w:t>
      </w:r>
      <w:r w:rsidR="00675059" w:rsidRPr="007B2402">
        <w:rPr>
          <w:rFonts w:eastAsia="Calibri" w:cs="Times New Roman"/>
          <w:szCs w:val="20"/>
          <w:lang w:val="en-US"/>
        </w:rPr>
        <w:t xml:space="preserve">n clandestine </w:t>
      </w:r>
      <w:r w:rsidR="00016BA4" w:rsidRPr="007B2402">
        <w:rPr>
          <w:rFonts w:eastAsia="Calibri" w:cs="Times New Roman"/>
          <w:szCs w:val="20"/>
          <w:lang w:val="en-US"/>
        </w:rPr>
        <w:t>premises</w:t>
      </w:r>
      <w:r w:rsidR="00675059" w:rsidRPr="007B2402">
        <w:rPr>
          <w:rFonts w:eastAsia="Calibri" w:cs="Times New Roman"/>
          <w:szCs w:val="20"/>
          <w:lang w:val="en-US"/>
        </w:rPr>
        <w:t xml:space="preserve"> in different parts of national territory. The practice of torture was deliberate and widespread, constituting a fundamental element of the repression apparatus assembled by the regime;</w:t>
      </w:r>
      <w:r w:rsidR="000744A8" w:rsidRPr="007B2402">
        <w:rPr>
          <w:rFonts w:eastAsia="Calibri" w:cs="Times New Roman"/>
          <w:szCs w:val="20"/>
          <w:vertAlign w:val="superscript"/>
          <w:lang w:val="en-US"/>
        </w:rPr>
        <w:footnoteReference w:id="212"/>
      </w:r>
    </w:p>
    <w:p w14:paraId="09294430" w14:textId="3897F86C" w:rsidR="000744A8" w:rsidRPr="007B2402" w:rsidRDefault="00675059" w:rsidP="003D3CB7">
      <w:pPr>
        <w:numPr>
          <w:ilvl w:val="0"/>
          <w:numId w:val="18"/>
        </w:numPr>
        <w:spacing w:after="60" w:line="240" w:lineRule="auto"/>
        <w:ind w:left="1066" w:hanging="357"/>
        <w:jc w:val="both"/>
        <w:rPr>
          <w:lang w:val="en-US"/>
        </w:rPr>
      </w:pPr>
      <w:r w:rsidRPr="007B2402">
        <w:rPr>
          <w:rFonts w:eastAsia="Calibri" w:cs="Times New Roman"/>
          <w:szCs w:val="20"/>
          <w:lang w:val="en-US"/>
        </w:rPr>
        <w:t xml:space="preserve">Interrogations, as well as torture and the other punishments, were rigorously controlled by the </w:t>
      </w:r>
      <w:r w:rsidR="00016BA4" w:rsidRPr="007B2402">
        <w:rPr>
          <w:rFonts w:eastAsia="Calibri" w:cs="Times New Roman"/>
          <w:szCs w:val="20"/>
          <w:lang w:val="en-US"/>
        </w:rPr>
        <w:t>S</w:t>
      </w:r>
      <w:r w:rsidRPr="007B2402">
        <w:rPr>
          <w:rFonts w:eastAsia="Calibri" w:cs="Times New Roman"/>
          <w:szCs w:val="20"/>
          <w:lang w:val="en-US"/>
        </w:rPr>
        <w:t>ection</w:t>
      </w:r>
      <w:r w:rsidR="00016BA4" w:rsidRPr="007B2402">
        <w:rPr>
          <w:rFonts w:eastAsia="Calibri" w:cs="Times New Roman"/>
          <w:szCs w:val="20"/>
          <w:lang w:val="en-US"/>
        </w:rPr>
        <w:t xml:space="preserve"> head</w:t>
      </w:r>
      <w:r w:rsidRPr="007B2402">
        <w:rPr>
          <w:rFonts w:eastAsia="Calibri" w:cs="Times New Roman"/>
          <w:szCs w:val="20"/>
          <w:lang w:val="en-US"/>
        </w:rPr>
        <w:t xml:space="preserve">. Since the DOI/CODIs had many interrogators and these were divided into at least three different teams (A, B, C), the interrogation was always controlled by the head of the Information and Analysis Section. In this way, </w:t>
      </w:r>
      <w:r w:rsidR="003D3CB7" w:rsidRPr="007B2402">
        <w:rPr>
          <w:rFonts w:eastAsia="Calibri" w:cs="Times New Roman"/>
          <w:szCs w:val="20"/>
          <w:lang w:val="en-US"/>
        </w:rPr>
        <w:t>before beginning the interrogation, the interrogator received a sheet with a list of questions and, at the bottom, indications of the so-called “ammunition” and the treatment to be given to the person interrogated,</w:t>
      </w:r>
      <w:r w:rsidR="000744A8" w:rsidRPr="007B2402">
        <w:rPr>
          <w:rFonts w:eastAsia="Calibri" w:cs="Times New Roman"/>
          <w:szCs w:val="20"/>
          <w:vertAlign w:val="superscript"/>
          <w:lang w:val="en-US"/>
        </w:rPr>
        <w:footnoteReference w:id="213"/>
      </w:r>
      <w:r w:rsidR="005B1590" w:rsidRPr="007B2402">
        <w:rPr>
          <w:rFonts w:eastAsia="Calibri" w:cs="Times New Roman"/>
          <w:szCs w:val="20"/>
          <w:lang w:val="en-US"/>
        </w:rPr>
        <w:t xml:space="preserve"> and </w:t>
      </w:r>
    </w:p>
    <w:p w14:paraId="16E4A0B0" w14:textId="77777777" w:rsidR="003D3CB7" w:rsidRPr="007B2402" w:rsidRDefault="008A43D9" w:rsidP="003D3CB7">
      <w:pPr>
        <w:numPr>
          <w:ilvl w:val="0"/>
          <w:numId w:val="18"/>
        </w:numPr>
        <w:spacing w:after="0" w:line="240" w:lineRule="auto"/>
        <w:ind w:left="1066" w:hanging="357"/>
        <w:jc w:val="both"/>
        <w:rPr>
          <w:rFonts w:eastAsia="Calibri" w:cs="Times New Roman"/>
          <w:szCs w:val="20"/>
          <w:lang w:val="en-US"/>
        </w:rPr>
      </w:pPr>
      <w:r w:rsidRPr="007B2402">
        <w:rPr>
          <w:rFonts w:eastAsia="Calibri" w:cs="Times New Roman"/>
          <w:szCs w:val="20"/>
          <w:lang w:val="en-US"/>
        </w:rPr>
        <w:t>O</w:t>
      </w:r>
      <w:r w:rsidR="003D3CB7" w:rsidRPr="007B2402">
        <w:rPr>
          <w:rFonts w:eastAsia="Calibri" w:cs="Times New Roman"/>
          <w:szCs w:val="20"/>
          <w:lang w:val="en-US"/>
        </w:rPr>
        <w:t>ther evidence of the systematic nature of torture was the existence of a field of knowledge on which it was based; the presence of doctors and nurses in the torture centers; the repetition of acts with the same characteristics; the bureaucratization of the crime, with the allocation of its own establishments, resources and personnel, with teams to work shifts while inflicting it, and the adoption of denial strategies.</w:t>
      </w:r>
      <w:r w:rsidR="000744A8" w:rsidRPr="007B2402">
        <w:rPr>
          <w:rFonts w:eastAsia="Calibri" w:cs="Times New Roman"/>
          <w:szCs w:val="20"/>
          <w:vertAlign w:val="superscript"/>
          <w:lang w:val="en-US"/>
        </w:rPr>
        <w:footnoteReference w:id="214"/>
      </w:r>
    </w:p>
    <w:p w14:paraId="4BB66557" w14:textId="5BF54B64" w:rsidR="000744A8" w:rsidRPr="007B2402" w:rsidRDefault="000744A8" w:rsidP="003D3CB7">
      <w:pPr>
        <w:spacing w:after="0" w:line="240" w:lineRule="auto"/>
        <w:ind w:left="1066"/>
        <w:jc w:val="both"/>
        <w:rPr>
          <w:rFonts w:eastAsia="Calibri" w:cs="Times New Roman"/>
          <w:szCs w:val="20"/>
          <w:lang w:val="en-US"/>
        </w:rPr>
      </w:pPr>
      <w:r w:rsidRPr="007B2402">
        <w:rPr>
          <w:rFonts w:eastAsia="Calibri" w:cs="Times New Roman"/>
          <w:szCs w:val="20"/>
          <w:lang w:val="en-US"/>
        </w:rPr>
        <w:t xml:space="preserve"> </w:t>
      </w:r>
    </w:p>
    <w:p w14:paraId="2F5A9E90" w14:textId="1B15D8D1" w:rsidR="00DB1C07" w:rsidRPr="007B2402" w:rsidRDefault="003D3CB7" w:rsidP="00C40582">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 xml:space="preserve">Regarding the nature and egregiousness of the acts, the Court notes that </w:t>
      </w:r>
      <w:r w:rsidR="005959D1" w:rsidRPr="007B2402">
        <w:rPr>
          <w:rFonts w:eastAsia="Calibri" w:cs="Times New Roman"/>
          <w:szCs w:val="20"/>
          <w:lang w:val="en-US"/>
        </w:rPr>
        <w:t>official</w:t>
      </w:r>
      <w:r w:rsidRPr="007B2402">
        <w:rPr>
          <w:rFonts w:eastAsia="Calibri" w:cs="Times New Roman"/>
          <w:szCs w:val="20"/>
          <w:lang w:val="en-US"/>
        </w:rPr>
        <w:t xml:space="preserve"> reports of the Brazilian State documented the following methods of physical and psychological </w:t>
      </w:r>
      <w:r w:rsidR="005959D1" w:rsidRPr="007B2402">
        <w:rPr>
          <w:rFonts w:eastAsia="Calibri" w:cs="Times New Roman"/>
          <w:szCs w:val="20"/>
          <w:lang w:val="en-US"/>
        </w:rPr>
        <w:t>torture</w:t>
      </w:r>
      <w:r w:rsidRPr="007B2402">
        <w:rPr>
          <w:rFonts w:eastAsia="Calibri" w:cs="Times New Roman"/>
          <w:szCs w:val="20"/>
          <w:lang w:val="en-US"/>
        </w:rPr>
        <w:t xml:space="preserve"> used by the dictatorship:</w:t>
      </w:r>
    </w:p>
    <w:p w14:paraId="4281B9A1" w14:textId="77777777" w:rsidR="00DB1C07" w:rsidRPr="007B2402" w:rsidRDefault="00DB1C07" w:rsidP="00C40582">
      <w:pPr>
        <w:spacing w:after="0" w:line="240" w:lineRule="auto"/>
        <w:jc w:val="both"/>
        <w:rPr>
          <w:rFonts w:eastAsia="Calibri" w:cs="Times New Roman"/>
          <w:szCs w:val="20"/>
          <w:lang w:val="en-US"/>
        </w:rPr>
      </w:pPr>
    </w:p>
    <w:p w14:paraId="05BB1BA0" w14:textId="04CA8630" w:rsidR="00DB1C07" w:rsidRPr="007B2402" w:rsidRDefault="003D3CB7" w:rsidP="008A40E6">
      <w:pPr>
        <w:pStyle w:val="Prrafodelista"/>
        <w:numPr>
          <w:ilvl w:val="0"/>
          <w:numId w:val="31"/>
        </w:numPr>
        <w:spacing w:after="60"/>
        <w:ind w:left="1134" w:hanging="357"/>
        <w:contextualSpacing w:val="0"/>
        <w:rPr>
          <w:rFonts w:eastAsia="Calibri" w:cs="Times New Roman"/>
          <w:szCs w:val="20"/>
          <w:lang w:val="en-US"/>
        </w:rPr>
      </w:pPr>
      <w:r w:rsidRPr="007B2402">
        <w:rPr>
          <w:rFonts w:eastAsia="Calibri" w:cs="Times New Roman"/>
          <w:szCs w:val="20"/>
          <w:lang w:val="en-US"/>
        </w:rPr>
        <w:t>Physical torture</w:t>
      </w:r>
      <w:r w:rsidR="000744A8" w:rsidRPr="007B2402">
        <w:rPr>
          <w:rFonts w:eastAsia="Calibri" w:cs="Times New Roman"/>
          <w:szCs w:val="20"/>
          <w:lang w:val="en-US"/>
        </w:rPr>
        <w:t xml:space="preserve">: </w:t>
      </w:r>
    </w:p>
    <w:p w14:paraId="761F7D32" w14:textId="53594DBD" w:rsidR="002B6E07" w:rsidRPr="007B2402" w:rsidRDefault="003D3CB7" w:rsidP="008A40E6">
      <w:pPr>
        <w:pStyle w:val="Prrafodelista"/>
        <w:numPr>
          <w:ilvl w:val="0"/>
          <w:numId w:val="15"/>
        </w:numPr>
        <w:spacing w:after="60"/>
        <w:ind w:left="1786" w:hanging="357"/>
        <w:contextualSpacing w:val="0"/>
        <w:rPr>
          <w:rFonts w:eastAsia="Calibri" w:cs="Times New Roman"/>
          <w:szCs w:val="20"/>
          <w:lang w:val="en-US"/>
        </w:rPr>
      </w:pPr>
      <w:r w:rsidRPr="007B2402">
        <w:rPr>
          <w:rFonts w:eastAsia="Calibri" w:cs="Times New Roman"/>
          <w:i/>
          <w:szCs w:val="20"/>
          <w:lang w:val="en-US"/>
        </w:rPr>
        <w:t xml:space="preserve">Electric shocks: </w:t>
      </w:r>
      <w:r w:rsidR="000744A8" w:rsidRPr="007B2402">
        <w:rPr>
          <w:rFonts w:eastAsia="Calibri" w:cs="Times New Roman"/>
          <w:szCs w:val="20"/>
          <w:lang w:val="en-US"/>
        </w:rPr>
        <w:t>ap</w:t>
      </w:r>
      <w:r w:rsidRPr="007B2402">
        <w:rPr>
          <w:rFonts w:eastAsia="Calibri" w:cs="Times New Roman"/>
          <w:szCs w:val="20"/>
          <w:lang w:val="en-US"/>
        </w:rPr>
        <w:t>plication of electric shocks</w:t>
      </w:r>
      <w:r w:rsidR="003E6CA6" w:rsidRPr="007B2402">
        <w:rPr>
          <w:rFonts w:eastAsia="Calibri" w:cs="Times New Roman"/>
          <w:szCs w:val="20"/>
          <w:lang w:val="en-US"/>
        </w:rPr>
        <w:t xml:space="preserve"> to different parts of the body of the person being tortured, preferably the most sensitive parts such as the penis and the anus, attaching one pole to the former and introducing the other in the latter,</w:t>
      </w:r>
      <w:r w:rsidR="000744A8" w:rsidRPr="007B2402">
        <w:rPr>
          <w:rFonts w:eastAsia="Calibri" w:cs="Times New Roman"/>
          <w:szCs w:val="20"/>
          <w:lang w:val="en-US"/>
        </w:rPr>
        <w:t xml:space="preserve"> o</w:t>
      </w:r>
      <w:r w:rsidR="003E6CA6" w:rsidRPr="007B2402">
        <w:rPr>
          <w:rFonts w:eastAsia="Calibri" w:cs="Times New Roman"/>
          <w:szCs w:val="20"/>
          <w:lang w:val="en-US"/>
        </w:rPr>
        <w:t>r</w:t>
      </w:r>
      <w:r w:rsidR="000744A8" w:rsidRPr="007B2402">
        <w:rPr>
          <w:rFonts w:eastAsia="Calibri" w:cs="Times New Roman"/>
          <w:szCs w:val="20"/>
          <w:lang w:val="en-US"/>
        </w:rPr>
        <w:t xml:space="preserve"> at</w:t>
      </w:r>
      <w:r w:rsidR="003E6CA6" w:rsidRPr="007B2402">
        <w:rPr>
          <w:rFonts w:eastAsia="Calibri" w:cs="Times New Roman"/>
          <w:szCs w:val="20"/>
          <w:lang w:val="en-US"/>
        </w:rPr>
        <w:t xml:space="preserve">taching one pole to the testicles and </w:t>
      </w:r>
      <w:r w:rsidR="00016BA4" w:rsidRPr="007B2402">
        <w:rPr>
          <w:rFonts w:eastAsia="Calibri" w:cs="Times New Roman"/>
          <w:szCs w:val="20"/>
          <w:lang w:val="en-US"/>
        </w:rPr>
        <w:t xml:space="preserve">placing </w:t>
      </w:r>
      <w:r w:rsidR="003E6CA6" w:rsidRPr="007B2402">
        <w:rPr>
          <w:rFonts w:eastAsia="Calibri" w:cs="Times New Roman"/>
          <w:szCs w:val="20"/>
          <w:lang w:val="en-US"/>
        </w:rPr>
        <w:t xml:space="preserve">another </w:t>
      </w:r>
      <w:r w:rsidR="003E6CA6" w:rsidRPr="007B2402">
        <w:rPr>
          <w:rFonts w:eastAsia="Calibri" w:cs="Times New Roman"/>
          <w:szCs w:val="20"/>
          <w:lang w:val="en-US"/>
        </w:rPr>
        <w:lastRenderedPageBreak/>
        <w:t xml:space="preserve">in the ear, or </w:t>
      </w:r>
      <w:r w:rsidR="00016BA4" w:rsidRPr="007B2402">
        <w:rPr>
          <w:rFonts w:eastAsia="Calibri" w:cs="Times New Roman"/>
          <w:szCs w:val="20"/>
          <w:lang w:val="en-US"/>
        </w:rPr>
        <w:t>on</w:t>
      </w:r>
      <w:r w:rsidR="003E6CA6" w:rsidRPr="007B2402">
        <w:rPr>
          <w:rFonts w:eastAsia="Calibri" w:cs="Times New Roman"/>
          <w:szCs w:val="20"/>
          <w:lang w:val="en-US"/>
        </w:rPr>
        <w:t xml:space="preserve"> the toes and fingers</w:t>
      </w:r>
      <w:r w:rsidR="000744A8" w:rsidRPr="007B2402">
        <w:rPr>
          <w:rFonts w:eastAsia="Calibri" w:cs="Times New Roman"/>
          <w:szCs w:val="20"/>
          <w:lang w:val="en-US"/>
        </w:rPr>
        <w:t xml:space="preserve">, </w:t>
      </w:r>
      <w:r w:rsidR="003E6CA6" w:rsidRPr="007B2402">
        <w:rPr>
          <w:rFonts w:eastAsia="Calibri" w:cs="Times New Roman"/>
          <w:szCs w:val="20"/>
          <w:lang w:val="en-US"/>
        </w:rPr>
        <w:t>the tongue</w:t>
      </w:r>
      <w:r w:rsidR="000744A8" w:rsidRPr="007B2402">
        <w:rPr>
          <w:rFonts w:eastAsia="Calibri" w:cs="Times New Roman"/>
          <w:szCs w:val="20"/>
          <w:lang w:val="en-US"/>
        </w:rPr>
        <w:t xml:space="preserve">, etc. </w:t>
      </w:r>
      <w:r w:rsidR="003E6CA6" w:rsidRPr="007B2402">
        <w:rPr>
          <w:rFonts w:eastAsia="Calibri" w:cs="Times New Roman"/>
          <w:szCs w:val="20"/>
          <w:lang w:val="en-US"/>
        </w:rPr>
        <w:t>In the case of women, the p</w:t>
      </w:r>
      <w:r w:rsidR="00016BA4" w:rsidRPr="007B2402">
        <w:rPr>
          <w:rFonts w:eastAsia="Calibri" w:cs="Times New Roman"/>
          <w:szCs w:val="20"/>
          <w:lang w:val="en-US"/>
        </w:rPr>
        <w:t>o</w:t>
      </w:r>
      <w:r w:rsidR="003E6CA6" w:rsidRPr="007B2402">
        <w:rPr>
          <w:rFonts w:eastAsia="Calibri" w:cs="Times New Roman"/>
          <w:szCs w:val="20"/>
          <w:lang w:val="en-US"/>
        </w:rPr>
        <w:t>les were introduced into the vagina and the anus;</w:t>
      </w:r>
      <w:r w:rsidR="000744A8" w:rsidRPr="007B2402">
        <w:rPr>
          <w:vertAlign w:val="superscript"/>
          <w:lang w:val="en-US"/>
        </w:rPr>
        <w:footnoteReference w:id="215"/>
      </w:r>
      <w:r w:rsidR="000744A8" w:rsidRPr="007B2402">
        <w:rPr>
          <w:rFonts w:eastAsia="Calibri" w:cs="Times New Roman"/>
          <w:szCs w:val="20"/>
          <w:lang w:val="en-US"/>
        </w:rPr>
        <w:t xml:space="preserve"> </w:t>
      </w:r>
    </w:p>
    <w:p w14:paraId="3112F095" w14:textId="6A6FD198" w:rsidR="002B6E07" w:rsidRPr="007B2402" w:rsidRDefault="000744A8" w:rsidP="008A40E6">
      <w:pPr>
        <w:pStyle w:val="Prrafodelista"/>
        <w:numPr>
          <w:ilvl w:val="0"/>
          <w:numId w:val="15"/>
        </w:numPr>
        <w:spacing w:after="60"/>
        <w:ind w:left="1786" w:hanging="357"/>
        <w:contextualSpacing w:val="0"/>
        <w:rPr>
          <w:rFonts w:eastAsia="Calibri" w:cs="Times New Roman"/>
          <w:szCs w:val="20"/>
          <w:lang w:val="en-US"/>
        </w:rPr>
      </w:pPr>
      <w:r w:rsidRPr="007B2402">
        <w:rPr>
          <w:rFonts w:eastAsia="Calibri" w:cs="Times New Roman"/>
          <w:szCs w:val="20"/>
          <w:lang w:val="en-US"/>
        </w:rPr>
        <w:t>“</w:t>
      </w:r>
      <w:r w:rsidRPr="007B2402">
        <w:rPr>
          <w:rFonts w:eastAsia="Calibri" w:cs="Times New Roman"/>
          <w:i/>
          <w:szCs w:val="20"/>
          <w:lang w:val="en-US"/>
        </w:rPr>
        <w:t>Cadeira do dragão”</w:t>
      </w:r>
      <w:r w:rsidR="003E6CA6" w:rsidRPr="007B2402">
        <w:rPr>
          <w:rFonts w:eastAsia="Calibri" w:cs="Times New Roman"/>
          <w:i/>
          <w:szCs w:val="20"/>
          <w:lang w:val="en-US"/>
        </w:rPr>
        <w:t xml:space="preserve"> </w:t>
      </w:r>
      <w:r w:rsidR="003E6CA6" w:rsidRPr="007B2402">
        <w:rPr>
          <w:rFonts w:eastAsia="Calibri" w:cs="Times New Roman"/>
          <w:iCs/>
          <w:szCs w:val="20"/>
          <w:lang w:val="en-US"/>
        </w:rPr>
        <w:t>(the dragon’s chair)</w:t>
      </w:r>
      <w:r w:rsidRPr="007B2402">
        <w:rPr>
          <w:rFonts w:eastAsia="Calibri" w:cs="Times New Roman"/>
          <w:iCs/>
          <w:szCs w:val="20"/>
          <w:lang w:val="en-US"/>
        </w:rPr>
        <w:t>:</w:t>
      </w:r>
      <w:r w:rsidRPr="007B2402">
        <w:rPr>
          <w:rFonts w:eastAsia="Calibri" w:cs="Times New Roman"/>
          <w:szCs w:val="20"/>
          <w:lang w:val="en-US"/>
        </w:rPr>
        <w:t xml:space="preserve"> </w:t>
      </w:r>
      <w:r w:rsidR="003E6CA6" w:rsidRPr="007B2402">
        <w:rPr>
          <w:rFonts w:eastAsia="Calibri" w:cs="Times New Roman"/>
          <w:szCs w:val="20"/>
          <w:lang w:val="en-US"/>
        </w:rPr>
        <w:t xml:space="preserve">a heavy chair that the victim was strapped into to receive electric shocks, with a bar that pushed his legs back and against which they </w:t>
      </w:r>
      <w:r w:rsidR="006617E7" w:rsidRPr="007B2402">
        <w:rPr>
          <w:rFonts w:eastAsia="Calibri" w:cs="Times New Roman"/>
          <w:szCs w:val="20"/>
          <w:lang w:val="en-US"/>
        </w:rPr>
        <w:t>jolted</w:t>
      </w:r>
      <w:r w:rsidR="003E6CA6" w:rsidRPr="007B2402">
        <w:rPr>
          <w:rFonts w:eastAsia="Calibri" w:cs="Times New Roman"/>
          <w:szCs w:val="20"/>
          <w:lang w:val="en-US"/>
        </w:rPr>
        <w:t xml:space="preserve"> </w:t>
      </w:r>
      <w:r w:rsidR="006617E7" w:rsidRPr="007B2402">
        <w:rPr>
          <w:rFonts w:eastAsia="Calibri" w:cs="Times New Roman"/>
          <w:szCs w:val="20"/>
          <w:lang w:val="en-US"/>
        </w:rPr>
        <w:t>due to</w:t>
      </w:r>
      <w:r w:rsidR="003E6CA6" w:rsidRPr="007B2402">
        <w:rPr>
          <w:rFonts w:eastAsia="Calibri" w:cs="Times New Roman"/>
          <w:szCs w:val="20"/>
          <w:lang w:val="en-US"/>
        </w:rPr>
        <w:t xml:space="preserve"> the spasms resulting from the electric shocks;</w:t>
      </w:r>
      <w:r w:rsidRPr="007B2402">
        <w:rPr>
          <w:vertAlign w:val="superscript"/>
          <w:lang w:val="en-US"/>
        </w:rPr>
        <w:footnoteReference w:id="216"/>
      </w:r>
    </w:p>
    <w:p w14:paraId="3EA46310" w14:textId="33412D0F" w:rsidR="002B6E07" w:rsidRPr="007B2402" w:rsidRDefault="000744A8" w:rsidP="004667DC">
      <w:pPr>
        <w:pStyle w:val="Prrafodelista"/>
        <w:numPr>
          <w:ilvl w:val="0"/>
          <w:numId w:val="15"/>
        </w:numPr>
        <w:spacing w:after="60"/>
        <w:ind w:left="1786" w:hanging="357"/>
        <w:contextualSpacing w:val="0"/>
        <w:rPr>
          <w:rFonts w:eastAsia="Calibri" w:cs="Times New Roman"/>
          <w:szCs w:val="20"/>
          <w:lang w:val="en-US"/>
        </w:rPr>
      </w:pPr>
      <w:r w:rsidRPr="007B2402">
        <w:rPr>
          <w:rFonts w:eastAsia="Calibri" w:cs="Times New Roman"/>
          <w:szCs w:val="20"/>
          <w:lang w:val="en-US"/>
        </w:rPr>
        <w:t>“</w:t>
      </w:r>
      <w:r w:rsidRPr="007B2402">
        <w:rPr>
          <w:rFonts w:eastAsia="Calibri" w:cs="Times New Roman"/>
          <w:i/>
          <w:szCs w:val="20"/>
          <w:lang w:val="en-US"/>
        </w:rPr>
        <w:t>Palmatória</w:t>
      </w:r>
      <w:r w:rsidRPr="007B2402">
        <w:rPr>
          <w:rFonts w:eastAsia="Calibri" w:cs="Times New Roman"/>
          <w:szCs w:val="20"/>
          <w:lang w:val="en-US"/>
        </w:rPr>
        <w:t xml:space="preserve">”: </w:t>
      </w:r>
      <w:r w:rsidR="003E6CA6" w:rsidRPr="007B2402">
        <w:rPr>
          <w:rFonts w:eastAsia="Calibri" w:cs="Times New Roman"/>
          <w:szCs w:val="20"/>
          <w:lang w:val="en-US"/>
        </w:rPr>
        <w:t xml:space="preserve">the use of a wooden </w:t>
      </w:r>
      <w:r w:rsidR="004667DC" w:rsidRPr="007B2402">
        <w:rPr>
          <w:rFonts w:eastAsia="Calibri" w:cs="Times New Roman"/>
          <w:szCs w:val="20"/>
          <w:lang w:val="en-US"/>
        </w:rPr>
        <w:t>bat</w:t>
      </w:r>
      <w:r w:rsidR="003E6CA6" w:rsidRPr="007B2402">
        <w:rPr>
          <w:rFonts w:eastAsia="Calibri" w:cs="Times New Roman"/>
          <w:szCs w:val="20"/>
          <w:lang w:val="en-US"/>
        </w:rPr>
        <w:t xml:space="preserve"> </w:t>
      </w:r>
      <w:r w:rsidR="004667DC" w:rsidRPr="007B2402">
        <w:rPr>
          <w:rFonts w:eastAsia="Calibri" w:cs="Times New Roman"/>
          <w:szCs w:val="20"/>
          <w:lang w:val="en-US"/>
        </w:rPr>
        <w:t>with perforations at the rounded ends. It was used preferably on the shoulders, on the soles of the feet and the palms of the hands, the buttocks, etc., resulting in the rupture of veins and causing bleeding and swelling that prevented the victim from walking or holding anything;</w:t>
      </w:r>
      <w:r w:rsidRPr="007B2402">
        <w:rPr>
          <w:vertAlign w:val="superscript"/>
          <w:lang w:val="en-US"/>
        </w:rPr>
        <w:footnoteReference w:id="217"/>
      </w:r>
    </w:p>
    <w:p w14:paraId="43793BF9" w14:textId="41F1BEB5" w:rsidR="002B6E07" w:rsidRPr="007B2402" w:rsidRDefault="004667DC" w:rsidP="007A1974">
      <w:pPr>
        <w:pStyle w:val="Prrafodelista"/>
        <w:numPr>
          <w:ilvl w:val="0"/>
          <w:numId w:val="15"/>
        </w:numPr>
        <w:spacing w:after="60"/>
        <w:ind w:left="1786" w:hanging="357"/>
        <w:contextualSpacing w:val="0"/>
        <w:rPr>
          <w:rFonts w:eastAsia="Calibri" w:cs="Times New Roman"/>
          <w:szCs w:val="20"/>
          <w:lang w:val="en-US"/>
        </w:rPr>
      </w:pPr>
      <w:r w:rsidRPr="007B2402">
        <w:rPr>
          <w:rFonts w:eastAsia="Calibri" w:cs="Times New Roman"/>
          <w:i/>
          <w:szCs w:val="20"/>
          <w:lang w:val="en-US"/>
        </w:rPr>
        <w:t>Drowning</w:t>
      </w:r>
      <w:r w:rsidR="000744A8" w:rsidRPr="007B2402">
        <w:rPr>
          <w:rFonts w:eastAsia="Calibri" w:cs="Times New Roman"/>
          <w:szCs w:val="20"/>
          <w:lang w:val="en-US"/>
        </w:rPr>
        <w:t xml:space="preserve">: </w:t>
      </w:r>
      <w:r w:rsidRPr="007B2402">
        <w:rPr>
          <w:rFonts w:eastAsia="Calibri" w:cs="Times New Roman"/>
          <w:szCs w:val="20"/>
          <w:lang w:val="en-US"/>
        </w:rPr>
        <w:t xml:space="preserve">One of the most common forms of torture was to pour water, or a mixture of water and kerosene or amonia or any other liquid into the victim’s nose, with his head bent backwards. Another form was to close the </w:t>
      </w:r>
      <w:r w:rsidR="007A1974" w:rsidRPr="007B2402">
        <w:rPr>
          <w:rFonts w:eastAsia="Calibri" w:cs="Times New Roman"/>
          <w:szCs w:val="20"/>
          <w:lang w:val="en-US"/>
        </w:rPr>
        <w:t>nostrils tight</w:t>
      </w:r>
      <w:r w:rsidR="003B75BF" w:rsidRPr="007B2402">
        <w:rPr>
          <w:rFonts w:eastAsia="Calibri" w:cs="Times New Roman"/>
          <w:szCs w:val="20"/>
          <w:lang w:val="en-US"/>
        </w:rPr>
        <w:t>ly</w:t>
      </w:r>
      <w:r w:rsidR="007A1974" w:rsidRPr="007B2402">
        <w:rPr>
          <w:rFonts w:eastAsia="Calibri" w:cs="Times New Roman"/>
          <w:szCs w:val="20"/>
          <w:lang w:val="en-US"/>
        </w:rPr>
        <w:t xml:space="preserve"> and </w:t>
      </w:r>
      <w:r w:rsidR="003B75BF" w:rsidRPr="007B2402">
        <w:rPr>
          <w:rFonts w:eastAsia="Calibri" w:cs="Times New Roman"/>
          <w:szCs w:val="20"/>
          <w:lang w:val="en-US"/>
        </w:rPr>
        <w:t xml:space="preserve">put </w:t>
      </w:r>
      <w:r w:rsidR="007A1974" w:rsidRPr="007B2402">
        <w:rPr>
          <w:rFonts w:eastAsia="Calibri" w:cs="Times New Roman"/>
          <w:szCs w:val="20"/>
          <w:lang w:val="en-US"/>
        </w:rPr>
        <w:t>a hose in the mouth to introduce the water;</w:t>
      </w:r>
      <w:r w:rsidR="000744A8" w:rsidRPr="007B2402">
        <w:rPr>
          <w:vertAlign w:val="superscript"/>
          <w:lang w:val="en-US"/>
        </w:rPr>
        <w:footnoteReference w:id="218"/>
      </w:r>
    </w:p>
    <w:p w14:paraId="1CFE8D29" w14:textId="78A61E4A" w:rsidR="002B6E07" w:rsidRPr="007B2402" w:rsidRDefault="000744A8" w:rsidP="003B75BF">
      <w:pPr>
        <w:pStyle w:val="Prrafodelista"/>
        <w:numPr>
          <w:ilvl w:val="0"/>
          <w:numId w:val="15"/>
        </w:numPr>
        <w:spacing w:after="60"/>
        <w:ind w:left="1786" w:hanging="357"/>
        <w:contextualSpacing w:val="0"/>
        <w:rPr>
          <w:rFonts w:eastAsia="Calibri" w:cs="Times New Roman"/>
          <w:szCs w:val="20"/>
          <w:lang w:val="en-US"/>
        </w:rPr>
      </w:pPr>
      <w:r w:rsidRPr="007B2402">
        <w:rPr>
          <w:rFonts w:eastAsia="Calibri" w:cs="Times New Roman"/>
          <w:i/>
          <w:szCs w:val="20"/>
          <w:lang w:val="en-US"/>
        </w:rPr>
        <w:t>Tel</w:t>
      </w:r>
      <w:r w:rsidR="007A1974" w:rsidRPr="007B2402">
        <w:rPr>
          <w:rFonts w:eastAsia="Calibri" w:cs="Times New Roman"/>
          <w:i/>
          <w:szCs w:val="20"/>
          <w:lang w:val="en-US"/>
        </w:rPr>
        <w:t>ephone</w:t>
      </w:r>
      <w:r w:rsidRPr="007B2402">
        <w:rPr>
          <w:rFonts w:eastAsia="Calibri" w:cs="Times New Roman"/>
          <w:szCs w:val="20"/>
          <w:lang w:val="en-US"/>
        </w:rPr>
        <w:t xml:space="preserve">: </w:t>
      </w:r>
      <w:r w:rsidR="007A1974" w:rsidRPr="007B2402">
        <w:rPr>
          <w:rFonts w:eastAsia="Calibri" w:cs="Times New Roman"/>
          <w:szCs w:val="20"/>
          <w:lang w:val="en-US"/>
        </w:rPr>
        <w:t>a tecnique consisting in suddenly clapping the cupped hands on both ears of the victim at the same time, which occasionally left him disoriented and could also</w:t>
      </w:r>
      <w:r w:rsidR="003B75BF" w:rsidRPr="007B2402">
        <w:rPr>
          <w:rFonts w:eastAsia="Calibri" w:cs="Times New Roman"/>
          <w:szCs w:val="20"/>
          <w:lang w:val="en-US"/>
        </w:rPr>
        <w:t xml:space="preserve"> rupture the eardrums. Some victims were left permanently deaf following this treatment;</w:t>
      </w:r>
      <w:r w:rsidRPr="007B2402">
        <w:rPr>
          <w:vertAlign w:val="superscript"/>
          <w:lang w:val="en-US"/>
        </w:rPr>
        <w:footnoteReference w:id="219"/>
      </w:r>
    </w:p>
    <w:p w14:paraId="6C7A1F3B" w14:textId="22D906D8" w:rsidR="002B6E07" w:rsidRPr="007B2402" w:rsidRDefault="003B75BF" w:rsidP="0079660F">
      <w:pPr>
        <w:pStyle w:val="Prrafodelista"/>
        <w:numPr>
          <w:ilvl w:val="0"/>
          <w:numId w:val="15"/>
        </w:numPr>
        <w:spacing w:after="60"/>
        <w:ind w:left="1786" w:hanging="357"/>
        <w:contextualSpacing w:val="0"/>
        <w:rPr>
          <w:rFonts w:eastAsia="Calibri" w:cs="Times New Roman"/>
          <w:szCs w:val="20"/>
          <w:lang w:val="en-US"/>
        </w:rPr>
      </w:pPr>
      <w:r w:rsidRPr="007B2402">
        <w:rPr>
          <w:rFonts w:eastAsia="Calibri" w:cs="Times New Roman"/>
          <w:i/>
          <w:szCs w:val="20"/>
          <w:lang w:val="en-US"/>
        </w:rPr>
        <w:t>Karate session or “Polish corridor”</w:t>
      </w:r>
      <w:r w:rsidR="000744A8" w:rsidRPr="007B2402">
        <w:rPr>
          <w:rFonts w:eastAsia="Calibri" w:cs="Times New Roman"/>
          <w:szCs w:val="20"/>
          <w:lang w:val="en-US"/>
        </w:rPr>
        <w:t xml:space="preserve">: </w:t>
      </w:r>
      <w:r w:rsidRPr="007B2402">
        <w:rPr>
          <w:rFonts w:eastAsia="Calibri" w:cs="Times New Roman"/>
          <w:szCs w:val="20"/>
          <w:lang w:val="en-US"/>
        </w:rPr>
        <w:t>the victim</w:t>
      </w:r>
      <w:r w:rsidR="0079660F" w:rsidRPr="007B2402">
        <w:rPr>
          <w:rFonts w:eastAsia="Calibri" w:cs="Times New Roman"/>
          <w:szCs w:val="20"/>
          <w:lang w:val="en-US"/>
        </w:rPr>
        <w:t>, placed</w:t>
      </w:r>
      <w:r w:rsidRPr="007B2402">
        <w:rPr>
          <w:rFonts w:eastAsia="Calibri" w:cs="Times New Roman"/>
          <w:szCs w:val="20"/>
          <w:lang w:val="en-US"/>
        </w:rPr>
        <w:t xml:space="preserve"> in </w:t>
      </w:r>
      <w:r w:rsidR="0079660F" w:rsidRPr="007B2402">
        <w:rPr>
          <w:rFonts w:eastAsia="Calibri" w:cs="Times New Roman"/>
          <w:szCs w:val="20"/>
          <w:lang w:val="en-US"/>
        </w:rPr>
        <w:t xml:space="preserve">the </w:t>
      </w:r>
      <w:r w:rsidRPr="007B2402">
        <w:rPr>
          <w:rFonts w:eastAsia="Calibri" w:cs="Times New Roman"/>
          <w:szCs w:val="20"/>
          <w:lang w:val="en-US"/>
        </w:rPr>
        <w:t xml:space="preserve">middle of circle </w:t>
      </w:r>
      <w:r w:rsidR="0079660F" w:rsidRPr="007B2402">
        <w:rPr>
          <w:rFonts w:eastAsia="Calibri" w:cs="Times New Roman"/>
          <w:szCs w:val="20"/>
          <w:lang w:val="en-US"/>
        </w:rPr>
        <w:t>of torturers, was punched, kicked, subjected to karate chops, and hit with wooden clubs, rubber hoses or strips of tires;</w:t>
      </w:r>
      <w:r w:rsidR="000744A8" w:rsidRPr="007B2402">
        <w:rPr>
          <w:vertAlign w:val="superscript"/>
          <w:lang w:val="en-US"/>
        </w:rPr>
        <w:footnoteReference w:id="220"/>
      </w:r>
    </w:p>
    <w:p w14:paraId="240D0343" w14:textId="4FA95B77" w:rsidR="000744A8" w:rsidRPr="007B2402" w:rsidRDefault="000744A8" w:rsidP="008A40E6">
      <w:pPr>
        <w:pStyle w:val="Prrafodelista"/>
        <w:numPr>
          <w:ilvl w:val="0"/>
          <w:numId w:val="15"/>
        </w:numPr>
        <w:spacing w:after="60"/>
        <w:ind w:left="1786" w:hanging="357"/>
        <w:contextualSpacing w:val="0"/>
        <w:rPr>
          <w:rFonts w:eastAsia="Calibri" w:cs="Times New Roman"/>
          <w:szCs w:val="20"/>
          <w:lang w:val="en-US"/>
        </w:rPr>
      </w:pPr>
      <w:r w:rsidRPr="007B2402">
        <w:rPr>
          <w:rFonts w:eastAsia="Calibri" w:cs="Times New Roman"/>
          <w:i/>
          <w:szCs w:val="20"/>
          <w:lang w:val="en-US"/>
        </w:rPr>
        <w:t>Us</w:t>
      </w:r>
      <w:r w:rsidR="0079660F" w:rsidRPr="007B2402">
        <w:rPr>
          <w:rFonts w:eastAsia="Calibri" w:cs="Times New Roman"/>
          <w:i/>
          <w:szCs w:val="20"/>
          <w:lang w:val="en-US"/>
        </w:rPr>
        <w:t>e of chemical products</w:t>
      </w:r>
      <w:r w:rsidRPr="007B2402">
        <w:rPr>
          <w:rFonts w:eastAsia="Calibri" w:cs="Times New Roman"/>
          <w:szCs w:val="20"/>
          <w:lang w:val="en-US"/>
        </w:rPr>
        <w:t xml:space="preserve">: </w:t>
      </w:r>
      <w:r w:rsidR="0079660F" w:rsidRPr="007B2402">
        <w:rPr>
          <w:rFonts w:eastAsia="Calibri" w:cs="Times New Roman"/>
          <w:szCs w:val="20"/>
          <w:lang w:val="en-US"/>
        </w:rPr>
        <w:t>chemical products were frequently used against the person tortured to force him to speak by altering his awareness, or causing pain and thus obtaining the desired information. Some examples of this technique were the application of acid or alcohol in the detainee’s injuries</w:t>
      </w:r>
      <w:r w:rsidR="00320F1B" w:rsidRPr="007B2402">
        <w:rPr>
          <w:rFonts w:eastAsia="Calibri" w:cs="Times New Roman"/>
          <w:szCs w:val="20"/>
          <w:lang w:val="en-US"/>
        </w:rPr>
        <w:t xml:space="preserve"> and then turn</w:t>
      </w:r>
      <w:r w:rsidR="00016BA4" w:rsidRPr="007B2402">
        <w:rPr>
          <w:rFonts w:eastAsia="Calibri" w:cs="Times New Roman"/>
          <w:szCs w:val="20"/>
          <w:lang w:val="en-US"/>
        </w:rPr>
        <w:t>ing</w:t>
      </w:r>
      <w:r w:rsidR="00320F1B" w:rsidRPr="007B2402">
        <w:rPr>
          <w:rFonts w:eastAsia="Calibri" w:cs="Times New Roman"/>
          <w:szCs w:val="20"/>
          <w:lang w:val="en-US"/>
        </w:rPr>
        <w:t xml:space="preserve"> on the ventilator;</w:t>
      </w:r>
      <w:r w:rsidRPr="007B2402">
        <w:rPr>
          <w:vertAlign w:val="superscript"/>
          <w:lang w:val="en-US"/>
        </w:rPr>
        <w:footnoteReference w:id="221"/>
      </w:r>
    </w:p>
    <w:p w14:paraId="2242D950" w14:textId="12EFEAE1" w:rsidR="00A549B7" w:rsidRPr="007B2402" w:rsidRDefault="003E1BF6" w:rsidP="003E1BF6">
      <w:pPr>
        <w:pStyle w:val="Prrafodelista"/>
        <w:numPr>
          <w:ilvl w:val="1"/>
          <w:numId w:val="15"/>
        </w:numPr>
        <w:spacing w:after="60"/>
        <w:rPr>
          <w:rFonts w:eastAsia="Calibri" w:cs="Times New Roman"/>
          <w:szCs w:val="20"/>
          <w:lang w:val="en-US"/>
        </w:rPr>
      </w:pPr>
      <w:r w:rsidRPr="007B2402">
        <w:rPr>
          <w:rFonts w:eastAsia="Calibri" w:cs="Times New Roman"/>
          <w:i/>
          <w:szCs w:val="20"/>
          <w:lang w:val="en-US"/>
        </w:rPr>
        <w:lastRenderedPageBreak/>
        <w:t>Truth serum:</w:t>
      </w:r>
      <w:r w:rsidR="000744A8" w:rsidRPr="007B2402">
        <w:rPr>
          <w:rFonts w:eastAsia="Calibri" w:cs="Times New Roman"/>
          <w:szCs w:val="20"/>
          <w:lang w:val="en-US"/>
        </w:rPr>
        <w:t xml:space="preserve"> </w:t>
      </w:r>
      <w:r w:rsidRPr="007B2402">
        <w:rPr>
          <w:rFonts w:eastAsia="Calibri" w:cs="Times New Roman"/>
          <w:szCs w:val="20"/>
          <w:lang w:val="en-US"/>
        </w:rPr>
        <w:t>this was usually applied with the victim tied to a bed or stretcher; the drug was injected intravenously, drop by drop. The use of this drug for medicinal purposes is strictly controlled, because it has serious side effects and</w:t>
      </w:r>
      <w:r w:rsidR="006617E7" w:rsidRPr="007B2402">
        <w:rPr>
          <w:rFonts w:eastAsia="Calibri" w:cs="Times New Roman"/>
          <w:szCs w:val="20"/>
          <w:lang w:val="en-US"/>
        </w:rPr>
        <w:t xml:space="preserve"> an overdose</w:t>
      </w:r>
      <w:r w:rsidRPr="007B2402">
        <w:rPr>
          <w:rFonts w:eastAsia="Calibri" w:cs="Times New Roman"/>
          <w:szCs w:val="20"/>
          <w:lang w:val="en-US"/>
        </w:rPr>
        <w:t xml:space="preserve"> can even lead to death;</w:t>
      </w:r>
      <w:r w:rsidR="000744A8" w:rsidRPr="007B2402">
        <w:rPr>
          <w:vertAlign w:val="superscript"/>
          <w:lang w:val="en-US"/>
        </w:rPr>
        <w:footnoteReference w:id="222"/>
      </w:r>
    </w:p>
    <w:p w14:paraId="79979FD6" w14:textId="2088E75E" w:rsidR="001614F2" w:rsidRPr="007B2402" w:rsidRDefault="003E1BF6" w:rsidP="001614F2">
      <w:pPr>
        <w:pStyle w:val="Prrafodelista"/>
        <w:numPr>
          <w:ilvl w:val="1"/>
          <w:numId w:val="15"/>
        </w:numPr>
        <w:spacing w:after="60"/>
        <w:rPr>
          <w:rFonts w:eastAsia="Calibri" w:cs="Times New Roman"/>
          <w:szCs w:val="20"/>
          <w:lang w:val="en-US"/>
        </w:rPr>
      </w:pPr>
      <w:r w:rsidRPr="007B2402">
        <w:rPr>
          <w:rFonts w:eastAsia="Calibri" w:cs="Times New Roman"/>
          <w:i/>
          <w:szCs w:val="20"/>
          <w:lang w:val="en-US"/>
        </w:rPr>
        <w:t xml:space="preserve">“Seasoning with ether”: </w:t>
      </w:r>
      <w:r w:rsidRPr="007B2402">
        <w:rPr>
          <w:rFonts w:eastAsia="Calibri" w:cs="Times New Roman"/>
          <w:szCs w:val="20"/>
          <w:lang w:val="en-US"/>
        </w:rPr>
        <w:t>the application of</w:t>
      </w:r>
      <w:r w:rsidR="00721271" w:rsidRPr="007B2402">
        <w:rPr>
          <w:rFonts w:eastAsia="Calibri" w:cs="Times New Roman"/>
          <w:szCs w:val="20"/>
          <w:lang w:val="en-US"/>
        </w:rPr>
        <w:t xml:space="preserve"> a</w:t>
      </w:r>
      <w:r w:rsidRPr="007B2402">
        <w:rPr>
          <w:rFonts w:eastAsia="Calibri" w:cs="Times New Roman"/>
          <w:szCs w:val="20"/>
          <w:lang w:val="en-US"/>
        </w:rPr>
        <w:t xml:space="preserve"> kind of compress soaked in ether, particularly to the </w:t>
      </w:r>
      <w:r w:rsidR="006617E7" w:rsidRPr="007B2402">
        <w:rPr>
          <w:rFonts w:eastAsia="Calibri" w:cs="Times New Roman"/>
          <w:szCs w:val="20"/>
          <w:lang w:val="en-US"/>
        </w:rPr>
        <w:t xml:space="preserve">most </w:t>
      </w:r>
      <w:r w:rsidRPr="007B2402">
        <w:rPr>
          <w:rFonts w:eastAsia="Calibri" w:cs="Times New Roman"/>
          <w:szCs w:val="20"/>
          <w:lang w:val="en-US"/>
        </w:rPr>
        <w:t xml:space="preserve">sensitive parts of the body such as the mouth, nose, ears, penis, etc., or </w:t>
      </w:r>
      <w:r w:rsidR="00721271" w:rsidRPr="007B2402">
        <w:rPr>
          <w:rFonts w:eastAsia="Calibri" w:cs="Times New Roman"/>
          <w:szCs w:val="20"/>
          <w:lang w:val="en-US"/>
        </w:rPr>
        <w:t xml:space="preserve">the </w:t>
      </w:r>
      <w:r w:rsidRPr="007B2402">
        <w:rPr>
          <w:rFonts w:eastAsia="Calibri" w:cs="Times New Roman"/>
          <w:szCs w:val="20"/>
          <w:lang w:val="en-US"/>
        </w:rPr>
        <w:t>introduc</w:t>
      </w:r>
      <w:r w:rsidR="00721271" w:rsidRPr="007B2402">
        <w:rPr>
          <w:rFonts w:eastAsia="Calibri" w:cs="Times New Roman"/>
          <w:szCs w:val="20"/>
          <w:lang w:val="en-US"/>
        </w:rPr>
        <w:t>tion of</w:t>
      </w:r>
      <w:r w:rsidRPr="007B2402">
        <w:rPr>
          <w:rFonts w:eastAsia="Calibri" w:cs="Times New Roman"/>
          <w:szCs w:val="20"/>
          <w:lang w:val="en-US"/>
        </w:rPr>
        <w:t xml:space="preserve"> a wad of cotton or towelling, also soaked in ether, in the anus or vagin</w:t>
      </w:r>
      <w:r w:rsidR="00721271" w:rsidRPr="007B2402">
        <w:rPr>
          <w:rFonts w:eastAsia="Calibri" w:cs="Times New Roman"/>
          <w:szCs w:val="20"/>
          <w:lang w:val="en-US"/>
        </w:rPr>
        <w:t>a</w:t>
      </w:r>
      <w:r w:rsidRPr="007B2402">
        <w:rPr>
          <w:rFonts w:eastAsia="Calibri" w:cs="Times New Roman"/>
          <w:szCs w:val="20"/>
          <w:lang w:val="en-US"/>
        </w:rPr>
        <w:t xml:space="preserve"> of the victim;</w:t>
      </w:r>
      <w:r w:rsidR="000744A8" w:rsidRPr="007B2402">
        <w:rPr>
          <w:vertAlign w:val="superscript"/>
          <w:lang w:val="en-US"/>
        </w:rPr>
        <w:footnoteReference w:id="223"/>
      </w:r>
    </w:p>
    <w:p w14:paraId="48DBC369" w14:textId="11AE34DF" w:rsidR="000744A8" w:rsidRPr="007B2402" w:rsidRDefault="003E1BF6" w:rsidP="001614F2">
      <w:pPr>
        <w:pStyle w:val="Prrafodelista"/>
        <w:numPr>
          <w:ilvl w:val="1"/>
          <w:numId w:val="15"/>
        </w:numPr>
        <w:spacing w:after="60"/>
        <w:rPr>
          <w:rFonts w:eastAsia="Calibri" w:cs="Times New Roman"/>
          <w:szCs w:val="20"/>
          <w:lang w:val="en-US"/>
        </w:rPr>
      </w:pPr>
      <w:r w:rsidRPr="007B2402">
        <w:rPr>
          <w:rFonts w:eastAsia="Calibri" w:cs="Times New Roman"/>
          <w:i/>
          <w:szCs w:val="20"/>
          <w:lang w:val="en-US"/>
        </w:rPr>
        <w:t xml:space="preserve">Ether injection: </w:t>
      </w:r>
      <w:r w:rsidR="000744A8" w:rsidRPr="007B2402">
        <w:rPr>
          <w:rFonts w:eastAsia="Calibri" w:cs="Times New Roman"/>
          <w:szCs w:val="20"/>
          <w:lang w:val="en-US"/>
        </w:rPr>
        <w:t>ap</w:t>
      </w:r>
      <w:r w:rsidRPr="007B2402">
        <w:rPr>
          <w:rFonts w:eastAsia="Calibri" w:cs="Times New Roman"/>
          <w:szCs w:val="20"/>
          <w:lang w:val="en-US"/>
        </w:rPr>
        <w:t>plication of subcutaenous injections of ether that caused shooting pains.</w:t>
      </w:r>
      <w:r w:rsidR="00721271" w:rsidRPr="007B2402">
        <w:rPr>
          <w:rFonts w:eastAsia="Calibri" w:cs="Times New Roman"/>
          <w:szCs w:val="20"/>
          <w:lang w:val="en-US"/>
        </w:rPr>
        <w:t xml:space="preserve"> </w:t>
      </w:r>
      <w:r w:rsidRPr="007B2402">
        <w:rPr>
          <w:rFonts w:eastAsia="Calibri" w:cs="Times New Roman"/>
          <w:szCs w:val="20"/>
          <w:lang w:val="en-US"/>
        </w:rPr>
        <w:t>Normally, this method of torture caused the necrosis of the affected tissue, and the extent depended on the area affected;</w:t>
      </w:r>
      <w:r w:rsidR="000744A8" w:rsidRPr="007B2402">
        <w:rPr>
          <w:vertAlign w:val="superscript"/>
          <w:lang w:val="en-US"/>
        </w:rPr>
        <w:footnoteReference w:id="224"/>
      </w:r>
    </w:p>
    <w:p w14:paraId="31E477ED" w14:textId="1352FC25" w:rsidR="008A40E6" w:rsidRPr="007B2402" w:rsidRDefault="000744A8" w:rsidP="002A3AF8">
      <w:pPr>
        <w:pStyle w:val="Prrafodelista"/>
        <w:numPr>
          <w:ilvl w:val="0"/>
          <w:numId w:val="15"/>
        </w:numPr>
        <w:spacing w:after="60"/>
        <w:contextualSpacing w:val="0"/>
        <w:rPr>
          <w:rFonts w:eastAsia="Calibri" w:cs="Times New Roman"/>
          <w:szCs w:val="20"/>
          <w:lang w:val="en-US"/>
        </w:rPr>
      </w:pPr>
      <w:r w:rsidRPr="007B2402">
        <w:rPr>
          <w:rFonts w:eastAsia="Calibri" w:cs="Times New Roman"/>
          <w:i/>
          <w:szCs w:val="20"/>
          <w:lang w:val="en-US"/>
        </w:rPr>
        <w:t>As</w:t>
      </w:r>
      <w:r w:rsidR="002A3AF8" w:rsidRPr="007B2402">
        <w:rPr>
          <w:rFonts w:eastAsia="Calibri" w:cs="Times New Roman"/>
          <w:i/>
          <w:szCs w:val="20"/>
          <w:lang w:val="en-US"/>
        </w:rPr>
        <w:t>phy</w:t>
      </w:r>
      <w:r w:rsidRPr="007B2402">
        <w:rPr>
          <w:rFonts w:eastAsia="Calibri" w:cs="Times New Roman"/>
          <w:i/>
          <w:szCs w:val="20"/>
          <w:lang w:val="en-US"/>
        </w:rPr>
        <w:t>xia</w:t>
      </w:r>
      <w:r w:rsidR="002A3AF8" w:rsidRPr="007B2402">
        <w:rPr>
          <w:rFonts w:eastAsia="Calibri" w:cs="Times New Roman"/>
          <w:i/>
          <w:szCs w:val="20"/>
          <w:lang w:val="en-US"/>
        </w:rPr>
        <w:t>tion</w:t>
      </w:r>
      <w:r w:rsidRPr="007B2402">
        <w:rPr>
          <w:rFonts w:eastAsia="Calibri" w:cs="Times New Roman"/>
          <w:i/>
          <w:szCs w:val="20"/>
          <w:lang w:val="en-US"/>
        </w:rPr>
        <w:t xml:space="preserve">: </w:t>
      </w:r>
      <w:r w:rsidRPr="007B2402">
        <w:rPr>
          <w:rFonts w:eastAsia="Calibri" w:cs="Times New Roman"/>
          <w:szCs w:val="20"/>
          <w:lang w:val="en-US"/>
        </w:rPr>
        <w:t>obstruc</w:t>
      </w:r>
      <w:r w:rsidR="002A3AF8" w:rsidRPr="007B2402">
        <w:rPr>
          <w:rFonts w:eastAsia="Calibri" w:cs="Times New Roman"/>
          <w:szCs w:val="20"/>
          <w:lang w:val="en-US"/>
        </w:rPr>
        <w:t xml:space="preserve">tion of the respiration resulting in a feeling of asphyxiation, covering the victim’s mouth and nose with cotton or towelling material, which also prevented the victim from crying out. The victim </w:t>
      </w:r>
      <w:r w:rsidR="002A3AF8" w:rsidRPr="007B2402">
        <w:rPr>
          <w:rFonts w:eastAsia="Calibri" w:cs="Times New Roman"/>
          <w:iCs/>
          <w:szCs w:val="20"/>
          <w:lang w:val="en-US"/>
        </w:rPr>
        <w:t>experienced dizziness and could faint;</w:t>
      </w:r>
      <w:r w:rsidRPr="007B2402">
        <w:rPr>
          <w:vertAlign w:val="superscript"/>
          <w:lang w:val="en-US"/>
        </w:rPr>
        <w:footnoteReference w:id="225"/>
      </w:r>
    </w:p>
    <w:p w14:paraId="24D97E57" w14:textId="329A1C77" w:rsidR="008A40E6" w:rsidRPr="007B2402" w:rsidRDefault="002A3AF8" w:rsidP="008A40E6">
      <w:pPr>
        <w:pStyle w:val="Prrafodelista"/>
        <w:numPr>
          <w:ilvl w:val="0"/>
          <w:numId w:val="15"/>
        </w:numPr>
        <w:spacing w:after="60"/>
        <w:contextualSpacing w:val="0"/>
        <w:rPr>
          <w:rFonts w:eastAsia="Calibri" w:cs="Times New Roman"/>
          <w:szCs w:val="20"/>
          <w:lang w:val="en-US"/>
        </w:rPr>
      </w:pPr>
      <w:r w:rsidRPr="007B2402">
        <w:rPr>
          <w:rFonts w:eastAsia="Calibri" w:cs="Times New Roman"/>
          <w:i/>
          <w:szCs w:val="20"/>
          <w:lang w:val="en-US"/>
        </w:rPr>
        <w:t>Hanging</w:t>
      </w:r>
      <w:r w:rsidR="000744A8" w:rsidRPr="007B2402">
        <w:rPr>
          <w:rFonts w:eastAsia="Calibri" w:cs="Times New Roman"/>
          <w:i/>
          <w:szCs w:val="20"/>
          <w:lang w:val="en-US"/>
        </w:rPr>
        <w:t xml:space="preserve">: </w:t>
      </w:r>
      <w:r w:rsidRPr="007B2402">
        <w:rPr>
          <w:rFonts w:eastAsia="Calibri" w:cs="Times New Roman"/>
          <w:szCs w:val="20"/>
          <w:lang w:val="en-US"/>
        </w:rPr>
        <w:t>the person tortured had a rope or piece of material tightened around his neck, and had the sensation that he was being suffocated; at times, this resulted in loss of consciousness;</w:t>
      </w:r>
      <w:r w:rsidR="000744A8" w:rsidRPr="007B2402">
        <w:rPr>
          <w:vertAlign w:val="superscript"/>
          <w:lang w:val="en-US"/>
        </w:rPr>
        <w:footnoteReference w:id="226"/>
      </w:r>
    </w:p>
    <w:p w14:paraId="46D08EC5" w14:textId="640D7F3A" w:rsidR="008A40E6" w:rsidRPr="007B2402" w:rsidRDefault="000744A8" w:rsidP="002A3AF8">
      <w:pPr>
        <w:pStyle w:val="Prrafodelista"/>
        <w:numPr>
          <w:ilvl w:val="0"/>
          <w:numId w:val="15"/>
        </w:numPr>
        <w:spacing w:after="60"/>
        <w:contextualSpacing w:val="0"/>
        <w:rPr>
          <w:rFonts w:eastAsia="Calibri" w:cs="Times New Roman"/>
          <w:szCs w:val="20"/>
          <w:lang w:val="en-US"/>
        </w:rPr>
      </w:pPr>
      <w:r w:rsidRPr="007B2402">
        <w:rPr>
          <w:rFonts w:eastAsia="Calibri" w:cs="Times New Roman"/>
          <w:i/>
          <w:szCs w:val="20"/>
          <w:lang w:val="en-US"/>
        </w:rPr>
        <w:t>Crucifi</w:t>
      </w:r>
      <w:r w:rsidR="00F54B36" w:rsidRPr="007B2402">
        <w:rPr>
          <w:rFonts w:eastAsia="Calibri" w:cs="Times New Roman"/>
          <w:i/>
          <w:szCs w:val="20"/>
          <w:lang w:val="en-US"/>
        </w:rPr>
        <w:t>x</w:t>
      </w:r>
      <w:r w:rsidR="002A3AF8" w:rsidRPr="007B2402">
        <w:rPr>
          <w:rFonts w:eastAsia="Calibri" w:cs="Times New Roman"/>
          <w:i/>
          <w:szCs w:val="20"/>
          <w:lang w:val="en-US"/>
        </w:rPr>
        <w:t>ion</w:t>
      </w:r>
      <w:r w:rsidRPr="007B2402">
        <w:rPr>
          <w:rFonts w:eastAsia="Calibri" w:cs="Times New Roman"/>
          <w:i/>
          <w:szCs w:val="20"/>
          <w:lang w:val="en-US"/>
        </w:rPr>
        <w:t xml:space="preserve">: </w:t>
      </w:r>
      <w:r w:rsidR="002A3AF8" w:rsidRPr="007B2402">
        <w:rPr>
          <w:rFonts w:eastAsia="Calibri" w:cs="Times New Roman"/>
          <w:szCs w:val="20"/>
          <w:lang w:val="en-US"/>
        </w:rPr>
        <w:t>the victim was h</w:t>
      </w:r>
      <w:r w:rsidR="006617E7" w:rsidRPr="007B2402">
        <w:rPr>
          <w:rFonts w:eastAsia="Calibri" w:cs="Times New Roman"/>
          <w:szCs w:val="20"/>
          <w:lang w:val="en-US"/>
        </w:rPr>
        <w:t>ung</w:t>
      </w:r>
      <w:r w:rsidR="002A3AF8" w:rsidRPr="007B2402">
        <w:rPr>
          <w:rFonts w:eastAsia="Calibri" w:cs="Times New Roman"/>
          <w:szCs w:val="20"/>
          <w:lang w:val="en-US"/>
        </w:rPr>
        <w:t xml:space="preserve"> from his bound hands or feet on hooks set into the ceiling or the stairs, leaving him hanging and applying electric shocks, punches and other usual means of torture;</w:t>
      </w:r>
      <w:r w:rsidRPr="007B2402">
        <w:rPr>
          <w:vertAlign w:val="superscript"/>
          <w:lang w:val="en-US"/>
        </w:rPr>
        <w:footnoteReference w:id="227"/>
      </w:r>
    </w:p>
    <w:p w14:paraId="4A01FA20" w14:textId="5688D478" w:rsidR="008A40E6" w:rsidRPr="007B2402" w:rsidRDefault="000744A8" w:rsidP="008A40E6">
      <w:pPr>
        <w:pStyle w:val="Prrafodelista"/>
        <w:numPr>
          <w:ilvl w:val="0"/>
          <w:numId w:val="15"/>
        </w:numPr>
        <w:spacing w:after="60"/>
        <w:contextualSpacing w:val="0"/>
        <w:rPr>
          <w:rFonts w:eastAsia="Calibri" w:cs="Times New Roman"/>
          <w:szCs w:val="20"/>
          <w:lang w:val="en-US"/>
        </w:rPr>
      </w:pPr>
      <w:r w:rsidRPr="007B2402">
        <w:rPr>
          <w:rFonts w:eastAsia="Calibri" w:cs="Times New Roman"/>
          <w:i/>
          <w:szCs w:val="20"/>
          <w:lang w:val="en-US"/>
        </w:rPr>
        <w:t>Fur</w:t>
      </w:r>
      <w:r w:rsidR="00B1260C" w:rsidRPr="007B2402">
        <w:rPr>
          <w:rFonts w:eastAsia="Calibri" w:cs="Times New Roman"/>
          <w:i/>
          <w:szCs w:val="20"/>
          <w:lang w:val="en-US"/>
        </w:rPr>
        <w:t>ar</w:t>
      </w:r>
      <w:r w:rsidRPr="007B2402">
        <w:rPr>
          <w:rFonts w:eastAsia="Calibri" w:cs="Times New Roman"/>
          <w:i/>
          <w:szCs w:val="20"/>
          <w:lang w:val="en-US"/>
        </w:rPr>
        <w:t xml:space="preserve"> po</w:t>
      </w:r>
      <w:r w:rsidR="00B1260C" w:rsidRPr="007B2402">
        <w:rPr>
          <w:rFonts w:eastAsia="Calibri" w:cs="Times New Roman"/>
          <w:i/>
          <w:szCs w:val="20"/>
          <w:lang w:val="en-US"/>
        </w:rPr>
        <w:t xml:space="preserve">ço </w:t>
      </w:r>
      <w:r w:rsidRPr="007B2402">
        <w:rPr>
          <w:rFonts w:eastAsia="Calibri" w:cs="Times New Roman"/>
          <w:i/>
          <w:szCs w:val="20"/>
          <w:lang w:val="en-US"/>
        </w:rPr>
        <w:t>de petróleo</w:t>
      </w:r>
      <w:r w:rsidR="002A3AF8" w:rsidRPr="007B2402">
        <w:rPr>
          <w:rFonts w:eastAsia="Calibri" w:cs="Times New Roman"/>
          <w:i/>
          <w:szCs w:val="20"/>
          <w:lang w:val="en-US"/>
        </w:rPr>
        <w:t xml:space="preserve"> (“</w:t>
      </w:r>
      <w:r w:rsidR="002A3AF8" w:rsidRPr="007B2402">
        <w:rPr>
          <w:rFonts w:eastAsia="Calibri" w:cs="Times New Roman"/>
          <w:iCs/>
          <w:szCs w:val="20"/>
          <w:lang w:val="en-US"/>
        </w:rPr>
        <w:t>drilling an oil well”</w:t>
      </w:r>
      <w:r w:rsidR="002A3AF8" w:rsidRPr="007B2402">
        <w:rPr>
          <w:rFonts w:eastAsia="Calibri" w:cs="Times New Roman"/>
          <w:i/>
          <w:szCs w:val="20"/>
          <w:lang w:val="en-US"/>
        </w:rPr>
        <w:t>)</w:t>
      </w:r>
      <w:r w:rsidRPr="007B2402">
        <w:rPr>
          <w:rFonts w:eastAsia="Calibri" w:cs="Times New Roman"/>
          <w:szCs w:val="20"/>
          <w:lang w:val="en-US"/>
        </w:rPr>
        <w:t xml:space="preserve">: </w:t>
      </w:r>
      <w:r w:rsidR="002A3AF8" w:rsidRPr="007B2402">
        <w:rPr>
          <w:rFonts w:eastAsia="Calibri" w:cs="Times New Roman"/>
          <w:szCs w:val="20"/>
          <w:lang w:val="en-US"/>
        </w:rPr>
        <w:t>the victim was obliged to place a finger on the ground and run in circles, without moving the finger, until he fell exhausted.</w:t>
      </w:r>
      <w:r w:rsidRPr="007B2402">
        <w:rPr>
          <w:rFonts w:eastAsia="Calibri" w:cs="Times New Roman"/>
          <w:szCs w:val="20"/>
          <w:lang w:val="en-US"/>
        </w:rPr>
        <w:t xml:space="preserve"> </w:t>
      </w:r>
      <w:r w:rsidR="002A3AF8" w:rsidRPr="007B2402">
        <w:rPr>
          <w:rFonts w:eastAsia="Calibri" w:cs="Times New Roman"/>
          <w:szCs w:val="20"/>
          <w:lang w:val="en-US"/>
        </w:rPr>
        <w:t xml:space="preserve">All this time, </w:t>
      </w:r>
      <w:r w:rsidR="006617E7" w:rsidRPr="007B2402">
        <w:rPr>
          <w:rFonts w:eastAsia="Calibri" w:cs="Times New Roman"/>
          <w:szCs w:val="20"/>
          <w:lang w:val="en-US"/>
        </w:rPr>
        <w:t>he</w:t>
      </w:r>
      <w:r w:rsidR="002A3AF8" w:rsidRPr="007B2402">
        <w:rPr>
          <w:rFonts w:eastAsia="Calibri" w:cs="Times New Roman"/>
          <w:szCs w:val="20"/>
          <w:lang w:val="en-US"/>
        </w:rPr>
        <w:t xml:space="preserve"> was punched and kicked and subjected to other acts of violence;</w:t>
      </w:r>
      <w:r w:rsidRPr="007B2402">
        <w:rPr>
          <w:vertAlign w:val="superscript"/>
          <w:lang w:val="en-US"/>
        </w:rPr>
        <w:footnoteReference w:id="228"/>
      </w:r>
    </w:p>
    <w:p w14:paraId="48E5804E" w14:textId="2CB0142D" w:rsidR="008A40E6" w:rsidRPr="007B2402" w:rsidRDefault="002A3AF8" w:rsidP="00F54B36">
      <w:pPr>
        <w:pStyle w:val="Prrafodelista"/>
        <w:numPr>
          <w:ilvl w:val="0"/>
          <w:numId w:val="15"/>
        </w:numPr>
        <w:spacing w:after="60"/>
        <w:contextualSpacing w:val="0"/>
        <w:rPr>
          <w:rFonts w:eastAsia="Calibri" w:cs="Times New Roman"/>
          <w:szCs w:val="20"/>
          <w:lang w:val="en-US"/>
        </w:rPr>
      </w:pPr>
      <w:r w:rsidRPr="007B2402">
        <w:rPr>
          <w:rFonts w:eastAsia="Calibri" w:cs="Times New Roman"/>
          <w:i/>
          <w:szCs w:val="20"/>
          <w:lang w:val="en-US"/>
        </w:rPr>
        <w:t xml:space="preserve">Standing on two open </w:t>
      </w:r>
      <w:r w:rsidR="00F54B36" w:rsidRPr="007B2402">
        <w:rPr>
          <w:rFonts w:eastAsia="Calibri" w:cs="Times New Roman"/>
          <w:i/>
          <w:szCs w:val="20"/>
          <w:lang w:val="en-US"/>
        </w:rPr>
        <w:t>cans</w:t>
      </w:r>
      <w:r w:rsidR="000744A8" w:rsidRPr="007B2402">
        <w:rPr>
          <w:rFonts w:eastAsia="Calibri" w:cs="Times New Roman"/>
          <w:szCs w:val="20"/>
          <w:lang w:val="en-US"/>
        </w:rPr>
        <w:t xml:space="preserve">: </w:t>
      </w:r>
      <w:r w:rsidR="00F54B36" w:rsidRPr="007B2402">
        <w:rPr>
          <w:rFonts w:eastAsia="Calibri" w:cs="Times New Roman"/>
          <w:szCs w:val="20"/>
          <w:lang w:val="en-US"/>
        </w:rPr>
        <w:t>the victim, with bare feet, was obliged to balance on the raw edges of two open cans. At times, this was done until the victim was bleeding. When he lost his balance and fe</w:t>
      </w:r>
      <w:r w:rsidR="006617E7" w:rsidRPr="007B2402">
        <w:rPr>
          <w:rFonts w:eastAsia="Calibri" w:cs="Times New Roman"/>
          <w:szCs w:val="20"/>
          <w:lang w:val="en-US"/>
        </w:rPr>
        <w:t>l</w:t>
      </w:r>
      <w:r w:rsidR="00F54B36" w:rsidRPr="007B2402">
        <w:rPr>
          <w:rFonts w:eastAsia="Calibri" w:cs="Times New Roman"/>
          <w:szCs w:val="20"/>
          <w:lang w:val="en-US"/>
        </w:rPr>
        <w:t>l, the beatings increased;</w:t>
      </w:r>
      <w:r w:rsidR="000744A8" w:rsidRPr="007B2402">
        <w:rPr>
          <w:vertAlign w:val="superscript"/>
          <w:lang w:val="en-US"/>
        </w:rPr>
        <w:footnoteReference w:id="229"/>
      </w:r>
    </w:p>
    <w:p w14:paraId="277812A5" w14:textId="18D8880E" w:rsidR="008A40E6" w:rsidRPr="007B2402" w:rsidRDefault="00652385" w:rsidP="00652385">
      <w:pPr>
        <w:pStyle w:val="Prrafodelista"/>
        <w:numPr>
          <w:ilvl w:val="0"/>
          <w:numId w:val="15"/>
        </w:numPr>
        <w:spacing w:after="60"/>
        <w:contextualSpacing w:val="0"/>
        <w:rPr>
          <w:rFonts w:eastAsia="Calibri" w:cs="Times New Roman"/>
          <w:szCs w:val="20"/>
          <w:lang w:val="en-US"/>
        </w:rPr>
      </w:pPr>
      <w:r w:rsidRPr="007B2402">
        <w:rPr>
          <w:rFonts w:eastAsia="Calibri" w:cs="Times New Roman"/>
          <w:i/>
          <w:szCs w:val="20"/>
          <w:lang w:val="en-US"/>
        </w:rPr>
        <w:t>The ice box</w:t>
      </w:r>
      <w:r w:rsidR="000744A8" w:rsidRPr="007B2402">
        <w:rPr>
          <w:rFonts w:eastAsia="Calibri" w:cs="Times New Roman"/>
          <w:i/>
          <w:szCs w:val="20"/>
          <w:lang w:val="en-US"/>
        </w:rPr>
        <w:t>:</w:t>
      </w:r>
      <w:r w:rsidR="000744A8" w:rsidRPr="007B2402">
        <w:rPr>
          <w:rFonts w:eastAsia="Calibri" w:cs="Times New Roman"/>
          <w:szCs w:val="20"/>
          <w:lang w:val="en-US"/>
        </w:rPr>
        <w:t xml:space="preserve"> </w:t>
      </w:r>
      <w:r w:rsidRPr="007B2402">
        <w:rPr>
          <w:rFonts w:eastAsia="Calibri" w:cs="Times New Roman"/>
          <w:szCs w:val="20"/>
          <w:lang w:val="en-US"/>
        </w:rPr>
        <w:t>a torture technique of British origin in which the detainee was confined in a cell of approximately</w:t>
      </w:r>
      <w:r w:rsidR="000744A8" w:rsidRPr="007B2402">
        <w:rPr>
          <w:rFonts w:eastAsia="Calibri" w:cs="Times New Roman"/>
          <w:szCs w:val="20"/>
          <w:lang w:val="en-US"/>
        </w:rPr>
        <w:t xml:space="preserve"> 1</w:t>
      </w:r>
      <w:r w:rsidRPr="007B2402">
        <w:rPr>
          <w:rFonts w:eastAsia="Calibri" w:cs="Times New Roman"/>
          <w:szCs w:val="20"/>
          <w:lang w:val="en-US"/>
        </w:rPr>
        <w:t>.</w:t>
      </w:r>
      <w:r w:rsidR="000744A8" w:rsidRPr="007B2402">
        <w:rPr>
          <w:rFonts w:eastAsia="Calibri" w:cs="Times New Roman"/>
          <w:szCs w:val="20"/>
          <w:lang w:val="en-US"/>
        </w:rPr>
        <w:t>5m x 1</w:t>
      </w:r>
      <w:r w:rsidRPr="007B2402">
        <w:rPr>
          <w:rFonts w:eastAsia="Calibri" w:cs="Times New Roman"/>
          <w:szCs w:val="20"/>
          <w:lang w:val="en-US"/>
        </w:rPr>
        <w:t>.</w:t>
      </w:r>
      <w:r w:rsidR="000744A8" w:rsidRPr="007B2402">
        <w:rPr>
          <w:rFonts w:eastAsia="Calibri" w:cs="Times New Roman"/>
          <w:szCs w:val="20"/>
          <w:lang w:val="en-US"/>
        </w:rPr>
        <w:t xml:space="preserve">5m </w:t>
      </w:r>
      <w:r w:rsidRPr="007B2402">
        <w:rPr>
          <w:rFonts w:eastAsia="Calibri" w:cs="Times New Roman"/>
          <w:szCs w:val="20"/>
          <w:lang w:val="en-US"/>
        </w:rPr>
        <w:t>high, to prevent him standing. The inner door was made of metal and the walls were lined with insulation sheets. There was no hole through which external light or sound could enter. A refrigeration and heating system alternated high and low temperatures. The cell was kep</w:t>
      </w:r>
      <w:r w:rsidR="006617E7" w:rsidRPr="007B2402">
        <w:rPr>
          <w:rFonts w:eastAsia="Calibri" w:cs="Times New Roman"/>
          <w:szCs w:val="20"/>
          <w:lang w:val="en-US"/>
        </w:rPr>
        <w:t>t</w:t>
      </w:r>
      <w:r w:rsidRPr="007B2402">
        <w:rPr>
          <w:rFonts w:eastAsia="Calibri" w:cs="Times New Roman"/>
          <w:szCs w:val="20"/>
          <w:lang w:val="en-US"/>
        </w:rPr>
        <w:t xml:space="preserve"> in total darkness most of the time. From time to time, small colored lights in the ceiling flickered rapidly, while a </w:t>
      </w:r>
      <w:r w:rsidRPr="007B2402">
        <w:rPr>
          <w:rFonts w:eastAsia="Calibri" w:cs="Times New Roman"/>
          <w:szCs w:val="20"/>
          <w:lang w:val="en-US"/>
        </w:rPr>
        <w:lastRenderedPageBreak/>
        <w:t>speaker installed inside the cell issued sounds of cries, car horns and other</w:t>
      </w:r>
      <w:r w:rsidR="006617E7" w:rsidRPr="007B2402">
        <w:rPr>
          <w:rFonts w:eastAsia="Calibri" w:cs="Times New Roman"/>
          <w:szCs w:val="20"/>
          <w:lang w:val="en-US"/>
        </w:rPr>
        <w:t xml:space="preserve"> noise</w:t>
      </w:r>
      <w:r w:rsidRPr="007B2402">
        <w:rPr>
          <w:rFonts w:eastAsia="Calibri" w:cs="Times New Roman"/>
          <w:szCs w:val="20"/>
          <w:lang w:val="en-US"/>
        </w:rPr>
        <w:t>s at an extremely high volume. The victim, who was naked, remained in the cell for periods that varied from hours to days, often without food or water.</w:t>
      </w:r>
      <w:r w:rsidR="000744A8" w:rsidRPr="007B2402">
        <w:rPr>
          <w:vertAlign w:val="superscript"/>
          <w:lang w:val="en-US"/>
        </w:rPr>
        <w:footnoteReference w:id="230"/>
      </w:r>
    </w:p>
    <w:p w14:paraId="44700368" w14:textId="7A05BAE4" w:rsidR="008A40E6" w:rsidRPr="007B2402" w:rsidRDefault="000744A8" w:rsidP="008E4BD5">
      <w:pPr>
        <w:pStyle w:val="Prrafodelista"/>
        <w:numPr>
          <w:ilvl w:val="0"/>
          <w:numId w:val="15"/>
        </w:numPr>
        <w:spacing w:after="60"/>
        <w:contextualSpacing w:val="0"/>
        <w:rPr>
          <w:rFonts w:eastAsia="Calibri" w:cs="Times New Roman"/>
          <w:szCs w:val="20"/>
          <w:lang w:val="en-US"/>
        </w:rPr>
      </w:pPr>
      <w:r w:rsidRPr="007B2402">
        <w:rPr>
          <w:rFonts w:eastAsia="Calibri" w:cs="Times New Roman"/>
          <w:i/>
          <w:iCs/>
          <w:szCs w:val="20"/>
          <w:lang w:val="en-US"/>
        </w:rPr>
        <w:t>Pau de arara</w:t>
      </w:r>
      <w:r w:rsidR="008E4BD5" w:rsidRPr="007B2402">
        <w:rPr>
          <w:rFonts w:eastAsia="Calibri" w:cs="Times New Roman"/>
          <w:i/>
          <w:iCs/>
          <w:szCs w:val="20"/>
          <w:lang w:val="en-US"/>
        </w:rPr>
        <w:t xml:space="preserve"> (</w:t>
      </w:r>
      <w:r w:rsidR="008E4BD5" w:rsidRPr="007B2402">
        <w:rPr>
          <w:rFonts w:eastAsia="Calibri" w:cs="Times New Roman"/>
          <w:szCs w:val="20"/>
          <w:lang w:val="en-US"/>
        </w:rPr>
        <w:t>“</w:t>
      </w:r>
      <w:r w:rsidR="00B51BAC" w:rsidRPr="007B2402">
        <w:rPr>
          <w:rFonts w:eastAsia="Calibri" w:cs="Times New Roman"/>
          <w:szCs w:val="20"/>
          <w:lang w:val="en-US"/>
        </w:rPr>
        <w:t>P</w:t>
      </w:r>
      <w:r w:rsidR="008E4BD5" w:rsidRPr="007B2402">
        <w:rPr>
          <w:rFonts w:eastAsia="Calibri" w:cs="Times New Roman"/>
          <w:szCs w:val="20"/>
          <w:lang w:val="en-US"/>
        </w:rPr>
        <w:t>arrot’s perch”)</w:t>
      </w:r>
      <w:r w:rsidRPr="007B2402">
        <w:rPr>
          <w:rFonts w:eastAsia="Calibri" w:cs="Times New Roman"/>
          <w:szCs w:val="20"/>
          <w:lang w:val="en-US"/>
        </w:rPr>
        <w:t>:</w:t>
      </w:r>
      <w:r w:rsidRPr="007B2402">
        <w:rPr>
          <w:rFonts w:eastAsia="Calibri" w:cs="Times New Roman"/>
          <w:i/>
          <w:iCs/>
          <w:szCs w:val="20"/>
          <w:lang w:val="en-US"/>
        </w:rPr>
        <w:t xml:space="preserve"> </w:t>
      </w:r>
      <w:r w:rsidR="00721271" w:rsidRPr="007B2402">
        <w:rPr>
          <w:rFonts w:eastAsia="Calibri" w:cs="Times New Roman"/>
          <w:szCs w:val="20"/>
          <w:lang w:val="en-US"/>
        </w:rPr>
        <w:t xml:space="preserve">one of the best-known and most used methods, widely </w:t>
      </w:r>
      <w:r w:rsidR="008E4BD5" w:rsidRPr="007B2402">
        <w:rPr>
          <w:rFonts w:eastAsia="Calibri" w:cs="Times New Roman"/>
          <w:szCs w:val="20"/>
          <w:lang w:val="en-US"/>
        </w:rPr>
        <w:t>applied</w:t>
      </w:r>
      <w:r w:rsidR="00721271" w:rsidRPr="007B2402">
        <w:rPr>
          <w:rFonts w:eastAsia="Calibri" w:cs="Times New Roman"/>
          <w:szCs w:val="20"/>
          <w:lang w:val="en-US"/>
        </w:rPr>
        <w:t xml:space="preserve"> as a symbolic example of the practice of torture. The victim was suspended from a </w:t>
      </w:r>
      <w:r w:rsidR="008E4BD5" w:rsidRPr="007B2402">
        <w:rPr>
          <w:rFonts w:eastAsia="Calibri" w:cs="Times New Roman"/>
          <w:szCs w:val="20"/>
          <w:lang w:val="en-US"/>
        </w:rPr>
        <w:t>rod of wood or metal with his arms and feet bound. In this position, other methods of torture were applied, such as near-drowning, beating, sexual abuse and electric shocks;</w:t>
      </w:r>
      <w:r w:rsidRPr="007B2402">
        <w:rPr>
          <w:vertAlign w:val="superscript"/>
          <w:lang w:val="en-US"/>
        </w:rPr>
        <w:footnoteReference w:id="231"/>
      </w:r>
    </w:p>
    <w:p w14:paraId="183F80DB" w14:textId="55231962" w:rsidR="008A40E6" w:rsidRPr="007B2402" w:rsidRDefault="000744A8" w:rsidP="008A40E6">
      <w:pPr>
        <w:pStyle w:val="Prrafodelista"/>
        <w:numPr>
          <w:ilvl w:val="0"/>
          <w:numId w:val="15"/>
        </w:numPr>
        <w:spacing w:after="60"/>
        <w:contextualSpacing w:val="0"/>
        <w:rPr>
          <w:rFonts w:eastAsia="Calibri" w:cs="Times New Roman"/>
          <w:szCs w:val="20"/>
          <w:lang w:val="en-US"/>
        </w:rPr>
      </w:pPr>
      <w:r w:rsidRPr="007B2402">
        <w:rPr>
          <w:rFonts w:eastAsia="Calibri" w:cs="Times New Roman"/>
          <w:i/>
          <w:iCs/>
          <w:szCs w:val="20"/>
          <w:lang w:val="en-US"/>
        </w:rPr>
        <w:t>U</w:t>
      </w:r>
      <w:r w:rsidR="008E4BD5" w:rsidRPr="007B2402">
        <w:rPr>
          <w:rFonts w:eastAsia="Calibri" w:cs="Times New Roman"/>
          <w:i/>
          <w:iCs/>
          <w:szCs w:val="20"/>
          <w:lang w:val="en-US"/>
        </w:rPr>
        <w:t xml:space="preserve">se of animals: </w:t>
      </w:r>
      <w:r w:rsidR="008E4BD5" w:rsidRPr="007B2402">
        <w:rPr>
          <w:rFonts w:eastAsia="Calibri" w:cs="Times New Roman"/>
          <w:szCs w:val="20"/>
          <w:lang w:val="en-US"/>
        </w:rPr>
        <w:t>political prisoners were confronted by the most varied types of animals, including dogs, rats, caimans, snakes and beetles, that were thrown at the victim or even introduced into part of his body;</w:t>
      </w:r>
      <w:r w:rsidRPr="007B2402">
        <w:rPr>
          <w:vertAlign w:val="superscript"/>
          <w:lang w:val="en-US"/>
        </w:rPr>
        <w:footnoteReference w:id="232"/>
      </w:r>
    </w:p>
    <w:p w14:paraId="573EFD64" w14:textId="7A0D2E79" w:rsidR="008A40E6" w:rsidRPr="007B2402" w:rsidRDefault="008E4BD5" w:rsidP="008A40E6">
      <w:pPr>
        <w:pStyle w:val="Prrafodelista"/>
        <w:numPr>
          <w:ilvl w:val="0"/>
          <w:numId w:val="15"/>
        </w:numPr>
        <w:spacing w:after="60"/>
        <w:contextualSpacing w:val="0"/>
        <w:rPr>
          <w:rFonts w:eastAsia="Calibri" w:cs="Times New Roman"/>
          <w:szCs w:val="20"/>
          <w:lang w:val="en-US"/>
        </w:rPr>
      </w:pPr>
      <w:r w:rsidRPr="007B2402">
        <w:rPr>
          <w:rFonts w:eastAsia="Calibri" w:cs="Times New Roman"/>
          <w:i/>
          <w:szCs w:val="20"/>
          <w:lang w:val="en-US"/>
        </w:rPr>
        <w:t>Christ’s crown</w:t>
      </w:r>
      <w:r w:rsidR="000744A8" w:rsidRPr="007B2402">
        <w:rPr>
          <w:rFonts w:eastAsia="Calibri" w:cs="Times New Roman"/>
          <w:i/>
          <w:szCs w:val="20"/>
          <w:lang w:val="en-US"/>
        </w:rPr>
        <w:t>:</w:t>
      </w:r>
      <w:r w:rsidR="000744A8" w:rsidRPr="007B2402">
        <w:rPr>
          <w:rFonts w:eastAsia="Calibri" w:cs="Times New Roman"/>
          <w:szCs w:val="20"/>
          <w:lang w:val="en-US"/>
        </w:rPr>
        <w:t xml:space="preserve"> </w:t>
      </w:r>
      <w:r w:rsidRPr="007B2402">
        <w:rPr>
          <w:rFonts w:eastAsia="Calibri" w:cs="Times New Roman"/>
          <w:szCs w:val="20"/>
          <w:lang w:val="en-US"/>
        </w:rPr>
        <w:t>a steel band around the head, with a pin/spike allowing it to be tightened;</w:t>
      </w:r>
      <w:r w:rsidR="000744A8" w:rsidRPr="007B2402">
        <w:rPr>
          <w:vertAlign w:val="superscript"/>
          <w:lang w:val="en-US"/>
        </w:rPr>
        <w:footnoteReference w:id="233"/>
      </w:r>
    </w:p>
    <w:p w14:paraId="268BC922" w14:textId="45E84353" w:rsidR="008A40E6" w:rsidRPr="007B2402" w:rsidRDefault="000744A8" w:rsidP="008A40E6">
      <w:pPr>
        <w:pStyle w:val="Prrafodelista"/>
        <w:numPr>
          <w:ilvl w:val="0"/>
          <w:numId w:val="15"/>
        </w:numPr>
        <w:spacing w:after="60"/>
        <w:contextualSpacing w:val="0"/>
        <w:rPr>
          <w:rFonts w:eastAsia="Calibri" w:cs="Times New Roman"/>
          <w:szCs w:val="20"/>
          <w:lang w:val="en-US"/>
        </w:rPr>
      </w:pPr>
      <w:r w:rsidRPr="007B2402">
        <w:rPr>
          <w:rFonts w:eastAsia="Calibri" w:cs="Times New Roman"/>
          <w:szCs w:val="20"/>
          <w:lang w:val="en-US"/>
        </w:rPr>
        <w:t>“</w:t>
      </w:r>
      <w:r w:rsidRPr="007B2402">
        <w:rPr>
          <w:rFonts w:eastAsia="Calibri" w:cs="Times New Roman"/>
          <w:i/>
          <w:szCs w:val="20"/>
          <w:lang w:val="en-US"/>
        </w:rPr>
        <w:t>Churrasquinho</w:t>
      </w:r>
      <w:r w:rsidRPr="007B2402">
        <w:rPr>
          <w:rFonts w:eastAsia="Calibri" w:cs="Times New Roman"/>
          <w:szCs w:val="20"/>
          <w:lang w:val="en-US"/>
        </w:rPr>
        <w:t>” (</w:t>
      </w:r>
      <w:r w:rsidR="008E4BD5" w:rsidRPr="007B2402">
        <w:rPr>
          <w:rFonts w:eastAsia="Calibri" w:cs="Times New Roman"/>
          <w:i/>
          <w:szCs w:val="20"/>
          <w:lang w:val="en-US"/>
        </w:rPr>
        <w:t>Barbecue</w:t>
      </w:r>
      <w:r w:rsidRPr="007B2402">
        <w:rPr>
          <w:rFonts w:eastAsia="Calibri" w:cs="Times New Roman"/>
          <w:szCs w:val="20"/>
          <w:lang w:val="en-US"/>
        </w:rPr>
        <w:t xml:space="preserve">): </w:t>
      </w:r>
      <w:r w:rsidR="008E4BD5" w:rsidRPr="007B2402">
        <w:rPr>
          <w:rFonts w:eastAsia="Calibri" w:cs="Times New Roman"/>
          <w:szCs w:val="20"/>
          <w:lang w:val="en-US"/>
        </w:rPr>
        <w:t>this consisted in setting part</w:t>
      </w:r>
      <w:r w:rsidR="006617E7" w:rsidRPr="007B2402">
        <w:rPr>
          <w:rFonts w:eastAsia="Calibri" w:cs="Times New Roman"/>
          <w:szCs w:val="20"/>
          <w:lang w:val="en-US"/>
        </w:rPr>
        <w:t>s</w:t>
      </w:r>
      <w:r w:rsidR="008E4BD5" w:rsidRPr="007B2402">
        <w:rPr>
          <w:rFonts w:eastAsia="Calibri" w:cs="Times New Roman"/>
          <w:szCs w:val="20"/>
          <w:lang w:val="en-US"/>
        </w:rPr>
        <w:t xml:space="preserve"> of the victim’s body on fire after soaking them with alcohol;</w:t>
      </w:r>
      <w:r w:rsidRPr="007B2402">
        <w:rPr>
          <w:vertAlign w:val="superscript"/>
          <w:lang w:val="en-US"/>
        </w:rPr>
        <w:footnoteReference w:id="234"/>
      </w:r>
    </w:p>
    <w:p w14:paraId="5BAFF517" w14:textId="0B939E67" w:rsidR="000744A8" w:rsidRPr="007B2402" w:rsidRDefault="000744A8" w:rsidP="0095214E">
      <w:pPr>
        <w:pStyle w:val="Prrafodelista"/>
        <w:numPr>
          <w:ilvl w:val="0"/>
          <w:numId w:val="15"/>
        </w:numPr>
        <w:spacing w:after="60"/>
        <w:contextualSpacing w:val="0"/>
        <w:rPr>
          <w:rFonts w:eastAsia="Calibri" w:cs="Times New Roman"/>
          <w:szCs w:val="20"/>
          <w:lang w:val="en-US"/>
        </w:rPr>
      </w:pPr>
      <w:r w:rsidRPr="007B2402">
        <w:rPr>
          <w:rFonts w:eastAsia="Calibri" w:cs="Times New Roman"/>
          <w:i/>
          <w:szCs w:val="20"/>
          <w:lang w:val="en-US"/>
        </w:rPr>
        <w:t>Ot</w:t>
      </w:r>
      <w:r w:rsidR="00B51BAC" w:rsidRPr="007B2402">
        <w:rPr>
          <w:rFonts w:eastAsia="Calibri" w:cs="Times New Roman"/>
          <w:i/>
          <w:szCs w:val="20"/>
          <w:lang w:val="en-US"/>
        </w:rPr>
        <w:t xml:space="preserve">her forms of torture: </w:t>
      </w:r>
      <w:r w:rsidR="00B51BAC" w:rsidRPr="007B2402">
        <w:rPr>
          <w:rFonts w:eastAsia="Calibri" w:cs="Times New Roman"/>
          <w:iCs/>
          <w:szCs w:val="20"/>
          <w:lang w:val="en-US"/>
        </w:rPr>
        <w:t xml:space="preserve">these were carried out alone or together and included, burning some part of the body with cigarettes; using pliers to pull out bodily hair (especially pubic hairs), teeth and/or nails; obliging a thirsty victim to drink brine; introducing steel sponges or wool in the anus and then applying electric shocks; tying a nylon thread between the testicles and the toes and obliging the victim to walk; </w:t>
      </w:r>
      <w:r w:rsidR="0095214E" w:rsidRPr="007B2402">
        <w:rPr>
          <w:rFonts w:eastAsia="Calibri" w:cs="Times New Roman"/>
          <w:iCs/>
          <w:szCs w:val="20"/>
          <w:lang w:val="en-US"/>
        </w:rPr>
        <w:t>flogging</w:t>
      </w:r>
      <w:r w:rsidR="00B51BAC" w:rsidRPr="007B2402">
        <w:rPr>
          <w:rFonts w:eastAsia="Calibri" w:cs="Times New Roman"/>
          <w:iCs/>
          <w:szCs w:val="20"/>
          <w:lang w:val="en-US"/>
        </w:rPr>
        <w:t>; tying victims to the bars on the cell windows; tying a victim to a boat and dragging him through the water; tying up the penis so the victim could not urinate; suffocation; making victims drink water from the lavatory; whipping, spitting on, keepin</w:t>
      </w:r>
      <w:r w:rsidR="006617E7" w:rsidRPr="007B2402">
        <w:rPr>
          <w:rFonts w:eastAsia="Calibri" w:cs="Times New Roman"/>
          <w:iCs/>
          <w:szCs w:val="20"/>
          <w:lang w:val="en-US"/>
        </w:rPr>
        <w:t>g</w:t>
      </w:r>
      <w:r w:rsidR="00B51BAC" w:rsidRPr="007B2402">
        <w:rPr>
          <w:rFonts w:eastAsia="Calibri" w:cs="Times New Roman"/>
          <w:iCs/>
          <w:szCs w:val="20"/>
          <w:lang w:val="en-US"/>
        </w:rPr>
        <w:t xml:space="preserve"> in isolation in dirty, damp, cold and unlit cells; using a hammer on a victim’s  fingers; burying alive; forcing the victim to carry out physic</w:t>
      </w:r>
      <w:r w:rsidR="006617E7" w:rsidRPr="007B2402">
        <w:rPr>
          <w:rFonts w:eastAsia="Calibri" w:cs="Times New Roman"/>
          <w:iCs/>
          <w:szCs w:val="20"/>
          <w:lang w:val="en-US"/>
        </w:rPr>
        <w:t>a</w:t>
      </w:r>
      <w:r w:rsidR="00B51BAC" w:rsidRPr="007B2402">
        <w:rPr>
          <w:rFonts w:eastAsia="Calibri" w:cs="Times New Roman"/>
          <w:iCs/>
          <w:szCs w:val="20"/>
          <w:lang w:val="en-US"/>
        </w:rPr>
        <w:t>l exercises; strangulation; Russian roulette, cutting off ears, mutilation and the most common of all, beatings</w:t>
      </w:r>
      <w:r w:rsidR="0095214E" w:rsidRPr="007B2402">
        <w:rPr>
          <w:rFonts w:eastAsia="Calibri" w:cs="Times New Roman"/>
          <w:iCs/>
          <w:szCs w:val="20"/>
          <w:lang w:val="en-US"/>
        </w:rPr>
        <w:t>;</w:t>
      </w:r>
      <w:r w:rsidRPr="007B2402">
        <w:rPr>
          <w:vertAlign w:val="superscript"/>
          <w:lang w:val="en-US"/>
        </w:rPr>
        <w:footnoteReference w:id="235"/>
      </w:r>
    </w:p>
    <w:p w14:paraId="085A6819" w14:textId="39307A82" w:rsidR="008A40E6" w:rsidRPr="007B2402" w:rsidRDefault="0095214E" w:rsidP="008A40E6">
      <w:pPr>
        <w:pStyle w:val="Prrafodelista"/>
        <w:numPr>
          <w:ilvl w:val="0"/>
          <w:numId w:val="31"/>
        </w:numPr>
        <w:spacing w:after="60"/>
        <w:ind w:left="1134"/>
        <w:contextualSpacing w:val="0"/>
        <w:rPr>
          <w:rFonts w:eastAsia="Calibri" w:cs="Times New Roman"/>
          <w:szCs w:val="20"/>
          <w:lang w:val="en-US"/>
        </w:rPr>
      </w:pPr>
      <w:r w:rsidRPr="007B2402">
        <w:rPr>
          <w:rFonts w:eastAsia="Calibri" w:cs="Times New Roman"/>
          <w:szCs w:val="20"/>
          <w:lang w:val="en-US"/>
        </w:rPr>
        <w:t xml:space="preserve">Psychological torture: </w:t>
      </w:r>
      <w:r w:rsidR="000744A8" w:rsidRPr="007B2402">
        <w:rPr>
          <w:rFonts w:eastAsia="Calibri" w:cs="Times New Roman"/>
          <w:szCs w:val="20"/>
          <w:lang w:val="en-US"/>
        </w:rPr>
        <w:t>intimida</w:t>
      </w:r>
      <w:r w:rsidRPr="007B2402">
        <w:rPr>
          <w:rFonts w:eastAsia="Calibri" w:cs="Times New Roman"/>
          <w:szCs w:val="20"/>
          <w:lang w:val="en-US"/>
        </w:rPr>
        <w:t>tion, extreme and credible threats to the physical integrity and life of the victim or of third parties, and humiliation:</w:t>
      </w:r>
      <w:r w:rsidR="000744A8" w:rsidRPr="007B2402">
        <w:rPr>
          <w:vertAlign w:val="superscript"/>
          <w:lang w:val="en-US"/>
        </w:rPr>
        <w:footnoteReference w:id="236"/>
      </w:r>
      <w:r w:rsidR="000744A8" w:rsidRPr="007B2402">
        <w:rPr>
          <w:rFonts w:eastAsia="Calibri" w:cs="Times New Roman"/>
          <w:szCs w:val="20"/>
          <w:lang w:val="en-US"/>
        </w:rPr>
        <w:t xml:space="preserve"> </w:t>
      </w:r>
    </w:p>
    <w:p w14:paraId="0F583A69" w14:textId="2E9EBB62" w:rsidR="008A40E6" w:rsidRPr="007B2402" w:rsidRDefault="0095214E" w:rsidP="0095214E">
      <w:pPr>
        <w:pStyle w:val="Prrafodelista"/>
        <w:numPr>
          <w:ilvl w:val="3"/>
          <w:numId w:val="6"/>
        </w:numPr>
        <w:spacing w:after="60"/>
        <w:ind w:left="1843"/>
        <w:contextualSpacing w:val="0"/>
        <w:rPr>
          <w:rFonts w:eastAsia="Calibri" w:cs="Times New Roman"/>
          <w:szCs w:val="20"/>
          <w:lang w:val="en-US"/>
        </w:rPr>
      </w:pPr>
      <w:r w:rsidRPr="007B2402">
        <w:rPr>
          <w:rFonts w:eastAsia="Calibri" w:cs="Times New Roman"/>
          <w:i/>
          <w:iCs/>
          <w:szCs w:val="20"/>
          <w:lang w:val="en-US"/>
        </w:rPr>
        <w:t>Physical-mental torture</w:t>
      </w:r>
      <w:r w:rsidRPr="007B2402">
        <w:rPr>
          <w:rFonts w:eastAsia="Calibri" w:cs="Times New Roman"/>
          <w:szCs w:val="20"/>
          <w:lang w:val="en-US"/>
        </w:rPr>
        <w:t xml:space="preserve">: placing the detainee in a straitjacket; obliging him to remain for hours handcuffed or tied to </w:t>
      </w:r>
      <w:r w:rsidR="006617E7" w:rsidRPr="007B2402">
        <w:rPr>
          <w:rFonts w:eastAsia="Calibri" w:cs="Times New Roman"/>
          <w:szCs w:val="20"/>
          <w:lang w:val="en-US"/>
        </w:rPr>
        <w:t xml:space="preserve">a </w:t>
      </w:r>
      <w:r w:rsidRPr="007B2402">
        <w:rPr>
          <w:rFonts w:eastAsia="Calibri" w:cs="Times New Roman"/>
          <w:szCs w:val="20"/>
          <w:lang w:val="en-US"/>
        </w:rPr>
        <w:t>bed o</w:t>
      </w:r>
      <w:r w:rsidR="006617E7" w:rsidRPr="007B2402">
        <w:rPr>
          <w:rFonts w:eastAsia="Calibri" w:cs="Times New Roman"/>
          <w:szCs w:val="20"/>
          <w:lang w:val="en-US"/>
        </w:rPr>
        <w:t>r</w:t>
      </w:r>
      <w:r w:rsidRPr="007B2402">
        <w:rPr>
          <w:rFonts w:eastAsia="Calibri" w:cs="Times New Roman"/>
          <w:szCs w:val="20"/>
          <w:lang w:val="en-US"/>
        </w:rPr>
        <w:t xml:space="preserve"> stretcher; keeping him for many days with his eyes covered or with a hood on his head; keeping the detainee without food, drink or sleep; keeping the victim in solitary confinement, and turnin</w:t>
      </w:r>
      <w:r w:rsidR="006617E7" w:rsidRPr="007B2402">
        <w:rPr>
          <w:rFonts w:eastAsia="Calibri" w:cs="Times New Roman"/>
          <w:szCs w:val="20"/>
          <w:lang w:val="en-US"/>
        </w:rPr>
        <w:t>g</w:t>
      </w:r>
      <w:r w:rsidRPr="007B2402">
        <w:rPr>
          <w:rFonts w:eastAsia="Calibri" w:cs="Times New Roman"/>
          <w:szCs w:val="20"/>
          <w:lang w:val="en-US"/>
        </w:rPr>
        <w:t xml:space="preserve"> bright lights on the victim;</w:t>
      </w:r>
      <w:r w:rsidR="000744A8" w:rsidRPr="007B2402">
        <w:rPr>
          <w:vertAlign w:val="superscript"/>
          <w:lang w:val="en-US"/>
        </w:rPr>
        <w:footnoteReference w:id="237"/>
      </w:r>
    </w:p>
    <w:p w14:paraId="46C591E1" w14:textId="3F72A2CD" w:rsidR="008A40E6" w:rsidRPr="007B2402" w:rsidRDefault="0095214E" w:rsidP="0047512F">
      <w:pPr>
        <w:pStyle w:val="Prrafodelista"/>
        <w:numPr>
          <w:ilvl w:val="3"/>
          <w:numId w:val="6"/>
        </w:numPr>
        <w:spacing w:after="60"/>
        <w:ind w:left="1843"/>
        <w:contextualSpacing w:val="0"/>
        <w:rPr>
          <w:lang w:val="en-US"/>
        </w:rPr>
      </w:pPr>
      <w:r w:rsidRPr="007B2402">
        <w:rPr>
          <w:rFonts w:eastAsia="Calibri" w:cs="Times New Roman"/>
          <w:i/>
          <w:szCs w:val="20"/>
          <w:lang w:val="en-US"/>
        </w:rPr>
        <w:t>Threats</w:t>
      </w:r>
      <w:r w:rsidR="000744A8" w:rsidRPr="007B2402">
        <w:rPr>
          <w:rFonts w:eastAsia="Calibri" w:cs="Times New Roman"/>
          <w:szCs w:val="20"/>
          <w:lang w:val="en-US"/>
        </w:rPr>
        <w:t xml:space="preserve">: </w:t>
      </w:r>
      <w:r w:rsidRPr="007B2402">
        <w:rPr>
          <w:rFonts w:eastAsia="Calibri" w:cs="Times New Roman"/>
          <w:szCs w:val="20"/>
          <w:lang w:val="en-US"/>
        </w:rPr>
        <w:t>these were used to frighten victims and were the most frequent form of psychological torture</w:t>
      </w:r>
      <w:r w:rsidR="000744A8" w:rsidRPr="007B2402">
        <w:rPr>
          <w:rFonts w:eastAsia="Calibri" w:cs="Times New Roman"/>
          <w:szCs w:val="20"/>
          <w:lang w:val="en-US"/>
        </w:rPr>
        <w:t xml:space="preserve">. </w:t>
      </w:r>
      <w:r w:rsidRPr="007B2402">
        <w:rPr>
          <w:rFonts w:eastAsia="Calibri" w:cs="Times New Roman"/>
          <w:szCs w:val="20"/>
          <w:lang w:val="en-US"/>
        </w:rPr>
        <w:t>The threats included</w:t>
      </w:r>
      <w:r w:rsidR="000744A8" w:rsidRPr="007B2402">
        <w:rPr>
          <w:rFonts w:eastAsia="Calibri" w:cs="Times New Roman"/>
          <w:szCs w:val="20"/>
          <w:lang w:val="en-US"/>
        </w:rPr>
        <w:t xml:space="preserve">: </w:t>
      </w:r>
      <w:r w:rsidR="0047512F" w:rsidRPr="007B2402">
        <w:rPr>
          <w:rFonts w:eastAsia="Calibri" w:cs="Times New Roman"/>
          <w:szCs w:val="20"/>
          <w:lang w:val="en-US"/>
        </w:rPr>
        <w:t xml:space="preserve">making the victim or a </w:t>
      </w:r>
      <w:r w:rsidR="0047512F" w:rsidRPr="007B2402">
        <w:rPr>
          <w:rFonts w:eastAsia="Calibri" w:cs="Times New Roman"/>
          <w:szCs w:val="20"/>
          <w:lang w:val="en-US"/>
        </w:rPr>
        <w:lastRenderedPageBreak/>
        <w:t>family member abort; drowning; suffocation; placing animals in the body; obliging the victim to eat faeces; handing over the prisioner to another more violent repressive unit; strangulation; rape of a family member; shooting; killing; detaining a family member; rape; brainwashing and mutilation of some part of the body. There were also death threats involving actions such as: obliging the prisoner to dig his own grave, dance with a corpse, or play Russian roulette, amont others,</w:t>
      </w:r>
      <w:r w:rsidR="000744A8" w:rsidRPr="007B2402">
        <w:rPr>
          <w:vertAlign w:val="superscript"/>
          <w:lang w:val="en-US"/>
        </w:rPr>
        <w:footnoteReference w:id="238"/>
      </w:r>
      <w:r w:rsidR="005B1590" w:rsidRPr="007B2402">
        <w:rPr>
          <w:rFonts w:eastAsia="Calibri" w:cs="Times New Roman"/>
          <w:szCs w:val="20"/>
          <w:lang w:val="en-US"/>
        </w:rPr>
        <w:t xml:space="preserve"> and </w:t>
      </w:r>
    </w:p>
    <w:p w14:paraId="247A465F" w14:textId="1E7BF668" w:rsidR="000744A8" w:rsidRPr="007B2402" w:rsidRDefault="0047512F" w:rsidP="00E24A9D">
      <w:pPr>
        <w:pStyle w:val="Prrafodelista"/>
        <w:numPr>
          <w:ilvl w:val="3"/>
          <w:numId w:val="6"/>
        </w:numPr>
        <w:ind w:left="1843"/>
        <w:rPr>
          <w:rFonts w:eastAsia="Calibri" w:cs="Times New Roman"/>
          <w:szCs w:val="20"/>
          <w:lang w:val="en-US"/>
        </w:rPr>
      </w:pPr>
      <w:r w:rsidRPr="007B2402">
        <w:rPr>
          <w:rFonts w:eastAsia="Calibri" w:cs="Times New Roman"/>
          <w:szCs w:val="20"/>
          <w:lang w:val="en-US"/>
        </w:rPr>
        <w:t xml:space="preserve">Threats against family members and friends: including pregnant women and small children or, even, torturing friends in front of the victim, so that he </w:t>
      </w:r>
      <w:r w:rsidR="00E24A9D" w:rsidRPr="007B2402">
        <w:rPr>
          <w:rFonts w:eastAsia="Calibri" w:cs="Times New Roman"/>
          <w:szCs w:val="20"/>
          <w:lang w:val="en-US"/>
        </w:rPr>
        <w:t>w</w:t>
      </w:r>
      <w:r w:rsidRPr="007B2402">
        <w:rPr>
          <w:rFonts w:eastAsia="Calibri" w:cs="Times New Roman"/>
          <w:szCs w:val="20"/>
          <w:lang w:val="en-US"/>
        </w:rPr>
        <w:t xml:space="preserve">ould feel guilty owing to the acts of the torturers and the suffering of those </w:t>
      </w:r>
      <w:r w:rsidR="00E24A9D" w:rsidRPr="007B2402">
        <w:rPr>
          <w:rFonts w:eastAsia="Calibri" w:cs="Times New Roman"/>
          <w:szCs w:val="20"/>
          <w:lang w:val="en-US"/>
        </w:rPr>
        <w:t>who</w:t>
      </w:r>
      <w:r w:rsidRPr="007B2402">
        <w:rPr>
          <w:rFonts w:eastAsia="Calibri" w:cs="Times New Roman"/>
          <w:szCs w:val="20"/>
          <w:lang w:val="en-US"/>
        </w:rPr>
        <w:t xml:space="preserve"> were dear to him.</w:t>
      </w:r>
      <w:r w:rsidR="000744A8" w:rsidRPr="007B2402">
        <w:rPr>
          <w:vertAlign w:val="superscript"/>
          <w:lang w:val="en-US"/>
        </w:rPr>
        <w:footnoteReference w:id="239"/>
      </w:r>
      <w:r w:rsidR="000744A8" w:rsidRPr="007B2402">
        <w:rPr>
          <w:rFonts w:eastAsia="Calibri" w:cs="Times New Roman"/>
          <w:szCs w:val="20"/>
          <w:lang w:val="en-US"/>
        </w:rPr>
        <w:t xml:space="preserve"> </w:t>
      </w:r>
    </w:p>
    <w:p w14:paraId="01EA77FE" w14:textId="77777777" w:rsidR="000744A8" w:rsidRPr="007B2402" w:rsidRDefault="000744A8" w:rsidP="00CB65A8">
      <w:pPr>
        <w:pStyle w:val="Textocomentario"/>
        <w:rPr>
          <w:rFonts w:eastAsia="Calibri" w:cs="Times New Roman"/>
          <w:noProof w:val="0"/>
          <w:lang w:val="en-US"/>
        </w:rPr>
      </w:pPr>
    </w:p>
    <w:p w14:paraId="5EE828A3" w14:textId="62E5F20A" w:rsidR="00A573C4" w:rsidRPr="007B2402" w:rsidRDefault="0047512F" w:rsidP="0047512F">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The facts described leave no doubt that the detention, torture and murder of</w:t>
      </w:r>
      <w:r w:rsidR="000744A8" w:rsidRPr="007B2402">
        <w:rPr>
          <w:rFonts w:eastAsia="Calibri" w:cs="Times New Roman"/>
          <w:szCs w:val="20"/>
          <w:lang w:val="en-US"/>
        </w:rPr>
        <w:t xml:space="preserve"> Vladimir Herzog </w:t>
      </w:r>
      <w:r w:rsidRPr="007B2402">
        <w:rPr>
          <w:rFonts w:eastAsia="Calibri" w:cs="Times New Roman"/>
          <w:szCs w:val="20"/>
          <w:lang w:val="en-US"/>
        </w:rPr>
        <w:t xml:space="preserve">were, indeed, committed by State agents who were members of the </w:t>
      </w:r>
      <w:r w:rsidR="00E24A9D" w:rsidRPr="007B2402">
        <w:rPr>
          <w:rFonts w:eastAsia="Calibri" w:cs="Times New Roman"/>
          <w:szCs w:val="20"/>
          <w:lang w:val="en-US"/>
        </w:rPr>
        <w:t xml:space="preserve">Second Army’s </w:t>
      </w:r>
      <w:r w:rsidR="000744A8" w:rsidRPr="007B2402">
        <w:rPr>
          <w:rFonts w:eastAsia="Calibri" w:cs="Times New Roman"/>
          <w:szCs w:val="20"/>
          <w:lang w:val="en-US"/>
        </w:rPr>
        <w:t xml:space="preserve">DOI/CODI </w:t>
      </w:r>
      <w:r w:rsidR="00E24A9D" w:rsidRPr="007B2402">
        <w:rPr>
          <w:rFonts w:eastAsia="Calibri" w:cs="Times New Roman"/>
          <w:szCs w:val="20"/>
          <w:lang w:val="en-US"/>
        </w:rPr>
        <w:t>in São Paulo</w:t>
      </w:r>
      <w:r w:rsidRPr="007B2402">
        <w:rPr>
          <w:rFonts w:eastAsia="Calibri" w:cs="Times New Roman"/>
          <w:szCs w:val="20"/>
          <w:lang w:val="en-US"/>
        </w:rPr>
        <w:t xml:space="preserve">, as part of a plan to carry out a widespread and systematic attack against the civilian population who were considered as “opposing” the dictatorship and, in particular, </w:t>
      </w:r>
      <w:r w:rsidR="00E24A9D" w:rsidRPr="007B2402">
        <w:rPr>
          <w:rFonts w:eastAsia="Calibri" w:cs="Times New Roman"/>
          <w:szCs w:val="20"/>
          <w:lang w:val="en-US"/>
        </w:rPr>
        <w:t>in</w:t>
      </w:r>
      <w:r w:rsidRPr="007B2402">
        <w:rPr>
          <w:rFonts w:eastAsia="Calibri" w:cs="Times New Roman"/>
          <w:szCs w:val="20"/>
          <w:lang w:val="en-US"/>
        </w:rPr>
        <w:t xml:space="preserve"> this case, journalists and supposed members of the Brazilian Community Party. Mr. Herzog’s torture and death were not an accident, but rather the consequence of a</w:t>
      </w:r>
      <w:r w:rsidR="002D6970" w:rsidRPr="007B2402">
        <w:rPr>
          <w:rFonts w:eastAsia="Calibri" w:cs="Times New Roman"/>
          <w:szCs w:val="20"/>
          <w:lang w:val="en-US"/>
        </w:rPr>
        <w:t xml:space="preserve">n extremely well-organized </w:t>
      </w:r>
      <w:r w:rsidRPr="007B2402">
        <w:rPr>
          <w:rFonts w:eastAsia="Calibri" w:cs="Times New Roman"/>
          <w:szCs w:val="20"/>
          <w:lang w:val="en-US"/>
        </w:rPr>
        <w:t>repressive machine</w:t>
      </w:r>
      <w:r w:rsidR="002D6970" w:rsidRPr="007B2402">
        <w:rPr>
          <w:rFonts w:eastAsia="Calibri" w:cs="Times New Roman"/>
          <w:szCs w:val="20"/>
          <w:lang w:val="en-US"/>
        </w:rPr>
        <w:t xml:space="preserve">, structured to act in this way and to eliminate physically any party-based or democratic opposition to the dictatorship, using practices and techniques documented, approved and closely monitored by </w:t>
      </w:r>
      <w:r w:rsidR="00E24A9D" w:rsidRPr="007B2402">
        <w:rPr>
          <w:rFonts w:eastAsia="Calibri" w:cs="Times New Roman"/>
          <w:szCs w:val="20"/>
          <w:lang w:val="en-US"/>
        </w:rPr>
        <w:t>the heads</w:t>
      </w:r>
      <w:r w:rsidR="002D6970" w:rsidRPr="007B2402">
        <w:rPr>
          <w:rFonts w:eastAsia="Calibri" w:cs="Times New Roman"/>
          <w:szCs w:val="20"/>
          <w:lang w:val="en-US"/>
        </w:rPr>
        <w:t xml:space="preserve"> of the Army and the Executive Power. Specifically, his detention was part of Operation Radar, which had been set up to “combat” the PCB. Dozens of journalists and members of the PCB had been detained and tortured before Mr. Herzog and continued to be detained and tortured afterwards as a result of the systematic action of the dictatorship to dismantle and eliminate its presumed opponents. The Brazilian State, through </w:t>
      </w:r>
      <w:r w:rsidR="005B1590" w:rsidRPr="007B2402">
        <w:rPr>
          <w:rFonts w:eastAsia="Calibri" w:cs="Times New Roman"/>
          <w:szCs w:val="20"/>
          <w:lang w:val="en-US"/>
        </w:rPr>
        <w:t xml:space="preserve">the </w:t>
      </w:r>
      <w:r w:rsidR="007E15B0" w:rsidRPr="007B2402">
        <w:rPr>
          <w:rFonts w:eastAsia="Calibri" w:cs="Times New Roman"/>
          <w:szCs w:val="20"/>
          <w:lang w:val="en-US"/>
        </w:rPr>
        <w:t>National Truth Commission</w:t>
      </w:r>
      <w:r w:rsidR="000744A8" w:rsidRPr="007B2402">
        <w:rPr>
          <w:rFonts w:eastAsia="Calibri" w:cs="Times New Roman"/>
          <w:szCs w:val="20"/>
          <w:lang w:val="en-US"/>
        </w:rPr>
        <w:t>, confir</w:t>
      </w:r>
      <w:r w:rsidR="002D6970" w:rsidRPr="007B2402">
        <w:rPr>
          <w:rFonts w:eastAsia="Calibri" w:cs="Times New Roman"/>
          <w:szCs w:val="20"/>
          <w:lang w:val="en-US"/>
        </w:rPr>
        <w:t xml:space="preserve">med this conclusion in </w:t>
      </w:r>
      <w:r w:rsidR="00E24A9D" w:rsidRPr="007B2402">
        <w:rPr>
          <w:rFonts w:eastAsia="Calibri" w:cs="Times New Roman"/>
          <w:szCs w:val="20"/>
          <w:lang w:val="en-US"/>
        </w:rPr>
        <w:t>the Commission’s</w:t>
      </w:r>
      <w:r w:rsidR="002D6970" w:rsidRPr="007B2402">
        <w:rPr>
          <w:rFonts w:eastAsia="Calibri" w:cs="Times New Roman"/>
          <w:szCs w:val="20"/>
          <w:lang w:val="en-US"/>
        </w:rPr>
        <w:t xml:space="preserve"> Final Report published in </w:t>
      </w:r>
      <w:r w:rsidR="000744A8" w:rsidRPr="007B2402">
        <w:rPr>
          <w:rFonts w:eastAsia="Calibri" w:cs="Times New Roman"/>
          <w:szCs w:val="20"/>
          <w:lang w:val="en-US"/>
        </w:rPr>
        <w:t>2014.</w:t>
      </w:r>
    </w:p>
    <w:p w14:paraId="6870A994" w14:textId="77777777" w:rsidR="000744A8" w:rsidRPr="007B2402" w:rsidRDefault="000744A8" w:rsidP="000744A8">
      <w:pPr>
        <w:spacing w:after="0" w:line="240" w:lineRule="auto"/>
        <w:jc w:val="both"/>
        <w:rPr>
          <w:rFonts w:eastAsia="Calibri" w:cs="Times New Roman"/>
          <w:szCs w:val="20"/>
          <w:lang w:val="en-US"/>
        </w:rPr>
      </w:pPr>
    </w:p>
    <w:p w14:paraId="452686E8" w14:textId="6814F2D3" w:rsidR="000744A8" w:rsidRPr="007B2402" w:rsidRDefault="00AF4344"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The Court</w:t>
      </w:r>
      <w:r w:rsidR="000744A8" w:rsidRPr="007B2402">
        <w:rPr>
          <w:rFonts w:eastAsia="Calibri" w:cs="Times New Roman"/>
          <w:szCs w:val="20"/>
          <w:lang w:val="en-US"/>
        </w:rPr>
        <w:t xml:space="preserve"> conclu</w:t>
      </w:r>
      <w:r w:rsidR="002D6970" w:rsidRPr="007B2402">
        <w:rPr>
          <w:rFonts w:eastAsia="Calibri" w:cs="Times New Roman"/>
          <w:szCs w:val="20"/>
          <w:lang w:val="en-US"/>
        </w:rPr>
        <w:t xml:space="preserve">des that the acts perpetrated against </w:t>
      </w:r>
      <w:r w:rsidR="000744A8" w:rsidRPr="007B2402">
        <w:rPr>
          <w:rFonts w:eastAsia="Calibri" w:cs="Times New Roman"/>
          <w:szCs w:val="20"/>
          <w:lang w:val="en-US"/>
        </w:rPr>
        <w:t xml:space="preserve">Vladimir Herzog </w:t>
      </w:r>
      <w:r w:rsidR="002D6970" w:rsidRPr="007B2402">
        <w:rPr>
          <w:rFonts w:eastAsia="Calibri" w:cs="Times New Roman"/>
          <w:szCs w:val="20"/>
          <w:lang w:val="en-US"/>
        </w:rPr>
        <w:t xml:space="preserve">should be considered a </w:t>
      </w:r>
      <w:r w:rsidR="00810476" w:rsidRPr="007B2402">
        <w:rPr>
          <w:rFonts w:eastAsia="Calibri" w:cs="Times New Roman"/>
          <w:szCs w:val="20"/>
          <w:lang w:val="en-US"/>
        </w:rPr>
        <w:t>crime against humanity</w:t>
      </w:r>
      <w:r w:rsidR="000744A8" w:rsidRPr="007B2402">
        <w:rPr>
          <w:rFonts w:eastAsia="Calibri" w:cs="Times New Roman"/>
          <w:szCs w:val="20"/>
          <w:lang w:val="en-US"/>
        </w:rPr>
        <w:t xml:space="preserve">, </w:t>
      </w:r>
      <w:r w:rsidR="002D6970" w:rsidRPr="007B2402">
        <w:rPr>
          <w:rFonts w:eastAsia="Calibri" w:cs="Times New Roman"/>
          <w:szCs w:val="20"/>
          <w:lang w:val="en-US"/>
        </w:rPr>
        <w:t>as this has been defined by international law since</w:t>
      </w:r>
      <w:r w:rsidR="00E24A9D" w:rsidRPr="007B2402">
        <w:rPr>
          <w:rFonts w:eastAsia="Calibri" w:cs="Times New Roman"/>
          <w:szCs w:val="20"/>
          <w:lang w:val="en-US"/>
        </w:rPr>
        <w:t xml:space="preserve"> 1945</w:t>
      </w:r>
      <w:r w:rsidR="002D6970" w:rsidRPr="007B2402">
        <w:rPr>
          <w:rFonts w:eastAsia="Calibri" w:cs="Times New Roman"/>
          <w:szCs w:val="20"/>
          <w:lang w:val="en-US"/>
        </w:rPr>
        <w:t>, at least</w:t>
      </w:r>
      <w:r w:rsidR="000744A8" w:rsidRPr="007B2402">
        <w:rPr>
          <w:rFonts w:eastAsia="Calibri" w:cs="Times New Roman"/>
          <w:szCs w:val="20"/>
          <w:lang w:val="en-US"/>
        </w:rPr>
        <w:t xml:space="preserve"> (</w:t>
      </w:r>
      <w:r w:rsidR="000744A8" w:rsidRPr="007B2402">
        <w:rPr>
          <w:rFonts w:eastAsia="Calibri" w:cs="Times New Roman"/>
          <w:i/>
          <w:szCs w:val="20"/>
          <w:lang w:val="en-US"/>
        </w:rPr>
        <w:t xml:space="preserve">supra </w:t>
      </w:r>
      <w:r w:rsidR="00892CA3" w:rsidRPr="007B2402">
        <w:rPr>
          <w:rFonts w:eastAsia="Calibri" w:cs="Times New Roman"/>
          <w:szCs w:val="20"/>
          <w:lang w:val="en-US"/>
        </w:rPr>
        <w:t>paras.</w:t>
      </w:r>
      <w:r w:rsidR="000744A8" w:rsidRPr="007B2402">
        <w:rPr>
          <w:rFonts w:eastAsia="Calibri" w:cs="Times New Roman"/>
          <w:szCs w:val="20"/>
          <w:lang w:val="en-US"/>
        </w:rPr>
        <w:t xml:space="preserve"> </w:t>
      </w:r>
      <w:r w:rsidR="00DF19F7" w:rsidRPr="007B2402">
        <w:rPr>
          <w:rFonts w:eastAsia="Calibri" w:cs="Times New Roman"/>
          <w:szCs w:val="20"/>
          <w:lang w:val="en-US"/>
        </w:rPr>
        <w:t>2</w:t>
      </w:r>
      <w:r w:rsidR="00270A4F" w:rsidRPr="007B2402">
        <w:rPr>
          <w:rFonts w:eastAsia="Calibri" w:cs="Times New Roman"/>
          <w:szCs w:val="20"/>
          <w:lang w:val="en-US"/>
        </w:rPr>
        <w:t>1</w:t>
      </w:r>
      <w:r w:rsidR="00DF19F7" w:rsidRPr="007B2402">
        <w:rPr>
          <w:rFonts w:eastAsia="Calibri" w:cs="Times New Roman"/>
          <w:szCs w:val="20"/>
          <w:lang w:val="en-US"/>
        </w:rPr>
        <w:t xml:space="preserve">1 </w:t>
      </w:r>
      <w:r w:rsidR="002D6970" w:rsidRPr="007B2402">
        <w:rPr>
          <w:rFonts w:eastAsia="Calibri" w:cs="Times New Roman"/>
          <w:szCs w:val="20"/>
          <w:lang w:val="en-US"/>
        </w:rPr>
        <w:t>to</w:t>
      </w:r>
      <w:r w:rsidR="00DF19F7" w:rsidRPr="007B2402">
        <w:rPr>
          <w:rFonts w:eastAsia="Calibri" w:cs="Times New Roman"/>
          <w:szCs w:val="20"/>
          <w:lang w:val="en-US"/>
        </w:rPr>
        <w:t xml:space="preserve"> 228</w:t>
      </w:r>
      <w:r w:rsidR="000744A8" w:rsidRPr="007B2402">
        <w:rPr>
          <w:rFonts w:eastAsia="Calibri" w:cs="Times New Roman"/>
          <w:szCs w:val="20"/>
          <w:lang w:val="en-US"/>
        </w:rPr>
        <w:t>). A</w:t>
      </w:r>
      <w:r w:rsidR="002D6970" w:rsidRPr="007B2402">
        <w:rPr>
          <w:rFonts w:eastAsia="Calibri" w:cs="Times New Roman"/>
          <w:szCs w:val="20"/>
          <w:lang w:val="en-US"/>
        </w:rPr>
        <w:t>lso, as indicated in the judgment in the c</w:t>
      </w:r>
      <w:r w:rsidR="00D05845" w:rsidRPr="007B2402">
        <w:rPr>
          <w:rFonts w:eastAsia="Calibri" w:cs="Times New Roman"/>
          <w:szCs w:val="20"/>
          <w:lang w:val="en-US"/>
        </w:rPr>
        <w:t>ase of</w:t>
      </w:r>
      <w:r w:rsidR="000744A8" w:rsidRPr="007B2402">
        <w:rPr>
          <w:rFonts w:eastAsia="Calibri" w:cs="Times New Roman"/>
          <w:szCs w:val="20"/>
          <w:lang w:val="en-US"/>
        </w:rPr>
        <w:t xml:space="preserve"> </w:t>
      </w:r>
      <w:r w:rsidR="000744A8" w:rsidRPr="007B2402">
        <w:rPr>
          <w:rFonts w:eastAsia="Calibri" w:cs="Times New Roman"/>
          <w:i/>
          <w:szCs w:val="20"/>
          <w:lang w:val="en-US"/>
        </w:rPr>
        <w:t>Almonacid Arellano</w:t>
      </w:r>
      <w:r w:rsidR="000744A8" w:rsidRPr="007B2402">
        <w:rPr>
          <w:rFonts w:eastAsia="Calibri" w:cs="Times New Roman"/>
          <w:szCs w:val="20"/>
          <w:lang w:val="en-US"/>
        </w:rPr>
        <w:t xml:space="preserve">, </w:t>
      </w:r>
      <w:r w:rsidR="002D6970" w:rsidRPr="007B2402">
        <w:rPr>
          <w:rFonts w:eastAsia="Calibri" w:cs="Times New Roman"/>
          <w:szCs w:val="20"/>
          <w:lang w:val="en-US"/>
        </w:rPr>
        <w:t xml:space="preserve">at the time of the relevant facts of the case (October 25, 1975), the prohibition of </w:t>
      </w:r>
      <w:r w:rsidR="00955D71" w:rsidRPr="007B2402">
        <w:rPr>
          <w:rFonts w:eastAsia="Calibri" w:cs="Times New Roman"/>
          <w:szCs w:val="20"/>
          <w:lang w:val="en-US"/>
        </w:rPr>
        <w:t>crimes under international</w:t>
      </w:r>
      <w:r w:rsidR="002D6970" w:rsidRPr="007B2402">
        <w:rPr>
          <w:rFonts w:eastAsia="Calibri" w:cs="Times New Roman"/>
          <w:szCs w:val="20"/>
          <w:lang w:val="en-US"/>
        </w:rPr>
        <w:t xml:space="preserve"> law </w:t>
      </w:r>
      <w:r w:rsidR="005B1590" w:rsidRPr="007B2402">
        <w:rPr>
          <w:rFonts w:eastAsia="Calibri" w:cs="Times New Roman"/>
          <w:szCs w:val="20"/>
          <w:lang w:val="en-US"/>
        </w:rPr>
        <w:t xml:space="preserve">and </w:t>
      </w:r>
      <w:r w:rsidR="00844CE7" w:rsidRPr="007B2402">
        <w:rPr>
          <w:rFonts w:eastAsia="Calibri" w:cs="Times New Roman"/>
          <w:szCs w:val="20"/>
          <w:lang w:val="en-US"/>
        </w:rPr>
        <w:t>crimes against humanity</w:t>
      </w:r>
      <w:r w:rsidR="000744A8" w:rsidRPr="007B2402">
        <w:rPr>
          <w:rFonts w:eastAsia="Calibri" w:cs="Times New Roman"/>
          <w:szCs w:val="20"/>
          <w:lang w:val="en-US"/>
        </w:rPr>
        <w:t xml:space="preserve"> ha</w:t>
      </w:r>
      <w:r w:rsidR="002D6970" w:rsidRPr="007B2402">
        <w:rPr>
          <w:rFonts w:eastAsia="Calibri" w:cs="Times New Roman"/>
          <w:szCs w:val="20"/>
          <w:lang w:val="en-US"/>
        </w:rPr>
        <w:t xml:space="preserve">d achieved the status of a peremptory norm of international law </w:t>
      </w:r>
      <w:r w:rsidR="000744A8" w:rsidRPr="007B2402">
        <w:rPr>
          <w:rFonts w:eastAsia="Calibri" w:cs="Times New Roman"/>
          <w:szCs w:val="20"/>
          <w:lang w:val="en-US"/>
        </w:rPr>
        <w:t>(</w:t>
      </w:r>
      <w:r w:rsidR="000744A8" w:rsidRPr="007B2402">
        <w:rPr>
          <w:rFonts w:eastAsia="Calibri" w:cs="Times New Roman"/>
          <w:i/>
          <w:szCs w:val="20"/>
          <w:lang w:val="en-US"/>
        </w:rPr>
        <w:t>jus cogens</w:t>
      </w:r>
      <w:r w:rsidR="000744A8" w:rsidRPr="007B2402">
        <w:rPr>
          <w:rFonts w:eastAsia="Calibri" w:cs="Times New Roman"/>
          <w:szCs w:val="20"/>
          <w:lang w:val="en-US"/>
        </w:rPr>
        <w:t xml:space="preserve">), </w:t>
      </w:r>
      <w:r w:rsidR="002D6970" w:rsidRPr="007B2402">
        <w:rPr>
          <w:rFonts w:eastAsia="Calibri" w:cs="Times New Roman"/>
          <w:szCs w:val="20"/>
          <w:lang w:val="en-US"/>
        </w:rPr>
        <w:t xml:space="preserve">which imposed on the State of Brazil and, indeed, on the whole international community, the obligation to investigate, prosecute and punish those responsible for such conducts, because they constitute a threat to the peace and security of the international community </w:t>
      </w:r>
      <w:r w:rsidR="000744A8" w:rsidRPr="007B2402">
        <w:rPr>
          <w:rFonts w:eastAsia="Calibri" w:cs="Times New Roman"/>
          <w:szCs w:val="20"/>
          <w:lang w:val="en-US"/>
        </w:rPr>
        <w:t>(</w:t>
      </w:r>
      <w:r w:rsidR="000744A8" w:rsidRPr="007B2402">
        <w:rPr>
          <w:rFonts w:eastAsia="Calibri" w:cs="Times New Roman"/>
          <w:i/>
          <w:szCs w:val="20"/>
          <w:lang w:val="en-US"/>
        </w:rPr>
        <w:t xml:space="preserve">supra </w:t>
      </w:r>
      <w:r w:rsidR="005B1590" w:rsidRPr="007B2402">
        <w:rPr>
          <w:rFonts w:eastAsia="Calibri" w:cs="Times New Roman"/>
          <w:szCs w:val="20"/>
          <w:lang w:val="en-US"/>
        </w:rPr>
        <w:t>para.</w:t>
      </w:r>
      <w:r w:rsidR="000744A8" w:rsidRPr="007B2402">
        <w:rPr>
          <w:rFonts w:eastAsia="Calibri" w:cs="Times New Roman"/>
          <w:szCs w:val="20"/>
          <w:lang w:val="en-US"/>
        </w:rPr>
        <w:t xml:space="preserve"> </w:t>
      </w:r>
      <w:r w:rsidR="002D5B32" w:rsidRPr="007B2402">
        <w:rPr>
          <w:rFonts w:eastAsia="Calibri" w:cs="Times New Roman"/>
          <w:szCs w:val="20"/>
          <w:lang w:val="en-US"/>
        </w:rPr>
        <w:t>212</w:t>
      </w:r>
      <w:r w:rsidR="000744A8" w:rsidRPr="007B2402">
        <w:rPr>
          <w:rFonts w:eastAsia="Calibri" w:cs="Times New Roman"/>
          <w:szCs w:val="20"/>
          <w:lang w:val="en-US"/>
        </w:rPr>
        <w:t xml:space="preserve">). </w:t>
      </w:r>
    </w:p>
    <w:p w14:paraId="72123A96" w14:textId="77777777" w:rsidR="000744A8" w:rsidRPr="007B2402" w:rsidRDefault="000744A8" w:rsidP="000744A8">
      <w:pPr>
        <w:spacing w:after="0" w:line="240" w:lineRule="auto"/>
        <w:jc w:val="both"/>
        <w:rPr>
          <w:rFonts w:eastAsia="Calibri" w:cs="Times New Roman"/>
          <w:szCs w:val="20"/>
          <w:lang w:val="en-US"/>
        </w:rPr>
      </w:pPr>
    </w:p>
    <w:p w14:paraId="405E7132" w14:textId="5EAB19B9" w:rsidR="000744A8" w:rsidRPr="007B2402" w:rsidRDefault="000744A8" w:rsidP="00915B86">
      <w:pPr>
        <w:pStyle w:val="Prrafodelista"/>
        <w:numPr>
          <w:ilvl w:val="0"/>
          <w:numId w:val="20"/>
        </w:numPr>
        <w:ind w:hanging="371"/>
        <w:outlineLvl w:val="3"/>
        <w:rPr>
          <w:rFonts w:eastAsia="Calibri" w:cs="Times New Roman"/>
          <w:i/>
          <w:szCs w:val="20"/>
          <w:lang w:val="en-US"/>
        </w:rPr>
      </w:pPr>
      <w:r w:rsidRPr="007B2402">
        <w:rPr>
          <w:rFonts w:eastAsia="Calibri" w:cs="Times New Roman"/>
          <w:i/>
          <w:szCs w:val="20"/>
          <w:lang w:val="en-US"/>
        </w:rPr>
        <w:t>Obliga</w:t>
      </w:r>
      <w:r w:rsidR="00FB4A7A" w:rsidRPr="007B2402">
        <w:rPr>
          <w:rFonts w:eastAsia="Calibri" w:cs="Times New Roman"/>
          <w:i/>
          <w:szCs w:val="20"/>
          <w:lang w:val="en-US"/>
        </w:rPr>
        <w:t>tion</w:t>
      </w:r>
      <w:r w:rsidRPr="007B2402">
        <w:rPr>
          <w:rFonts w:eastAsia="Calibri" w:cs="Times New Roman"/>
          <w:i/>
          <w:szCs w:val="20"/>
          <w:lang w:val="en-US"/>
        </w:rPr>
        <w:t>s</w:t>
      </w:r>
      <w:r w:rsidR="006E2CFF" w:rsidRPr="007B2402">
        <w:rPr>
          <w:rFonts w:eastAsia="Calibri" w:cs="Times New Roman"/>
          <w:i/>
          <w:szCs w:val="20"/>
          <w:lang w:val="en-US"/>
        </w:rPr>
        <w:t xml:space="preserve"> of the </w:t>
      </w:r>
      <w:r w:rsidR="00AF4344" w:rsidRPr="007B2402">
        <w:rPr>
          <w:rFonts w:eastAsia="Calibri" w:cs="Times New Roman"/>
          <w:i/>
          <w:szCs w:val="20"/>
          <w:lang w:val="en-US"/>
        </w:rPr>
        <w:t>State</w:t>
      </w:r>
      <w:r w:rsidRPr="007B2402">
        <w:rPr>
          <w:rFonts w:eastAsia="Calibri" w:cs="Times New Roman"/>
          <w:i/>
          <w:szCs w:val="20"/>
          <w:lang w:val="en-US"/>
        </w:rPr>
        <w:t xml:space="preserve"> </w:t>
      </w:r>
      <w:r w:rsidR="00FB4A7A" w:rsidRPr="007B2402">
        <w:rPr>
          <w:rFonts w:eastAsia="Calibri" w:cs="Times New Roman"/>
          <w:i/>
          <w:szCs w:val="20"/>
          <w:lang w:val="en-US"/>
        </w:rPr>
        <w:t>following the classification of</w:t>
      </w:r>
      <w:r w:rsidRPr="007B2402">
        <w:rPr>
          <w:rFonts w:eastAsia="Calibri" w:cs="Times New Roman"/>
          <w:i/>
          <w:szCs w:val="20"/>
          <w:lang w:val="en-US"/>
        </w:rPr>
        <w:t xml:space="preserve"> </w:t>
      </w:r>
      <w:r w:rsidR="008B5281" w:rsidRPr="007B2402">
        <w:rPr>
          <w:rFonts w:eastAsia="Calibri" w:cs="Times New Roman"/>
          <w:i/>
          <w:szCs w:val="20"/>
          <w:lang w:val="en-US"/>
        </w:rPr>
        <w:t xml:space="preserve">the torture and murder of Vladimir Herzog </w:t>
      </w:r>
      <w:r w:rsidR="00FB4A7A" w:rsidRPr="007B2402">
        <w:rPr>
          <w:rFonts w:eastAsia="Calibri" w:cs="Times New Roman"/>
          <w:i/>
          <w:szCs w:val="20"/>
          <w:lang w:val="en-US"/>
        </w:rPr>
        <w:t>as a crime against humanity</w:t>
      </w:r>
      <w:r w:rsidRPr="007B2402">
        <w:rPr>
          <w:rFonts w:eastAsia="Calibri" w:cs="Times New Roman"/>
          <w:i/>
          <w:szCs w:val="20"/>
          <w:lang w:val="en-US"/>
        </w:rPr>
        <w:t xml:space="preserve"> </w:t>
      </w:r>
    </w:p>
    <w:p w14:paraId="022969CD" w14:textId="77777777" w:rsidR="000744A8" w:rsidRPr="007B2402" w:rsidRDefault="000744A8" w:rsidP="000744A8">
      <w:pPr>
        <w:spacing w:after="0" w:line="240" w:lineRule="auto"/>
        <w:jc w:val="both"/>
        <w:rPr>
          <w:rFonts w:eastAsia="Calibri" w:cs="Times New Roman"/>
          <w:szCs w:val="20"/>
          <w:lang w:val="en-US"/>
        </w:rPr>
      </w:pPr>
    </w:p>
    <w:p w14:paraId="09CCA0C3" w14:textId="6085FAE3" w:rsidR="000744A8" w:rsidRPr="007B2402" w:rsidRDefault="008C1960" w:rsidP="008C1960">
      <w:pPr>
        <w:numPr>
          <w:ilvl w:val="0"/>
          <w:numId w:val="6"/>
        </w:numPr>
        <w:spacing w:after="0" w:line="240" w:lineRule="auto"/>
        <w:contextualSpacing/>
        <w:jc w:val="both"/>
        <w:rPr>
          <w:rFonts w:eastAsia="Verdana" w:cs="Verdana"/>
          <w:szCs w:val="20"/>
          <w:lang w:val="en-US"/>
        </w:rPr>
      </w:pPr>
      <w:r w:rsidRPr="007B2402">
        <w:rPr>
          <w:rFonts w:eastAsia="Verdana" w:cs="Verdana"/>
          <w:szCs w:val="20"/>
          <w:lang w:val="en-US"/>
        </w:rPr>
        <w:t>I</w:t>
      </w:r>
      <w:r w:rsidR="000744A8" w:rsidRPr="007B2402">
        <w:rPr>
          <w:rFonts w:eastAsia="Verdana" w:cs="Verdana"/>
          <w:szCs w:val="20"/>
          <w:lang w:val="en-US"/>
        </w:rPr>
        <w:t>n</w:t>
      </w:r>
      <w:r w:rsidR="000744A8" w:rsidRPr="007B2402">
        <w:rPr>
          <w:rFonts w:eastAsia="Verdana" w:cs="Verdana"/>
          <w:spacing w:val="4"/>
          <w:szCs w:val="20"/>
          <w:lang w:val="en-US"/>
        </w:rPr>
        <w:t xml:space="preserve"> </w:t>
      </w:r>
      <w:r w:rsidR="000744A8" w:rsidRPr="007B2402">
        <w:rPr>
          <w:rFonts w:eastAsia="Verdana" w:cs="Verdana"/>
          <w:szCs w:val="20"/>
          <w:lang w:val="en-US"/>
        </w:rPr>
        <w:t>cas</w:t>
      </w:r>
      <w:r w:rsidRPr="007B2402">
        <w:rPr>
          <w:rFonts w:eastAsia="Verdana" w:cs="Verdana"/>
          <w:szCs w:val="20"/>
          <w:lang w:val="en-US"/>
        </w:rPr>
        <w:t>e</w:t>
      </w:r>
      <w:r w:rsidR="000744A8" w:rsidRPr="007B2402">
        <w:rPr>
          <w:rFonts w:eastAsia="Verdana" w:cs="Verdana"/>
          <w:szCs w:val="20"/>
          <w:lang w:val="en-US"/>
        </w:rPr>
        <w:t xml:space="preserve">s </w:t>
      </w:r>
      <w:r w:rsidRPr="007B2402">
        <w:rPr>
          <w:rFonts w:eastAsia="Verdana" w:cs="Verdana"/>
          <w:szCs w:val="20"/>
          <w:lang w:val="en-US"/>
        </w:rPr>
        <w:t>i</w:t>
      </w:r>
      <w:r w:rsidR="000744A8" w:rsidRPr="007B2402">
        <w:rPr>
          <w:rFonts w:eastAsia="Verdana" w:cs="Verdana"/>
          <w:szCs w:val="20"/>
          <w:lang w:val="en-US"/>
        </w:rPr>
        <w:t>n</w:t>
      </w:r>
      <w:r w:rsidRPr="007B2402">
        <w:rPr>
          <w:rFonts w:eastAsia="Verdana" w:cs="Verdana"/>
          <w:szCs w:val="20"/>
          <w:lang w:val="en-US"/>
        </w:rPr>
        <w:t xml:space="preserve"> which it is alleged that facts occurred that constitute torture and extrajudicial execution, it is essential that State</w:t>
      </w:r>
      <w:r w:rsidR="00E24A9D" w:rsidRPr="007B2402">
        <w:rPr>
          <w:rFonts w:eastAsia="Verdana" w:cs="Verdana"/>
          <w:szCs w:val="20"/>
          <w:lang w:val="en-US"/>
        </w:rPr>
        <w:t>s</w:t>
      </w:r>
      <w:r w:rsidRPr="007B2402">
        <w:rPr>
          <w:rFonts w:eastAsia="Verdana" w:cs="Verdana"/>
          <w:szCs w:val="20"/>
          <w:lang w:val="en-US"/>
        </w:rPr>
        <w:t xml:space="preserve"> conduct an effective investigation into the arbitrary deprivation of the right to life recognized in </w:t>
      </w:r>
      <w:r w:rsidR="00AF4344" w:rsidRPr="007B2402">
        <w:rPr>
          <w:rFonts w:eastAsia="Verdana" w:cs="Verdana"/>
          <w:szCs w:val="20"/>
          <w:lang w:val="en-US"/>
        </w:rPr>
        <w:t>Article</w:t>
      </w:r>
      <w:r w:rsidR="000744A8" w:rsidRPr="007B2402">
        <w:rPr>
          <w:rFonts w:eastAsia="Verdana" w:cs="Verdana"/>
          <w:szCs w:val="20"/>
          <w:lang w:val="en-US"/>
        </w:rPr>
        <w:t xml:space="preserve"> 4</w:t>
      </w:r>
      <w:r w:rsidR="00AF4344" w:rsidRPr="007B2402">
        <w:rPr>
          <w:rFonts w:eastAsia="Verdana" w:cs="Verdana"/>
          <w:szCs w:val="20"/>
          <w:lang w:val="en-US"/>
        </w:rPr>
        <w:t xml:space="preserve"> of the Convention</w:t>
      </w:r>
      <w:r w:rsidR="000744A8" w:rsidRPr="007B2402">
        <w:rPr>
          <w:rFonts w:eastAsia="Verdana" w:cs="Verdana"/>
          <w:szCs w:val="20"/>
          <w:lang w:val="en-US"/>
        </w:rPr>
        <w:t xml:space="preserve">, </w:t>
      </w:r>
      <w:r w:rsidRPr="007B2402">
        <w:rPr>
          <w:rFonts w:eastAsia="Verdana" w:cs="Verdana"/>
          <w:szCs w:val="20"/>
          <w:lang w:val="en-US"/>
        </w:rPr>
        <w:t xml:space="preserve">aimed at determining the truth and at the </w:t>
      </w:r>
      <w:r w:rsidR="00E24A9D" w:rsidRPr="007B2402">
        <w:rPr>
          <w:rFonts w:eastAsia="Verdana" w:cs="Verdana"/>
          <w:szCs w:val="20"/>
          <w:lang w:val="en-US"/>
        </w:rPr>
        <w:t>identification</w:t>
      </w:r>
      <w:r w:rsidRPr="007B2402">
        <w:rPr>
          <w:rFonts w:eastAsia="Verdana" w:cs="Verdana"/>
          <w:szCs w:val="20"/>
          <w:lang w:val="en-US"/>
        </w:rPr>
        <w:t>, capture, prosecution and eventual punishment of the perpetrators.</w:t>
      </w:r>
      <w:r w:rsidR="000744A8" w:rsidRPr="007B2402">
        <w:rPr>
          <w:rFonts w:eastAsia="Verdana" w:cs="Times New Roman"/>
          <w:szCs w:val="20"/>
          <w:vertAlign w:val="superscript"/>
          <w:lang w:val="en-US"/>
        </w:rPr>
        <w:footnoteReference w:id="240"/>
      </w:r>
      <w:r w:rsidRPr="007B2402">
        <w:rPr>
          <w:rFonts w:eastAsia="Verdana" w:cs="Verdana"/>
          <w:szCs w:val="20"/>
          <w:lang w:val="en-US"/>
        </w:rPr>
        <w:t xml:space="preserve"> This obligation acquires special </w:t>
      </w:r>
      <w:r w:rsidR="005959D1" w:rsidRPr="007B2402">
        <w:rPr>
          <w:rFonts w:eastAsia="Verdana" w:cs="Verdana"/>
          <w:szCs w:val="20"/>
          <w:lang w:val="en-US"/>
        </w:rPr>
        <w:t>significance</w:t>
      </w:r>
      <w:r w:rsidRPr="007B2402">
        <w:rPr>
          <w:rFonts w:eastAsia="Verdana" w:cs="Verdana"/>
          <w:szCs w:val="20"/>
          <w:lang w:val="en-US"/>
        </w:rPr>
        <w:t xml:space="preserve"> when State agents are or </w:t>
      </w:r>
      <w:r w:rsidRPr="007B2402">
        <w:rPr>
          <w:rFonts w:eastAsia="Verdana" w:cs="Verdana"/>
          <w:szCs w:val="20"/>
          <w:lang w:val="en-US"/>
        </w:rPr>
        <w:lastRenderedPageBreak/>
        <w:t>could be involved</w:t>
      </w:r>
      <w:r w:rsidR="000744A8" w:rsidRPr="007B2402">
        <w:rPr>
          <w:rFonts w:eastAsia="Verdana" w:cs="Times New Roman"/>
          <w:szCs w:val="20"/>
          <w:vertAlign w:val="superscript"/>
          <w:lang w:val="en-US"/>
        </w:rPr>
        <w:footnoteReference w:id="241"/>
      </w:r>
      <w:r w:rsidRPr="007B2402">
        <w:rPr>
          <w:rFonts w:eastAsia="Verdana" w:cs="Verdana"/>
          <w:szCs w:val="20"/>
          <w:lang w:val="en-US"/>
        </w:rPr>
        <w:t xml:space="preserve"> because they have a monopoly of the use of force, and </w:t>
      </w:r>
      <w:r w:rsidR="00E24A9D" w:rsidRPr="007B2402">
        <w:rPr>
          <w:rFonts w:eastAsia="Verdana" w:cs="Verdana"/>
          <w:szCs w:val="20"/>
          <w:lang w:val="en-US"/>
        </w:rPr>
        <w:t>when there is</w:t>
      </w:r>
      <w:r w:rsidRPr="007B2402">
        <w:rPr>
          <w:rFonts w:eastAsia="Verdana" w:cs="Verdana"/>
          <w:szCs w:val="20"/>
          <w:lang w:val="en-US"/>
        </w:rPr>
        <w:t xml:space="preserve"> a proven context of </w:t>
      </w:r>
      <w:r w:rsidR="00844CE7" w:rsidRPr="007B2402">
        <w:rPr>
          <w:rFonts w:eastAsia="Verdana" w:cs="Verdana"/>
          <w:szCs w:val="20"/>
          <w:lang w:val="en-US"/>
        </w:rPr>
        <w:t>crimes against humanity</w:t>
      </w:r>
      <w:r w:rsidR="000744A8" w:rsidRPr="007B2402">
        <w:rPr>
          <w:rFonts w:eastAsia="Verdana" w:cs="Verdana"/>
          <w:szCs w:val="20"/>
          <w:lang w:val="en-US"/>
        </w:rPr>
        <w:t xml:space="preserve">. </w:t>
      </w:r>
      <w:r w:rsidRPr="007B2402">
        <w:rPr>
          <w:rFonts w:eastAsia="Verdana" w:cs="Verdana"/>
          <w:szCs w:val="20"/>
          <w:lang w:val="en-US"/>
        </w:rPr>
        <w:t>In addition, if the facts that violated human rights are not investigated properly, the public authorities would</w:t>
      </w:r>
      <w:r w:rsidR="00652956" w:rsidRPr="007B2402">
        <w:rPr>
          <w:rFonts w:eastAsia="Verdana" w:cs="Verdana"/>
          <w:szCs w:val="20"/>
          <w:lang w:val="en-US"/>
        </w:rPr>
        <w:t xml:space="preserve">, in a sense, be </w:t>
      </w:r>
      <w:r w:rsidR="00E24A9D" w:rsidRPr="007B2402">
        <w:rPr>
          <w:rFonts w:eastAsia="Verdana" w:cs="Verdana"/>
          <w:szCs w:val="20"/>
          <w:lang w:val="en-US"/>
        </w:rPr>
        <w:t>facilitating</w:t>
      </w:r>
      <w:r w:rsidR="00652956" w:rsidRPr="007B2402">
        <w:rPr>
          <w:rFonts w:eastAsia="Verdana" w:cs="Verdana"/>
          <w:szCs w:val="20"/>
          <w:lang w:val="en-US"/>
        </w:rPr>
        <w:t xml:space="preserve"> them, which could involve the international responsibility </w:t>
      </w:r>
      <w:r w:rsidR="006E2CFF" w:rsidRPr="007B2402">
        <w:rPr>
          <w:rFonts w:eastAsia="Verdana" w:cs="Verdana"/>
          <w:szCs w:val="20"/>
          <w:lang w:val="en-US"/>
        </w:rPr>
        <w:t xml:space="preserve">of the </w:t>
      </w:r>
      <w:r w:rsidR="00AF4344" w:rsidRPr="007B2402">
        <w:rPr>
          <w:rFonts w:eastAsia="Verdana" w:cs="Verdana"/>
          <w:szCs w:val="20"/>
          <w:lang w:val="en-US"/>
        </w:rPr>
        <w:t>State</w:t>
      </w:r>
      <w:r w:rsidR="00652956" w:rsidRPr="007B2402">
        <w:rPr>
          <w:rFonts w:eastAsia="Verdana" w:cs="Verdana"/>
          <w:szCs w:val="20"/>
          <w:lang w:val="en-US"/>
        </w:rPr>
        <w:t>.</w:t>
      </w:r>
      <w:r w:rsidR="000744A8" w:rsidRPr="007B2402">
        <w:rPr>
          <w:rFonts w:eastAsia="Verdana" w:cs="Times New Roman"/>
          <w:spacing w:val="3"/>
          <w:szCs w:val="20"/>
          <w:vertAlign w:val="superscript"/>
          <w:lang w:val="en-US"/>
        </w:rPr>
        <w:footnoteReference w:id="242"/>
      </w:r>
    </w:p>
    <w:p w14:paraId="0A4010AB" w14:textId="77777777" w:rsidR="000744A8" w:rsidRPr="007B2402" w:rsidRDefault="000744A8" w:rsidP="000744A8">
      <w:pPr>
        <w:spacing w:after="0" w:line="240" w:lineRule="auto"/>
        <w:jc w:val="both"/>
        <w:rPr>
          <w:rFonts w:eastAsia="Verdana" w:cs="Verdana"/>
          <w:spacing w:val="2"/>
          <w:szCs w:val="20"/>
          <w:lang w:val="en-US"/>
        </w:rPr>
      </w:pPr>
    </w:p>
    <w:p w14:paraId="56CC2097" w14:textId="396AAF22" w:rsidR="000744A8" w:rsidRPr="007B2402" w:rsidRDefault="00652956" w:rsidP="00DB1F30">
      <w:pPr>
        <w:numPr>
          <w:ilvl w:val="0"/>
          <w:numId w:val="6"/>
        </w:numPr>
        <w:spacing w:after="0" w:line="240" w:lineRule="auto"/>
        <w:contextualSpacing/>
        <w:jc w:val="both"/>
        <w:rPr>
          <w:rFonts w:eastAsia="Calibri" w:cs="Times New Roman"/>
          <w:szCs w:val="20"/>
          <w:lang w:val="en-US"/>
        </w:rPr>
      </w:pPr>
      <w:r w:rsidRPr="007B2402">
        <w:rPr>
          <w:rFonts w:eastAsia="Verdana" w:cs="Verdana"/>
          <w:spacing w:val="2"/>
          <w:szCs w:val="20"/>
          <w:lang w:val="en-US"/>
        </w:rPr>
        <w:t xml:space="preserve">Based on the fact that the crimes perpetrated against </w:t>
      </w:r>
      <w:r w:rsidR="000744A8" w:rsidRPr="007B2402">
        <w:rPr>
          <w:rFonts w:eastAsia="Verdana" w:cs="Verdana"/>
          <w:spacing w:val="2"/>
          <w:szCs w:val="20"/>
          <w:lang w:val="en-US"/>
        </w:rPr>
        <w:t xml:space="preserve">Vladimir Herzog </w:t>
      </w:r>
      <w:r w:rsidR="000861F7" w:rsidRPr="007B2402">
        <w:rPr>
          <w:rFonts w:eastAsia="Verdana" w:cs="Verdana"/>
          <w:spacing w:val="2"/>
          <w:szCs w:val="20"/>
          <w:lang w:val="en-US"/>
        </w:rPr>
        <w:t>oc</w:t>
      </w:r>
      <w:r w:rsidRPr="007B2402">
        <w:rPr>
          <w:rFonts w:eastAsia="Verdana" w:cs="Verdana"/>
          <w:spacing w:val="2"/>
          <w:szCs w:val="20"/>
          <w:lang w:val="en-US"/>
        </w:rPr>
        <w:t>c</w:t>
      </w:r>
      <w:r w:rsidR="000861F7" w:rsidRPr="007B2402">
        <w:rPr>
          <w:rFonts w:eastAsia="Verdana" w:cs="Verdana"/>
          <w:spacing w:val="2"/>
          <w:szCs w:val="20"/>
          <w:lang w:val="en-US"/>
        </w:rPr>
        <w:t>urr</w:t>
      </w:r>
      <w:r w:rsidRPr="007B2402">
        <w:rPr>
          <w:rFonts w:eastAsia="Verdana" w:cs="Verdana"/>
          <w:spacing w:val="2"/>
          <w:szCs w:val="20"/>
          <w:lang w:val="en-US"/>
        </w:rPr>
        <w:t xml:space="preserve">ed in a context of </w:t>
      </w:r>
      <w:r w:rsidR="00844CE7" w:rsidRPr="007B2402">
        <w:rPr>
          <w:rFonts w:eastAsia="Verdana" w:cs="Verdana"/>
          <w:spacing w:val="2"/>
          <w:szCs w:val="20"/>
          <w:lang w:val="en-US"/>
        </w:rPr>
        <w:t>crimes against humanity</w:t>
      </w:r>
      <w:r w:rsidR="000744A8" w:rsidRPr="007B2402">
        <w:rPr>
          <w:rFonts w:eastAsia="Verdana" w:cs="Verdana"/>
          <w:spacing w:val="2"/>
          <w:szCs w:val="20"/>
          <w:lang w:val="en-US"/>
        </w:rPr>
        <w:t xml:space="preserve">, </w:t>
      </w:r>
      <w:r w:rsidRPr="007B2402">
        <w:rPr>
          <w:rFonts w:eastAsia="Verdana" w:cs="Verdana"/>
          <w:spacing w:val="2"/>
          <w:szCs w:val="20"/>
          <w:lang w:val="en-US"/>
        </w:rPr>
        <w:t xml:space="preserve">in violation of a peremptory norm of international law that, already at the time had </w:t>
      </w:r>
      <w:r w:rsidRPr="007B2402">
        <w:rPr>
          <w:rFonts w:eastAsia="Verdana" w:cs="Verdana"/>
          <w:i/>
          <w:iCs/>
          <w:spacing w:val="2"/>
          <w:szCs w:val="20"/>
          <w:lang w:val="en-US"/>
        </w:rPr>
        <w:t>erga omnes</w:t>
      </w:r>
      <w:r w:rsidRPr="007B2402">
        <w:rPr>
          <w:rFonts w:eastAsia="Verdana" w:cs="Verdana"/>
          <w:spacing w:val="2"/>
          <w:szCs w:val="20"/>
          <w:lang w:val="en-US"/>
        </w:rPr>
        <w:t xml:space="preserve"> effects, once the State became aware of the acts that constituted torture, it should have opened, </w:t>
      </w:r>
      <w:r w:rsidR="000744A8" w:rsidRPr="007B2402">
        <w:rPr>
          <w:rFonts w:eastAsia="Verdana" w:cs="Verdana"/>
          <w:i/>
          <w:spacing w:val="2"/>
          <w:szCs w:val="20"/>
          <w:lang w:val="en-US"/>
        </w:rPr>
        <w:t>ex officio</w:t>
      </w:r>
      <w:r w:rsidRPr="007B2402">
        <w:rPr>
          <w:rFonts w:eastAsia="Verdana" w:cs="Verdana"/>
          <w:i/>
          <w:spacing w:val="2"/>
          <w:szCs w:val="20"/>
          <w:lang w:val="en-US"/>
        </w:rPr>
        <w:t xml:space="preserve">, </w:t>
      </w:r>
      <w:r w:rsidRPr="007B2402">
        <w:rPr>
          <w:rFonts w:eastAsia="Verdana" w:cs="Verdana"/>
          <w:iCs/>
          <w:spacing w:val="2"/>
          <w:szCs w:val="20"/>
          <w:lang w:val="en-US"/>
        </w:rPr>
        <w:t>the pertinent</w:t>
      </w:r>
      <w:r w:rsidR="000744A8" w:rsidRPr="007B2402">
        <w:rPr>
          <w:rFonts w:eastAsia="Verdana" w:cs="Verdana"/>
          <w:spacing w:val="2"/>
          <w:szCs w:val="20"/>
          <w:lang w:val="en-US"/>
        </w:rPr>
        <w:t xml:space="preserve"> investiga</w:t>
      </w:r>
      <w:r w:rsidRPr="007B2402">
        <w:rPr>
          <w:rFonts w:eastAsia="Verdana" w:cs="Verdana"/>
          <w:spacing w:val="2"/>
          <w:szCs w:val="20"/>
          <w:lang w:val="en-US"/>
        </w:rPr>
        <w:t>tion in order to establish the corresponding individual responsibilities.</w:t>
      </w:r>
      <w:r w:rsidR="000744A8" w:rsidRPr="007B2402">
        <w:rPr>
          <w:rFonts w:eastAsia="Verdana" w:cs="Verdana"/>
          <w:spacing w:val="2"/>
          <w:szCs w:val="20"/>
          <w:vertAlign w:val="superscript"/>
          <w:lang w:val="en-US"/>
        </w:rPr>
        <w:footnoteReference w:id="243"/>
      </w:r>
    </w:p>
    <w:p w14:paraId="700B1F71" w14:textId="77777777" w:rsidR="000744A8" w:rsidRPr="007B2402" w:rsidRDefault="000744A8" w:rsidP="000744A8">
      <w:pPr>
        <w:spacing w:after="0" w:line="240" w:lineRule="auto"/>
        <w:jc w:val="both"/>
        <w:rPr>
          <w:rFonts w:eastAsia="Calibri" w:cs="Times New Roman"/>
          <w:szCs w:val="20"/>
          <w:lang w:val="en-US"/>
        </w:rPr>
      </w:pPr>
    </w:p>
    <w:p w14:paraId="75C21C25" w14:textId="72EB9121" w:rsidR="000744A8" w:rsidRPr="007B2402" w:rsidRDefault="007B14A1" w:rsidP="00915B86">
      <w:pPr>
        <w:pStyle w:val="Prrafodelista"/>
        <w:numPr>
          <w:ilvl w:val="0"/>
          <w:numId w:val="20"/>
        </w:numPr>
        <w:ind w:hanging="371"/>
        <w:outlineLvl w:val="3"/>
        <w:rPr>
          <w:rFonts w:eastAsia="Calibri" w:cs="Times New Roman"/>
          <w:i/>
          <w:szCs w:val="20"/>
          <w:lang w:val="en-US"/>
        </w:rPr>
      </w:pPr>
      <w:r w:rsidRPr="007B2402">
        <w:rPr>
          <w:rFonts w:eastAsia="Calibri" w:cs="Times New Roman"/>
          <w:i/>
          <w:szCs w:val="20"/>
          <w:lang w:val="en-US"/>
        </w:rPr>
        <w:t xml:space="preserve">Actions taken by the State </w:t>
      </w:r>
      <w:r w:rsidR="00FF2AAD" w:rsidRPr="007B2402">
        <w:rPr>
          <w:rFonts w:eastAsia="Calibri" w:cs="Times New Roman"/>
          <w:i/>
          <w:szCs w:val="20"/>
          <w:lang w:val="en-US"/>
        </w:rPr>
        <w:t>in this case</w:t>
      </w:r>
    </w:p>
    <w:p w14:paraId="32BEBF70" w14:textId="77777777" w:rsidR="000744A8" w:rsidRPr="007B2402" w:rsidRDefault="000744A8" w:rsidP="000744A8">
      <w:pPr>
        <w:spacing w:after="0" w:line="240" w:lineRule="auto"/>
        <w:jc w:val="both"/>
        <w:rPr>
          <w:rFonts w:eastAsia="Verdana" w:cs="Verdana"/>
          <w:spacing w:val="4"/>
          <w:szCs w:val="20"/>
          <w:lang w:val="en-US"/>
        </w:rPr>
      </w:pPr>
    </w:p>
    <w:p w14:paraId="5AC2F93D" w14:textId="10FF037C" w:rsidR="000744A8" w:rsidRPr="007B2402" w:rsidRDefault="00FF2AAD" w:rsidP="00DB1F30">
      <w:pPr>
        <w:numPr>
          <w:ilvl w:val="0"/>
          <w:numId w:val="6"/>
        </w:numPr>
        <w:spacing w:after="0" w:line="240" w:lineRule="auto"/>
        <w:contextualSpacing/>
        <w:jc w:val="both"/>
        <w:rPr>
          <w:rFonts w:eastAsia="Verdana" w:cs="Verdana"/>
          <w:spacing w:val="4"/>
          <w:szCs w:val="20"/>
          <w:lang w:val="en-US"/>
        </w:rPr>
      </w:pPr>
      <w:r w:rsidRPr="007B2402">
        <w:rPr>
          <w:rFonts w:eastAsia="Verdana" w:cs="Verdana"/>
          <w:spacing w:val="4"/>
          <w:szCs w:val="20"/>
          <w:lang w:val="en-US"/>
        </w:rPr>
        <w:t>The Court will now make a brief analysis of the initiatives taken by the State and the members of</w:t>
      </w:r>
      <w:r w:rsidR="000744A8" w:rsidRPr="007B2402">
        <w:rPr>
          <w:rFonts w:eastAsia="Verdana" w:cs="Verdana"/>
          <w:spacing w:val="4"/>
          <w:szCs w:val="20"/>
          <w:lang w:val="en-US"/>
        </w:rPr>
        <w:t xml:space="preserve"> Vladimir Herzog</w:t>
      </w:r>
      <w:r w:rsidRPr="007B2402">
        <w:rPr>
          <w:rFonts w:eastAsia="Verdana" w:cs="Verdana"/>
          <w:spacing w:val="4"/>
          <w:szCs w:val="20"/>
          <w:lang w:val="en-US"/>
        </w:rPr>
        <w:t xml:space="preserve">’s family before and after the acceptance of the Court’s jurisdiction. The Court recalls that the facts prior to </w:t>
      </w:r>
      <w:r w:rsidR="00D86EEA" w:rsidRPr="007B2402">
        <w:rPr>
          <w:rFonts w:eastAsia="Verdana" w:cs="Verdana"/>
          <w:spacing w:val="4"/>
          <w:szCs w:val="20"/>
          <w:lang w:val="en-US"/>
        </w:rPr>
        <w:t>December 10,</w:t>
      </w:r>
      <w:r w:rsidR="000744A8" w:rsidRPr="007B2402">
        <w:rPr>
          <w:rFonts w:eastAsia="Verdana" w:cs="Verdana"/>
          <w:spacing w:val="4"/>
          <w:szCs w:val="20"/>
          <w:lang w:val="en-US"/>
        </w:rPr>
        <w:t xml:space="preserve"> 1998</w:t>
      </w:r>
      <w:r w:rsidRPr="007B2402">
        <w:rPr>
          <w:rFonts w:eastAsia="Verdana" w:cs="Verdana"/>
          <w:spacing w:val="4"/>
          <w:szCs w:val="20"/>
          <w:lang w:val="en-US"/>
        </w:rPr>
        <w:t xml:space="preserve">, serve to determine the situation after that date </w:t>
      </w:r>
      <w:r w:rsidR="000C4CB0" w:rsidRPr="007B2402">
        <w:rPr>
          <w:rFonts w:eastAsia="Verdana" w:cs="Verdana"/>
          <w:spacing w:val="4"/>
          <w:szCs w:val="20"/>
          <w:lang w:val="en-US"/>
        </w:rPr>
        <w:t>on which Brazil accepted</w:t>
      </w:r>
      <w:r w:rsidR="00506989" w:rsidRPr="007B2402">
        <w:rPr>
          <w:rFonts w:eastAsia="Verdana" w:cs="Verdana"/>
          <w:spacing w:val="4"/>
          <w:szCs w:val="20"/>
          <w:lang w:val="en-US"/>
        </w:rPr>
        <w:t xml:space="preserve"> the Court</w:t>
      </w:r>
      <w:r w:rsidR="000C4CB0" w:rsidRPr="007B2402">
        <w:rPr>
          <w:rFonts w:eastAsia="Verdana" w:cs="Verdana"/>
          <w:spacing w:val="4"/>
          <w:szCs w:val="20"/>
          <w:lang w:val="en-US"/>
        </w:rPr>
        <w:t>’s</w:t>
      </w:r>
      <w:r w:rsidR="00506989" w:rsidRPr="007B2402">
        <w:rPr>
          <w:rFonts w:eastAsia="Verdana" w:cs="Verdana"/>
          <w:spacing w:val="4"/>
          <w:szCs w:val="20"/>
          <w:lang w:val="en-US"/>
        </w:rPr>
        <w:t xml:space="preserve"> competence to determine possible violations of </w:t>
      </w:r>
      <w:r w:rsidR="00AF4344" w:rsidRPr="007B2402">
        <w:rPr>
          <w:rFonts w:eastAsia="Verdana" w:cs="Verdana"/>
          <w:spacing w:val="4"/>
          <w:szCs w:val="20"/>
          <w:lang w:val="en-US"/>
        </w:rPr>
        <w:t>the American Convention on Human Rights</w:t>
      </w:r>
      <w:r w:rsidR="000744A8" w:rsidRPr="007B2402">
        <w:rPr>
          <w:rFonts w:eastAsia="Verdana" w:cs="Verdana"/>
          <w:spacing w:val="4"/>
          <w:szCs w:val="20"/>
          <w:lang w:val="en-US"/>
        </w:rPr>
        <w:t xml:space="preserve">. </w:t>
      </w:r>
    </w:p>
    <w:p w14:paraId="04E072EE" w14:textId="77777777" w:rsidR="005E7CC1" w:rsidRPr="007B2402" w:rsidRDefault="005E7CC1" w:rsidP="00532AD3">
      <w:pPr>
        <w:pStyle w:val="Prrafodelista"/>
        <w:ind w:left="709"/>
        <w:rPr>
          <w:rFonts w:eastAsia="Calibri" w:cs="Times New Roman"/>
          <w:i/>
          <w:noProof w:val="0"/>
          <w:szCs w:val="20"/>
          <w:lang w:val="en-US"/>
        </w:rPr>
      </w:pPr>
    </w:p>
    <w:p w14:paraId="31A5B8CD" w14:textId="77777777" w:rsidR="000744A8" w:rsidRPr="007B2402" w:rsidRDefault="000744A8" w:rsidP="005E7CC1">
      <w:pPr>
        <w:pStyle w:val="Prrafodelista"/>
        <w:numPr>
          <w:ilvl w:val="1"/>
          <w:numId w:val="6"/>
        </w:numPr>
        <w:outlineLvl w:val="4"/>
        <w:rPr>
          <w:rFonts w:eastAsia="Calibri" w:cs="Times New Roman"/>
          <w:i/>
          <w:szCs w:val="20"/>
          <w:lang w:val="en-US"/>
        </w:rPr>
      </w:pPr>
      <w:r w:rsidRPr="007B2402">
        <w:rPr>
          <w:rFonts w:eastAsia="Calibri" w:cs="Times New Roman"/>
          <w:i/>
          <w:szCs w:val="20"/>
          <w:lang w:val="en-US"/>
        </w:rPr>
        <w:t>IPM No. 1173-75</w:t>
      </w:r>
    </w:p>
    <w:p w14:paraId="3DAF6DFC" w14:textId="77777777" w:rsidR="000744A8" w:rsidRPr="007B2402" w:rsidRDefault="000744A8" w:rsidP="000744A8">
      <w:pPr>
        <w:spacing w:after="0" w:line="240" w:lineRule="auto"/>
        <w:jc w:val="both"/>
        <w:rPr>
          <w:rFonts w:eastAsia="Calibri" w:cs="Times New Roman"/>
          <w:szCs w:val="20"/>
          <w:lang w:val="en-US"/>
        </w:rPr>
      </w:pPr>
    </w:p>
    <w:p w14:paraId="0E1B2A67" w14:textId="410B833A" w:rsidR="000744A8" w:rsidRPr="007B2402" w:rsidRDefault="00506989" w:rsidP="00DB1F30">
      <w:pPr>
        <w:numPr>
          <w:ilvl w:val="0"/>
          <w:numId w:val="6"/>
        </w:numPr>
        <w:spacing w:after="0" w:line="240" w:lineRule="auto"/>
        <w:contextualSpacing/>
        <w:jc w:val="both"/>
        <w:rPr>
          <w:rFonts w:eastAsia="Calibri" w:cs="Times New Roman"/>
          <w:szCs w:val="20"/>
          <w:lang w:val="en-US"/>
        </w:rPr>
      </w:pPr>
      <w:r w:rsidRPr="007B2402">
        <w:rPr>
          <w:rFonts w:eastAsia="Calibri" w:cs="Times New Roman"/>
          <w:szCs w:val="20"/>
          <w:lang w:val="en-US"/>
        </w:rPr>
        <w:t xml:space="preserve">Owing to the public outcry following Mr. </w:t>
      </w:r>
      <w:r w:rsidR="000744A8" w:rsidRPr="007B2402">
        <w:rPr>
          <w:rFonts w:eastAsia="Calibri" w:cs="Times New Roman"/>
          <w:szCs w:val="20"/>
          <w:lang w:val="en-US"/>
        </w:rPr>
        <w:t>Herzog</w:t>
      </w:r>
      <w:r w:rsidR="000C4CB0" w:rsidRPr="007B2402">
        <w:rPr>
          <w:rFonts w:eastAsia="Calibri" w:cs="Times New Roman"/>
          <w:szCs w:val="20"/>
          <w:lang w:val="en-US"/>
        </w:rPr>
        <w:t>’s death</w:t>
      </w:r>
      <w:r w:rsidR="000744A8" w:rsidRPr="007B2402">
        <w:rPr>
          <w:rFonts w:eastAsia="Calibri" w:cs="Times New Roman"/>
          <w:szCs w:val="20"/>
          <w:lang w:val="en-US"/>
        </w:rPr>
        <w:t xml:space="preserve">, </w:t>
      </w:r>
      <w:r w:rsidRPr="007B2402">
        <w:rPr>
          <w:rFonts w:eastAsia="Calibri" w:cs="Times New Roman"/>
          <w:szCs w:val="20"/>
          <w:lang w:val="en-US"/>
        </w:rPr>
        <w:t>the</w:t>
      </w:r>
      <w:r w:rsidR="000744A8" w:rsidRPr="007B2402">
        <w:rPr>
          <w:rFonts w:eastAsia="Calibri" w:cs="Times New Roman"/>
          <w:szCs w:val="20"/>
          <w:lang w:val="en-US"/>
        </w:rPr>
        <w:t xml:space="preserve"> </w:t>
      </w:r>
      <w:r w:rsidR="00BE2A6C" w:rsidRPr="007B2402">
        <w:rPr>
          <w:rFonts w:eastAsia="Calibri" w:cs="Times New Roman"/>
          <w:szCs w:val="20"/>
          <w:lang w:val="en-US"/>
        </w:rPr>
        <w:t>Second Army</w:t>
      </w:r>
      <w:r w:rsidR="000744A8" w:rsidRPr="007B2402">
        <w:rPr>
          <w:rFonts w:eastAsia="Calibri" w:cs="Times New Roman"/>
          <w:szCs w:val="20"/>
          <w:lang w:val="en-US"/>
        </w:rPr>
        <w:t xml:space="preserve"> </w:t>
      </w:r>
      <w:r w:rsidRPr="007B2402">
        <w:rPr>
          <w:rFonts w:eastAsia="Calibri" w:cs="Times New Roman"/>
          <w:szCs w:val="20"/>
          <w:lang w:val="en-US"/>
        </w:rPr>
        <w:t>opened an inquiry in the military criminal jurisdiction</w:t>
      </w:r>
      <w:r w:rsidR="000744A8" w:rsidRPr="007B2402">
        <w:rPr>
          <w:rFonts w:eastAsia="Calibri" w:cs="Times New Roman"/>
          <w:szCs w:val="20"/>
          <w:lang w:val="en-US"/>
        </w:rPr>
        <w:t xml:space="preserve"> (IPM No. 1173-75) </w:t>
      </w:r>
      <w:r w:rsidRPr="007B2402">
        <w:rPr>
          <w:rFonts w:eastAsia="Calibri" w:cs="Times New Roman"/>
          <w:szCs w:val="20"/>
          <w:lang w:val="en-US"/>
        </w:rPr>
        <w:t>on October 30,</w:t>
      </w:r>
      <w:r w:rsidR="000744A8" w:rsidRPr="007B2402">
        <w:rPr>
          <w:rFonts w:eastAsia="Calibri" w:cs="Times New Roman"/>
          <w:szCs w:val="20"/>
          <w:lang w:val="en-US"/>
        </w:rPr>
        <w:t xml:space="preserve"> 1975. </w:t>
      </w:r>
      <w:r w:rsidRPr="007B2402">
        <w:rPr>
          <w:rFonts w:eastAsia="Calibri" w:cs="Times New Roman"/>
          <w:szCs w:val="20"/>
          <w:lang w:val="en-US"/>
        </w:rPr>
        <w:t xml:space="preserve">This investigation – widely characterized as </w:t>
      </w:r>
      <w:r w:rsidR="00E2015E" w:rsidRPr="007B2402">
        <w:rPr>
          <w:rFonts w:eastAsia="Calibri" w:cs="Times New Roman"/>
          <w:szCs w:val="20"/>
          <w:lang w:val="en-US"/>
        </w:rPr>
        <w:t>fraudulent</w:t>
      </w:r>
      <w:r w:rsidRPr="007B2402">
        <w:rPr>
          <w:rFonts w:eastAsia="Calibri" w:cs="Times New Roman"/>
          <w:szCs w:val="20"/>
          <w:lang w:val="en-US"/>
        </w:rPr>
        <w:t xml:space="preserve"> </w:t>
      </w:r>
      <w:r w:rsidR="000744A8" w:rsidRPr="007B2402">
        <w:rPr>
          <w:rFonts w:eastAsia="Calibri" w:cs="Times New Roman"/>
          <w:szCs w:val="20"/>
          <w:lang w:val="en-US"/>
        </w:rPr>
        <w:t>–</w:t>
      </w:r>
      <w:r w:rsidRPr="007B2402">
        <w:rPr>
          <w:rFonts w:eastAsia="Calibri" w:cs="Times New Roman"/>
          <w:szCs w:val="20"/>
          <w:lang w:val="en-US"/>
        </w:rPr>
        <w:t xml:space="preserve"> resulted in the version that</w:t>
      </w:r>
      <w:r w:rsidR="00E2015E" w:rsidRPr="007B2402">
        <w:rPr>
          <w:rFonts w:eastAsia="Calibri" w:cs="Times New Roman"/>
          <w:szCs w:val="20"/>
          <w:lang w:val="en-US"/>
        </w:rPr>
        <w:t xml:space="preserve"> </w:t>
      </w:r>
      <w:r w:rsidR="000744A8" w:rsidRPr="007B2402">
        <w:rPr>
          <w:rFonts w:eastAsia="Calibri" w:cs="Times New Roman"/>
          <w:szCs w:val="20"/>
          <w:lang w:val="en-US"/>
        </w:rPr>
        <w:t>Vladimir Herzog ha</w:t>
      </w:r>
      <w:r w:rsidRPr="007B2402">
        <w:rPr>
          <w:rFonts w:eastAsia="Calibri" w:cs="Times New Roman"/>
          <w:szCs w:val="20"/>
          <w:lang w:val="en-US"/>
        </w:rPr>
        <w:t>d committed suicide by hanging</w:t>
      </w:r>
      <w:r w:rsidR="000C4CB0" w:rsidRPr="007B2402">
        <w:rPr>
          <w:rFonts w:eastAsia="Calibri" w:cs="Times New Roman"/>
          <w:szCs w:val="20"/>
          <w:lang w:val="en-US"/>
        </w:rPr>
        <w:t xml:space="preserve"> himself</w:t>
      </w:r>
      <w:r w:rsidRPr="007B2402">
        <w:rPr>
          <w:rFonts w:eastAsia="Calibri" w:cs="Times New Roman"/>
          <w:szCs w:val="20"/>
          <w:lang w:val="en-US"/>
        </w:rPr>
        <w:t xml:space="preserve">. Accordingly, the military justice system closed the case in February </w:t>
      </w:r>
      <w:r w:rsidR="000744A8" w:rsidRPr="007B2402">
        <w:rPr>
          <w:rFonts w:eastAsia="Calibri" w:cs="Times New Roman"/>
          <w:szCs w:val="20"/>
          <w:lang w:val="en-US"/>
        </w:rPr>
        <w:t>1976 (</w:t>
      </w:r>
      <w:r w:rsidR="000744A8" w:rsidRPr="007B2402">
        <w:rPr>
          <w:rFonts w:eastAsia="Calibri" w:cs="Times New Roman"/>
          <w:i/>
          <w:szCs w:val="20"/>
          <w:lang w:val="en-US"/>
        </w:rPr>
        <w:t xml:space="preserve">supra </w:t>
      </w:r>
      <w:r w:rsidR="00892CA3" w:rsidRPr="007B2402">
        <w:rPr>
          <w:rFonts w:eastAsia="Calibri" w:cs="Times New Roman"/>
          <w:szCs w:val="20"/>
          <w:lang w:val="en-US"/>
        </w:rPr>
        <w:t>paras.</w:t>
      </w:r>
      <w:r w:rsidR="000744A8" w:rsidRPr="007B2402">
        <w:rPr>
          <w:rFonts w:eastAsia="Calibri" w:cs="Times New Roman"/>
          <w:szCs w:val="20"/>
          <w:lang w:val="en-US"/>
        </w:rPr>
        <w:t xml:space="preserve"> </w:t>
      </w:r>
      <w:r w:rsidR="005F43C3" w:rsidRPr="007B2402">
        <w:rPr>
          <w:rFonts w:eastAsia="Calibri" w:cs="Times New Roman"/>
          <w:szCs w:val="20"/>
          <w:lang w:val="en-US"/>
        </w:rPr>
        <w:t>128</w:t>
      </w:r>
      <w:r w:rsidR="000744A8" w:rsidRPr="007B2402">
        <w:rPr>
          <w:rFonts w:eastAsia="Calibri" w:cs="Times New Roman"/>
          <w:szCs w:val="20"/>
          <w:lang w:val="en-US"/>
        </w:rPr>
        <w:t xml:space="preserve">). </w:t>
      </w:r>
      <w:r w:rsidRPr="007B2402">
        <w:rPr>
          <w:rFonts w:eastAsia="Calibri" w:cs="Times New Roman"/>
          <w:szCs w:val="20"/>
          <w:lang w:val="en-US"/>
        </w:rPr>
        <w:t>In this regard</w:t>
      </w:r>
      <w:r w:rsidR="000744A8" w:rsidRPr="007B2402">
        <w:rPr>
          <w:rFonts w:eastAsia="Calibri" w:cs="Times New Roman"/>
          <w:szCs w:val="20"/>
          <w:lang w:val="en-US"/>
        </w:rPr>
        <w:t xml:space="preserve">, </w:t>
      </w:r>
      <w:r w:rsidR="00AF4344" w:rsidRPr="007B2402">
        <w:rPr>
          <w:rFonts w:eastAsia="Calibri" w:cs="Times New Roman"/>
          <w:szCs w:val="20"/>
          <w:lang w:val="en-US"/>
        </w:rPr>
        <w:t>the State</w:t>
      </w:r>
      <w:r w:rsidR="000744A8" w:rsidRPr="007B2402">
        <w:rPr>
          <w:rFonts w:eastAsia="Calibri" w:cs="Times New Roman"/>
          <w:szCs w:val="20"/>
          <w:lang w:val="en-US"/>
        </w:rPr>
        <w:t xml:space="preserve"> </w:t>
      </w:r>
      <w:r w:rsidRPr="007B2402">
        <w:rPr>
          <w:rFonts w:eastAsia="Calibri" w:cs="Times New Roman"/>
          <w:szCs w:val="20"/>
          <w:lang w:val="en-US"/>
        </w:rPr>
        <w:t xml:space="preserve">acknowledged before this Court that this military criminal investigation </w:t>
      </w:r>
      <w:r w:rsidR="000744A8" w:rsidRPr="007B2402">
        <w:rPr>
          <w:rFonts w:eastAsia="Calibri" w:cs="Times New Roman"/>
          <w:szCs w:val="20"/>
          <w:lang w:val="en-US"/>
        </w:rPr>
        <w:t>“</w:t>
      </w:r>
      <w:r w:rsidRPr="007B2402">
        <w:rPr>
          <w:rFonts w:eastAsia="Calibri" w:cs="Times New Roman"/>
          <w:szCs w:val="20"/>
          <w:lang w:val="en-US"/>
        </w:rPr>
        <w:t>cannot be considered a valid attempt to investigate the facts, and it was not appropriate to meet the obligation to investigate, prosecute and punish.</w:t>
      </w:r>
      <w:r w:rsidR="000744A8" w:rsidRPr="007B2402">
        <w:rPr>
          <w:rFonts w:eastAsia="Calibri" w:cs="Times New Roman"/>
          <w:szCs w:val="20"/>
          <w:lang w:val="en-US"/>
        </w:rPr>
        <w:t>”</w:t>
      </w:r>
      <w:r w:rsidR="000744A8" w:rsidRPr="007B2402">
        <w:rPr>
          <w:rFonts w:eastAsia="Calibri" w:cs="Times New Roman"/>
          <w:szCs w:val="20"/>
          <w:vertAlign w:val="superscript"/>
          <w:lang w:val="en-US"/>
        </w:rPr>
        <w:footnoteReference w:id="244"/>
      </w:r>
    </w:p>
    <w:p w14:paraId="43365A54" w14:textId="77777777" w:rsidR="000744A8" w:rsidRPr="007B2402" w:rsidRDefault="000744A8" w:rsidP="000744A8">
      <w:pPr>
        <w:spacing w:after="0" w:line="240" w:lineRule="auto"/>
        <w:jc w:val="both"/>
        <w:rPr>
          <w:rFonts w:eastAsia="Calibri" w:cs="Times New Roman"/>
          <w:szCs w:val="20"/>
          <w:lang w:val="en-US"/>
        </w:rPr>
      </w:pPr>
    </w:p>
    <w:p w14:paraId="1734291A" w14:textId="2D739772" w:rsidR="000744A8" w:rsidRPr="007B2402" w:rsidRDefault="00506989" w:rsidP="00FE207D">
      <w:pPr>
        <w:numPr>
          <w:ilvl w:val="0"/>
          <w:numId w:val="6"/>
        </w:numPr>
        <w:spacing w:after="0" w:line="240" w:lineRule="auto"/>
        <w:contextualSpacing/>
        <w:jc w:val="both"/>
        <w:rPr>
          <w:rFonts w:eastAsia="Calibri" w:cs="Times New Roman"/>
          <w:szCs w:val="20"/>
          <w:lang w:val="en-US"/>
        </w:rPr>
      </w:pPr>
      <w:r w:rsidRPr="007B2402">
        <w:rPr>
          <w:rFonts w:eastAsia="Calibri" w:cs="Times New Roman"/>
          <w:szCs w:val="20"/>
          <w:lang w:val="en-US"/>
        </w:rPr>
        <w:t>Although this action by the State does not fall within the Court’s contentious jurisdiction</w:t>
      </w:r>
      <w:r w:rsidR="00FE207D" w:rsidRPr="007B2402">
        <w:rPr>
          <w:rFonts w:eastAsia="Calibri" w:cs="Times New Roman"/>
          <w:szCs w:val="20"/>
          <w:lang w:val="en-US"/>
        </w:rPr>
        <w:t xml:space="preserve">, the Court recalls its consistent case law </w:t>
      </w:r>
      <w:r w:rsidR="000C4CB0" w:rsidRPr="007B2402">
        <w:rPr>
          <w:rFonts w:eastAsia="Calibri" w:cs="Times New Roman"/>
          <w:szCs w:val="20"/>
          <w:lang w:val="en-US"/>
        </w:rPr>
        <w:t>on</w:t>
      </w:r>
      <w:r w:rsidR="00FE207D" w:rsidRPr="007B2402">
        <w:rPr>
          <w:rFonts w:eastAsia="Calibri" w:cs="Times New Roman"/>
          <w:szCs w:val="20"/>
          <w:lang w:val="en-US"/>
        </w:rPr>
        <w:t xml:space="preserve"> the </w:t>
      </w:r>
      <w:r w:rsidR="000C4CB0" w:rsidRPr="007B2402">
        <w:rPr>
          <w:rFonts w:eastAsia="Calibri" w:cs="Times New Roman"/>
          <w:szCs w:val="20"/>
          <w:lang w:val="en-US"/>
        </w:rPr>
        <w:t xml:space="preserve">restriction </w:t>
      </w:r>
      <w:r w:rsidR="00FE207D" w:rsidRPr="007B2402">
        <w:rPr>
          <w:rFonts w:eastAsia="Calibri" w:cs="Times New Roman"/>
          <w:szCs w:val="20"/>
          <w:lang w:val="en-US"/>
        </w:rPr>
        <w:t xml:space="preserve">of </w:t>
      </w:r>
      <w:r w:rsidR="000C4CB0" w:rsidRPr="007B2402">
        <w:rPr>
          <w:rFonts w:eastAsia="Calibri" w:cs="Times New Roman"/>
          <w:szCs w:val="20"/>
          <w:lang w:val="en-US"/>
        </w:rPr>
        <w:t xml:space="preserve">the </w:t>
      </w:r>
      <w:r w:rsidR="00FE207D" w:rsidRPr="007B2402">
        <w:rPr>
          <w:rFonts w:eastAsia="Calibri" w:cs="Times New Roman"/>
          <w:szCs w:val="20"/>
          <w:lang w:val="en-US"/>
        </w:rPr>
        <w:t>military jurisdiction</w:t>
      </w:r>
      <w:r w:rsidR="000C4CB0" w:rsidRPr="007B2402">
        <w:rPr>
          <w:rFonts w:eastAsia="Calibri" w:cs="Times New Roman"/>
          <w:szCs w:val="20"/>
          <w:lang w:val="en-US"/>
        </w:rPr>
        <w:t>’s competence to</w:t>
      </w:r>
      <w:r w:rsidR="00FE207D" w:rsidRPr="007B2402">
        <w:rPr>
          <w:rFonts w:eastAsia="Calibri" w:cs="Times New Roman"/>
          <w:szCs w:val="20"/>
          <w:lang w:val="en-US"/>
        </w:rPr>
        <w:t xml:space="preserve"> examin</w:t>
      </w:r>
      <w:r w:rsidR="000C4CB0" w:rsidRPr="007B2402">
        <w:rPr>
          <w:rFonts w:eastAsia="Calibri" w:cs="Times New Roman"/>
          <w:szCs w:val="20"/>
          <w:lang w:val="en-US"/>
        </w:rPr>
        <w:t>e</w:t>
      </w:r>
      <w:r w:rsidR="00FE207D" w:rsidRPr="007B2402">
        <w:rPr>
          <w:rFonts w:eastAsia="Calibri" w:cs="Times New Roman"/>
          <w:szCs w:val="20"/>
          <w:lang w:val="en-US"/>
        </w:rPr>
        <w:t xml:space="preserve"> facts that constitute human rights violations, in the sense that, under the democratic rule of law, the military criminal jurisdiction must have a restrictive and exceptional scope and be directed at the protection of special legal interests linked to the functions inherent to the armed forces.</w:t>
      </w:r>
      <w:r w:rsidR="000744A8" w:rsidRPr="007B2402">
        <w:rPr>
          <w:rFonts w:eastAsia="Calibri" w:cs="Times New Roman"/>
          <w:szCs w:val="20"/>
          <w:vertAlign w:val="superscript"/>
          <w:lang w:val="en-US"/>
        </w:rPr>
        <w:footnoteReference w:id="245"/>
      </w:r>
      <w:r w:rsidR="00FE207D" w:rsidRPr="007B2402">
        <w:rPr>
          <w:rFonts w:eastAsia="Calibri" w:cs="Times New Roman"/>
          <w:szCs w:val="20"/>
          <w:lang w:val="en-US"/>
        </w:rPr>
        <w:t xml:space="preserve"> Consequently,</w:t>
      </w:r>
      <w:r w:rsidR="000744A8" w:rsidRPr="007B2402">
        <w:rPr>
          <w:rFonts w:eastAsia="Calibri" w:cs="Times New Roman"/>
          <w:szCs w:val="20"/>
          <w:lang w:val="en-US"/>
        </w:rPr>
        <w:t xml:space="preserve"> </w:t>
      </w:r>
      <w:r w:rsidR="00AF4344" w:rsidRPr="007B2402">
        <w:rPr>
          <w:rFonts w:eastAsia="Calibri" w:cs="Times New Roman"/>
          <w:szCs w:val="20"/>
          <w:lang w:val="en-US"/>
        </w:rPr>
        <w:t>the Court</w:t>
      </w:r>
      <w:r w:rsidR="000744A8" w:rsidRPr="007B2402">
        <w:rPr>
          <w:rFonts w:eastAsia="Calibri" w:cs="Times New Roman"/>
          <w:szCs w:val="20"/>
          <w:lang w:val="en-US"/>
        </w:rPr>
        <w:t xml:space="preserve"> ha</w:t>
      </w:r>
      <w:r w:rsidR="00FE207D" w:rsidRPr="007B2402">
        <w:rPr>
          <w:rFonts w:eastAsia="Calibri" w:cs="Times New Roman"/>
          <w:szCs w:val="20"/>
          <w:lang w:val="en-US"/>
        </w:rPr>
        <w:t>s indicated that the military jurisdiction should only try members of the military forces on active duty for the perpetration of crimes or misdemeanors that, owing to their nature, violate the specific legal interests of the military forces.</w:t>
      </w:r>
      <w:r w:rsidR="000744A8" w:rsidRPr="007B2402">
        <w:rPr>
          <w:rFonts w:eastAsia="Calibri" w:cs="Times New Roman"/>
          <w:szCs w:val="20"/>
          <w:vertAlign w:val="superscript"/>
          <w:lang w:val="en-US"/>
        </w:rPr>
        <w:footnoteReference w:id="246"/>
      </w:r>
      <w:r w:rsidR="00FE207D" w:rsidRPr="007B2402">
        <w:rPr>
          <w:rFonts w:eastAsia="Calibri" w:cs="Times New Roman"/>
          <w:szCs w:val="20"/>
          <w:lang w:val="en-US"/>
        </w:rPr>
        <w:t xml:space="preserve"> The fact that the individuals involved are members of the armed forces or that the events occurred within a military establishment do not signify, </w:t>
      </w:r>
      <w:r w:rsidR="000744A8" w:rsidRPr="007B2402">
        <w:rPr>
          <w:rFonts w:eastAsia="Calibri" w:cs="Times New Roman"/>
          <w:i/>
          <w:szCs w:val="20"/>
          <w:lang w:val="en-US"/>
        </w:rPr>
        <w:t>per se</w:t>
      </w:r>
      <w:r w:rsidR="00FE207D" w:rsidRPr="007B2402">
        <w:rPr>
          <w:rFonts w:eastAsia="Calibri" w:cs="Times New Roman"/>
          <w:i/>
          <w:szCs w:val="20"/>
          <w:lang w:val="en-US"/>
        </w:rPr>
        <w:t>,</w:t>
      </w:r>
      <w:r w:rsidR="000744A8" w:rsidRPr="007B2402">
        <w:rPr>
          <w:rFonts w:eastAsia="Calibri" w:cs="Times New Roman"/>
          <w:szCs w:val="20"/>
          <w:lang w:val="en-US"/>
        </w:rPr>
        <w:t xml:space="preserve"> </w:t>
      </w:r>
      <w:r w:rsidR="00FE207D" w:rsidRPr="007B2402">
        <w:rPr>
          <w:rFonts w:eastAsia="Calibri" w:cs="Times New Roman"/>
          <w:szCs w:val="20"/>
          <w:lang w:val="en-US"/>
        </w:rPr>
        <w:t xml:space="preserve">that military justice should intervene. This is because, </w:t>
      </w:r>
      <w:r w:rsidR="0060369D" w:rsidRPr="007B2402">
        <w:rPr>
          <w:rFonts w:eastAsia="Calibri" w:cs="Times New Roman"/>
          <w:szCs w:val="20"/>
          <w:lang w:val="en-US"/>
        </w:rPr>
        <w:t>owing to</w:t>
      </w:r>
      <w:r w:rsidR="00FE207D" w:rsidRPr="007B2402">
        <w:rPr>
          <w:rFonts w:eastAsia="Calibri" w:cs="Times New Roman"/>
          <w:szCs w:val="20"/>
          <w:lang w:val="en-US"/>
        </w:rPr>
        <w:t xml:space="preserve"> the nature of the crime </w:t>
      </w:r>
      <w:r w:rsidR="00FE207D" w:rsidRPr="007B2402">
        <w:rPr>
          <w:rFonts w:eastAsia="Calibri" w:cs="Times New Roman"/>
          <w:szCs w:val="20"/>
          <w:lang w:val="en-US"/>
        </w:rPr>
        <w:lastRenderedPageBreak/>
        <w:t>and the legal interest violated, the military criminal jurisdiction is not the competent jurisdiction to investigate and, if appropriate, prosecute and punish the authors of human rights violations</w:t>
      </w:r>
      <w:r w:rsidR="0060369D" w:rsidRPr="007B2402">
        <w:rPr>
          <w:rFonts w:eastAsia="Calibri" w:cs="Times New Roman"/>
          <w:szCs w:val="20"/>
          <w:lang w:val="en-US"/>
        </w:rPr>
        <w:t>;</w:t>
      </w:r>
      <w:r w:rsidR="00FE207D" w:rsidRPr="007B2402">
        <w:rPr>
          <w:rFonts w:eastAsia="Calibri" w:cs="Times New Roman"/>
          <w:szCs w:val="20"/>
          <w:lang w:val="en-US"/>
        </w:rPr>
        <w:t xml:space="preserve"> </w:t>
      </w:r>
      <w:r w:rsidR="0060369D" w:rsidRPr="007B2402">
        <w:rPr>
          <w:rFonts w:eastAsia="Calibri" w:cs="Times New Roman"/>
          <w:szCs w:val="20"/>
          <w:lang w:val="en-US"/>
        </w:rPr>
        <w:t xml:space="preserve">to the contrary, </w:t>
      </w:r>
      <w:r w:rsidR="00FE207D" w:rsidRPr="007B2402">
        <w:rPr>
          <w:rFonts w:eastAsia="Calibri" w:cs="Times New Roman"/>
          <w:szCs w:val="20"/>
          <w:lang w:val="en-US"/>
        </w:rPr>
        <w:t>the prosecution of those responsible always corresponds to the common or ordinary system of justice.</w:t>
      </w:r>
      <w:r w:rsidR="000744A8" w:rsidRPr="007B2402">
        <w:rPr>
          <w:rFonts w:eastAsia="Calibri" w:cs="Times New Roman"/>
          <w:szCs w:val="20"/>
          <w:vertAlign w:val="superscript"/>
          <w:lang w:val="en-US"/>
        </w:rPr>
        <w:footnoteReference w:id="247"/>
      </w:r>
      <w:r w:rsidR="000744A8" w:rsidRPr="007B2402">
        <w:rPr>
          <w:rFonts w:eastAsia="Calibri" w:cs="Times New Roman"/>
          <w:szCs w:val="20"/>
          <w:lang w:val="en-US"/>
        </w:rPr>
        <w:t xml:space="preserve"> </w:t>
      </w:r>
    </w:p>
    <w:p w14:paraId="47198317" w14:textId="77777777" w:rsidR="000744A8" w:rsidRPr="007B2402" w:rsidRDefault="000744A8" w:rsidP="000744A8">
      <w:pPr>
        <w:spacing w:after="0" w:line="240" w:lineRule="auto"/>
        <w:contextualSpacing/>
        <w:jc w:val="both"/>
        <w:rPr>
          <w:rFonts w:eastAsia="Calibri" w:cs="Times New Roman"/>
          <w:szCs w:val="20"/>
          <w:lang w:val="en-US"/>
        </w:rPr>
      </w:pPr>
    </w:p>
    <w:p w14:paraId="38C6EF7C" w14:textId="3E12F813" w:rsidR="00300FA2" w:rsidRPr="007B2402" w:rsidRDefault="003104A6" w:rsidP="003104A6">
      <w:pPr>
        <w:numPr>
          <w:ilvl w:val="0"/>
          <w:numId w:val="6"/>
        </w:numPr>
        <w:spacing w:after="0" w:line="240" w:lineRule="auto"/>
        <w:contextualSpacing/>
        <w:jc w:val="both"/>
        <w:rPr>
          <w:rFonts w:eastAsia="Calibri" w:cs="Times New Roman"/>
          <w:szCs w:val="20"/>
          <w:lang w:val="en-US"/>
        </w:rPr>
      </w:pPr>
      <w:r w:rsidRPr="007B2402">
        <w:rPr>
          <w:rFonts w:eastAsia="Calibri" w:cs="Times New Roman"/>
          <w:szCs w:val="20"/>
          <w:lang w:val="en-US"/>
        </w:rPr>
        <w:t>In addition, the Court has repeatedly affirmed that the military jurisdiction should observe</w:t>
      </w:r>
      <w:r w:rsidR="0060369D" w:rsidRPr="007B2402">
        <w:rPr>
          <w:rFonts w:eastAsia="Calibri" w:cs="Times New Roman"/>
          <w:szCs w:val="20"/>
          <w:lang w:val="en-US"/>
        </w:rPr>
        <w:t xml:space="preserve"> the following standards or parameters</w:t>
      </w:r>
      <w:r w:rsidRPr="007B2402">
        <w:rPr>
          <w:rFonts w:eastAsia="Calibri" w:cs="Times New Roman"/>
          <w:szCs w:val="20"/>
          <w:lang w:val="en-US"/>
        </w:rPr>
        <w:t>:</w:t>
      </w:r>
      <w:r w:rsidRPr="007B2402">
        <w:rPr>
          <w:rFonts w:eastAsia="Calibri" w:cs="Times New Roman"/>
          <w:szCs w:val="20"/>
          <w:vertAlign w:val="superscript"/>
          <w:lang w:val="en-US"/>
        </w:rPr>
        <w:footnoteReference w:id="248"/>
      </w:r>
      <w:r w:rsidRPr="007B2402">
        <w:rPr>
          <w:rFonts w:eastAsia="Calibri" w:cs="Times New Roman"/>
          <w:szCs w:val="20"/>
          <w:lang w:val="en-US"/>
        </w:rPr>
        <w:t xml:space="preserve"> (a) this jurisdiction is not competent to investigate and, if appropriate, prosecute and punish the authors of a</w:t>
      </w:r>
      <w:r w:rsidR="0060369D" w:rsidRPr="007B2402">
        <w:rPr>
          <w:rFonts w:eastAsia="Calibri" w:cs="Times New Roman"/>
          <w:szCs w:val="20"/>
          <w:lang w:val="en-US"/>
        </w:rPr>
        <w:t>ny</w:t>
      </w:r>
      <w:r w:rsidRPr="007B2402">
        <w:rPr>
          <w:rFonts w:eastAsia="Calibri" w:cs="Times New Roman"/>
          <w:szCs w:val="20"/>
          <w:lang w:val="en-US"/>
        </w:rPr>
        <w:t xml:space="preserve"> violation of human rights;</w:t>
      </w:r>
      <w:r w:rsidR="000744A8" w:rsidRPr="007B2402">
        <w:rPr>
          <w:rFonts w:eastAsia="Calibri" w:cs="Times New Roman"/>
          <w:szCs w:val="20"/>
          <w:vertAlign w:val="superscript"/>
          <w:lang w:val="en-US"/>
        </w:rPr>
        <w:footnoteReference w:id="249"/>
      </w:r>
      <w:r w:rsidR="000744A8" w:rsidRPr="007B2402">
        <w:rPr>
          <w:rFonts w:eastAsia="Calibri" w:cs="Times New Roman"/>
          <w:szCs w:val="20"/>
          <w:lang w:val="en-US"/>
        </w:rPr>
        <w:t xml:space="preserve"> </w:t>
      </w:r>
      <w:r w:rsidRPr="007B2402">
        <w:rPr>
          <w:rFonts w:eastAsia="Calibri" w:cs="Times New Roman"/>
          <w:szCs w:val="20"/>
          <w:lang w:val="en-US"/>
        </w:rPr>
        <w:t>(</w:t>
      </w:r>
      <w:r w:rsidR="000744A8" w:rsidRPr="007B2402">
        <w:rPr>
          <w:rFonts w:eastAsia="Calibri" w:cs="Times New Roman"/>
          <w:szCs w:val="20"/>
          <w:lang w:val="en-US"/>
        </w:rPr>
        <w:t xml:space="preserve">b) </w:t>
      </w:r>
      <w:r w:rsidRPr="007B2402">
        <w:rPr>
          <w:rFonts w:eastAsia="Calibri" w:cs="Times New Roman"/>
          <w:szCs w:val="20"/>
          <w:lang w:val="en-US"/>
        </w:rPr>
        <w:t>it can only try members of the armed forces on active duty,</w:t>
      </w:r>
      <w:r w:rsidR="000744A8" w:rsidRPr="007B2402">
        <w:rPr>
          <w:rFonts w:eastAsia="Calibri" w:cs="Times New Roman"/>
          <w:szCs w:val="20"/>
          <w:vertAlign w:val="superscript"/>
          <w:lang w:val="en-US"/>
        </w:rPr>
        <w:footnoteReference w:id="250"/>
      </w:r>
      <w:r w:rsidR="005B1590" w:rsidRPr="007B2402">
        <w:rPr>
          <w:rFonts w:eastAsia="Calibri" w:cs="Times New Roman"/>
          <w:szCs w:val="20"/>
          <w:lang w:val="en-US"/>
        </w:rPr>
        <w:t xml:space="preserve"> and </w:t>
      </w:r>
      <w:r w:rsidRPr="007B2402">
        <w:rPr>
          <w:rFonts w:eastAsia="Calibri" w:cs="Times New Roman"/>
          <w:szCs w:val="20"/>
          <w:lang w:val="en-US"/>
        </w:rPr>
        <w:t>(</w:t>
      </w:r>
      <w:r w:rsidR="000744A8" w:rsidRPr="007B2402">
        <w:rPr>
          <w:rFonts w:eastAsia="Calibri" w:cs="Times New Roman"/>
          <w:szCs w:val="20"/>
          <w:lang w:val="en-US"/>
        </w:rPr>
        <w:t xml:space="preserve">c) </w:t>
      </w:r>
      <w:r w:rsidRPr="007B2402">
        <w:rPr>
          <w:rFonts w:eastAsia="Calibri" w:cs="Times New Roman"/>
          <w:szCs w:val="20"/>
          <w:lang w:val="en-US"/>
        </w:rPr>
        <w:t>it can only try crimes or misdemeanors (committed by members of the armed forces on active duty) that, due to their nature, violate specific legal interests of the armed forces.</w:t>
      </w:r>
      <w:r w:rsidR="000744A8" w:rsidRPr="007B2402">
        <w:rPr>
          <w:rFonts w:eastAsia="Calibri" w:cs="Times New Roman"/>
          <w:szCs w:val="20"/>
          <w:vertAlign w:val="superscript"/>
          <w:lang w:val="en-US"/>
        </w:rPr>
        <w:footnoteReference w:id="251"/>
      </w:r>
    </w:p>
    <w:p w14:paraId="42DE31A0" w14:textId="77777777" w:rsidR="005C0B2C" w:rsidRPr="007B2402" w:rsidRDefault="005C0B2C" w:rsidP="005C0B2C">
      <w:pPr>
        <w:pStyle w:val="Prrafodelista"/>
        <w:ind w:left="0"/>
        <w:rPr>
          <w:rFonts w:eastAsia="Calibri" w:cs="Times New Roman"/>
          <w:szCs w:val="20"/>
          <w:lang w:val="en-US"/>
        </w:rPr>
      </w:pPr>
    </w:p>
    <w:p w14:paraId="6122AF33" w14:textId="77400C00" w:rsidR="00300FA2" w:rsidRPr="007B2402" w:rsidRDefault="00BA4292" w:rsidP="005E7CC1">
      <w:pPr>
        <w:pStyle w:val="Prrafodelista"/>
        <w:numPr>
          <w:ilvl w:val="0"/>
          <w:numId w:val="32"/>
        </w:numPr>
        <w:rPr>
          <w:rFonts w:eastAsia="Calibri" w:cs="Times New Roman"/>
          <w:i/>
          <w:szCs w:val="20"/>
          <w:lang w:val="en-US"/>
        </w:rPr>
      </w:pPr>
      <w:r w:rsidRPr="007B2402">
        <w:rPr>
          <w:rFonts w:eastAsia="Calibri" w:cs="Times New Roman"/>
          <w:i/>
          <w:szCs w:val="20"/>
          <w:lang w:val="en-US"/>
        </w:rPr>
        <w:t xml:space="preserve">Declaratory </w:t>
      </w:r>
      <w:r w:rsidR="003104A6" w:rsidRPr="007B2402">
        <w:rPr>
          <w:rFonts w:eastAsia="Calibri" w:cs="Times New Roman"/>
          <w:i/>
          <w:szCs w:val="20"/>
          <w:lang w:val="en-US"/>
        </w:rPr>
        <w:t xml:space="preserve">civil </w:t>
      </w:r>
      <w:r w:rsidRPr="007B2402">
        <w:rPr>
          <w:rFonts w:eastAsia="Calibri" w:cs="Times New Roman"/>
          <w:i/>
          <w:szCs w:val="20"/>
          <w:lang w:val="en-US"/>
        </w:rPr>
        <w:t>action</w:t>
      </w:r>
    </w:p>
    <w:p w14:paraId="0AA81CD5" w14:textId="77777777" w:rsidR="000744A8" w:rsidRPr="007B2402" w:rsidRDefault="000744A8" w:rsidP="000744A8">
      <w:pPr>
        <w:spacing w:after="0" w:line="240" w:lineRule="auto"/>
        <w:contextualSpacing/>
        <w:jc w:val="both"/>
        <w:rPr>
          <w:rFonts w:eastAsia="Calibri" w:cs="Times New Roman"/>
          <w:szCs w:val="20"/>
          <w:lang w:val="en-US"/>
        </w:rPr>
      </w:pPr>
    </w:p>
    <w:p w14:paraId="6E66E108" w14:textId="18BDF0DB" w:rsidR="000744A8" w:rsidRPr="007B2402" w:rsidRDefault="00783FF1" w:rsidP="00783FF1">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In view of the f</w:t>
      </w:r>
      <w:r w:rsidR="003A02AA" w:rsidRPr="007B2402">
        <w:rPr>
          <w:rFonts w:eastAsia="Calibri" w:cs="Times New Roman"/>
          <w:szCs w:val="20"/>
          <w:lang w:val="en-US"/>
        </w:rPr>
        <w:t>raudulent</w:t>
      </w:r>
      <w:r w:rsidRPr="007B2402">
        <w:rPr>
          <w:rFonts w:eastAsia="Calibri" w:cs="Times New Roman"/>
          <w:szCs w:val="20"/>
          <w:lang w:val="en-US"/>
        </w:rPr>
        <w:t xml:space="preserve"> result of Military Police Investigation </w:t>
      </w:r>
      <w:r w:rsidR="000744A8" w:rsidRPr="007B2402">
        <w:rPr>
          <w:rFonts w:eastAsia="Calibri" w:cs="Times New Roman"/>
          <w:szCs w:val="20"/>
          <w:lang w:val="en-US"/>
        </w:rPr>
        <w:t>No. 1173-75</w:t>
      </w:r>
      <w:r w:rsidR="005B1590" w:rsidRPr="007B2402">
        <w:rPr>
          <w:rFonts w:eastAsia="Calibri" w:cs="Times New Roman"/>
          <w:szCs w:val="20"/>
          <w:lang w:val="en-US"/>
        </w:rPr>
        <w:t xml:space="preserve"> and </w:t>
      </w:r>
      <w:r w:rsidRPr="007B2402">
        <w:rPr>
          <w:rFonts w:eastAsia="Calibri" w:cs="Times New Roman"/>
          <w:szCs w:val="20"/>
          <w:lang w:val="en-US"/>
        </w:rPr>
        <w:t xml:space="preserve">the legal impossibility that the State organs would conduct an effective investigation into </w:t>
      </w:r>
      <w:r w:rsidR="008B5281" w:rsidRPr="007B2402">
        <w:rPr>
          <w:rFonts w:eastAsia="Calibri" w:cs="Times New Roman"/>
          <w:szCs w:val="20"/>
          <w:lang w:val="en-US"/>
        </w:rPr>
        <w:t>the torture and death of Vladimir Herzog</w:t>
      </w:r>
      <w:r w:rsidRPr="007B2402">
        <w:rPr>
          <w:rFonts w:eastAsia="Calibri" w:cs="Times New Roman"/>
          <w:szCs w:val="20"/>
          <w:lang w:val="en-US"/>
        </w:rPr>
        <w:t>, his family filed a d</w:t>
      </w:r>
      <w:r w:rsidR="00BA4292" w:rsidRPr="007B2402">
        <w:rPr>
          <w:rFonts w:eastAsia="Calibri" w:cs="Times New Roman"/>
          <w:szCs w:val="20"/>
          <w:lang w:val="en-US"/>
        </w:rPr>
        <w:t>eclaratory action</w:t>
      </w:r>
      <w:r w:rsidR="000744A8" w:rsidRPr="007B2402">
        <w:rPr>
          <w:rFonts w:eastAsia="Calibri" w:cs="Times New Roman"/>
          <w:szCs w:val="20"/>
          <w:lang w:val="en-US"/>
        </w:rPr>
        <w:t xml:space="preserve">. </w:t>
      </w:r>
      <w:r w:rsidRPr="007B2402">
        <w:rPr>
          <w:rFonts w:eastAsia="Calibri" w:cs="Times New Roman"/>
          <w:szCs w:val="20"/>
          <w:lang w:val="en-US"/>
        </w:rPr>
        <w:t>Despite the civil nature of that p</w:t>
      </w:r>
      <w:r w:rsidR="00A8458F" w:rsidRPr="007B2402">
        <w:rPr>
          <w:rFonts w:eastAsia="Calibri" w:cs="Times New Roman"/>
          <w:szCs w:val="20"/>
          <w:lang w:val="en-US"/>
        </w:rPr>
        <w:t>roceeding</w:t>
      </w:r>
      <w:r w:rsidR="000744A8" w:rsidRPr="007B2402">
        <w:rPr>
          <w:rFonts w:eastAsia="Calibri" w:cs="Times New Roman"/>
          <w:szCs w:val="20"/>
          <w:lang w:val="en-US"/>
        </w:rPr>
        <w:t xml:space="preserve">, </w:t>
      </w:r>
      <w:r w:rsidRPr="007B2402">
        <w:rPr>
          <w:rFonts w:eastAsia="Calibri" w:cs="Times New Roman"/>
          <w:szCs w:val="20"/>
          <w:lang w:val="en-US"/>
        </w:rPr>
        <w:t xml:space="preserve">the trial judgment </w:t>
      </w:r>
      <w:r w:rsidR="000744A8" w:rsidRPr="007B2402">
        <w:rPr>
          <w:rFonts w:eastAsia="Calibri" w:cs="Times New Roman"/>
          <w:szCs w:val="20"/>
          <w:lang w:val="en-US"/>
        </w:rPr>
        <w:t>(</w:t>
      </w:r>
      <w:r w:rsidR="000744A8" w:rsidRPr="007B2402">
        <w:rPr>
          <w:rFonts w:eastAsia="Calibri" w:cs="Times New Roman"/>
          <w:i/>
          <w:szCs w:val="20"/>
          <w:lang w:val="en-US"/>
        </w:rPr>
        <w:t>supra</w:t>
      </w:r>
      <w:r w:rsidR="000744A8" w:rsidRPr="007B2402">
        <w:rPr>
          <w:rFonts w:eastAsia="Calibri" w:cs="Times New Roman"/>
          <w:szCs w:val="20"/>
          <w:lang w:val="en-US"/>
        </w:rPr>
        <w:t xml:space="preserve"> </w:t>
      </w:r>
      <w:r w:rsidR="00892CA3" w:rsidRPr="007B2402">
        <w:rPr>
          <w:rFonts w:eastAsia="Calibri" w:cs="Times New Roman"/>
          <w:szCs w:val="20"/>
          <w:lang w:val="en-US"/>
        </w:rPr>
        <w:t>paras.</w:t>
      </w:r>
      <w:r w:rsidR="000744A8" w:rsidRPr="007B2402">
        <w:rPr>
          <w:rFonts w:eastAsia="Calibri" w:cs="Times New Roman"/>
          <w:szCs w:val="20"/>
          <w:lang w:val="en-US"/>
        </w:rPr>
        <w:t xml:space="preserve"> </w:t>
      </w:r>
      <w:r w:rsidR="000F7C6C" w:rsidRPr="007B2402">
        <w:rPr>
          <w:rFonts w:eastAsia="Calibri" w:cs="Times New Roman"/>
          <w:szCs w:val="20"/>
          <w:lang w:val="en-US"/>
        </w:rPr>
        <w:t xml:space="preserve">132 </w:t>
      </w:r>
      <w:r w:rsidRPr="007B2402">
        <w:rPr>
          <w:rFonts w:eastAsia="Calibri" w:cs="Times New Roman"/>
          <w:szCs w:val="20"/>
          <w:lang w:val="en-US"/>
        </w:rPr>
        <w:t>to</w:t>
      </w:r>
      <w:r w:rsidR="000F7C6C" w:rsidRPr="007B2402">
        <w:rPr>
          <w:rFonts w:eastAsia="Calibri" w:cs="Times New Roman"/>
          <w:szCs w:val="20"/>
          <w:lang w:val="en-US"/>
        </w:rPr>
        <w:t xml:space="preserve"> 134</w:t>
      </w:r>
      <w:r w:rsidR="000744A8" w:rsidRPr="007B2402">
        <w:rPr>
          <w:rFonts w:eastAsia="Calibri" w:cs="Times New Roman"/>
          <w:szCs w:val="20"/>
          <w:lang w:val="en-US"/>
        </w:rPr>
        <w:t>) establ</w:t>
      </w:r>
      <w:r w:rsidRPr="007B2402">
        <w:rPr>
          <w:rFonts w:eastAsia="Calibri" w:cs="Times New Roman"/>
          <w:szCs w:val="20"/>
          <w:lang w:val="en-US"/>
        </w:rPr>
        <w:t>ished that:</w:t>
      </w:r>
      <w:r w:rsidR="000744A8" w:rsidRPr="007B2402">
        <w:rPr>
          <w:rFonts w:eastAsia="Calibri" w:cs="Times New Roman"/>
          <w:szCs w:val="20"/>
          <w:lang w:val="en-US"/>
        </w:rPr>
        <w:t xml:space="preserve"> </w:t>
      </w:r>
      <w:r w:rsidRPr="007B2402">
        <w:rPr>
          <w:rFonts w:eastAsia="Calibri" w:cs="Times New Roman"/>
          <w:szCs w:val="20"/>
          <w:lang w:val="en-US"/>
        </w:rPr>
        <w:t>(</w:t>
      </w:r>
      <w:r w:rsidR="000744A8" w:rsidRPr="007B2402">
        <w:rPr>
          <w:rFonts w:eastAsia="Calibri" w:cs="Times New Roman"/>
          <w:szCs w:val="20"/>
          <w:lang w:val="en-US"/>
        </w:rPr>
        <w:t>i) Vladimir Herzog ha</w:t>
      </w:r>
      <w:r w:rsidRPr="007B2402">
        <w:rPr>
          <w:rFonts w:eastAsia="Calibri" w:cs="Times New Roman"/>
          <w:szCs w:val="20"/>
          <w:lang w:val="en-US"/>
        </w:rPr>
        <w:t xml:space="preserve">d died of unnatural causes when he was in the </w:t>
      </w:r>
      <w:r w:rsidR="000744A8" w:rsidRPr="007B2402">
        <w:rPr>
          <w:rFonts w:eastAsia="Calibri" w:cs="Times New Roman"/>
          <w:szCs w:val="20"/>
          <w:lang w:val="en-US"/>
        </w:rPr>
        <w:t xml:space="preserve">DOI/CODI/SP; </w:t>
      </w:r>
      <w:r w:rsidRPr="007B2402">
        <w:rPr>
          <w:rFonts w:eastAsia="Calibri" w:cs="Times New Roman"/>
          <w:szCs w:val="20"/>
          <w:lang w:val="en-US"/>
        </w:rPr>
        <w:t>(</w:t>
      </w:r>
      <w:r w:rsidR="000744A8" w:rsidRPr="007B2402">
        <w:rPr>
          <w:rFonts w:eastAsia="Calibri" w:cs="Times New Roman"/>
          <w:szCs w:val="20"/>
          <w:lang w:val="en-US"/>
        </w:rPr>
        <w:t xml:space="preserve">ii) </w:t>
      </w:r>
      <w:r w:rsidRPr="007B2402">
        <w:rPr>
          <w:rFonts w:eastAsia="Calibri" w:cs="Times New Roman"/>
          <w:szCs w:val="20"/>
          <w:lang w:val="en-US"/>
        </w:rPr>
        <w:t xml:space="preserve">the Union was unable to prove its hypothesis of Mr. Herzog’s suicide; (iii) his detention had been illegal; (iv) the supplementary report of the military jurisdiction was worthless because it had been prepared based on the autopsy report that had been proved to have been </w:t>
      </w:r>
      <w:r w:rsidR="003A02AA" w:rsidRPr="007B2402">
        <w:rPr>
          <w:rFonts w:eastAsia="Calibri" w:cs="Times New Roman"/>
          <w:szCs w:val="20"/>
          <w:lang w:val="en-US"/>
        </w:rPr>
        <w:t>fabricated</w:t>
      </w:r>
      <w:r w:rsidRPr="007B2402">
        <w:rPr>
          <w:rFonts w:eastAsia="Calibri" w:cs="Times New Roman"/>
          <w:szCs w:val="20"/>
          <w:lang w:val="en-US"/>
        </w:rPr>
        <w:t xml:space="preserve">; (v) a crime of abuse of authority had been committed, as well as of torture perpetrated against </w:t>
      </w:r>
      <w:r w:rsidR="000744A8" w:rsidRPr="007B2402">
        <w:rPr>
          <w:rFonts w:eastAsia="Calibri" w:cs="Times New Roman"/>
          <w:szCs w:val="20"/>
          <w:lang w:val="en-US"/>
        </w:rPr>
        <w:t>Vladimir Her</w:t>
      </w:r>
      <w:r w:rsidR="00C802A9" w:rsidRPr="007B2402">
        <w:rPr>
          <w:rFonts w:eastAsia="Calibri" w:cs="Times New Roman"/>
          <w:szCs w:val="20"/>
          <w:lang w:val="en-US"/>
        </w:rPr>
        <w:t>z</w:t>
      </w:r>
      <w:r w:rsidR="000744A8" w:rsidRPr="007B2402">
        <w:rPr>
          <w:rFonts w:eastAsia="Calibri" w:cs="Times New Roman"/>
          <w:szCs w:val="20"/>
          <w:lang w:val="en-US"/>
        </w:rPr>
        <w:t>og</w:t>
      </w:r>
      <w:r w:rsidR="005B1590" w:rsidRPr="007B2402">
        <w:rPr>
          <w:rFonts w:eastAsia="Calibri" w:cs="Times New Roman"/>
          <w:szCs w:val="20"/>
          <w:lang w:val="en-US"/>
        </w:rPr>
        <w:t xml:space="preserve"> and </w:t>
      </w:r>
      <w:r w:rsidRPr="007B2402">
        <w:rPr>
          <w:rFonts w:eastAsia="Calibri" w:cs="Times New Roman"/>
          <w:szCs w:val="20"/>
          <w:lang w:val="en-US"/>
        </w:rPr>
        <w:t xml:space="preserve">the other political prisoners who were detained in the </w:t>
      </w:r>
      <w:r w:rsidR="000744A8" w:rsidRPr="007B2402">
        <w:rPr>
          <w:rFonts w:eastAsia="Calibri" w:cs="Times New Roman"/>
          <w:szCs w:val="20"/>
          <w:lang w:val="en-US"/>
        </w:rPr>
        <w:t xml:space="preserve">DOI/CODI. </w:t>
      </w:r>
      <w:r w:rsidRPr="007B2402">
        <w:rPr>
          <w:rFonts w:eastAsia="Calibri" w:cs="Times New Roman"/>
          <w:szCs w:val="20"/>
          <w:lang w:val="en-US"/>
        </w:rPr>
        <w:t>Lastly, the federal judge determined that the case file should be forwarded to the prosecutor of the military jurisdiction. However, the military prosecutor took no action in this re</w:t>
      </w:r>
      <w:r w:rsidR="00F903BD" w:rsidRPr="007B2402">
        <w:rPr>
          <w:rFonts w:eastAsia="Calibri" w:cs="Times New Roman"/>
          <w:szCs w:val="20"/>
          <w:lang w:val="en-US"/>
        </w:rPr>
        <w:t>g</w:t>
      </w:r>
      <w:r w:rsidRPr="007B2402">
        <w:rPr>
          <w:rFonts w:eastAsia="Calibri" w:cs="Times New Roman"/>
          <w:szCs w:val="20"/>
          <w:lang w:val="en-US"/>
        </w:rPr>
        <w:t xml:space="preserve">ard. The Union appealed the trial judgment, but it became final on September 27, </w:t>
      </w:r>
      <w:r w:rsidR="000744A8" w:rsidRPr="007B2402">
        <w:rPr>
          <w:rFonts w:eastAsia="Calibri" w:cs="Times New Roman"/>
          <w:szCs w:val="20"/>
          <w:lang w:val="en-US"/>
        </w:rPr>
        <w:t>1995 (</w:t>
      </w:r>
      <w:r w:rsidR="000744A8" w:rsidRPr="007B2402">
        <w:rPr>
          <w:rFonts w:eastAsia="Calibri" w:cs="Times New Roman"/>
          <w:i/>
          <w:szCs w:val="20"/>
          <w:lang w:val="en-US"/>
        </w:rPr>
        <w:t xml:space="preserve">supra </w:t>
      </w:r>
      <w:r w:rsidR="005B1590" w:rsidRPr="007B2402">
        <w:rPr>
          <w:rFonts w:eastAsia="Calibri" w:cs="Times New Roman"/>
          <w:szCs w:val="20"/>
          <w:lang w:val="en-US"/>
        </w:rPr>
        <w:t>para.</w:t>
      </w:r>
      <w:r w:rsidR="000744A8" w:rsidRPr="007B2402">
        <w:rPr>
          <w:rFonts w:eastAsia="Calibri" w:cs="Times New Roman"/>
          <w:szCs w:val="20"/>
          <w:lang w:val="en-US"/>
        </w:rPr>
        <w:t xml:space="preserve"> </w:t>
      </w:r>
      <w:r w:rsidR="000F7C6C" w:rsidRPr="007B2402">
        <w:rPr>
          <w:rFonts w:eastAsia="Calibri" w:cs="Times New Roman"/>
          <w:szCs w:val="20"/>
          <w:lang w:val="en-US"/>
        </w:rPr>
        <w:t>135</w:t>
      </w:r>
      <w:r w:rsidR="000744A8" w:rsidRPr="007B2402">
        <w:rPr>
          <w:rFonts w:eastAsia="Calibri" w:cs="Times New Roman"/>
          <w:szCs w:val="20"/>
          <w:lang w:val="en-US"/>
        </w:rPr>
        <w:t xml:space="preserve">). </w:t>
      </w:r>
    </w:p>
    <w:p w14:paraId="7BD3DEF2" w14:textId="77777777" w:rsidR="000744A8" w:rsidRPr="007B2402" w:rsidRDefault="000744A8" w:rsidP="000744A8">
      <w:pPr>
        <w:spacing w:after="0" w:line="240" w:lineRule="auto"/>
        <w:jc w:val="both"/>
        <w:rPr>
          <w:rFonts w:eastAsia="Calibri" w:cs="Times New Roman"/>
          <w:szCs w:val="20"/>
          <w:lang w:val="en-US"/>
        </w:rPr>
      </w:pPr>
    </w:p>
    <w:p w14:paraId="0A1CF19D" w14:textId="7AA84638" w:rsidR="000744A8" w:rsidRPr="007B2402" w:rsidRDefault="00F903BD" w:rsidP="005E7CC1">
      <w:pPr>
        <w:pStyle w:val="Prrafodelista"/>
        <w:numPr>
          <w:ilvl w:val="0"/>
          <w:numId w:val="32"/>
        </w:numPr>
        <w:outlineLvl w:val="4"/>
        <w:rPr>
          <w:rFonts w:eastAsia="Calibri" w:cs="Times New Roman"/>
          <w:i/>
          <w:szCs w:val="20"/>
          <w:lang w:val="en-US"/>
        </w:rPr>
      </w:pPr>
      <w:r w:rsidRPr="007B2402">
        <w:rPr>
          <w:rFonts w:eastAsia="Calibri" w:cs="Times New Roman"/>
          <w:i/>
          <w:szCs w:val="20"/>
          <w:lang w:val="en-US"/>
        </w:rPr>
        <w:t>The</w:t>
      </w:r>
      <w:r w:rsidR="000744A8" w:rsidRPr="007B2402">
        <w:rPr>
          <w:rFonts w:eastAsia="Calibri" w:cs="Times New Roman"/>
          <w:i/>
          <w:szCs w:val="20"/>
          <w:lang w:val="en-US"/>
        </w:rPr>
        <w:t xml:space="preserve"> </w:t>
      </w:r>
      <w:r w:rsidR="00221E16" w:rsidRPr="007B2402">
        <w:rPr>
          <w:rFonts w:eastAsia="Calibri" w:cs="Times New Roman"/>
          <w:i/>
          <w:szCs w:val="20"/>
          <w:lang w:val="en-US"/>
        </w:rPr>
        <w:t>Amnesty Law</w:t>
      </w:r>
      <w:r w:rsidR="005B1590" w:rsidRPr="007B2402">
        <w:rPr>
          <w:rFonts w:eastAsia="Calibri" w:cs="Times New Roman"/>
          <w:i/>
          <w:szCs w:val="20"/>
          <w:lang w:val="en-US"/>
        </w:rPr>
        <w:t xml:space="preserve"> and </w:t>
      </w:r>
      <w:r w:rsidR="005A2FF3" w:rsidRPr="007B2402">
        <w:rPr>
          <w:rFonts w:eastAsia="Calibri" w:cs="Times New Roman"/>
          <w:i/>
          <w:szCs w:val="20"/>
          <w:lang w:val="en-US"/>
        </w:rPr>
        <w:t xml:space="preserve">Police </w:t>
      </w:r>
      <w:r w:rsidRPr="007B2402">
        <w:rPr>
          <w:rFonts w:eastAsia="Calibri" w:cs="Times New Roman"/>
          <w:i/>
          <w:szCs w:val="20"/>
          <w:lang w:val="en-US"/>
        </w:rPr>
        <w:t>I</w:t>
      </w:r>
      <w:r w:rsidR="005A2FF3" w:rsidRPr="007B2402">
        <w:rPr>
          <w:rFonts w:eastAsia="Calibri" w:cs="Times New Roman"/>
          <w:i/>
          <w:szCs w:val="20"/>
          <w:lang w:val="en-US"/>
        </w:rPr>
        <w:t>nvestigation</w:t>
      </w:r>
      <w:r w:rsidR="000744A8" w:rsidRPr="007B2402">
        <w:rPr>
          <w:rFonts w:eastAsia="Calibri" w:cs="Times New Roman"/>
          <w:i/>
          <w:szCs w:val="20"/>
          <w:lang w:val="en-US"/>
        </w:rPr>
        <w:t xml:space="preserve"> No. 487/92</w:t>
      </w:r>
    </w:p>
    <w:p w14:paraId="136DC5B7" w14:textId="77777777" w:rsidR="000744A8" w:rsidRPr="007B2402" w:rsidRDefault="000744A8" w:rsidP="000744A8">
      <w:pPr>
        <w:spacing w:after="0" w:line="240" w:lineRule="auto"/>
        <w:jc w:val="both"/>
        <w:rPr>
          <w:rFonts w:eastAsia="Calibri" w:cs="Times New Roman"/>
          <w:szCs w:val="20"/>
          <w:lang w:val="en-US"/>
        </w:rPr>
      </w:pPr>
    </w:p>
    <w:p w14:paraId="7546C15D" w14:textId="1517863C" w:rsidR="000744A8" w:rsidRPr="007B2402" w:rsidRDefault="00F903BD" w:rsidP="00F903BD">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On August 29,</w:t>
      </w:r>
      <w:r w:rsidR="000744A8" w:rsidRPr="007B2402">
        <w:rPr>
          <w:rFonts w:eastAsia="Calibri" w:cs="Times New Roman"/>
          <w:szCs w:val="20"/>
          <w:lang w:val="en-US"/>
        </w:rPr>
        <w:t xml:space="preserve"> 1979</w:t>
      </w:r>
      <w:r w:rsidRPr="007B2402">
        <w:rPr>
          <w:rFonts w:eastAsia="Calibri" w:cs="Times New Roman"/>
          <w:szCs w:val="20"/>
          <w:lang w:val="en-US"/>
        </w:rPr>
        <w:t>,</w:t>
      </w:r>
      <w:r w:rsidR="000744A8" w:rsidRPr="007B2402">
        <w:rPr>
          <w:rFonts w:eastAsia="Calibri" w:cs="Times New Roman"/>
          <w:szCs w:val="20"/>
          <w:lang w:val="en-US"/>
        </w:rPr>
        <w:t xml:space="preserve"> </w:t>
      </w:r>
      <w:r w:rsidR="00221E16" w:rsidRPr="007B2402">
        <w:rPr>
          <w:rFonts w:eastAsia="Calibri" w:cs="Times New Roman"/>
          <w:szCs w:val="20"/>
          <w:lang w:val="en-US"/>
        </w:rPr>
        <w:t>Amnesty Law</w:t>
      </w:r>
      <w:r w:rsidR="000744A8" w:rsidRPr="007B2402">
        <w:rPr>
          <w:rFonts w:eastAsia="Calibri" w:cs="Times New Roman"/>
          <w:szCs w:val="20"/>
          <w:lang w:val="en-US"/>
        </w:rPr>
        <w:t xml:space="preserve"> No. 6683/79</w:t>
      </w:r>
      <w:r w:rsidRPr="007B2402">
        <w:rPr>
          <w:rFonts w:eastAsia="Calibri" w:cs="Times New Roman"/>
          <w:szCs w:val="20"/>
          <w:lang w:val="en-US"/>
        </w:rPr>
        <w:t xml:space="preserve"> was enacted</w:t>
      </w:r>
      <w:r w:rsidR="000744A8" w:rsidRPr="007B2402">
        <w:rPr>
          <w:rFonts w:eastAsia="Calibri" w:cs="Times New Roman"/>
          <w:szCs w:val="20"/>
          <w:lang w:val="en-US"/>
        </w:rPr>
        <w:t xml:space="preserve">. </w:t>
      </w:r>
      <w:r w:rsidRPr="007B2402">
        <w:rPr>
          <w:rFonts w:eastAsia="Calibri" w:cs="Times New Roman"/>
          <w:szCs w:val="20"/>
          <w:lang w:val="en-US"/>
        </w:rPr>
        <w:t>I</w:t>
      </w:r>
      <w:r w:rsidR="000744A8" w:rsidRPr="007B2402">
        <w:rPr>
          <w:rFonts w:eastAsia="Calibri" w:cs="Times New Roman"/>
          <w:szCs w:val="20"/>
          <w:lang w:val="en-US"/>
        </w:rPr>
        <w:t>n 1992</w:t>
      </w:r>
      <w:r w:rsidRPr="007B2402">
        <w:rPr>
          <w:rFonts w:eastAsia="Calibri" w:cs="Times New Roman"/>
          <w:szCs w:val="20"/>
          <w:lang w:val="en-US"/>
        </w:rPr>
        <w:t xml:space="preserve">, following the publication of an interview with a known torturer, </w:t>
      </w:r>
      <w:r w:rsidR="000744A8" w:rsidRPr="007B2402">
        <w:rPr>
          <w:rFonts w:eastAsia="Calibri" w:cs="Times New Roman"/>
          <w:szCs w:val="20"/>
          <w:lang w:val="en-US"/>
        </w:rPr>
        <w:t xml:space="preserve">Pedro Antonio Mira Grancieri, </w:t>
      </w:r>
      <w:r w:rsidRPr="007B2402">
        <w:rPr>
          <w:rFonts w:eastAsia="Calibri" w:cs="Times New Roman"/>
          <w:szCs w:val="20"/>
          <w:lang w:val="en-US"/>
        </w:rPr>
        <w:t xml:space="preserve">who stated that he alone had been responsible for the interrogation of Vladimir </w:t>
      </w:r>
      <w:r w:rsidR="000744A8" w:rsidRPr="007B2402">
        <w:rPr>
          <w:rFonts w:eastAsia="Calibri" w:cs="Times New Roman"/>
          <w:szCs w:val="20"/>
          <w:lang w:val="en-US"/>
        </w:rPr>
        <w:t xml:space="preserve">Herzog, </w:t>
      </w:r>
      <w:r w:rsidRPr="007B2402">
        <w:rPr>
          <w:rFonts w:eastAsia="Calibri" w:cs="Times New Roman"/>
          <w:szCs w:val="20"/>
          <w:lang w:val="en-US"/>
        </w:rPr>
        <w:t>the</w:t>
      </w:r>
      <w:r w:rsidR="000744A8" w:rsidRPr="007B2402">
        <w:rPr>
          <w:rFonts w:eastAsia="Calibri" w:cs="Times New Roman"/>
          <w:szCs w:val="20"/>
          <w:lang w:val="en-US"/>
        </w:rPr>
        <w:t xml:space="preserve"> </w:t>
      </w:r>
      <w:r w:rsidR="005A2FF3" w:rsidRPr="007B2402">
        <w:rPr>
          <w:rFonts w:eastAsia="Calibri" w:cs="Times New Roman"/>
          <w:szCs w:val="20"/>
          <w:lang w:val="en-US"/>
        </w:rPr>
        <w:t>Public Prosecution Service</w:t>
      </w:r>
      <w:r w:rsidR="006E2CFF" w:rsidRPr="007B2402">
        <w:rPr>
          <w:rFonts w:eastAsia="Calibri" w:cs="Times New Roman"/>
          <w:szCs w:val="20"/>
          <w:lang w:val="en-US"/>
        </w:rPr>
        <w:t xml:space="preserve"> of the </w:t>
      </w:r>
      <w:r w:rsidRPr="007B2402">
        <w:rPr>
          <w:rFonts w:eastAsia="Calibri" w:cs="Times New Roman"/>
          <w:szCs w:val="20"/>
          <w:lang w:val="en-US"/>
        </w:rPr>
        <w:t>s</w:t>
      </w:r>
      <w:r w:rsidR="00AF4344" w:rsidRPr="007B2402">
        <w:rPr>
          <w:rFonts w:eastAsia="Calibri" w:cs="Times New Roman"/>
          <w:szCs w:val="20"/>
          <w:lang w:val="en-US"/>
        </w:rPr>
        <w:t>tate</w:t>
      </w:r>
      <w:r w:rsidR="000744A8" w:rsidRPr="007B2402">
        <w:rPr>
          <w:rFonts w:eastAsia="Calibri" w:cs="Times New Roman"/>
          <w:szCs w:val="20"/>
          <w:lang w:val="en-US"/>
        </w:rPr>
        <w:t xml:space="preserve"> </w:t>
      </w:r>
      <w:r w:rsidR="005D25AE" w:rsidRPr="007B2402">
        <w:rPr>
          <w:rFonts w:eastAsia="Calibri" w:cs="Times New Roman"/>
          <w:szCs w:val="20"/>
          <w:lang w:val="en-US"/>
        </w:rPr>
        <w:t xml:space="preserve">of </w:t>
      </w:r>
      <w:r w:rsidR="000744A8" w:rsidRPr="007B2402">
        <w:rPr>
          <w:rFonts w:eastAsia="Calibri" w:cs="Times New Roman"/>
          <w:szCs w:val="20"/>
          <w:lang w:val="en-US"/>
        </w:rPr>
        <w:t xml:space="preserve">São Paulo </w:t>
      </w:r>
      <w:r w:rsidR="005959D1" w:rsidRPr="007B2402">
        <w:rPr>
          <w:rFonts w:eastAsia="Calibri" w:cs="Times New Roman"/>
          <w:szCs w:val="20"/>
          <w:lang w:val="en-US"/>
        </w:rPr>
        <w:t>was</w:t>
      </w:r>
      <w:r w:rsidRPr="007B2402">
        <w:rPr>
          <w:rFonts w:eastAsia="Calibri" w:cs="Times New Roman"/>
          <w:szCs w:val="20"/>
          <w:lang w:val="en-US"/>
        </w:rPr>
        <w:t xml:space="preserve"> asked to investigate the participation of </w:t>
      </w:r>
      <w:r w:rsidR="000744A8" w:rsidRPr="007B2402">
        <w:rPr>
          <w:rFonts w:eastAsia="Calibri" w:cs="Times New Roman"/>
          <w:szCs w:val="20"/>
          <w:lang w:val="en-US"/>
        </w:rPr>
        <w:t>Mira Grancieri</w:t>
      </w:r>
      <w:r w:rsidR="000744A8" w:rsidRPr="007B2402" w:rsidDel="008552B3">
        <w:rPr>
          <w:rFonts w:eastAsia="Calibri" w:cs="Times New Roman"/>
          <w:szCs w:val="20"/>
          <w:lang w:val="en-US"/>
        </w:rPr>
        <w:t xml:space="preserve"> </w:t>
      </w:r>
      <w:r w:rsidRPr="007B2402">
        <w:rPr>
          <w:rFonts w:eastAsia="Calibri" w:cs="Times New Roman"/>
          <w:szCs w:val="20"/>
          <w:lang w:val="en-US"/>
        </w:rPr>
        <w:t>in the death of</w:t>
      </w:r>
      <w:r w:rsidR="000744A8" w:rsidRPr="007B2402">
        <w:rPr>
          <w:rFonts w:eastAsia="Calibri" w:cs="Times New Roman"/>
          <w:szCs w:val="20"/>
          <w:lang w:val="en-US"/>
        </w:rPr>
        <w:t xml:space="preserve"> Vladimir Herzog. </w:t>
      </w:r>
      <w:r w:rsidR="005A2FF3" w:rsidRPr="007B2402">
        <w:rPr>
          <w:rFonts w:eastAsia="Calibri" w:cs="Times New Roman"/>
          <w:szCs w:val="20"/>
          <w:lang w:val="en-US"/>
        </w:rPr>
        <w:t>The Public Prosecution Service</w:t>
      </w:r>
      <w:r w:rsidR="000744A8" w:rsidRPr="007B2402">
        <w:rPr>
          <w:rFonts w:eastAsia="Calibri" w:cs="Times New Roman"/>
          <w:szCs w:val="20"/>
          <w:lang w:val="en-US"/>
        </w:rPr>
        <w:t xml:space="preserve"> </w:t>
      </w:r>
      <w:r w:rsidRPr="007B2402">
        <w:rPr>
          <w:rFonts w:eastAsia="Calibri" w:cs="Times New Roman"/>
          <w:szCs w:val="20"/>
          <w:lang w:val="en-US"/>
        </w:rPr>
        <w:t xml:space="preserve">asked the police to </w:t>
      </w:r>
      <w:r w:rsidRPr="007B2402">
        <w:rPr>
          <w:rFonts w:eastAsia="Calibri" w:cs="Times New Roman"/>
          <w:szCs w:val="20"/>
          <w:lang w:val="en-US"/>
        </w:rPr>
        <w:lastRenderedPageBreak/>
        <w:t>open a p</w:t>
      </w:r>
      <w:r w:rsidR="005A2FF3" w:rsidRPr="007B2402">
        <w:rPr>
          <w:rFonts w:eastAsia="Calibri" w:cs="Times New Roman"/>
          <w:szCs w:val="20"/>
          <w:lang w:val="en-US"/>
        </w:rPr>
        <w:t>olice investigation</w:t>
      </w:r>
      <w:r w:rsidR="000744A8" w:rsidRPr="007B2402">
        <w:rPr>
          <w:rFonts w:eastAsia="Calibri" w:cs="Times New Roman"/>
          <w:szCs w:val="20"/>
          <w:lang w:val="en-US"/>
        </w:rPr>
        <w:t xml:space="preserve">. </w:t>
      </w:r>
      <w:r w:rsidRPr="007B2402">
        <w:rPr>
          <w:rFonts w:eastAsia="Calibri" w:cs="Times New Roman"/>
          <w:szCs w:val="20"/>
          <w:lang w:val="en-US"/>
        </w:rPr>
        <w:t xml:space="preserve">However, a few months later, </w:t>
      </w:r>
      <w:r w:rsidR="000744A8" w:rsidRPr="007B2402">
        <w:rPr>
          <w:rFonts w:eastAsia="Calibri" w:cs="Times New Roman"/>
          <w:szCs w:val="20"/>
          <w:lang w:val="en-US"/>
        </w:rPr>
        <w:t>Mira Grancieri</w:t>
      </w:r>
      <w:r w:rsidRPr="007B2402">
        <w:rPr>
          <w:rFonts w:eastAsia="Calibri" w:cs="Times New Roman"/>
          <w:szCs w:val="20"/>
          <w:lang w:val="en-US"/>
        </w:rPr>
        <w:t xml:space="preserve"> filed an application for</w:t>
      </w:r>
      <w:r w:rsidR="000744A8" w:rsidRPr="007B2402">
        <w:rPr>
          <w:rFonts w:eastAsia="Calibri" w:cs="Times New Roman"/>
          <w:szCs w:val="20"/>
          <w:lang w:val="en-US"/>
        </w:rPr>
        <w:t xml:space="preserve"> </w:t>
      </w:r>
      <w:r w:rsidR="000744A8" w:rsidRPr="007B2402">
        <w:rPr>
          <w:rFonts w:eastAsia="Calibri" w:cs="Times New Roman"/>
          <w:i/>
          <w:szCs w:val="20"/>
          <w:lang w:val="en-US"/>
        </w:rPr>
        <w:t>habeas corpus</w:t>
      </w:r>
      <w:r w:rsidR="000744A8" w:rsidRPr="007B2402">
        <w:rPr>
          <w:rFonts w:eastAsia="Calibri" w:cs="Times New Roman"/>
          <w:szCs w:val="20"/>
          <w:lang w:val="en-US"/>
        </w:rPr>
        <w:t xml:space="preserve"> </w:t>
      </w:r>
      <w:r w:rsidRPr="007B2402">
        <w:rPr>
          <w:rFonts w:eastAsia="Calibri" w:cs="Times New Roman"/>
          <w:szCs w:val="20"/>
          <w:lang w:val="en-US"/>
        </w:rPr>
        <w:t>in favor of himself, which was unanimously declared admissible</w:t>
      </w:r>
      <w:r w:rsidR="003A02AA" w:rsidRPr="007B2402">
        <w:rPr>
          <w:rFonts w:eastAsia="Calibri" w:cs="Times New Roman"/>
          <w:szCs w:val="20"/>
          <w:lang w:val="en-US"/>
        </w:rPr>
        <w:t xml:space="preserve"> by</w:t>
      </w:r>
      <w:r w:rsidRPr="007B2402">
        <w:rPr>
          <w:rFonts w:eastAsia="Calibri" w:cs="Times New Roman"/>
          <w:szCs w:val="20"/>
          <w:lang w:val="en-US"/>
        </w:rPr>
        <w:t xml:space="preserve"> the São Paulo Court of Justice</w:t>
      </w:r>
      <w:r w:rsidR="003A02AA" w:rsidRPr="007B2402">
        <w:rPr>
          <w:rFonts w:eastAsia="Calibri" w:cs="Times New Roman"/>
          <w:szCs w:val="20"/>
          <w:lang w:val="en-US"/>
        </w:rPr>
        <w:t xml:space="preserve"> in October 1992</w:t>
      </w:r>
      <w:r w:rsidRPr="007B2402">
        <w:rPr>
          <w:rFonts w:eastAsia="Calibri" w:cs="Times New Roman"/>
          <w:szCs w:val="20"/>
          <w:lang w:val="en-US"/>
        </w:rPr>
        <w:t xml:space="preserve">. Consequently, the police investigation was closed in compliance with the Amnesty Law. In January 1993, the São Paulo Prosecutor General appealed the decision. However, on August 18, 1993, the </w:t>
      </w:r>
      <w:r w:rsidR="00F337BB" w:rsidRPr="007B2402">
        <w:rPr>
          <w:rFonts w:eastAsia="Calibri" w:cs="Times New Roman"/>
          <w:szCs w:val="20"/>
          <w:lang w:val="en-US"/>
        </w:rPr>
        <w:t>Superior Court of Justice</w:t>
      </w:r>
      <w:r w:rsidR="000744A8" w:rsidRPr="007B2402">
        <w:rPr>
          <w:rFonts w:eastAsia="Calibri" w:cs="Times New Roman"/>
          <w:szCs w:val="20"/>
          <w:lang w:val="en-US"/>
        </w:rPr>
        <w:t xml:space="preserve"> confirm</w:t>
      </w:r>
      <w:r w:rsidRPr="007B2402">
        <w:rPr>
          <w:rFonts w:eastAsia="Calibri" w:cs="Times New Roman"/>
          <w:szCs w:val="20"/>
          <w:lang w:val="en-US"/>
        </w:rPr>
        <w:t xml:space="preserve">ed the first instance decision. The justices </w:t>
      </w:r>
      <w:r w:rsidR="006D3152" w:rsidRPr="007B2402">
        <w:rPr>
          <w:rFonts w:eastAsia="Calibri" w:cs="Times New Roman"/>
          <w:szCs w:val="20"/>
          <w:lang w:val="en-US"/>
        </w:rPr>
        <w:t xml:space="preserve">alleged procedural </w:t>
      </w:r>
      <w:r w:rsidR="003A02AA" w:rsidRPr="007B2402">
        <w:rPr>
          <w:rFonts w:eastAsia="Calibri" w:cs="Times New Roman"/>
          <w:szCs w:val="20"/>
          <w:lang w:val="en-US"/>
        </w:rPr>
        <w:t>questions</w:t>
      </w:r>
      <w:r w:rsidR="006D3152" w:rsidRPr="007B2402">
        <w:rPr>
          <w:rFonts w:eastAsia="Calibri" w:cs="Times New Roman"/>
          <w:szCs w:val="20"/>
          <w:lang w:val="en-US"/>
        </w:rPr>
        <w:t xml:space="preserve"> to deny the appeal </w:t>
      </w:r>
      <w:r w:rsidR="000744A8" w:rsidRPr="007B2402">
        <w:rPr>
          <w:rFonts w:eastAsia="Calibri" w:cs="Times New Roman"/>
          <w:szCs w:val="20"/>
          <w:lang w:val="en-US"/>
        </w:rPr>
        <w:t>(</w:t>
      </w:r>
      <w:r w:rsidR="000744A8" w:rsidRPr="007B2402">
        <w:rPr>
          <w:rFonts w:eastAsia="Calibri" w:cs="Times New Roman"/>
          <w:i/>
          <w:szCs w:val="20"/>
          <w:lang w:val="en-US"/>
        </w:rPr>
        <w:t xml:space="preserve">supra </w:t>
      </w:r>
      <w:r w:rsidR="00892CA3" w:rsidRPr="007B2402">
        <w:rPr>
          <w:rFonts w:eastAsia="Calibri" w:cs="Times New Roman"/>
          <w:szCs w:val="20"/>
          <w:lang w:val="en-US"/>
        </w:rPr>
        <w:t>paras.</w:t>
      </w:r>
      <w:r w:rsidR="000744A8" w:rsidRPr="007B2402">
        <w:rPr>
          <w:rFonts w:eastAsia="Calibri" w:cs="Times New Roman"/>
          <w:szCs w:val="20"/>
          <w:lang w:val="en-US"/>
        </w:rPr>
        <w:t xml:space="preserve"> </w:t>
      </w:r>
      <w:r w:rsidR="002E68A4" w:rsidRPr="007B2402">
        <w:rPr>
          <w:rFonts w:eastAsia="Calibri" w:cs="Times New Roman"/>
          <w:szCs w:val="20"/>
          <w:lang w:val="en-US"/>
        </w:rPr>
        <w:t xml:space="preserve">140 </w:t>
      </w:r>
      <w:r w:rsidR="006D3152" w:rsidRPr="007B2402">
        <w:rPr>
          <w:rFonts w:eastAsia="Calibri" w:cs="Times New Roman"/>
          <w:szCs w:val="20"/>
          <w:lang w:val="en-US"/>
        </w:rPr>
        <w:t>to</w:t>
      </w:r>
      <w:r w:rsidR="002E68A4" w:rsidRPr="007B2402">
        <w:rPr>
          <w:rFonts w:eastAsia="Calibri" w:cs="Times New Roman"/>
          <w:szCs w:val="20"/>
          <w:lang w:val="en-US"/>
        </w:rPr>
        <w:t xml:space="preserve"> 145</w:t>
      </w:r>
      <w:r w:rsidR="000744A8" w:rsidRPr="007B2402">
        <w:rPr>
          <w:rFonts w:eastAsia="Calibri" w:cs="Times New Roman"/>
          <w:szCs w:val="20"/>
          <w:lang w:val="en-US"/>
        </w:rPr>
        <w:t>).</w:t>
      </w:r>
    </w:p>
    <w:p w14:paraId="3674FC5B" w14:textId="77777777" w:rsidR="000744A8" w:rsidRPr="007B2402" w:rsidRDefault="000744A8" w:rsidP="000744A8">
      <w:pPr>
        <w:spacing w:after="0" w:line="240" w:lineRule="auto"/>
        <w:jc w:val="both"/>
        <w:rPr>
          <w:rFonts w:eastAsia="Calibri" w:cs="Times New Roman"/>
          <w:szCs w:val="20"/>
          <w:lang w:val="en-US"/>
        </w:rPr>
      </w:pPr>
    </w:p>
    <w:p w14:paraId="4101F45E" w14:textId="22061C1B" w:rsidR="000744A8" w:rsidRPr="007B2402" w:rsidRDefault="00AF4344"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The Court</w:t>
      </w:r>
      <w:r w:rsidR="000744A8" w:rsidRPr="007B2402">
        <w:rPr>
          <w:rFonts w:eastAsia="Calibri" w:cs="Times New Roman"/>
          <w:szCs w:val="20"/>
          <w:lang w:val="en-US"/>
        </w:rPr>
        <w:t xml:space="preserve"> </w:t>
      </w:r>
      <w:r w:rsidR="005959D1" w:rsidRPr="007B2402">
        <w:rPr>
          <w:rFonts w:eastAsia="Calibri" w:cs="Times New Roman"/>
          <w:szCs w:val="20"/>
          <w:lang w:val="en-US"/>
        </w:rPr>
        <w:t xml:space="preserve">does not have competence </w:t>
      </w:r>
      <w:r w:rsidR="000744A8" w:rsidRPr="007B2402">
        <w:rPr>
          <w:rFonts w:eastAsia="Calibri" w:cs="Times New Roman"/>
          <w:i/>
          <w:szCs w:val="20"/>
          <w:lang w:val="en-US"/>
        </w:rPr>
        <w:t xml:space="preserve">ratione temporis </w:t>
      </w:r>
      <w:r w:rsidR="005959D1" w:rsidRPr="007B2402">
        <w:rPr>
          <w:rFonts w:eastAsia="Calibri" w:cs="Times New Roman"/>
          <w:iCs/>
          <w:szCs w:val="20"/>
          <w:lang w:val="en-US"/>
        </w:rPr>
        <w:t xml:space="preserve">to determine a violation of </w:t>
      </w:r>
      <w:r w:rsidRPr="007B2402">
        <w:rPr>
          <w:rFonts w:eastAsia="Calibri" w:cs="Times New Roman"/>
          <w:szCs w:val="20"/>
          <w:lang w:val="en-US"/>
        </w:rPr>
        <w:t>the American Convention</w:t>
      </w:r>
      <w:r w:rsidR="005959D1" w:rsidRPr="007B2402">
        <w:rPr>
          <w:rFonts w:eastAsia="Calibri" w:cs="Times New Roman"/>
          <w:szCs w:val="20"/>
          <w:lang w:val="en-US"/>
        </w:rPr>
        <w:t xml:space="preserve"> in relation to these facts. However, it is important to point out that the decision of the </w:t>
      </w:r>
      <w:r w:rsidR="000744A8" w:rsidRPr="007B2402">
        <w:rPr>
          <w:rFonts w:eastAsia="Calibri" w:cs="Times New Roman"/>
          <w:szCs w:val="20"/>
          <w:lang w:val="en-US"/>
        </w:rPr>
        <w:t>São Paulo</w:t>
      </w:r>
      <w:r w:rsidR="005959D1" w:rsidRPr="007B2402">
        <w:rPr>
          <w:rFonts w:eastAsia="Calibri" w:cs="Times New Roman"/>
          <w:szCs w:val="20"/>
          <w:lang w:val="en-US"/>
        </w:rPr>
        <w:t xml:space="preserve"> Court of Justice was issued after the entry into force </w:t>
      </w:r>
      <w:r w:rsidRPr="007B2402">
        <w:rPr>
          <w:rFonts w:eastAsia="Calibri" w:cs="Times New Roman"/>
          <w:szCs w:val="20"/>
          <w:lang w:val="en-US"/>
        </w:rPr>
        <w:t>of the American Convention</w:t>
      </w:r>
      <w:r w:rsidR="000744A8" w:rsidRPr="007B2402">
        <w:rPr>
          <w:rFonts w:eastAsia="Calibri" w:cs="Times New Roman"/>
          <w:szCs w:val="20"/>
          <w:lang w:val="en-US"/>
        </w:rPr>
        <w:t xml:space="preserve"> </w:t>
      </w:r>
      <w:r w:rsidR="005959D1" w:rsidRPr="007B2402">
        <w:rPr>
          <w:rFonts w:eastAsia="Calibri" w:cs="Times New Roman"/>
          <w:szCs w:val="20"/>
          <w:lang w:val="en-US"/>
        </w:rPr>
        <w:t>for</w:t>
      </w:r>
      <w:r w:rsidR="000744A8" w:rsidRPr="007B2402">
        <w:rPr>
          <w:rFonts w:eastAsia="Calibri" w:cs="Times New Roman"/>
          <w:szCs w:val="20"/>
          <w:lang w:val="en-US"/>
        </w:rPr>
        <w:t xml:space="preserve"> </w:t>
      </w:r>
      <w:r w:rsidRPr="007B2402">
        <w:rPr>
          <w:rFonts w:eastAsia="Calibri" w:cs="Times New Roman"/>
          <w:szCs w:val="20"/>
          <w:lang w:val="en-US"/>
        </w:rPr>
        <w:t>the</w:t>
      </w:r>
      <w:r w:rsidR="005959D1" w:rsidRPr="007B2402">
        <w:rPr>
          <w:rFonts w:eastAsia="Calibri" w:cs="Times New Roman"/>
          <w:szCs w:val="20"/>
          <w:lang w:val="en-US"/>
        </w:rPr>
        <w:t xml:space="preserve"> Brazilian</w:t>
      </w:r>
      <w:r w:rsidRPr="007B2402">
        <w:rPr>
          <w:rFonts w:eastAsia="Calibri" w:cs="Times New Roman"/>
          <w:szCs w:val="20"/>
          <w:lang w:val="en-US"/>
        </w:rPr>
        <w:t xml:space="preserve"> State</w:t>
      </w:r>
      <w:r w:rsidR="000744A8" w:rsidRPr="007B2402">
        <w:rPr>
          <w:rFonts w:eastAsia="Calibri" w:cs="Times New Roman"/>
          <w:szCs w:val="20"/>
          <w:lang w:val="en-US"/>
        </w:rPr>
        <w:t xml:space="preserve"> (</w:t>
      </w:r>
      <w:r w:rsidRPr="007B2402">
        <w:rPr>
          <w:rFonts w:eastAsia="Calibri" w:cs="Times New Roman"/>
          <w:szCs w:val="20"/>
          <w:lang w:val="en-US"/>
        </w:rPr>
        <w:t>the Convention</w:t>
      </w:r>
      <w:r w:rsidR="005959D1" w:rsidRPr="007B2402">
        <w:rPr>
          <w:rFonts w:eastAsia="Calibri" w:cs="Times New Roman"/>
          <w:szCs w:val="20"/>
          <w:lang w:val="en-US"/>
        </w:rPr>
        <w:t xml:space="preserve"> was ratified on</w:t>
      </w:r>
      <w:r w:rsidR="000744A8" w:rsidRPr="007B2402">
        <w:rPr>
          <w:rFonts w:eastAsia="Calibri" w:cs="Times New Roman"/>
          <w:szCs w:val="20"/>
          <w:lang w:val="en-US"/>
        </w:rPr>
        <w:t xml:space="preserve"> </w:t>
      </w:r>
      <w:r w:rsidR="00D86EEA" w:rsidRPr="007B2402">
        <w:rPr>
          <w:rFonts w:eastAsia="Calibri" w:cs="Times New Roman"/>
          <w:szCs w:val="20"/>
          <w:lang w:val="en-US"/>
        </w:rPr>
        <w:t>September 25,</w:t>
      </w:r>
      <w:r w:rsidR="000744A8" w:rsidRPr="007B2402">
        <w:rPr>
          <w:rFonts w:eastAsia="Calibri" w:cs="Times New Roman"/>
          <w:szCs w:val="20"/>
          <w:lang w:val="en-US"/>
        </w:rPr>
        <w:t xml:space="preserve"> 1992). </w:t>
      </w:r>
      <w:r w:rsidR="005959D1" w:rsidRPr="007B2402">
        <w:rPr>
          <w:rFonts w:eastAsia="Calibri" w:cs="Times New Roman"/>
          <w:szCs w:val="20"/>
          <w:lang w:val="en-US"/>
        </w:rPr>
        <w:t xml:space="preserve">In addition, the Court recalls its considerations on </w:t>
      </w:r>
      <w:r w:rsidR="00513729" w:rsidRPr="007B2402">
        <w:rPr>
          <w:rFonts w:eastAsia="Calibri" w:cs="Times New Roman"/>
          <w:szCs w:val="20"/>
          <w:lang w:val="en-US"/>
        </w:rPr>
        <w:t xml:space="preserve">Law </w:t>
      </w:r>
      <w:r w:rsidR="000744A8" w:rsidRPr="007B2402">
        <w:rPr>
          <w:rFonts w:eastAsia="Calibri" w:cs="Times New Roman"/>
          <w:szCs w:val="20"/>
          <w:lang w:val="en-US"/>
        </w:rPr>
        <w:t xml:space="preserve">No. 6683/79 </w:t>
      </w:r>
      <w:r w:rsidR="005959D1" w:rsidRPr="007B2402">
        <w:rPr>
          <w:rFonts w:eastAsia="Calibri" w:cs="Times New Roman"/>
          <w:szCs w:val="20"/>
          <w:lang w:val="en-US"/>
        </w:rPr>
        <w:t>in the j</w:t>
      </w:r>
      <w:r w:rsidRPr="007B2402">
        <w:rPr>
          <w:rFonts w:eastAsia="Calibri" w:cs="Times New Roman"/>
          <w:szCs w:val="20"/>
          <w:lang w:val="en-US"/>
        </w:rPr>
        <w:t>udgment</w:t>
      </w:r>
      <w:r w:rsidR="00221E16" w:rsidRPr="007B2402">
        <w:rPr>
          <w:rFonts w:eastAsia="Calibri" w:cs="Times New Roman"/>
          <w:szCs w:val="20"/>
          <w:lang w:val="en-US"/>
        </w:rPr>
        <w:t xml:space="preserve"> </w:t>
      </w:r>
      <w:r w:rsidR="005959D1" w:rsidRPr="007B2402">
        <w:rPr>
          <w:rFonts w:eastAsia="Calibri" w:cs="Times New Roman"/>
          <w:szCs w:val="20"/>
          <w:lang w:val="en-US"/>
        </w:rPr>
        <w:t>in the</w:t>
      </w:r>
      <w:r w:rsidR="00221E16" w:rsidRPr="007B2402">
        <w:rPr>
          <w:rFonts w:eastAsia="Calibri" w:cs="Times New Roman"/>
          <w:szCs w:val="20"/>
          <w:lang w:val="en-US"/>
        </w:rPr>
        <w:t xml:space="preserve"> </w:t>
      </w:r>
      <w:r w:rsidR="005959D1" w:rsidRPr="007B2402">
        <w:rPr>
          <w:rFonts w:eastAsia="Calibri" w:cs="Times New Roman"/>
          <w:i/>
          <w:szCs w:val="20"/>
          <w:lang w:val="en-US"/>
        </w:rPr>
        <w:t>c</w:t>
      </w:r>
      <w:r w:rsidR="00D05845" w:rsidRPr="007B2402">
        <w:rPr>
          <w:rFonts w:eastAsia="Calibri" w:cs="Times New Roman"/>
          <w:i/>
          <w:szCs w:val="20"/>
          <w:lang w:val="en-US"/>
        </w:rPr>
        <w:t>ase of</w:t>
      </w:r>
      <w:r w:rsidR="000744A8" w:rsidRPr="007B2402">
        <w:rPr>
          <w:rFonts w:eastAsia="Calibri" w:cs="Times New Roman"/>
          <w:i/>
          <w:szCs w:val="20"/>
          <w:lang w:val="en-US"/>
        </w:rPr>
        <w:t xml:space="preserve"> Gomes Lund</w:t>
      </w:r>
      <w:r w:rsidR="005B1590" w:rsidRPr="007B2402">
        <w:rPr>
          <w:rFonts w:eastAsia="Calibri" w:cs="Times New Roman"/>
          <w:i/>
          <w:szCs w:val="20"/>
          <w:lang w:val="en-US"/>
        </w:rPr>
        <w:t xml:space="preserve"> </w:t>
      </w:r>
      <w:r w:rsidR="00892CA3" w:rsidRPr="007B2402">
        <w:rPr>
          <w:rFonts w:eastAsia="Calibri" w:cs="Times New Roman"/>
          <w:i/>
          <w:szCs w:val="20"/>
          <w:lang w:val="en-US"/>
        </w:rPr>
        <w:t>et al.</w:t>
      </w:r>
      <w:r w:rsidR="000744A8" w:rsidRPr="007B2402">
        <w:rPr>
          <w:rFonts w:eastAsia="Calibri" w:cs="Times New Roman"/>
          <w:szCs w:val="20"/>
          <w:lang w:val="en-US"/>
        </w:rPr>
        <w:t xml:space="preserve">: </w:t>
      </w:r>
    </w:p>
    <w:p w14:paraId="030894AA" w14:textId="77777777" w:rsidR="000744A8" w:rsidRPr="007B2402" w:rsidRDefault="000744A8" w:rsidP="000744A8">
      <w:pPr>
        <w:spacing w:after="0" w:line="240" w:lineRule="auto"/>
        <w:jc w:val="both"/>
        <w:rPr>
          <w:rFonts w:eastAsia="Calibri" w:cs="Times New Roman"/>
          <w:sz w:val="16"/>
          <w:szCs w:val="16"/>
          <w:lang w:val="en-US"/>
        </w:rPr>
      </w:pPr>
    </w:p>
    <w:p w14:paraId="05A481BB" w14:textId="77A1991F" w:rsidR="00071C57" w:rsidRPr="007B2402" w:rsidRDefault="000744A8" w:rsidP="000744A8">
      <w:pPr>
        <w:spacing w:after="0" w:line="240" w:lineRule="auto"/>
        <w:ind w:left="709" w:right="662"/>
        <w:jc w:val="both"/>
        <w:rPr>
          <w:rFonts w:cs="Arial"/>
          <w:sz w:val="18"/>
          <w:szCs w:val="18"/>
          <w:lang w:val="en-US"/>
        </w:rPr>
      </w:pPr>
      <w:r w:rsidRPr="007B2402">
        <w:rPr>
          <w:rFonts w:eastAsia="Calibri" w:cs="Times New Roman"/>
          <w:sz w:val="18"/>
          <w:szCs w:val="18"/>
          <w:lang w:val="en-US"/>
        </w:rPr>
        <w:t xml:space="preserve">174. </w:t>
      </w:r>
      <w:r w:rsidR="00071C57" w:rsidRPr="007B2402">
        <w:rPr>
          <w:rFonts w:cs="Arial"/>
          <w:sz w:val="18"/>
          <w:szCs w:val="18"/>
          <w:lang w:val="en-US"/>
        </w:rPr>
        <w:t>Given its evident incompatibility with the American Convention, the provisions of the Brazilian Amnesty Law that prevent the investigation and punishment of serious human rights violations lack legal effect. Consequently, they cannot continue to represent an obstacle to the investigation of the facts in this case, or for the identification and punishment of those responsible; nor can they have a similar or equal impact on other cases of serious violations of human rights recognized in the American Convention that have occurred in Brazil</w:t>
      </w:r>
    </w:p>
    <w:p w14:paraId="480F4089" w14:textId="77777777" w:rsidR="000744A8" w:rsidRPr="007B2402" w:rsidRDefault="000744A8" w:rsidP="000744A8">
      <w:pPr>
        <w:spacing w:after="0" w:line="240" w:lineRule="auto"/>
        <w:ind w:left="709" w:right="662"/>
        <w:jc w:val="both"/>
        <w:rPr>
          <w:rFonts w:eastAsia="Calibri" w:cs="Times New Roman"/>
          <w:sz w:val="18"/>
          <w:szCs w:val="18"/>
          <w:lang w:val="en-US"/>
        </w:rPr>
      </w:pPr>
    </w:p>
    <w:p w14:paraId="301E5260" w14:textId="5575BDD4" w:rsidR="00071C57" w:rsidRPr="007B2402" w:rsidRDefault="000744A8" w:rsidP="004B777C">
      <w:pPr>
        <w:spacing w:after="0" w:line="240" w:lineRule="auto"/>
        <w:ind w:left="709" w:right="662"/>
        <w:jc w:val="both"/>
        <w:rPr>
          <w:rFonts w:cs="Arial"/>
          <w:sz w:val="18"/>
          <w:szCs w:val="18"/>
          <w:lang w:val="en-US"/>
        </w:rPr>
      </w:pPr>
      <w:r w:rsidRPr="007B2402">
        <w:rPr>
          <w:rFonts w:eastAsia="Calibri" w:cs="Times New Roman"/>
          <w:sz w:val="18"/>
          <w:szCs w:val="18"/>
          <w:lang w:val="en-US"/>
        </w:rPr>
        <w:t xml:space="preserve">175. </w:t>
      </w:r>
      <w:r w:rsidR="00071C57" w:rsidRPr="007B2402">
        <w:rPr>
          <w:rFonts w:cs="Arial"/>
          <w:sz w:val="18"/>
          <w:szCs w:val="18"/>
          <w:lang w:val="en-US"/>
        </w:rPr>
        <w:t xml:space="preserve">Regarding the parties’ arguments in relation to whether what is involved is an amnesty, a self-amnesty or a “political agreement,” the Court notes, as revealed by the criteria reiterated in the </w:t>
      </w:r>
      <w:r w:rsidR="004B777C" w:rsidRPr="007B2402">
        <w:rPr>
          <w:rFonts w:cs="Arial"/>
          <w:sz w:val="18"/>
          <w:szCs w:val="18"/>
          <w:lang w:val="en-US"/>
        </w:rPr>
        <w:t>[…]</w:t>
      </w:r>
      <w:r w:rsidR="00071C57" w:rsidRPr="007B2402">
        <w:rPr>
          <w:rFonts w:cs="Arial"/>
          <w:sz w:val="18"/>
          <w:szCs w:val="18"/>
          <w:lang w:val="en-US"/>
        </w:rPr>
        <w:t xml:space="preserve"> case, that the </w:t>
      </w:r>
      <w:r w:rsidR="004B777C" w:rsidRPr="007B2402">
        <w:rPr>
          <w:rFonts w:cs="Arial"/>
          <w:sz w:val="18"/>
          <w:szCs w:val="18"/>
          <w:lang w:val="en-US"/>
        </w:rPr>
        <w:t>in</w:t>
      </w:r>
      <w:r w:rsidR="00071C57" w:rsidRPr="007B2402">
        <w:rPr>
          <w:rFonts w:cs="Arial"/>
          <w:sz w:val="18"/>
          <w:szCs w:val="18"/>
          <w:lang w:val="en-US"/>
        </w:rPr>
        <w:t xml:space="preserve">compatibility with the Convention includes amnesties of serious human rights violations and is not limited </w:t>
      </w:r>
      <w:r w:rsidR="004B777C" w:rsidRPr="007B2402">
        <w:rPr>
          <w:rFonts w:cs="Arial"/>
          <w:sz w:val="18"/>
          <w:szCs w:val="18"/>
          <w:lang w:val="en-US"/>
        </w:rPr>
        <w:t xml:space="preserve">merely </w:t>
      </w:r>
      <w:r w:rsidR="00071C57" w:rsidRPr="007B2402">
        <w:rPr>
          <w:rFonts w:cs="Arial"/>
          <w:sz w:val="18"/>
          <w:szCs w:val="18"/>
          <w:lang w:val="en-US"/>
        </w:rPr>
        <w:t xml:space="preserve">to those </w:t>
      </w:r>
      <w:r w:rsidR="004B777C" w:rsidRPr="007B2402">
        <w:rPr>
          <w:rFonts w:cs="Arial"/>
          <w:sz w:val="18"/>
          <w:szCs w:val="18"/>
          <w:lang w:val="en-US"/>
        </w:rPr>
        <w:t>known as</w:t>
      </w:r>
      <w:r w:rsidR="00071C57" w:rsidRPr="007B2402">
        <w:rPr>
          <w:rFonts w:cs="Arial"/>
          <w:sz w:val="18"/>
          <w:szCs w:val="18"/>
          <w:lang w:val="en-US"/>
        </w:rPr>
        <w:t xml:space="preserve">, “self-amnesties.” Likewise, </w:t>
      </w:r>
      <w:r w:rsidR="004B777C" w:rsidRPr="007B2402">
        <w:rPr>
          <w:rFonts w:cs="Arial"/>
          <w:sz w:val="18"/>
          <w:szCs w:val="18"/>
          <w:lang w:val="en-US"/>
        </w:rPr>
        <w:t>as indicated previously</w:t>
      </w:r>
      <w:r w:rsidR="00071C57" w:rsidRPr="007B2402">
        <w:rPr>
          <w:rFonts w:cs="Arial"/>
          <w:sz w:val="18"/>
          <w:szCs w:val="18"/>
          <w:lang w:val="en-US"/>
        </w:rPr>
        <w:t>, the Court</w:t>
      </w:r>
      <w:r w:rsidR="004B777C" w:rsidRPr="007B2402">
        <w:rPr>
          <w:rFonts w:cs="Arial"/>
          <w:sz w:val="18"/>
          <w:szCs w:val="18"/>
          <w:lang w:val="en-US"/>
        </w:rPr>
        <w:t xml:space="preserve"> abides by its own </w:t>
      </w:r>
      <w:r w:rsidR="004B777C" w:rsidRPr="007B2402">
        <w:rPr>
          <w:rFonts w:eastAsia="Calibri" w:cs="Times New Roman"/>
          <w:i/>
          <w:sz w:val="18"/>
          <w:szCs w:val="18"/>
          <w:lang w:val="en-US"/>
        </w:rPr>
        <w:t>ratio legis</w:t>
      </w:r>
      <w:r w:rsidR="004B777C" w:rsidRPr="007B2402">
        <w:rPr>
          <w:rFonts w:eastAsia="Calibri" w:cs="Times New Roman"/>
          <w:sz w:val="18"/>
          <w:szCs w:val="18"/>
          <w:lang w:val="en-US"/>
        </w:rPr>
        <w:t xml:space="preserve">, </w:t>
      </w:r>
      <w:r w:rsidR="004B777C" w:rsidRPr="007B2402">
        <w:rPr>
          <w:rFonts w:cs="Arial"/>
          <w:sz w:val="18"/>
          <w:szCs w:val="18"/>
          <w:lang w:val="en-US"/>
        </w:rPr>
        <w:t>rather</w:t>
      </w:r>
      <w:r w:rsidR="00071C57" w:rsidRPr="007B2402">
        <w:rPr>
          <w:rFonts w:cs="Arial"/>
          <w:sz w:val="18"/>
          <w:szCs w:val="18"/>
          <w:lang w:val="en-US"/>
        </w:rPr>
        <w:t xml:space="preserve"> than</w:t>
      </w:r>
      <w:r w:rsidR="004B777C" w:rsidRPr="007B2402">
        <w:rPr>
          <w:rFonts w:cs="Arial"/>
          <w:sz w:val="18"/>
          <w:szCs w:val="18"/>
          <w:lang w:val="en-US"/>
        </w:rPr>
        <w:t xml:space="preserve"> the adoption proceeding and the authority that issued the Amnesty Law</w:t>
      </w:r>
      <w:r w:rsidR="00B91DDF" w:rsidRPr="007B2402">
        <w:rPr>
          <w:rFonts w:cs="Arial"/>
          <w:sz w:val="18"/>
          <w:szCs w:val="18"/>
          <w:lang w:val="en-US"/>
        </w:rPr>
        <w:t>:</w:t>
      </w:r>
      <w:r w:rsidR="004B777C" w:rsidRPr="007B2402">
        <w:rPr>
          <w:rFonts w:cs="Arial"/>
          <w:sz w:val="18"/>
          <w:szCs w:val="18"/>
          <w:lang w:val="en-US"/>
        </w:rPr>
        <w:t xml:space="preserve"> not to leave unpunished serious violations of international law committed </w:t>
      </w:r>
      <w:r w:rsidR="00071C57" w:rsidRPr="007B2402">
        <w:rPr>
          <w:rFonts w:cs="Arial"/>
          <w:sz w:val="18"/>
          <w:szCs w:val="18"/>
          <w:lang w:val="en-US"/>
        </w:rPr>
        <w:t xml:space="preserve">by the military regime. The </w:t>
      </w:r>
      <w:r w:rsidR="004B777C" w:rsidRPr="007B2402">
        <w:rPr>
          <w:rFonts w:cs="Arial"/>
          <w:sz w:val="18"/>
          <w:szCs w:val="18"/>
          <w:lang w:val="en-US"/>
        </w:rPr>
        <w:t>in</w:t>
      </w:r>
      <w:r w:rsidR="00071C57" w:rsidRPr="007B2402">
        <w:rPr>
          <w:rFonts w:cs="Arial"/>
          <w:sz w:val="18"/>
          <w:szCs w:val="18"/>
          <w:lang w:val="en-US"/>
        </w:rPr>
        <w:t xml:space="preserve">compatibility of amnesty laws with the American Convention in cases of </w:t>
      </w:r>
      <w:r w:rsidR="004B777C" w:rsidRPr="007B2402">
        <w:rPr>
          <w:rFonts w:cs="Arial"/>
          <w:sz w:val="18"/>
          <w:szCs w:val="18"/>
          <w:lang w:val="en-US"/>
        </w:rPr>
        <w:t>gross</w:t>
      </w:r>
      <w:r w:rsidR="00071C57" w:rsidRPr="007B2402">
        <w:rPr>
          <w:rFonts w:cs="Arial"/>
          <w:sz w:val="18"/>
          <w:szCs w:val="18"/>
          <w:lang w:val="en-US"/>
        </w:rPr>
        <w:t xml:space="preserve"> violations of human rights does not </w:t>
      </w:r>
      <w:r w:rsidR="004B777C" w:rsidRPr="007B2402">
        <w:rPr>
          <w:rFonts w:cs="Arial"/>
          <w:sz w:val="18"/>
          <w:szCs w:val="18"/>
          <w:lang w:val="en-US"/>
        </w:rPr>
        <w:t>arise</w:t>
      </w:r>
      <w:r w:rsidR="00071C57" w:rsidRPr="007B2402">
        <w:rPr>
          <w:rFonts w:cs="Arial"/>
          <w:sz w:val="18"/>
          <w:szCs w:val="18"/>
          <w:lang w:val="en-US"/>
        </w:rPr>
        <w:t xml:space="preserve"> from a formal </w:t>
      </w:r>
      <w:r w:rsidR="004B777C" w:rsidRPr="007B2402">
        <w:rPr>
          <w:rFonts w:cs="Arial"/>
          <w:sz w:val="18"/>
          <w:szCs w:val="18"/>
          <w:lang w:val="en-US"/>
        </w:rPr>
        <w:t>matter</w:t>
      </w:r>
      <w:r w:rsidR="00071C57" w:rsidRPr="007B2402">
        <w:rPr>
          <w:rFonts w:cs="Arial"/>
          <w:sz w:val="18"/>
          <w:szCs w:val="18"/>
          <w:lang w:val="en-US"/>
        </w:rPr>
        <w:t xml:space="preserve">, such as </w:t>
      </w:r>
      <w:r w:rsidR="004B777C" w:rsidRPr="007B2402">
        <w:rPr>
          <w:rFonts w:cs="Arial"/>
          <w:sz w:val="18"/>
          <w:szCs w:val="18"/>
          <w:lang w:val="en-US"/>
        </w:rPr>
        <w:t>their</w:t>
      </w:r>
      <w:r w:rsidR="00071C57" w:rsidRPr="007B2402">
        <w:rPr>
          <w:rFonts w:cs="Arial"/>
          <w:sz w:val="18"/>
          <w:szCs w:val="18"/>
          <w:lang w:val="en-US"/>
        </w:rPr>
        <w:t xml:space="preserve"> origin, but rather from the </w:t>
      </w:r>
      <w:r w:rsidR="004B777C" w:rsidRPr="007B2402">
        <w:rPr>
          <w:rFonts w:cs="Arial"/>
          <w:sz w:val="18"/>
          <w:szCs w:val="18"/>
          <w:lang w:val="en-US"/>
        </w:rPr>
        <w:t>substantive</w:t>
      </w:r>
      <w:r w:rsidR="00071C57" w:rsidRPr="007B2402">
        <w:rPr>
          <w:rFonts w:cs="Arial"/>
          <w:sz w:val="18"/>
          <w:szCs w:val="18"/>
          <w:lang w:val="en-US"/>
        </w:rPr>
        <w:t xml:space="preserve"> aspect</w:t>
      </w:r>
      <w:r w:rsidR="004B777C" w:rsidRPr="007B2402">
        <w:rPr>
          <w:rFonts w:cs="Arial"/>
          <w:sz w:val="18"/>
          <w:szCs w:val="18"/>
          <w:lang w:val="en-US"/>
        </w:rPr>
        <w:t>, because</w:t>
      </w:r>
      <w:r w:rsidR="00071C57" w:rsidRPr="007B2402">
        <w:rPr>
          <w:rFonts w:cs="Arial"/>
          <w:sz w:val="18"/>
          <w:szCs w:val="18"/>
          <w:lang w:val="en-US"/>
        </w:rPr>
        <w:t xml:space="preserve"> they</w:t>
      </w:r>
      <w:r w:rsidR="004B777C" w:rsidRPr="007B2402">
        <w:rPr>
          <w:rFonts w:cs="Arial"/>
          <w:sz w:val="18"/>
          <w:szCs w:val="18"/>
          <w:lang w:val="en-US"/>
        </w:rPr>
        <w:t xml:space="preserve"> violate</w:t>
      </w:r>
      <w:r w:rsidR="00071C57" w:rsidRPr="007B2402">
        <w:rPr>
          <w:rFonts w:cs="Arial"/>
          <w:sz w:val="18"/>
          <w:szCs w:val="18"/>
          <w:lang w:val="en-US"/>
        </w:rPr>
        <w:t xml:space="preserve"> the rights </w:t>
      </w:r>
      <w:r w:rsidR="004B777C" w:rsidRPr="007B2402">
        <w:rPr>
          <w:rFonts w:cs="Arial"/>
          <w:sz w:val="18"/>
          <w:szCs w:val="18"/>
          <w:lang w:val="en-US"/>
        </w:rPr>
        <w:t>established</w:t>
      </w:r>
      <w:r w:rsidR="00071C57" w:rsidRPr="007B2402">
        <w:rPr>
          <w:rFonts w:cs="Arial"/>
          <w:sz w:val="18"/>
          <w:szCs w:val="18"/>
          <w:lang w:val="en-US"/>
        </w:rPr>
        <w:t xml:space="preserve"> in Articles 8 and 25, in relation to Articles 1(1) and 2</w:t>
      </w:r>
      <w:r w:rsidR="004B777C" w:rsidRPr="007B2402">
        <w:rPr>
          <w:rFonts w:cs="Arial"/>
          <w:sz w:val="18"/>
          <w:szCs w:val="18"/>
          <w:lang w:val="en-US"/>
        </w:rPr>
        <w:t>,</w:t>
      </w:r>
      <w:r w:rsidR="00071C57" w:rsidRPr="007B2402">
        <w:rPr>
          <w:rFonts w:cs="Arial"/>
          <w:sz w:val="18"/>
          <w:szCs w:val="18"/>
          <w:lang w:val="en-US"/>
        </w:rPr>
        <w:t xml:space="preserve"> of the Convention</w:t>
      </w:r>
    </w:p>
    <w:p w14:paraId="031CD5BE" w14:textId="77777777" w:rsidR="000744A8" w:rsidRPr="007B2402" w:rsidRDefault="000744A8" w:rsidP="000744A8">
      <w:pPr>
        <w:spacing w:after="0" w:line="240" w:lineRule="auto"/>
        <w:jc w:val="both"/>
        <w:rPr>
          <w:rFonts w:eastAsia="Calibri" w:cs="Times New Roman"/>
          <w:szCs w:val="20"/>
          <w:lang w:val="en-US"/>
        </w:rPr>
      </w:pPr>
    </w:p>
    <w:p w14:paraId="044082B7" w14:textId="5381C7A8" w:rsidR="000744A8" w:rsidRPr="007B2402" w:rsidRDefault="004B777C" w:rsidP="005E7CC1">
      <w:pPr>
        <w:pStyle w:val="Prrafodelista"/>
        <w:numPr>
          <w:ilvl w:val="0"/>
          <w:numId w:val="32"/>
        </w:numPr>
        <w:outlineLvl w:val="4"/>
        <w:rPr>
          <w:rFonts w:eastAsia="Calibri" w:cs="Times New Roman"/>
          <w:i/>
          <w:iCs/>
          <w:szCs w:val="20"/>
          <w:lang w:val="en-US"/>
        </w:rPr>
      </w:pPr>
      <w:r w:rsidRPr="007B2402">
        <w:rPr>
          <w:rFonts w:eastAsia="Calibri" w:cs="Times New Roman"/>
          <w:i/>
          <w:iCs/>
          <w:szCs w:val="20"/>
          <w:lang w:val="en-US"/>
        </w:rPr>
        <w:t>Special Commission on Political Deaths and Disappearances</w:t>
      </w:r>
    </w:p>
    <w:p w14:paraId="39E34BCC" w14:textId="19C89CBC" w:rsidR="000744A8" w:rsidRPr="007B2402" w:rsidRDefault="000744A8" w:rsidP="000744A8">
      <w:pPr>
        <w:spacing w:after="0" w:line="240" w:lineRule="auto"/>
        <w:jc w:val="both"/>
        <w:rPr>
          <w:rFonts w:eastAsia="Calibri" w:cs="Times New Roman"/>
          <w:szCs w:val="20"/>
          <w:lang w:val="en-US"/>
        </w:rPr>
      </w:pPr>
    </w:p>
    <w:p w14:paraId="5FDFAD1C" w14:textId="53BB85D7" w:rsidR="000744A8" w:rsidRPr="007B2402" w:rsidRDefault="006B47D1" w:rsidP="004B777C">
      <w:pPr>
        <w:numPr>
          <w:ilvl w:val="0"/>
          <w:numId w:val="6"/>
        </w:numPr>
        <w:spacing w:after="0" w:line="240" w:lineRule="auto"/>
        <w:jc w:val="both"/>
        <w:rPr>
          <w:rFonts w:eastAsia="Calibri" w:cs="Times New Roman"/>
          <w:sz w:val="18"/>
          <w:szCs w:val="18"/>
          <w:lang w:val="en-US"/>
        </w:rPr>
      </w:pPr>
      <w:r w:rsidRPr="007B2402">
        <w:rPr>
          <w:rFonts w:eastAsia="Calibri" w:cs="Times New Roman"/>
          <w:szCs w:val="20"/>
          <w:lang w:val="en-US"/>
        </w:rPr>
        <w:t xml:space="preserve">The Special Commission on Political Deaths and </w:t>
      </w:r>
      <w:r w:rsidR="00334D32" w:rsidRPr="007B2402">
        <w:rPr>
          <w:rFonts w:eastAsia="Calibri" w:cs="Times New Roman"/>
          <w:szCs w:val="20"/>
          <w:lang w:val="en-US"/>
        </w:rPr>
        <w:t>Disappearances</w:t>
      </w:r>
      <w:r w:rsidRPr="007B2402">
        <w:rPr>
          <w:rFonts w:eastAsia="Calibri" w:cs="Times New Roman"/>
          <w:szCs w:val="20"/>
          <w:lang w:val="en-US"/>
        </w:rPr>
        <w:t xml:space="preserve"> (CEMDP)</w:t>
      </w:r>
      <w:r w:rsidR="000744A8" w:rsidRPr="007B2402">
        <w:rPr>
          <w:rFonts w:eastAsia="Calibri" w:cs="Times New Roman"/>
          <w:szCs w:val="20"/>
          <w:lang w:val="en-US"/>
        </w:rPr>
        <w:t>, crea</w:t>
      </w:r>
      <w:r w:rsidR="004B777C" w:rsidRPr="007B2402">
        <w:rPr>
          <w:rFonts w:eastAsia="Calibri" w:cs="Times New Roman"/>
          <w:szCs w:val="20"/>
          <w:lang w:val="en-US"/>
        </w:rPr>
        <w:t xml:space="preserve">ted by </w:t>
      </w:r>
      <w:r w:rsidR="00513729" w:rsidRPr="007B2402">
        <w:rPr>
          <w:rFonts w:eastAsia="Calibri" w:cs="Times New Roman"/>
          <w:szCs w:val="20"/>
          <w:lang w:val="en-US"/>
        </w:rPr>
        <w:t xml:space="preserve">Law </w:t>
      </w:r>
      <w:r w:rsidR="000744A8" w:rsidRPr="007B2402">
        <w:rPr>
          <w:rFonts w:eastAsia="Calibri" w:cs="Times New Roman"/>
          <w:szCs w:val="20"/>
          <w:lang w:val="en-US"/>
        </w:rPr>
        <w:t xml:space="preserve">No. 9140/95, </w:t>
      </w:r>
      <w:r w:rsidR="00436E00" w:rsidRPr="007B2402">
        <w:rPr>
          <w:rFonts w:eastAsia="Calibri" w:cs="Times New Roman"/>
          <w:szCs w:val="20"/>
          <w:lang w:val="en-US"/>
        </w:rPr>
        <w:t>identifi</w:t>
      </w:r>
      <w:r w:rsidR="004B777C" w:rsidRPr="007B2402">
        <w:rPr>
          <w:rFonts w:eastAsia="Calibri" w:cs="Times New Roman"/>
          <w:szCs w:val="20"/>
          <w:lang w:val="en-US"/>
        </w:rPr>
        <w:t>ed – among other matters – those persons who, owing to their participation or because they had been accused of participating in political activities, died from unnatural causes in police establishments or similar locations, or who died as a result of acts of torture perpetrated by law enforcement agents. The CEMDP granted compensation to Vladimir Herzog’s family for the facts that happened to him and concluded that, indeed, Mr. Herzog had</w:t>
      </w:r>
      <w:r w:rsidR="007D4499" w:rsidRPr="007B2402">
        <w:rPr>
          <w:rFonts w:eastAsia="Calibri" w:cs="Times New Roman"/>
          <w:szCs w:val="20"/>
          <w:lang w:val="en-US"/>
        </w:rPr>
        <w:t xml:space="preserve"> died in the São Paulo </w:t>
      </w:r>
      <w:r w:rsidR="000744A8" w:rsidRPr="007B2402">
        <w:rPr>
          <w:rFonts w:eastAsia="Calibri" w:cs="Times New Roman"/>
          <w:szCs w:val="20"/>
          <w:lang w:val="en-US"/>
        </w:rPr>
        <w:t xml:space="preserve">DOI/CODI. </w:t>
      </w:r>
      <w:r w:rsidR="007D4499" w:rsidRPr="007B2402">
        <w:rPr>
          <w:rFonts w:eastAsia="Calibri" w:cs="Times New Roman"/>
          <w:szCs w:val="20"/>
          <w:lang w:val="en-US"/>
        </w:rPr>
        <w:t xml:space="preserve">The official final report of this Commission was published in </w:t>
      </w:r>
      <w:r w:rsidR="000744A8" w:rsidRPr="007B2402">
        <w:rPr>
          <w:rFonts w:eastAsia="Calibri" w:cs="Times New Roman"/>
          <w:szCs w:val="20"/>
          <w:lang w:val="en-US"/>
        </w:rPr>
        <w:t>2007</w:t>
      </w:r>
      <w:r w:rsidR="005A72EC" w:rsidRPr="007B2402">
        <w:rPr>
          <w:rFonts w:eastAsia="Calibri" w:cs="Times New Roman"/>
          <w:szCs w:val="20"/>
          <w:lang w:val="en-US"/>
        </w:rPr>
        <w:t xml:space="preserve"> (</w:t>
      </w:r>
      <w:r w:rsidR="005A72EC" w:rsidRPr="007B2402">
        <w:rPr>
          <w:rFonts w:eastAsia="Calibri" w:cs="Times New Roman"/>
          <w:i/>
          <w:szCs w:val="20"/>
          <w:lang w:val="en-US"/>
        </w:rPr>
        <w:t xml:space="preserve">supra </w:t>
      </w:r>
      <w:r w:rsidR="00892CA3" w:rsidRPr="007B2402">
        <w:rPr>
          <w:rFonts w:eastAsia="Calibri" w:cs="Times New Roman"/>
          <w:szCs w:val="20"/>
          <w:lang w:val="en-US"/>
        </w:rPr>
        <w:t>paras.</w:t>
      </w:r>
      <w:r w:rsidR="005A72EC" w:rsidRPr="007B2402">
        <w:rPr>
          <w:rFonts w:eastAsia="Calibri" w:cs="Times New Roman"/>
          <w:szCs w:val="20"/>
          <w:lang w:val="en-US"/>
        </w:rPr>
        <w:t xml:space="preserve"> 146 </w:t>
      </w:r>
      <w:r w:rsidR="007D4499" w:rsidRPr="007B2402">
        <w:rPr>
          <w:rFonts w:eastAsia="Calibri" w:cs="Times New Roman"/>
          <w:szCs w:val="20"/>
          <w:lang w:val="en-US"/>
        </w:rPr>
        <w:t>to</w:t>
      </w:r>
      <w:r w:rsidR="005A72EC" w:rsidRPr="007B2402">
        <w:rPr>
          <w:rFonts w:eastAsia="Calibri" w:cs="Times New Roman"/>
          <w:szCs w:val="20"/>
          <w:lang w:val="en-US"/>
        </w:rPr>
        <w:t xml:space="preserve"> 151)</w:t>
      </w:r>
      <w:r w:rsidR="000744A8" w:rsidRPr="007B2402">
        <w:rPr>
          <w:rFonts w:eastAsia="Calibri" w:cs="Times New Roman"/>
          <w:szCs w:val="20"/>
          <w:lang w:val="en-US"/>
        </w:rPr>
        <w:t xml:space="preserve">. </w:t>
      </w:r>
    </w:p>
    <w:p w14:paraId="2300FE30" w14:textId="77777777" w:rsidR="000744A8" w:rsidRPr="007B2402" w:rsidRDefault="000744A8" w:rsidP="000744A8">
      <w:pPr>
        <w:spacing w:after="0" w:line="240" w:lineRule="auto"/>
        <w:jc w:val="both"/>
        <w:rPr>
          <w:rFonts w:eastAsia="Calibri" w:cs="Times New Roman"/>
          <w:sz w:val="18"/>
          <w:szCs w:val="18"/>
          <w:lang w:val="en-US"/>
        </w:rPr>
      </w:pPr>
    </w:p>
    <w:p w14:paraId="78244A4E" w14:textId="526056C5" w:rsidR="000744A8" w:rsidRPr="007B2402" w:rsidRDefault="007D4499" w:rsidP="00DB1F30">
      <w:pPr>
        <w:numPr>
          <w:ilvl w:val="0"/>
          <w:numId w:val="6"/>
        </w:numPr>
        <w:spacing w:after="0" w:line="240" w:lineRule="auto"/>
        <w:jc w:val="both"/>
        <w:rPr>
          <w:rFonts w:eastAsia="Calibri" w:cs="Times New Roman"/>
          <w:sz w:val="18"/>
          <w:szCs w:val="18"/>
          <w:lang w:val="en-US"/>
        </w:rPr>
      </w:pPr>
      <w:r w:rsidRPr="007B2402">
        <w:rPr>
          <w:rFonts w:eastAsia="Calibri" w:cs="Times New Roman"/>
          <w:szCs w:val="20"/>
          <w:lang w:val="en-US"/>
        </w:rPr>
        <w:t xml:space="preserve">That version of </w:t>
      </w:r>
      <w:r w:rsidR="008B5281" w:rsidRPr="007B2402">
        <w:rPr>
          <w:rFonts w:eastAsia="Calibri" w:cs="Times New Roman"/>
          <w:szCs w:val="20"/>
          <w:lang w:val="en-US"/>
        </w:rPr>
        <w:t xml:space="preserve">the torture and murder of Vladimir Herzog </w:t>
      </w:r>
      <w:r w:rsidRPr="007B2402">
        <w:rPr>
          <w:rFonts w:eastAsia="Calibri" w:cs="Times New Roman"/>
          <w:szCs w:val="20"/>
          <w:lang w:val="en-US"/>
        </w:rPr>
        <w:t>was published by a State body which, also, identified patterns of widespread and systematic institutional violence by public agents linked to the</w:t>
      </w:r>
      <w:r w:rsidR="000744A8" w:rsidRPr="007B2402">
        <w:rPr>
          <w:rFonts w:eastAsia="Calibri" w:cs="Times New Roman"/>
          <w:szCs w:val="20"/>
          <w:lang w:val="en-US"/>
        </w:rPr>
        <w:t xml:space="preserve"> DOI/CODI, </w:t>
      </w:r>
      <w:r w:rsidRPr="007B2402">
        <w:rPr>
          <w:rFonts w:eastAsia="Calibri" w:cs="Times New Roman"/>
          <w:szCs w:val="20"/>
          <w:lang w:val="en-US"/>
        </w:rPr>
        <w:t>the Army and police forces during the military dictatorship. Based on this information, the Court considers that the State had the obligation to conduct the pertinent investigation to establish the respective individual responsibilities.</w:t>
      </w:r>
      <w:r w:rsidR="00473A51" w:rsidRPr="007B2402">
        <w:rPr>
          <w:rStyle w:val="Refdenotaalpie"/>
          <w:rFonts w:ascii="Verdana" w:eastAsia="Calibri" w:hAnsi="Verdana"/>
          <w:lang w:val="en-US"/>
        </w:rPr>
        <w:footnoteReference w:id="252"/>
      </w:r>
      <w:r w:rsidRPr="007B2402">
        <w:rPr>
          <w:rFonts w:eastAsia="Calibri" w:cs="Times New Roman"/>
          <w:szCs w:val="20"/>
          <w:lang w:val="en-US"/>
        </w:rPr>
        <w:t xml:space="preserve"> Already, at that time, the </w:t>
      </w:r>
      <w:r w:rsidR="000744A8" w:rsidRPr="007B2402">
        <w:rPr>
          <w:rFonts w:eastAsia="Calibri" w:cs="Times New Roman"/>
          <w:i/>
          <w:szCs w:val="20"/>
          <w:lang w:val="en-US"/>
        </w:rPr>
        <w:t>modus operandi</w:t>
      </w:r>
      <w:r w:rsidR="000744A8" w:rsidRPr="007B2402">
        <w:rPr>
          <w:rFonts w:eastAsia="Calibri" w:cs="Times New Roman"/>
          <w:szCs w:val="20"/>
          <w:lang w:val="en-US"/>
        </w:rPr>
        <w:t xml:space="preserve"> </w:t>
      </w:r>
      <w:r w:rsidRPr="007B2402">
        <w:rPr>
          <w:rFonts w:eastAsia="Calibri" w:cs="Times New Roman"/>
          <w:szCs w:val="20"/>
          <w:lang w:val="en-US"/>
        </w:rPr>
        <w:t xml:space="preserve">of the military regime’s security forces was known </w:t>
      </w:r>
      <w:r w:rsidRPr="007B2402">
        <w:rPr>
          <w:rFonts w:eastAsia="Calibri" w:cs="Times New Roman"/>
          <w:szCs w:val="20"/>
          <w:lang w:val="en-US"/>
        </w:rPr>
        <w:lastRenderedPageBreak/>
        <w:t>and</w:t>
      </w:r>
      <w:r w:rsidR="00B91DDF" w:rsidRPr="007B2402">
        <w:rPr>
          <w:rFonts w:eastAsia="Calibri" w:cs="Times New Roman"/>
          <w:szCs w:val="20"/>
          <w:lang w:val="en-US"/>
        </w:rPr>
        <w:t xml:space="preserve"> also</w:t>
      </w:r>
      <w:r w:rsidRPr="007B2402">
        <w:rPr>
          <w:rFonts w:eastAsia="Calibri" w:cs="Times New Roman"/>
          <w:szCs w:val="20"/>
          <w:lang w:val="en-US"/>
        </w:rPr>
        <w:t xml:space="preserve"> the systematic nature and scope of the plan to “combat subversion” that had been implemented, above all, between </w:t>
      </w:r>
      <w:r w:rsidR="000744A8" w:rsidRPr="007B2402">
        <w:rPr>
          <w:rFonts w:eastAsia="Calibri" w:cs="Times New Roman"/>
          <w:szCs w:val="20"/>
          <w:lang w:val="en-US"/>
        </w:rPr>
        <w:t>1968 a</w:t>
      </w:r>
      <w:r w:rsidRPr="007B2402">
        <w:rPr>
          <w:rFonts w:eastAsia="Calibri" w:cs="Times New Roman"/>
          <w:szCs w:val="20"/>
          <w:lang w:val="en-US"/>
        </w:rPr>
        <w:t>nd</w:t>
      </w:r>
      <w:r w:rsidR="000744A8" w:rsidRPr="007B2402">
        <w:rPr>
          <w:rFonts w:eastAsia="Calibri" w:cs="Times New Roman"/>
          <w:szCs w:val="20"/>
          <w:lang w:val="en-US"/>
        </w:rPr>
        <w:t xml:space="preserve"> 1975. </w:t>
      </w:r>
    </w:p>
    <w:p w14:paraId="23438E7F" w14:textId="77777777" w:rsidR="000744A8" w:rsidRPr="007B2402" w:rsidRDefault="000744A8" w:rsidP="000744A8">
      <w:pPr>
        <w:spacing w:after="0" w:line="240" w:lineRule="auto"/>
        <w:jc w:val="both"/>
        <w:rPr>
          <w:rFonts w:eastAsia="Calibri" w:cs="Times New Roman"/>
          <w:szCs w:val="20"/>
          <w:lang w:val="en-US"/>
        </w:rPr>
      </w:pPr>
    </w:p>
    <w:p w14:paraId="1D9C6AE4" w14:textId="66589B31" w:rsidR="00C920BC" w:rsidRPr="007B2402" w:rsidRDefault="00C920BC" w:rsidP="00DB1F30">
      <w:pPr>
        <w:numPr>
          <w:ilvl w:val="0"/>
          <w:numId w:val="6"/>
        </w:numPr>
        <w:spacing w:after="0" w:line="240" w:lineRule="auto"/>
        <w:jc w:val="both"/>
        <w:rPr>
          <w:rFonts w:eastAsia="Calibri" w:cs="Times New Roman"/>
          <w:sz w:val="18"/>
          <w:szCs w:val="18"/>
          <w:lang w:val="en-US"/>
        </w:rPr>
      </w:pPr>
      <w:r w:rsidRPr="007B2402">
        <w:rPr>
          <w:rFonts w:eastAsia="Calibri" w:cs="Times New Roman"/>
          <w:szCs w:val="20"/>
          <w:lang w:val="en-US"/>
        </w:rPr>
        <w:t xml:space="preserve">In view of the particularities of this case, and </w:t>
      </w:r>
      <w:r w:rsidR="00B91DDF" w:rsidRPr="007B2402">
        <w:rPr>
          <w:rFonts w:eastAsia="Calibri" w:cs="Times New Roman"/>
          <w:szCs w:val="20"/>
          <w:lang w:val="en-US"/>
        </w:rPr>
        <w:t>the State’s</w:t>
      </w:r>
      <w:r w:rsidRPr="007B2402">
        <w:rPr>
          <w:rFonts w:eastAsia="Calibri" w:cs="Times New Roman"/>
          <w:szCs w:val="20"/>
          <w:lang w:val="en-US"/>
        </w:rPr>
        <w:t xml:space="preserve"> awareness of the definition of the facts under international law, especially after the publication of the CEMDP </w:t>
      </w:r>
      <w:r w:rsidR="00433F05" w:rsidRPr="007B2402">
        <w:rPr>
          <w:rFonts w:eastAsia="Calibri" w:cs="Times New Roman"/>
          <w:szCs w:val="20"/>
          <w:lang w:val="en-US"/>
        </w:rPr>
        <w:t>R</w:t>
      </w:r>
      <w:r w:rsidRPr="007B2402">
        <w:rPr>
          <w:rFonts w:eastAsia="Calibri" w:cs="Times New Roman"/>
          <w:szCs w:val="20"/>
          <w:lang w:val="en-US"/>
        </w:rPr>
        <w:t>eport, the State had the obligation to act diligently to avoid crimes such as those described in this report remaining unpunished.</w:t>
      </w:r>
    </w:p>
    <w:p w14:paraId="2D310700" w14:textId="77777777" w:rsidR="000744A8" w:rsidRPr="007B2402" w:rsidRDefault="000744A8" w:rsidP="000744A8">
      <w:pPr>
        <w:spacing w:after="0" w:line="240" w:lineRule="auto"/>
        <w:jc w:val="both"/>
        <w:rPr>
          <w:rFonts w:eastAsia="Calibri" w:cs="Times New Roman"/>
          <w:sz w:val="18"/>
          <w:szCs w:val="18"/>
          <w:lang w:val="en-US"/>
        </w:rPr>
      </w:pPr>
    </w:p>
    <w:p w14:paraId="4CE6673C" w14:textId="4EE817F0" w:rsidR="000744A8" w:rsidRPr="007B2402" w:rsidRDefault="00A8458F" w:rsidP="005E7CC1">
      <w:pPr>
        <w:pStyle w:val="Prrafodelista"/>
        <w:numPr>
          <w:ilvl w:val="0"/>
          <w:numId w:val="32"/>
        </w:numPr>
        <w:outlineLvl w:val="4"/>
        <w:rPr>
          <w:rFonts w:eastAsia="SimSun" w:cs="Times New Roman"/>
          <w:i/>
          <w:szCs w:val="20"/>
          <w:lang w:val="en-US" w:eastAsia="zh-CN"/>
        </w:rPr>
      </w:pPr>
      <w:r w:rsidRPr="007B2402">
        <w:rPr>
          <w:rFonts w:eastAsia="Calibri" w:cs="Times New Roman"/>
          <w:i/>
          <w:szCs w:val="20"/>
          <w:lang w:val="en-US"/>
        </w:rPr>
        <w:t>Actions of the Federal</w:t>
      </w:r>
      <w:r w:rsidR="006B47D1" w:rsidRPr="007B2402">
        <w:rPr>
          <w:rFonts w:eastAsia="Calibri" w:cs="Times New Roman"/>
          <w:i/>
          <w:szCs w:val="20"/>
          <w:lang w:val="en-US"/>
        </w:rPr>
        <w:t xml:space="preserve"> Public Prosecution Service</w:t>
      </w:r>
      <w:r w:rsidR="000744A8" w:rsidRPr="007B2402">
        <w:rPr>
          <w:rFonts w:eastAsia="Calibri" w:cs="Times New Roman"/>
          <w:i/>
          <w:szCs w:val="20"/>
          <w:lang w:val="en-US"/>
        </w:rPr>
        <w:t xml:space="preserve"> (</w:t>
      </w:r>
      <w:r w:rsidRPr="007B2402">
        <w:rPr>
          <w:rFonts w:eastAsia="Calibri" w:cs="Times New Roman"/>
          <w:i/>
          <w:szCs w:val="20"/>
          <w:lang w:val="en-US"/>
        </w:rPr>
        <w:t>Proceeding</w:t>
      </w:r>
      <w:r w:rsidR="000744A8" w:rsidRPr="007B2402">
        <w:rPr>
          <w:rFonts w:eastAsia="Calibri" w:cs="Times New Roman"/>
          <w:i/>
          <w:szCs w:val="20"/>
          <w:lang w:val="en-US"/>
        </w:rPr>
        <w:t xml:space="preserve"> No. 2008.61.81.013434-2)</w:t>
      </w:r>
    </w:p>
    <w:p w14:paraId="3E1359A4" w14:textId="77777777" w:rsidR="000744A8" w:rsidRPr="007B2402" w:rsidRDefault="000744A8" w:rsidP="000744A8">
      <w:pPr>
        <w:spacing w:after="0" w:line="240" w:lineRule="auto"/>
        <w:jc w:val="both"/>
        <w:rPr>
          <w:rFonts w:eastAsia="Calibri" w:cs="Times New Roman"/>
          <w:sz w:val="18"/>
          <w:szCs w:val="18"/>
          <w:lang w:val="en-US"/>
        </w:rPr>
      </w:pPr>
    </w:p>
    <w:p w14:paraId="0762B130" w14:textId="357B6698" w:rsidR="000744A8" w:rsidRPr="007B2402" w:rsidRDefault="006421E4"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Without prejudice to</w:t>
      </w:r>
      <w:r w:rsidR="00C920BC" w:rsidRPr="007B2402">
        <w:rPr>
          <w:rFonts w:eastAsia="Calibri" w:cs="Times New Roman"/>
          <w:szCs w:val="20"/>
          <w:lang w:val="en-US"/>
        </w:rPr>
        <w:t xml:space="preserve"> the previous consideration on State obligations in the case of conducts that can be characterized as </w:t>
      </w:r>
      <w:r w:rsidR="00844CE7" w:rsidRPr="007B2402">
        <w:rPr>
          <w:rFonts w:eastAsia="Calibri" w:cs="Times New Roman"/>
          <w:szCs w:val="20"/>
          <w:lang w:val="en-US"/>
        </w:rPr>
        <w:t>crimes against humanity</w:t>
      </w:r>
      <w:r w:rsidR="000744A8" w:rsidRPr="007B2402">
        <w:rPr>
          <w:rFonts w:eastAsia="Calibri" w:cs="Times New Roman"/>
          <w:szCs w:val="20"/>
          <w:lang w:val="en-US"/>
        </w:rPr>
        <w:t xml:space="preserve">, </w:t>
      </w:r>
      <w:r w:rsidR="00AF4344" w:rsidRPr="007B2402">
        <w:rPr>
          <w:rFonts w:eastAsia="Calibri" w:cs="Times New Roman"/>
          <w:szCs w:val="20"/>
          <w:lang w:val="en-US"/>
        </w:rPr>
        <w:t>the Court</w:t>
      </w:r>
      <w:r w:rsidR="000744A8" w:rsidRPr="007B2402">
        <w:rPr>
          <w:rFonts w:eastAsia="Calibri" w:cs="Times New Roman"/>
          <w:szCs w:val="20"/>
          <w:lang w:val="en-US"/>
        </w:rPr>
        <w:t xml:space="preserve"> </w:t>
      </w:r>
      <w:r w:rsidR="00C920BC" w:rsidRPr="007B2402">
        <w:rPr>
          <w:rFonts w:eastAsia="Calibri" w:cs="Times New Roman"/>
          <w:szCs w:val="20"/>
          <w:lang w:val="en-US"/>
        </w:rPr>
        <w:t xml:space="preserve">will now examine the initiative </w:t>
      </w:r>
      <w:r w:rsidR="00A8458F" w:rsidRPr="007B2402">
        <w:rPr>
          <w:rFonts w:eastAsia="Calibri" w:cs="Times New Roman"/>
          <w:szCs w:val="20"/>
          <w:lang w:val="en-US"/>
        </w:rPr>
        <w:t xml:space="preserve">of the </w:t>
      </w:r>
      <w:r w:rsidR="006B47D1" w:rsidRPr="007B2402">
        <w:rPr>
          <w:rFonts w:eastAsia="Calibri" w:cs="Times New Roman"/>
          <w:szCs w:val="20"/>
          <w:lang w:val="en-US"/>
        </w:rPr>
        <w:t>Federal Public Prosecution Service</w:t>
      </w:r>
      <w:r w:rsidR="005B1590" w:rsidRPr="007B2402">
        <w:rPr>
          <w:rFonts w:eastAsia="Calibri" w:cs="Times New Roman"/>
          <w:szCs w:val="20"/>
          <w:lang w:val="en-US"/>
        </w:rPr>
        <w:t xml:space="preserve"> and </w:t>
      </w:r>
      <w:r w:rsidR="00C920BC" w:rsidRPr="007B2402">
        <w:rPr>
          <w:rFonts w:eastAsia="Calibri" w:cs="Times New Roman"/>
          <w:szCs w:val="20"/>
          <w:lang w:val="en-US"/>
        </w:rPr>
        <w:t xml:space="preserve">the response of the Federal Judiciary to the </w:t>
      </w:r>
      <w:r w:rsidR="00433F05" w:rsidRPr="007B2402">
        <w:rPr>
          <w:rFonts w:eastAsia="Calibri" w:cs="Times New Roman"/>
          <w:szCs w:val="20"/>
          <w:lang w:val="en-US"/>
        </w:rPr>
        <w:t>complaint filed by a lawyer as a result of the publication of the CEMDP Report</w:t>
      </w:r>
      <w:r w:rsidR="000744A8" w:rsidRPr="007B2402">
        <w:rPr>
          <w:rFonts w:eastAsia="Calibri" w:cs="Times New Roman"/>
          <w:szCs w:val="20"/>
          <w:lang w:val="en-US"/>
        </w:rPr>
        <w:t xml:space="preserve">. </w:t>
      </w:r>
    </w:p>
    <w:p w14:paraId="70343249" w14:textId="77777777" w:rsidR="000744A8" w:rsidRPr="007B2402" w:rsidRDefault="000744A8" w:rsidP="000744A8">
      <w:pPr>
        <w:spacing w:after="0" w:line="240" w:lineRule="auto"/>
        <w:jc w:val="both"/>
        <w:rPr>
          <w:rFonts w:eastAsia="Calibri" w:cs="Times New Roman"/>
          <w:szCs w:val="20"/>
          <w:lang w:val="en-US"/>
        </w:rPr>
      </w:pPr>
    </w:p>
    <w:p w14:paraId="1D7A0F09" w14:textId="440DCC4A" w:rsidR="000744A8" w:rsidRPr="007B2402" w:rsidRDefault="00433F05" w:rsidP="00433F05">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 xml:space="preserve">On receiving the complaint filed by the lawyer, </w:t>
      </w:r>
      <w:r w:rsidR="000744A8" w:rsidRPr="007B2402">
        <w:rPr>
          <w:rFonts w:eastAsia="Calibri" w:cs="Times New Roman"/>
          <w:szCs w:val="20"/>
          <w:lang w:val="en-US"/>
        </w:rPr>
        <w:t xml:space="preserve">Fábio Konder Comparato, </w:t>
      </w:r>
      <w:r w:rsidRPr="007B2402">
        <w:rPr>
          <w:rFonts w:eastAsia="Calibri" w:cs="Times New Roman"/>
          <w:szCs w:val="20"/>
          <w:lang w:val="en-US"/>
        </w:rPr>
        <w:t xml:space="preserve">two federal prosecutors with civil competence forwarded it to their colleague with criminal competence. That federal prosecutor ruled in favor of </w:t>
      </w:r>
      <w:r w:rsidR="006421E4" w:rsidRPr="007B2402">
        <w:rPr>
          <w:rFonts w:eastAsia="Calibri" w:cs="Times New Roman"/>
          <w:szCs w:val="20"/>
          <w:lang w:val="en-US"/>
        </w:rPr>
        <w:t xml:space="preserve">closing the </w:t>
      </w:r>
      <w:r w:rsidR="00BF016C" w:rsidRPr="007B2402">
        <w:rPr>
          <w:rFonts w:eastAsia="Calibri" w:cs="Times New Roman"/>
          <w:szCs w:val="20"/>
          <w:lang w:val="en-US"/>
        </w:rPr>
        <w:t>investigation</w:t>
      </w:r>
      <w:r w:rsidR="006421E4" w:rsidRPr="007B2402">
        <w:rPr>
          <w:rFonts w:eastAsia="Calibri" w:cs="Times New Roman"/>
          <w:szCs w:val="20"/>
          <w:lang w:val="en-US"/>
        </w:rPr>
        <w:t xml:space="preserve">. Although he </w:t>
      </w:r>
      <w:r w:rsidRPr="007B2402">
        <w:rPr>
          <w:rFonts w:eastAsia="Calibri" w:cs="Times New Roman"/>
          <w:szCs w:val="20"/>
          <w:lang w:val="en-US"/>
        </w:rPr>
        <w:t>recogni</w:t>
      </w:r>
      <w:r w:rsidR="006421E4" w:rsidRPr="007B2402">
        <w:rPr>
          <w:rFonts w:eastAsia="Calibri" w:cs="Times New Roman"/>
          <w:szCs w:val="20"/>
          <w:lang w:val="en-US"/>
        </w:rPr>
        <w:t>zed</w:t>
      </w:r>
      <w:r w:rsidRPr="007B2402">
        <w:rPr>
          <w:rFonts w:eastAsia="Calibri" w:cs="Times New Roman"/>
          <w:szCs w:val="20"/>
          <w:lang w:val="en-US"/>
        </w:rPr>
        <w:t xml:space="preserve"> that “the murder of Vladimir Herzog </w:t>
      </w:r>
      <w:r w:rsidR="00BF016C" w:rsidRPr="007B2402">
        <w:rPr>
          <w:rFonts w:eastAsia="Calibri" w:cs="Times New Roman"/>
          <w:szCs w:val="20"/>
          <w:lang w:val="en-US"/>
        </w:rPr>
        <w:t>has</w:t>
      </w:r>
      <w:r w:rsidRPr="007B2402">
        <w:rPr>
          <w:rFonts w:eastAsia="Calibri" w:cs="Times New Roman"/>
          <w:szCs w:val="20"/>
          <w:lang w:val="en-US"/>
        </w:rPr>
        <w:t xml:space="preserve"> all the characteristics of the so-called crimes against humanity, and can </w:t>
      </w:r>
      <w:r w:rsidR="00BF016C" w:rsidRPr="007B2402">
        <w:rPr>
          <w:rFonts w:eastAsia="Calibri" w:cs="Times New Roman"/>
          <w:szCs w:val="20"/>
          <w:lang w:val="en-US"/>
        </w:rPr>
        <w:t>be fully</w:t>
      </w:r>
      <w:r w:rsidRPr="007B2402">
        <w:rPr>
          <w:rFonts w:eastAsia="Calibri" w:cs="Times New Roman"/>
          <w:szCs w:val="20"/>
          <w:lang w:val="en-US"/>
        </w:rPr>
        <w:t xml:space="preserve"> characterized as such”; that the Amnesty Law was not applicable to the case, and that the possibility of punishing the crime committed had not extinguished owing to the amnesty, the federal prosecutor considered that the conduct had not been defined</w:t>
      </w:r>
      <w:r w:rsidR="006421E4" w:rsidRPr="007B2402">
        <w:rPr>
          <w:rFonts w:eastAsia="Calibri" w:cs="Times New Roman"/>
          <w:szCs w:val="20"/>
          <w:lang w:val="en-US"/>
        </w:rPr>
        <w:t xml:space="preserve"> </w:t>
      </w:r>
      <w:r w:rsidRPr="007B2402">
        <w:rPr>
          <w:rFonts w:eastAsia="Calibri" w:cs="Times New Roman"/>
          <w:szCs w:val="20"/>
          <w:lang w:val="en-US"/>
        </w:rPr>
        <w:t xml:space="preserve">by law at the time of the facts. In addition, he understood that substantive </w:t>
      </w:r>
      <w:r w:rsidRPr="007B2402">
        <w:rPr>
          <w:rFonts w:eastAsia="Calibri" w:cs="Times New Roman"/>
          <w:i/>
          <w:iCs/>
          <w:szCs w:val="20"/>
          <w:lang w:val="en-US"/>
        </w:rPr>
        <w:t>res judicata</w:t>
      </w:r>
      <w:r w:rsidRPr="007B2402">
        <w:rPr>
          <w:rFonts w:eastAsia="Calibri" w:cs="Times New Roman"/>
          <w:szCs w:val="20"/>
          <w:lang w:val="en-US"/>
        </w:rPr>
        <w:t xml:space="preserve"> existed and, also, that statut</w:t>
      </w:r>
      <w:r w:rsidR="00612430" w:rsidRPr="007B2402">
        <w:rPr>
          <w:rFonts w:eastAsia="Calibri" w:cs="Times New Roman"/>
          <w:szCs w:val="20"/>
          <w:lang w:val="en-US"/>
        </w:rPr>
        <w:t>ory</w:t>
      </w:r>
      <w:r w:rsidRPr="007B2402">
        <w:rPr>
          <w:rFonts w:eastAsia="Calibri" w:cs="Times New Roman"/>
          <w:szCs w:val="20"/>
          <w:lang w:val="en-US"/>
        </w:rPr>
        <w:t xml:space="preserve"> limitations applied to the possible punishment, whether or not the judge was competent. Furthermore, the prosecutor indicated that the American Convention “does not establish </w:t>
      </w:r>
      <w:r w:rsidR="00612430" w:rsidRPr="007B2402">
        <w:rPr>
          <w:rFonts w:eastAsia="Calibri" w:cs="Times New Roman"/>
          <w:szCs w:val="20"/>
          <w:lang w:val="en-US"/>
        </w:rPr>
        <w:t xml:space="preserve">clearly </w:t>
      </w:r>
      <w:r w:rsidRPr="007B2402">
        <w:rPr>
          <w:rFonts w:eastAsia="Calibri" w:cs="Times New Roman"/>
          <w:szCs w:val="20"/>
          <w:lang w:val="en-US"/>
        </w:rPr>
        <w:t xml:space="preserve">any hypothesis on </w:t>
      </w:r>
      <w:r w:rsidR="00612430" w:rsidRPr="007B2402">
        <w:rPr>
          <w:rFonts w:eastAsia="Calibri" w:cs="Times New Roman"/>
          <w:szCs w:val="20"/>
          <w:lang w:val="en-US"/>
        </w:rPr>
        <w:t xml:space="preserve">imprescriptibility </w:t>
      </w:r>
      <w:r w:rsidRPr="007B2402">
        <w:rPr>
          <w:rFonts w:eastAsia="Calibri" w:cs="Times New Roman"/>
          <w:szCs w:val="20"/>
          <w:lang w:val="en-US"/>
        </w:rPr>
        <w:t>for the past” and that imprescriptibility could not be established based on that source, because it represented a factor of legal uncertainty</w:t>
      </w:r>
      <w:r w:rsidR="000744A8" w:rsidRPr="007B2402">
        <w:rPr>
          <w:rFonts w:eastAsia="Calibri" w:cs="Times New Roman"/>
          <w:szCs w:val="20"/>
          <w:lang w:val="en-US"/>
        </w:rPr>
        <w:t xml:space="preserve"> (</w:t>
      </w:r>
      <w:r w:rsidR="000744A8" w:rsidRPr="007B2402">
        <w:rPr>
          <w:rFonts w:eastAsia="Calibri" w:cs="Times New Roman"/>
          <w:i/>
          <w:szCs w:val="20"/>
          <w:lang w:val="en-US"/>
        </w:rPr>
        <w:t xml:space="preserve">supra </w:t>
      </w:r>
      <w:r w:rsidR="00892CA3" w:rsidRPr="007B2402">
        <w:rPr>
          <w:rFonts w:eastAsia="Calibri" w:cs="Times New Roman"/>
          <w:szCs w:val="20"/>
          <w:lang w:val="en-US"/>
        </w:rPr>
        <w:t>paras.</w:t>
      </w:r>
      <w:r w:rsidR="000744A8" w:rsidRPr="007B2402">
        <w:rPr>
          <w:rFonts w:eastAsia="Calibri" w:cs="Times New Roman"/>
          <w:szCs w:val="20"/>
          <w:lang w:val="en-US"/>
        </w:rPr>
        <w:t xml:space="preserve"> </w:t>
      </w:r>
      <w:r w:rsidR="00ED50F5" w:rsidRPr="007B2402">
        <w:rPr>
          <w:rFonts w:eastAsia="Calibri" w:cs="Times New Roman"/>
          <w:szCs w:val="20"/>
          <w:lang w:val="en-US"/>
        </w:rPr>
        <w:t xml:space="preserve">152 </w:t>
      </w:r>
      <w:r w:rsidRPr="007B2402">
        <w:rPr>
          <w:rFonts w:eastAsia="Calibri" w:cs="Times New Roman"/>
          <w:szCs w:val="20"/>
          <w:lang w:val="en-US"/>
        </w:rPr>
        <w:t>to</w:t>
      </w:r>
      <w:r w:rsidR="00ED50F5" w:rsidRPr="007B2402">
        <w:rPr>
          <w:rFonts w:eastAsia="Calibri" w:cs="Times New Roman"/>
          <w:szCs w:val="20"/>
          <w:lang w:val="en-US"/>
        </w:rPr>
        <w:t xml:space="preserve"> 157</w:t>
      </w:r>
      <w:r w:rsidR="000744A8" w:rsidRPr="007B2402">
        <w:rPr>
          <w:rFonts w:eastAsia="Calibri" w:cs="Times New Roman"/>
          <w:szCs w:val="20"/>
          <w:lang w:val="en-US"/>
        </w:rPr>
        <w:t>).</w:t>
      </w:r>
    </w:p>
    <w:p w14:paraId="6E9F9120" w14:textId="77777777" w:rsidR="000744A8" w:rsidRPr="007B2402" w:rsidRDefault="000744A8" w:rsidP="000744A8">
      <w:pPr>
        <w:spacing w:after="0" w:line="240" w:lineRule="auto"/>
        <w:jc w:val="both"/>
        <w:rPr>
          <w:rFonts w:eastAsia="Calibri" w:cs="Times New Roman"/>
          <w:szCs w:val="20"/>
          <w:lang w:val="en-US"/>
        </w:rPr>
      </w:pPr>
    </w:p>
    <w:p w14:paraId="7A8F760D" w14:textId="5FF4BB6A" w:rsidR="000744A8" w:rsidRPr="007B2402" w:rsidRDefault="00612430" w:rsidP="00FD2DC1">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Under</w:t>
      </w:r>
      <w:r w:rsidR="00433F05" w:rsidRPr="007B2402">
        <w:rPr>
          <w:rFonts w:eastAsia="Calibri" w:cs="Times New Roman"/>
          <w:szCs w:val="20"/>
          <w:lang w:val="en-US"/>
        </w:rPr>
        <w:t xml:space="preserve"> the Brazilian legal system, the criminal prosecutor</w:t>
      </w:r>
      <w:r w:rsidRPr="007B2402">
        <w:rPr>
          <w:rFonts w:eastAsia="Calibri" w:cs="Times New Roman"/>
          <w:szCs w:val="20"/>
          <w:lang w:val="en-US"/>
        </w:rPr>
        <w:t>’s opinion</w:t>
      </w:r>
      <w:r w:rsidR="00433F05" w:rsidRPr="007B2402">
        <w:rPr>
          <w:rFonts w:eastAsia="Calibri" w:cs="Times New Roman"/>
          <w:szCs w:val="20"/>
          <w:lang w:val="en-US"/>
        </w:rPr>
        <w:t xml:space="preserve"> </w:t>
      </w:r>
      <w:r w:rsidRPr="007B2402">
        <w:rPr>
          <w:rFonts w:eastAsia="Calibri" w:cs="Times New Roman"/>
          <w:szCs w:val="20"/>
          <w:lang w:val="en-US"/>
        </w:rPr>
        <w:t>had to be</w:t>
      </w:r>
      <w:r w:rsidR="00433F05" w:rsidRPr="007B2402">
        <w:rPr>
          <w:rFonts w:eastAsia="Calibri" w:cs="Times New Roman"/>
          <w:szCs w:val="20"/>
          <w:lang w:val="en-US"/>
        </w:rPr>
        <w:t xml:space="preserve"> examined by a judge. The federal judge who intervened admitted the reasoning of the Public Prosecution Service, understanding that substantive </w:t>
      </w:r>
      <w:r w:rsidR="00433F05" w:rsidRPr="007B2402">
        <w:rPr>
          <w:rFonts w:eastAsia="Calibri" w:cs="Times New Roman"/>
          <w:i/>
          <w:iCs/>
          <w:szCs w:val="20"/>
          <w:lang w:val="en-US"/>
        </w:rPr>
        <w:t>res judicata</w:t>
      </w:r>
      <w:r w:rsidR="00433F05" w:rsidRPr="007B2402">
        <w:rPr>
          <w:rFonts w:eastAsia="Calibri" w:cs="Times New Roman"/>
          <w:szCs w:val="20"/>
          <w:lang w:val="en-US"/>
        </w:rPr>
        <w:t xml:space="preserve"> existed in the case that made it impossible to continue the investigations because the criminal action had extinguished. </w:t>
      </w:r>
      <w:r w:rsidRPr="007B2402">
        <w:rPr>
          <w:rFonts w:eastAsia="Calibri" w:cs="Times New Roman"/>
          <w:szCs w:val="20"/>
          <w:lang w:val="en-US"/>
        </w:rPr>
        <w:t>However</w:t>
      </w:r>
      <w:r w:rsidR="00433F05" w:rsidRPr="007B2402">
        <w:rPr>
          <w:rFonts w:eastAsia="Calibri" w:cs="Times New Roman"/>
          <w:szCs w:val="20"/>
          <w:lang w:val="en-US"/>
        </w:rPr>
        <w:t xml:space="preserve">, she </w:t>
      </w:r>
      <w:r w:rsidR="00FD2DC1" w:rsidRPr="007B2402">
        <w:rPr>
          <w:rFonts w:eastAsia="Calibri" w:cs="Times New Roman"/>
          <w:szCs w:val="20"/>
          <w:lang w:val="en-US"/>
        </w:rPr>
        <w:t xml:space="preserve">considered that the facts should not be considered crimes against humanity because they had not been defined as such when they took place. Her decision also indicated that the laws of Brazil did not allow the creation of crimes by custom, only by law. Lastly, the said judge considered that the action was subject to the statute of limitations because “both murder and genocide, and also torture […] are not imprescriptible crimes </w:t>
      </w:r>
      <w:r w:rsidRPr="007B2402">
        <w:rPr>
          <w:rFonts w:eastAsia="Calibri" w:cs="Times New Roman"/>
          <w:szCs w:val="20"/>
          <w:lang w:val="en-US"/>
        </w:rPr>
        <w:t>under</w:t>
      </w:r>
      <w:r w:rsidR="00FD2DC1" w:rsidRPr="007B2402">
        <w:rPr>
          <w:rFonts w:eastAsia="Calibri" w:cs="Times New Roman"/>
          <w:szCs w:val="20"/>
          <w:lang w:val="en-US"/>
        </w:rPr>
        <w:t xml:space="preserve"> the Constitution and other provisions of the laws in force</w:t>
      </w:r>
      <w:r w:rsidR="000744A8" w:rsidRPr="007B2402">
        <w:rPr>
          <w:rFonts w:eastAsia="Calibri" w:cs="Times New Roman"/>
          <w:szCs w:val="20"/>
          <w:lang w:val="en-US"/>
        </w:rPr>
        <w:t>” (</w:t>
      </w:r>
      <w:r w:rsidR="000744A8" w:rsidRPr="007B2402">
        <w:rPr>
          <w:rFonts w:eastAsia="Calibri" w:cs="Times New Roman"/>
          <w:i/>
          <w:szCs w:val="20"/>
          <w:lang w:val="en-US"/>
        </w:rPr>
        <w:t xml:space="preserve">supra </w:t>
      </w:r>
      <w:r w:rsidR="00892CA3" w:rsidRPr="007B2402">
        <w:rPr>
          <w:rFonts w:eastAsia="Calibri" w:cs="Times New Roman"/>
          <w:szCs w:val="20"/>
          <w:lang w:val="en-US"/>
        </w:rPr>
        <w:t>paras.</w:t>
      </w:r>
      <w:r w:rsidR="000744A8" w:rsidRPr="007B2402">
        <w:rPr>
          <w:rFonts w:eastAsia="Calibri" w:cs="Times New Roman"/>
          <w:szCs w:val="20"/>
          <w:lang w:val="en-US"/>
        </w:rPr>
        <w:t xml:space="preserve"> </w:t>
      </w:r>
      <w:r w:rsidR="00EB5C35" w:rsidRPr="007B2402">
        <w:rPr>
          <w:rFonts w:eastAsia="Calibri" w:cs="Times New Roman"/>
          <w:szCs w:val="20"/>
          <w:lang w:val="en-US"/>
        </w:rPr>
        <w:t>159</w:t>
      </w:r>
      <w:r w:rsidR="005B1590" w:rsidRPr="007B2402">
        <w:rPr>
          <w:rFonts w:eastAsia="Calibri" w:cs="Times New Roman"/>
          <w:szCs w:val="20"/>
          <w:lang w:val="en-US"/>
        </w:rPr>
        <w:t xml:space="preserve"> and </w:t>
      </w:r>
      <w:r w:rsidR="00EB5C35" w:rsidRPr="007B2402">
        <w:rPr>
          <w:rFonts w:eastAsia="Calibri" w:cs="Times New Roman"/>
          <w:szCs w:val="20"/>
          <w:lang w:val="en-US"/>
        </w:rPr>
        <w:t>160</w:t>
      </w:r>
      <w:r w:rsidR="000744A8" w:rsidRPr="007B2402">
        <w:rPr>
          <w:rFonts w:eastAsia="Calibri" w:cs="Times New Roman"/>
          <w:szCs w:val="20"/>
          <w:lang w:val="en-US"/>
        </w:rPr>
        <w:t xml:space="preserve">). </w:t>
      </w:r>
      <w:r w:rsidR="00FD2DC1" w:rsidRPr="007B2402">
        <w:rPr>
          <w:rFonts w:eastAsia="Calibri" w:cs="Times New Roman"/>
          <w:szCs w:val="20"/>
          <w:lang w:val="en-US"/>
        </w:rPr>
        <w:t xml:space="preserve">With regard to the intervention of the judge who had closed the investigation in 1992, the federal judge indicated that, by recognizing the existence of a </w:t>
      </w:r>
      <w:r w:rsidRPr="007B2402">
        <w:rPr>
          <w:rFonts w:eastAsia="Calibri" w:cs="Times New Roman"/>
          <w:szCs w:val="20"/>
          <w:lang w:val="en-US"/>
        </w:rPr>
        <w:t>cause for</w:t>
      </w:r>
      <w:r w:rsidR="00FD2DC1" w:rsidRPr="007B2402">
        <w:rPr>
          <w:rFonts w:eastAsia="Calibri" w:cs="Times New Roman"/>
          <w:szCs w:val="20"/>
          <w:lang w:val="en-US"/>
        </w:rPr>
        <w:t xml:space="preserve"> extinction of the possibility of punishment, that decision acquired </w:t>
      </w:r>
      <w:r w:rsidRPr="007B2402">
        <w:rPr>
          <w:rFonts w:eastAsia="Calibri" w:cs="Times New Roman"/>
          <w:szCs w:val="20"/>
          <w:lang w:val="en-US"/>
        </w:rPr>
        <w:t>legal substance</w:t>
      </w:r>
      <w:r w:rsidR="00FD2DC1" w:rsidRPr="007B2402">
        <w:rPr>
          <w:rFonts w:eastAsia="Calibri" w:cs="Times New Roman"/>
          <w:szCs w:val="20"/>
          <w:lang w:val="en-US"/>
        </w:rPr>
        <w:t xml:space="preserve">, and therefore constituted substantive </w:t>
      </w:r>
      <w:r w:rsidR="00FD2DC1" w:rsidRPr="007B2402">
        <w:rPr>
          <w:rFonts w:eastAsia="Calibri" w:cs="Times New Roman"/>
          <w:i/>
          <w:iCs/>
          <w:szCs w:val="20"/>
          <w:lang w:val="en-US"/>
        </w:rPr>
        <w:t>res judicata</w:t>
      </w:r>
      <w:r w:rsidR="00FD2DC1" w:rsidRPr="007B2402">
        <w:rPr>
          <w:rFonts w:eastAsia="Calibri" w:cs="Times New Roman"/>
          <w:szCs w:val="20"/>
          <w:lang w:val="en-US"/>
        </w:rPr>
        <w:t>.</w:t>
      </w:r>
      <w:r w:rsidR="000744A8" w:rsidRPr="007B2402">
        <w:rPr>
          <w:rFonts w:eastAsia="Calibri" w:cs="Times New Roman"/>
          <w:szCs w:val="20"/>
          <w:vertAlign w:val="superscript"/>
          <w:lang w:val="en-US"/>
        </w:rPr>
        <w:footnoteReference w:id="253"/>
      </w:r>
      <w:r w:rsidR="000744A8" w:rsidRPr="007B2402">
        <w:rPr>
          <w:rFonts w:eastAsia="Calibri" w:cs="Times New Roman"/>
          <w:szCs w:val="20"/>
          <w:lang w:val="en-US"/>
        </w:rPr>
        <w:t xml:space="preserve"> </w:t>
      </w:r>
    </w:p>
    <w:p w14:paraId="6CB0D39F" w14:textId="77777777" w:rsidR="000744A8" w:rsidRPr="007B2402" w:rsidRDefault="000744A8" w:rsidP="000744A8">
      <w:pPr>
        <w:spacing w:after="0" w:line="240" w:lineRule="auto"/>
        <w:jc w:val="both"/>
        <w:rPr>
          <w:rFonts w:eastAsia="Calibri" w:cs="Times New Roman"/>
          <w:szCs w:val="20"/>
          <w:lang w:val="en-US"/>
        </w:rPr>
      </w:pPr>
    </w:p>
    <w:p w14:paraId="56B36130" w14:textId="5EA0CB64" w:rsidR="000744A8" w:rsidRPr="007B2402" w:rsidRDefault="009629A0" w:rsidP="00532AD3">
      <w:pPr>
        <w:pStyle w:val="Ttulo3"/>
        <w:rPr>
          <w:lang w:val="en-US"/>
        </w:rPr>
      </w:pPr>
      <w:bookmarkStart w:id="165" w:name="_Toc506984124"/>
      <w:r w:rsidRPr="007B2402">
        <w:rPr>
          <w:lang w:val="en-US"/>
        </w:rPr>
        <w:t xml:space="preserve">B.4. </w:t>
      </w:r>
      <w:r w:rsidR="000744A8" w:rsidRPr="007B2402">
        <w:rPr>
          <w:lang w:val="en-US"/>
        </w:rPr>
        <w:t>An</w:t>
      </w:r>
      <w:r w:rsidR="00FD2DC1" w:rsidRPr="007B2402">
        <w:rPr>
          <w:lang w:val="en-US"/>
        </w:rPr>
        <w:t>alysis of the State’s actions</w:t>
      </w:r>
      <w:bookmarkEnd w:id="165"/>
    </w:p>
    <w:p w14:paraId="3AA453F7" w14:textId="77777777" w:rsidR="000744A8" w:rsidRPr="007B2402" w:rsidRDefault="000744A8" w:rsidP="000744A8">
      <w:pPr>
        <w:spacing w:after="0" w:line="240" w:lineRule="auto"/>
        <w:jc w:val="both"/>
        <w:rPr>
          <w:rFonts w:eastAsia="Calibri" w:cs="Times New Roman"/>
          <w:szCs w:val="20"/>
          <w:lang w:val="en-US"/>
        </w:rPr>
      </w:pPr>
    </w:p>
    <w:p w14:paraId="4D36094A" w14:textId="7A5AA501" w:rsidR="000744A8" w:rsidRPr="007B2402" w:rsidRDefault="00FD2DC1" w:rsidP="0059445F">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 xml:space="preserve">In order to analyze the preceding decisions and rulings, the Court will refer to the standards established in this chapter </w:t>
      </w:r>
      <w:r w:rsidR="0013537E" w:rsidRPr="007B2402">
        <w:rPr>
          <w:rFonts w:eastAsia="Calibri" w:cs="Times New Roman"/>
          <w:szCs w:val="20"/>
          <w:lang w:val="en-US"/>
        </w:rPr>
        <w:t>in relation to</w:t>
      </w:r>
      <w:r w:rsidRPr="007B2402">
        <w:rPr>
          <w:rFonts w:eastAsia="Calibri" w:cs="Times New Roman"/>
          <w:szCs w:val="20"/>
          <w:lang w:val="en-US"/>
        </w:rPr>
        <w:t xml:space="preserve"> </w:t>
      </w:r>
      <w:r w:rsidR="00810476" w:rsidRPr="007B2402">
        <w:rPr>
          <w:rFonts w:eastAsia="Calibri" w:cs="Times New Roman"/>
          <w:szCs w:val="20"/>
          <w:lang w:val="en-US"/>
        </w:rPr>
        <w:t>crimes against humanity</w:t>
      </w:r>
      <w:r w:rsidR="005B1590" w:rsidRPr="007B2402">
        <w:rPr>
          <w:rFonts w:eastAsia="Calibri" w:cs="Times New Roman"/>
          <w:szCs w:val="20"/>
          <w:lang w:val="en-US"/>
        </w:rPr>
        <w:t xml:space="preserve"> and </w:t>
      </w:r>
      <w:r w:rsidRPr="007B2402">
        <w:rPr>
          <w:rFonts w:eastAsia="Calibri" w:cs="Times New Roman"/>
          <w:szCs w:val="20"/>
          <w:lang w:val="en-US"/>
        </w:rPr>
        <w:t xml:space="preserve">the legal consequences for States when these occur and, in particular, for </w:t>
      </w:r>
      <w:r w:rsidR="00AF4344" w:rsidRPr="007B2402">
        <w:rPr>
          <w:rFonts w:eastAsia="Calibri" w:cs="Times New Roman"/>
          <w:szCs w:val="20"/>
          <w:lang w:val="en-US"/>
        </w:rPr>
        <w:t>Brazil</w:t>
      </w:r>
      <w:r w:rsidR="000744A8" w:rsidRPr="007B2402">
        <w:rPr>
          <w:rFonts w:eastAsia="Calibri" w:cs="Times New Roman"/>
          <w:szCs w:val="20"/>
          <w:lang w:val="en-US"/>
        </w:rPr>
        <w:t xml:space="preserve"> </w:t>
      </w:r>
      <w:r w:rsidRPr="007B2402">
        <w:rPr>
          <w:rFonts w:eastAsia="Calibri" w:cs="Times New Roman"/>
          <w:szCs w:val="20"/>
          <w:lang w:val="en-US"/>
        </w:rPr>
        <w:t>since</w:t>
      </w:r>
      <w:r w:rsidR="000744A8" w:rsidRPr="007B2402">
        <w:rPr>
          <w:rFonts w:eastAsia="Calibri" w:cs="Times New Roman"/>
          <w:szCs w:val="20"/>
          <w:lang w:val="en-US"/>
        </w:rPr>
        <w:t xml:space="preserve"> </w:t>
      </w:r>
      <w:r w:rsidR="00D86EEA" w:rsidRPr="007B2402">
        <w:rPr>
          <w:rFonts w:eastAsia="Calibri" w:cs="Times New Roman"/>
          <w:szCs w:val="20"/>
          <w:lang w:val="en-US"/>
        </w:rPr>
        <w:t>December 10,</w:t>
      </w:r>
      <w:r w:rsidR="000744A8" w:rsidRPr="007B2402">
        <w:rPr>
          <w:rFonts w:eastAsia="Calibri" w:cs="Times New Roman"/>
          <w:szCs w:val="20"/>
          <w:lang w:val="en-US"/>
        </w:rPr>
        <w:t xml:space="preserve"> </w:t>
      </w:r>
      <w:r w:rsidR="000744A8" w:rsidRPr="007B2402">
        <w:rPr>
          <w:rFonts w:eastAsia="Calibri" w:cs="Times New Roman"/>
          <w:szCs w:val="20"/>
          <w:lang w:val="en-US"/>
        </w:rPr>
        <w:lastRenderedPageBreak/>
        <w:t xml:space="preserve">1998, </w:t>
      </w:r>
      <w:r w:rsidRPr="007B2402">
        <w:rPr>
          <w:rFonts w:eastAsia="Calibri" w:cs="Times New Roman"/>
          <w:szCs w:val="20"/>
          <w:lang w:val="en-US"/>
        </w:rPr>
        <w:t>the date o</w:t>
      </w:r>
      <w:r w:rsidR="0013537E" w:rsidRPr="007B2402">
        <w:rPr>
          <w:rFonts w:eastAsia="Calibri" w:cs="Times New Roman"/>
          <w:szCs w:val="20"/>
          <w:lang w:val="en-US"/>
        </w:rPr>
        <w:t>n</w:t>
      </w:r>
      <w:r w:rsidRPr="007B2402">
        <w:rPr>
          <w:rFonts w:eastAsia="Calibri" w:cs="Times New Roman"/>
          <w:szCs w:val="20"/>
          <w:lang w:val="en-US"/>
        </w:rPr>
        <w:t xml:space="preserve"> which it accepted the jurisdiction </w:t>
      </w:r>
      <w:r w:rsidR="00AF4344" w:rsidRPr="007B2402">
        <w:rPr>
          <w:rFonts w:eastAsia="Calibri" w:cs="Times New Roman"/>
          <w:szCs w:val="20"/>
          <w:lang w:val="en-US"/>
        </w:rPr>
        <w:t>of the Inter-American Court</w:t>
      </w:r>
      <w:r w:rsidR="000744A8" w:rsidRPr="007B2402">
        <w:rPr>
          <w:rFonts w:eastAsia="Calibri" w:cs="Times New Roman"/>
          <w:szCs w:val="20"/>
          <w:lang w:val="en-US"/>
        </w:rPr>
        <w:t xml:space="preserve">. </w:t>
      </w:r>
      <w:r w:rsidR="0059445F" w:rsidRPr="007B2402">
        <w:rPr>
          <w:rFonts w:eastAsia="Calibri" w:cs="Times New Roman"/>
          <w:szCs w:val="20"/>
          <w:lang w:val="en-US"/>
        </w:rPr>
        <w:t>In this regard</w:t>
      </w:r>
      <w:r w:rsidR="000744A8" w:rsidRPr="007B2402">
        <w:rPr>
          <w:rFonts w:eastAsia="Calibri" w:cs="Times New Roman"/>
          <w:szCs w:val="20"/>
          <w:lang w:val="en-US"/>
        </w:rPr>
        <w:t xml:space="preserve">, </w:t>
      </w:r>
      <w:r w:rsidR="00AF4344" w:rsidRPr="007B2402">
        <w:rPr>
          <w:rFonts w:eastAsia="Calibri" w:cs="Times New Roman"/>
          <w:szCs w:val="20"/>
          <w:lang w:val="en-US"/>
        </w:rPr>
        <w:t>the Court</w:t>
      </w:r>
      <w:r w:rsidR="000744A8" w:rsidRPr="007B2402">
        <w:rPr>
          <w:rFonts w:eastAsia="Calibri" w:cs="Times New Roman"/>
          <w:szCs w:val="20"/>
          <w:lang w:val="en-US"/>
        </w:rPr>
        <w:t xml:space="preserve"> </w:t>
      </w:r>
      <w:r w:rsidR="0059445F" w:rsidRPr="007B2402">
        <w:rPr>
          <w:rFonts w:eastAsia="Calibri" w:cs="Times New Roman"/>
          <w:szCs w:val="20"/>
          <w:lang w:val="en-US"/>
        </w:rPr>
        <w:t>will examine e</w:t>
      </w:r>
      <w:r w:rsidR="0013537E" w:rsidRPr="007B2402">
        <w:rPr>
          <w:rFonts w:eastAsia="Calibri" w:cs="Times New Roman"/>
          <w:szCs w:val="20"/>
          <w:lang w:val="en-US"/>
        </w:rPr>
        <w:t>very</w:t>
      </w:r>
      <w:r w:rsidR="0059445F" w:rsidRPr="007B2402">
        <w:rPr>
          <w:rFonts w:eastAsia="Calibri" w:cs="Times New Roman"/>
          <w:szCs w:val="20"/>
          <w:lang w:val="en-US"/>
        </w:rPr>
        <w:t xml:space="preserve"> </w:t>
      </w:r>
      <w:r w:rsidR="0013537E" w:rsidRPr="007B2402">
        <w:rPr>
          <w:rFonts w:eastAsia="Calibri" w:cs="Times New Roman"/>
          <w:szCs w:val="20"/>
          <w:lang w:val="en-US"/>
        </w:rPr>
        <w:t>exclusion</w:t>
      </w:r>
      <w:r w:rsidR="0059445F" w:rsidRPr="007B2402">
        <w:rPr>
          <w:rFonts w:eastAsia="Calibri" w:cs="Times New Roman"/>
          <w:szCs w:val="20"/>
          <w:lang w:val="en-US"/>
        </w:rPr>
        <w:t xml:space="preserve"> of responsibility alleged by Brazil to justify the failure to investigate, prosecute and punish those responsible for </w:t>
      </w:r>
      <w:r w:rsidR="008B5281" w:rsidRPr="007B2402">
        <w:rPr>
          <w:rFonts w:eastAsia="Calibri" w:cs="Times New Roman"/>
          <w:szCs w:val="20"/>
          <w:lang w:val="en-US"/>
        </w:rPr>
        <w:t>the torture and murder of Vladimir Herzog</w:t>
      </w:r>
      <w:r w:rsidR="0059445F" w:rsidRPr="007B2402">
        <w:rPr>
          <w:rFonts w:eastAsia="Calibri" w:cs="Times New Roman"/>
          <w:szCs w:val="20"/>
          <w:lang w:val="en-US"/>
        </w:rPr>
        <w:t xml:space="preserve">, in order to establish their incompatibility with </w:t>
      </w:r>
      <w:r w:rsidR="00810476" w:rsidRPr="007B2402">
        <w:rPr>
          <w:rFonts w:eastAsia="Calibri" w:cs="Times New Roman"/>
          <w:szCs w:val="20"/>
          <w:lang w:val="en-US"/>
        </w:rPr>
        <w:t>crimes against humanity</w:t>
      </w:r>
      <w:r w:rsidR="000744A8" w:rsidRPr="007B2402">
        <w:rPr>
          <w:rFonts w:eastAsia="Calibri" w:cs="Times New Roman"/>
          <w:szCs w:val="20"/>
          <w:lang w:val="en-US"/>
        </w:rPr>
        <w:t xml:space="preserve"> </w:t>
      </w:r>
      <w:r w:rsidR="0059445F" w:rsidRPr="007B2402">
        <w:rPr>
          <w:rFonts w:eastAsia="Calibri" w:cs="Times New Roman"/>
          <w:szCs w:val="20"/>
          <w:lang w:val="en-US"/>
        </w:rPr>
        <w:t>in this case</w:t>
      </w:r>
      <w:r w:rsidR="000744A8" w:rsidRPr="007B2402">
        <w:rPr>
          <w:rFonts w:eastAsia="Calibri" w:cs="Times New Roman"/>
          <w:szCs w:val="20"/>
          <w:lang w:val="en-US"/>
        </w:rPr>
        <w:t xml:space="preserve">. </w:t>
      </w:r>
    </w:p>
    <w:p w14:paraId="2D0F3E91" w14:textId="77777777" w:rsidR="000744A8" w:rsidRPr="007B2402" w:rsidRDefault="000744A8" w:rsidP="000744A8">
      <w:pPr>
        <w:spacing w:after="0" w:line="240" w:lineRule="auto"/>
        <w:jc w:val="both"/>
        <w:rPr>
          <w:rFonts w:eastAsia="Calibri" w:cs="Times New Roman"/>
          <w:szCs w:val="20"/>
          <w:lang w:val="en-US"/>
        </w:rPr>
      </w:pPr>
    </w:p>
    <w:p w14:paraId="4B774DFF" w14:textId="4D3E4D3A" w:rsidR="0052077E" w:rsidRPr="007B2402" w:rsidRDefault="0059445F" w:rsidP="0052077E">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 xml:space="preserve">First, it is important to reiterate, pursuant to the Court’s previous considerations </w:t>
      </w:r>
      <w:r w:rsidR="000744A8" w:rsidRPr="007B2402">
        <w:rPr>
          <w:rFonts w:eastAsia="Calibri" w:cs="Times New Roman"/>
          <w:szCs w:val="20"/>
          <w:lang w:val="en-US"/>
        </w:rPr>
        <w:t>(</w:t>
      </w:r>
      <w:r w:rsidR="000744A8" w:rsidRPr="007B2402">
        <w:rPr>
          <w:rFonts w:eastAsia="Calibri" w:cs="Times New Roman"/>
          <w:i/>
          <w:szCs w:val="20"/>
          <w:lang w:val="en-US"/>
        </w:rPr>
        <w:t>supra</w:t>
      </w:r>
      <w:r w:rsidR="000744A8" w:rsidRPr="007B2402">
        <w:rPr>
          <w:rFonts w:eastAsia="Calibri" w:cs="Times New Roman"/>
          <w:szCs w:val="20"/>
          <w:lang w:val="en-US"/>
        </w:rPr>
        <w:t xml:space="preserve"> </w:t>
      </w:r>
      <w:r w:rsidR="00892CA3" w:rsidRPr="007B2402">
        <w:rPr>
          <w:rFonts w:eastAsia="Calibri" w:cs="Times New Roman"/>
          <w:szCs w:val="20"/>
          <w:lang w:val="en-US"/>
        </w:rPr>
        <w:t>paras.</w:t>
      </w:r>
      <w:r w:rsidR="000744A8" w:rsidRPr="007B2402">
        <w:rPr>
          <w:rFonts w:eastAsia="Calibri" w:cs="Times New Roman"/>
          <w:szCs w:val="20"/>
          <w:lang w:val="en-US"/>
        </w:rPr>
        <w:t xml:space="preserve"> </w:t>
      </w:r>
      <w:r w:rsidR="00C54FCE" w:rsidRPr="007B2402">
        <w:rPr>
          <w:rFonts w:eastAsia="Calibri" w:cs="Times New Roman"/>
          <w:szCs w:val="20"/>
          <w:lang w:val="en-US"/>
        </w:rPr>
        <w:t xml:space="preserve">211 </w:t>
      </w:r>
      <w:r w:rsidRPr="007B2402">
        <w:rPr>
          <w:rFonts w:eastAsia="Calibri" w:cs="Times New Roman"/>
          <w:szCs w:val="20"/>
          <w:lang w:val="en-US"/>
        </w:rPr>
        <w:t>to</w:t>
      </w:r>
      <w:r w:rsidR="00C54FCE" w:rsidRPr="007B2402">
        <w:rPr>
          <w:rFonts w:eastAsia="Calibri" w:cs="Times New Roman"/>
          <w:szCs w:val="20"/>
          <w:lang w:val="en-US"/>
        </w:rPr>
        <w:t xml:space="preserve"> 228</w:t>
      </w:r>
      <w:r w:rsidR="000744A8" w:rsidRPr="007B2402">
        <w:rPr>
          <w:rFonts w:eastAsia="Calibri" w:cs="Times New Roman"/>
          <w:szCs w:val="20"/>
          <w:lang w:val="en-US"/>
        </w:rPr>
        <w:t xml:space="preserve">) </w:t>
      </w:r>
      <w:r w:rsidRPr="007B2402">
        <w:rPr>
          <w:rFonts w:eastAsia="Calibri" w:cs="Times New Roman"/>
          <w:szCs w:val="20"/>
          <w:lang w:val="en-US"/>
        </w:rPr>
        <w:t>that the peremptory norm of</w:t>
      </w:r>
      <w:r w:rsidR="000744A8" w:rsidRPr="007B2402">
        <w:rPr>
          <w:rFonts w:eastAsia="Calibri" w:cs="Times New Roman"/>
          <w:szCs w:val="20"/>
          <w:lang w:val="en-US"/>
        </w:rPr>
        <w:t xml:space="preserve"> </w:t>
      </w:r>
      <w:r w:rsidR="000744A8" w:rsidRPr="007B2402">
        <w:rPr>
          <w:rFonts w:eastAsia="Calibri" w:cs="Times New Roman"/>
          <w:i/>
          <w:szCs w:val="20"/>
          <w:lang w:val="en-US"/>
        </w:rPr>
        <w:t>jus cogens</w:t>
      </w:r>
      <w:r w:rsidR="000744A8" w:rsidRPr="007B2402">
        <w:rPr>
          <w:rFonts w:eastAsia="Calibri" w:cs="Times New Roman"/>
          <w:szCs w:val="20"/>
          <w:lang w:val="en-US"/>
        </w:rPr>
        <w:t xml:space="preserve"> </w:t>
      </w:r>
      <w:r w:rsidRPr="007B2402">
        <w:rPr>
          <w:rFonts w:eastAsia="Calibri" w:cs="Times New Roman"/>
          <w:szCs w:val="20"/>
          <w:lang w:val="en-US"/>
        </w:rPr>
        <w:t>prohibit</w:t>
      </w:r>
      <w:r w:rsidR="0013537E" w:rsidRPr="007B2402">
        <w:rPr>
          <w:rFonts w:eastAsia="Calibri" w:cs="Times New Roman"/>
          <w:szCs w:val="20"/>
          <w:lang w:val="en-US"/>
        </w:rPr>
        <w:t>ing</w:t>
      </w:r>
      <w:r w:rsidRPr="007B2402">
        <w:rPr>
          <w:rFonts w:eastAsia="Calibri" w:cs="Times New Roman"/>
          <w:szCs w:val="20"/>
          <w:lang w:val="en-US"/>
        </w:rPr>
        <w:t xml:space="preserve"> </w:t>
      </w:r>
      <w:r w:rsidR="00810476" w:rsidRPr="007B2402">
        <w:rPr>
          <w:rFonts w:eastAsia="Calibri" w:cs="Times New Roman"/>
          <w:szCs w:val="20"/>
          <w:lang w:val="en-US"/>
        </w:rPr>
        <w:t>crimes against humanity</w:t>
      </w:r>
      <w:r w:rsidR="000744A8" w:rsidRPr="007B2402">
        <w:rPr>
          <w:rFonts w:eastAsia="Calibri" w:cs="Times New Roman"/>
          <w:szCs w:val="20"/>
          <w:lang w:val="en-US"/>
        </w:rPr>
        <w:t xml:space="preserve"> exist</w:t>
      </w:r>
      <w:r w:rsidRPr="007B2402">
        <w:rPr>
          <w:rFonts w:eastAsia="Calibri" w:cs="Times New Roman"/>
          <w:szCs w:val="20"/>
          <w:lang w:val="en-US"/>
        </w:rPr>
        <w:t xml:space="preserve">ed and was binding </w:t>
      </w:r>
      <w:r w:rsidR="0013537E" w:rsidRPr="007B2402">
        <w:rPr>
          <w:rFonts w:eastAsia="Calibri" w:cs="Times New Roman"/>
          <w:szCs w:val="20"/>
          <w:lang w:val="en-US"/>
        </w:rPr>
        <w:t>for</w:t>
      </w:r>
      <w:r w:rsidRPr="007B2402">
        <w:rPr>
          <w:rFonts w:eastAsia="Calibri" w:cs="Times New Roman"/>
          <w:szCs w:val="20"/>
          <w:lang w:val="en-US"/>
        </w:rPr>
        <w:t xml:space="preserve"> the State of Brazil at the time of the facts.</w:t>
      </w:r>
      <w:r w:rsidR="0052077E" w:rsidRPr="007B2402">
        <w:rPr>
          <w:rFonts w:eastAsia="Calibri" w:cs="Times New Roman"/>
          <w:szCs w:val="20"/>
          <w:lang w:val="en-US"/>
        </w:rPr>
        <w:t xml:space="preserve"> The Court repeats that the main consequence of a peremptory norm of international law is that it does not admit any decision to the contrary and that it can only be amended by a subsequent norm of general international law of the same nature. The second consequence of a peremptory norm is that it involves obligations </w:t>
      </w:r>
      <w:r w:rsidR="000744A8" w:rsidRPr="007B2402">
        <w:rPr>
          <w:rFonts w:eastAsia="Calibri" w:cs="Times New Roman"/>
          <w:i/>
          <w:szCs w:val="20"/>
          <w:lang w:val="en-US"/>
        </w:rPr>
        <w:t>erga omnes</w:t>
      </w:r>
      <w:r w:rsidR="000744A8" w:rsidRPr="007B2402">
        <w:rPr>
          <w:rFonts w:eastAsia="Calibri" w:cs="Times New Roman"/>
          <w:szCs w:val="20"/>
          <w:lang w:val="en-US"/>
        </w:rPr>
        <w:t xml:space="preserve">. </w:t>
      </w:r>
      <w:r w:rsidR="0052077E" w:rsidRPr="007B2402">
        <w:rPr>
          <w:rFonts w:eastAsia="Calibri" w:cs="Times New Roman"/>
          <w:szCs w:val="20"/>
          <w:lang w:val="en-US"/>
        </w:rPr>
        <w:t xml:space="preserve">As previously indicated, the first obligation of States </w:t>
      </w:r>
      <w:r w:rsidR="0013537E" w:rsidRPr="007B2402">
        <w:rPr>
          <w:rFonts w:eastAsia="Calibri" w:cs="Times New Roman"/>
          <w:szCs w:val="20"/>
          <w:lang w:val="en-US"/>
        </w:rPr>
        <w:t>under</w:t>
      </w:r>
      <w:r w:rsidR="0052077E" w:rsidRPr="007B2402">
        <w:rPr>
          <w:rFonts w:eastAsia="Calibri" w:cs="Times New Roman"/>
          <w:szCs w:val="20"/>
          <w:lang w:val="en-US"/>
        </w:rPr>
        <w:t xml:space="preserve"> this norm is to prevent this type of crime from occurring. Consequently, State</w:t>
      </w:r>
      <w:r w:rsidR="0013537E" w:rsidRPr="007B2402">
        <w:rPr>
          <w:rFonts w:eastAsia="Calibri" w:cs="Times New Roman"/>
          <w:szCs w:val="20"/>
          <w:lang w:val="en-US"/>
        </w:rPr>
        <w:t>s</w:t>
      </w:r>
      <w:r w:rsidR="0052077E" w:rsidRPr="007B2402">
        <w:rPr>
          <w:rFonts w:eastAsia="Calibri" w:cs="Times New Roman"/>
          <w:szCs w:val="20"/>
          <w:lang w:val="en-US"/>
        </w:rPr>
        <w:t xml:space="preserve"> must ensure that such conducts are criminally prosecuted and the authors punished. In the same way, the absence of a formal definition in domestic law of conducts that reach the threshold of crimes against humanity does not ex</w:t>
      </w:r>
      <w:r w:rsidR="0013537E" w:rsidRPr="007B2402">
        <w:rPr>
          <w:rFonts w:eastAsia="Calibri" w:cs="Times New Roman"/>
          <w:szCs w:val="20"/>
          <w:lang w:val="en-US"/>
        </w:rPr>
        <w:t>clude</w:t>
      </w:r>
      <w:r w:rsidR="0052077E" w:rsidRPr="007B2402">
        <w:rPr>
          <w:rFonts w:eastAsia="Calibri" w:cs="Times New Roman"/>
          <w:szCs w:val="20"/>
          <w:lang w:val="en-US"/>
        </w:rPr>
        <w:t xml:space="preserve"> the person who committed the act from his </w:t>
      </w:r>
      <w:r w:rsidR="0013537E" w:rsidRPr="007B2402">
        <w:rPr>
          <w:rFonts w:eastAsia="Calibri" w:cs="Times New Roman"/>
          <w:szCs w:val="20"/>
          <w:lang w:val="en-US"/>
        </w:rPr>
        <w:t>liability</w:t>
      </w:r>
      <w:r w:rsidR="0052077E" w:rsidRPr="007B2402">
        <w:rPr>
          <w:rFonts w:eastAsia="Calibri" w:cs="Times New Roman"/>
          <w:szCs w:val="20"/>
          <w:lang w:val="en-US"/>
        </w:rPr>
        <w:t xml:space="preserve"> under international law and the universal jurisdiction in relation to the perpetrators of such crimes</w:t>
      </w:r>
      <w:r w:rsidR="000744A8" w:rsidRPr="007B2402">
        <w:rPr>
          <w:rFonts w:eastAsia="Calibri" w:cs="Times New Roman"/>
          <w:szCs w:val="20"/>
          <w:lang w:val="en-US"/>
        </w:rPr>
        <w:t xml:space="preserve"> (</w:t>
      </w:r>
      <w:r w:rsidR="000744A8" w:rsidRPr="007B2402">
        <w:rPr>
          <w:rFonts w:eastAsia="Calibri" w:cs="Times New Roman"/>
          <w:i/>
          <w:szCs w:val="20"/>
          <w:lang w:val="en-US"/>
        </w:rPr>
        <w:t>supra</w:t>
      </w:r>
      <w:r w:rsidR="000744A8" w:rsidRPr="007B2402">
        <w:rPr>
          <w:rFonts w:eastAsia="Calibri" w:cs="Times New Roman"/>
          <w:szCs w:val="20"/>
          <w:lang w:val="en-US"/>
        </w:rPr>
        <w:t xml:space="preserve"> </w:t>
      </w:r>
      <w:r w:rsidR="005B1590" w:rsidRPr="007B2402">
        <w:rPr>
          <w:rFonts w:eastAsia="Calibri" w:cs="Times New Roman"/>
          <w:szCs w:val="20"/>
          <w:lang w:val="en-US"/>
        </w:rPr>
        <w:t>para.</w:t>
      </w:r>
      <w:r w:rsidR="000744A8" w:rsidRPr="007B2402">
        <w:rPr>
          <w:rFonts w:eastAsia="Calibri" w:cs="Times New Roman"/>
          <w:szCs w:val="20"/>
          <w:lang w:val="en-US"/>
        </w:rPr>
        <w:t xml:space="preserve"> </w:t>
      </w:r>
      <w:r w:rsidR="00C54FCE" w:rsidRPr="007B2402">
        <w:rPr>
          <w:rFonts w:eastAsia="Calibri" w:cs="Times New Roman"/>
          <w:szCs w:val="20"/>
          <w:lang w:val="en-US"/>
        </w:rPr>
        <w:t>231</w:t>
      </w:r>
      <w:r w:rsidR="000744A8" w:rsidRPr="007B2402">
        <w:rPr>
          <w:rFonts w:eastAsia="Calibri" w:cs="Times New Roman"/>
          <w:szCs w:val="20"/>
          <w:lang w:val="en-US"/>
        </w:rPr>
        <w:t>). Ot</w:t>
      </w:r>
      <w:r w:rsidR="0052077E" w:rsidRPr="007B2402">
        <w:rPr>
          <w:rFonts w:eastAsia="Calibri" w:cs="Times New Roman"/>
          <w:szCs w:val="20"/>
          <w:lang w:val="en-US"/>
        </w:rPr>
        <w:t xml:space="preserve">her consequences that will not be examined in detail in this judgment are the </w:t>
      </w:r>
      <w:r w:rsidR="0013537E" w:rsidRPr="007B2402">
        <w:rPr>
          <w:rFonts w:eastAsia="Calibri" w:cs="Times New Roman"/>
          <w:szCs w:val="20"/>
          <w:lang w:val="en-US"/>
        </w:rPr>
        <w:t>non-</w:t>
      </w:r>
      <w:r w:rsidR="0052077E" w:rsidRPr="007B2402">
        <w:rPr>
          <w:rFonts w:eastAsia="Calibri" w:cs="Times New Roman"/>
          <w:szCs w:val="20"/>
          <w:lang w:val="en-US"/>
        </w:rPr>
        <w:t xml:space="preserve">applicability of immunities and the excuse of “due obedience.” Furthermore, the Court will not refer to the non-derogability of this prohibition in states of emergency. </w:t>
      </w:r>
    </w:p>
    <w:p w14:paraId="77EB1F39" w14:textId="77777777" w:rsidR="000744A8" w:rsidRPr="007B2402" w:rsidRDefault="000744A8" w:rsidP="000744A8">
      <w:pPr>
        <w:spacing w:after="0" w:line="240" w:lineRule="auto"/>
        <w:jc w:val="both"/>
        <w:rPr>
          <w:rFonts w:eastAsia="Calibri" w:cs="Times New Roman"/>
          <w:szCs w:val="20"/>
          <w:lang w:val="en-US"/>
        </w:rPr>
      </w:pPr>
    </w:p>
    <w:p w14:paraId="203EA05A" w14:textId="6D1B3478" w:rsidR="00F038DF" w:rsidRPr="007B2402" w:rsidRDefault="0052077E"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 xml:space="preserve">Added to these basic clarifications, the Court has underlined the obligation to investigate and punish </w:t>
      </w:r>
      <w:r w:rsidR="0013537E" w:rsidRPr="007B2402">
        <w:rPr>
          <w:rFonts w:eastAsia="Calibri" w:cs="Times New Roman"/>
          <w:szCs w:val="20"/>
          <w:lang w:val="en-US"/>
        </w:rPr>
        <w:t>serious</w:t>
      </w:r>
      <w:r w:rsidRPr="007B2402">
        <w:rPr>
          <w:rFonts w:eastAsia="Calibri" w:cs="Times New Roman"/>
          <w:szCs w:val="20"/>
          <w:lang w:val="en-US"/>
        </w:rPr>
        <w:t xml:space="preserve"> human rights violations and eventual </w:t>
      </w:r>
      <w:r w:rsidR="00844CE7" w:rsidRPr="007B2402">
        <w:rPr>
          <w:rFonts w:eastAsia="Calibri" w:cs="Times New Roman"/>
          <w:szCs w:val="20"/>
          <w:lang w:val="en-US"/>
        </w:rPr>
        <w:t>crimes against humanity</w:t>
      </w:r>
      <w:r w:rsidRPr="007B2402">
        <w:rPr>
          <w:rFonts w:eastAsia="Calibri" w:cs="Times New Roman"/>
          <w:szCs w:val="20"/>
          <w:lang w:val="en-US"/>
        </w:rPr>
        <w:t>.</w:t>
      </w:r>
      <w:r w:rsidR="000744A8" w:rsidRPr="007B2402">
        <w:rPr>
          <w:rFonts w:eastAsia="Calibri" w:cs="Times New Roman"/>
          <w:szCs w:val="20"/>
          <w:vertAlign w:val="superscript"/>
          <w:lang w:val="en-US"/>
        </w:rPr>
        <w:footnoteReference w:id="254"/>
      </w:r>
      <w:r w:rsidR="00195B54" w:rsidRPr="007B2402">
        <w:rPr>
          <w:rFonts w:eastAsia="Calibri" w:cs="Times New Roman"/>
          <w:szCs w:val="20"/>
          <w:lang w:val="en-US"/>
        </w:rPr>
        <w:t xml:space="preserve"> </w:t>
      </w:r>
      <w:r w:rsidRPr="007B2402">
        <w:rPr>
          <w:rFonts w:eastAsia="Calibri" w:cs="Times New Roman"/>
          <w:szCs w:val="20"/>
          <w:lang w:val="en-US"/>
        </w:rPr>
        <w:t xml:space="preserve">In light of the foregoing, the Court will now examine the reasons why, in this case, the State of Brazil </w:t>
      </w:r>
      <w:r w:rsidR="00F038DF" w:rsidRPr="007B2402">
        <w:rPr>
          <w:rFonts w:eastAsia="Calibri" w:cs="Times New Roman"/>
          <w:szCs w:val="20"/>
          <w:lang w:val="en-US"/>
        </w:rPr>
        <w:t xml:space="preserve">is prevented from using devices that permit the impunity of crimes against humanity, such as statutory limitations, the principle of </w:t>
      </w:r>
      <w:r w:rsidR="00F038DF" w:rsidRPr="007B2402">
        <w:rPr>
          <w:rFonts w:eastAsia="Calibri" w:cs="Times New Roman"/>
          <w:i/>
          <w:szCs w:val="20"/>
          <w:lang w:val="en-US"/>
        </w:rPr>
        <w:t>ne bis in idem</w:t>
      </w:r>
      <w:r w:rsidR="00F038DF" w:rsidRPr="007B2402">
        <w:rPr>
          <w:rFonts w:eastAsia="Calibri" w:cs="Times New Roman"/>
          <w:szCs w:val="20"/>
          <w:lang w:val="en-US"/>
        </w:rPr>
        <w:t>, amnesty laws, and any other similar provision that excludes responsibility.</w:t>
      </w:r>
    </w:p>
    <w:p w14:paraId="021FDF6E" w14:textId="77777777" w:rsidR="000744A8" w:rsidRPr="007B2402" w:rsidRDefault="000744A8" w:rsidP="000744A8">
      <w:pPr>
        <w:spacing w:after="0" w:line="240" w:lineRule="auto"/>
        <w:jc w:val="both"/>
        <w:rPr>
          <w:rFonts w:eastAsia="Calibri" w:cs="Times New Roman"/>
          <w:szCs w:val="20"/>
          <w:lang w:val="en-US"/>
        </w:rPr>
      </w:pPr>
    </w:p>
    <w:p w14:paraId="1BCB23FA" w14:textId="77E92829" w:rsidR="000744A8" w:rsidRPr="007B2402" w:rsidRDefault="000744A8" w:rsidP="005B2A1C">
      <w:pPr>
        <w:pStyle w:val="Prrafodelista"/>
        <w:numPr>
          <w:ilvl w:val="0"/>
          <w:numId w:val="44"/>
        </w:numPr>
        <w:outlineLvl w:val="3"/>
        <w:rPr>
          <w:rFonts w:eastAsia="Calibri" w:cs="Times New Roman"/>
          <w:i/>
          <w:szCs w:val="20"/>
          <w:lang w:val="en-US"/>
        </w:rPr>
      </w:pPr>
      <w:r w:rsidRPr="007B2402">
        <w:rPr>
          <w:rFonts w:eastAsia="Calibri" w:cs="Times New Roman"/>
          <w:i/>
          <w:szCs w:val="20"/>
          <w:lang w:val="en-US"/>
        </w:rPr>
        <w:t>Imprescriptibili</w:t>
      </w:r>
      <w:r w:rsidR="00F038DF" w:rsidRPr="007B2402">
        <w:rPr>
          <w:rFonts w:eastAsia="Calibri" w:cs="Times New Roman"/>
          <w:i/>
          <w:szCs w:val="20"/>
          <w:lang w:val="en-US"/>
        </w:rPr>
        <w:t>ty of</w:t>
      </w:r>
      <w:r w:rsidRPr="007B2402">
        <w:rPr>
          <w:rFonts w:eastAsia="Calibri" w:cs="Times New Roman"/>
          <w:i/>
          <w:szCs w:val="20"/>
          <w:lang w:val="en-US"/>
        </w:rPr>
        <w:t xml:space="preserve"> </w:t>
      </w:r>
      <w:r w:rsidR="00810476" w:rsidRPr="007B2402">
        <w:rPr>
          <w:rFonts w:eastAsia="Calibri" w:cs="Times New Roman"/>
          <w:i/>
          <w:szCs w:val="20"/>
          <w:lang w:val="en-US"/>
        </w:rPr>
        <w:t>crimes against humanity</w:t>
      </w:r>
    </w:p>
    <w:p w14:paraId="5B2FFD52" w14:textId="77777777" w:rsidR="000744A8" w:rsidRPr="007B2402" w:rsidRDefault="000744A8" w:rsidP="000744A8">
      <w:pPr>
        <w:spacing w:after="0" w:line="240" w:lineRule="auto"/>
        <w:jc w:val="both"/>
        <w:rPr>
          <w:rFonts w:eastAsia="Calibri" w:cs="Times New Roman"/>
          <w:szCs w:val="20"/>
          <w:lang w:val="en-US"/>
        </w:rPr>
      </w:pPr>
    </w:p>
    <w:p w14:paraId="5B1618EA" w14:textId="3E36F11D" w:rsidR="000744A8" w:rsidRPr="007B2402" w:rsidRDefault="001A40BB" w:rsidP="001A40BB">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 xml:space="preserve">The application of statutory limitations in criminal matters results in the extinction of the possibility of punishment owing to the passage of time and, in general, limits the State’s punitive power to prosecute unlawful conduct and punish its authors. </w:t>
      </w:r>
      <w:r w:rsidR="0013537E" w:rsidRPr="007B2402">
        <w:rPr>
          <w:rFonts w:eastAsia="Calibri" w:cs="Times New Roman"/>
          <w:szCs w:val="20"/>
          <w:lang w:val="en-US"/>
        </w:rPr>
        <w:t>It</w:t>
      </w:r>
      <w:r w:rsidRPr="007B2402">
        <w:rPr>
          <w:rFonts w:eastAsia="Calibri" w:cs="Times New Roman"/>
          <w:szCs w:val="20"/>
          <w:lang w:val="en-US"/>
        </w:rPr>
        <w:t xml:space="preserve"> is a guarantee that must be duly respected by a judge with regard to anyone accused of a crime. Nevertheless, exceptionally,</w:t>
      </w:r>
      <w:r w:rsidR="00F325C3" w:rsidRPr="007B2402">
        <w:rPr>
          <w:rStyle w:val="Refdenotaalpie"/>
          <w:rFonts w:ascii="Verdana" w:eastAsia="Calibri" w:hAnsi="Verdana"/>
          <w:lang w:val="en-US"/>
        </w:rPr>
        <w:footnoteReference w:id="255"/>
      </w:r>
      <w:r w:rsidRPr="007B2402">
        <w:rPr>
          <w:rFonts w:eastAsia="Calibri" w:cs="Times New Roman"/>
          <w:szCs w:val="20"/>
          <w:lang w:val="en-US"/>
        </w:rPr>
        <w:t xml:space="preserve"> the </w:t>
      </w:r>
      <w:r w:rsidR="009F061C" w:rsidRPr="007B2402">
        <w:rPr>
          <w:rFonts w:eastAsia="Calibri" w:cs="Times New Roman"/>
          <w:szCs w:val="20"/>
          <w:lang w:val="en-US"/>
        </w:rPr>
        <w:t>application of a statute of limitations to</w:t>
      </w:r>
      <w:r w:rsidRPr="007B2402">
        <w:rPr>
          <w:rFonts w:eastAsia="Calibri" w:cs="Times New Roman"/>
          <w:szCs w:val="20"/>
          <w:lang w:val="en-US"/>
        </w:rPr>
        <w:t xml:space="preserve"> the criminal action is inadmissible and inapplicable in the case of </w:t>
      </w:r>
      <w:r w:rsidR="0013537E" w:rsidRPr="007B2402">
        <w:rPr>
          <w:rFonts w:eastAsia="Calibri" w:cs="Times New Roman"/>
          <w:szCs w:val="20"/>
          <w:lang w:val="en-US"/>
        </w:rPr>
        <w:t>serious</w:t>
      </w:r>
      <w:r w:rsidRPr="007B2402">
        <w:rPr>
          <w:rFonts w:eastAsia="Calibri" w:cs="Times New Roman"/>
          <w:szCs w:val="20"/>
          <w:lang w:val="en-US"/>
        </w:rPr>
        <w:t xml:space="preserve"> human rights violations under</w:t>
      </w:r>
      <w:r w:rsidR="00221E16" w:rsidRPr="007B2402">
        <w:rPr>
          <w:rFonts w:eastAsia="Calibri" w:cs="Times New Roman"/>
          <w:szCs w:val="20"/>
          <w:lang w:val="en-US"/>
        </w:rPr>
        <w:t xml:space="preserve"> </w:t>
      </w:r>
      <w:r w:rsidRPr="007B2402">
        <w:rPr>
          <w:rFonts w:eastAsia="Calibri" w:cs="Times New Roman"/>
          <w:szCs w:val="20"/>
          <w:lang w:val="en-US"/>
        </w:rPr>
        <w:t>international law. The Court’s consistent case law has always indicated this.</w:t>
      </w:r>
      <w:r w:rsidR="000744A8" w:rsidRPr="007B2402">
        <w:rPr>
          <w:rFonts w:eastAsia="Calibri" w:cs="Times New Roman"/>
          <w:szCs w:val="20"/>
          <w:vertAlign w:val="superscript"/>
          <w:lang w:val="en-US"/>
        </w:rPr>
        <w:footnoteReference w:id="256"/>
      </w:r>
      <w:r w:rsidR="000744A8" w:rsidRPr="007B2402">
        <w:rPr>
          <w:rFonts w:eastAsia="Calibri" w:cs="Times New Roman"/>
          <w:szCs w:val="20"/>
          <w:lang w:val="en-US"/>
        </w:rPr>
        <w:t xml:space="preserve"> </w:t>
      </w:r>
    </w:p>
    <w:p w14:paraId="79C6B8F3" w14:textId="77777777" w:rsidR="000744A8" w:rsidRPr="007B2402" w:rsidRDefault="000744A8" w:rsidP="000744A8">
      <w:pPr>
        <w:spacing w:after="0" w:line="240" w:lineRule="auto"/>
        <w:jc w:val="both"/>
        <w:rPr>
          <w:rFonts w:eastAsia="Calibri" w:cs="Times New Roman"/>
          <w:szCs w:val="20"/>
          <w:lang w:val="en-US"/>
        </w:rPr>
      </w:pPr>
    </w:p>
    <w:p w14:paraId="5D3E77BE" w14:textId="7E496DC6" w:rsidR="00473A51" w:rsidRPr="007B2402" w:rsidRDefault="001A40BB" w:rsidP="00473A51">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 xml:space="preserve">In addition, the </w:t>
      </w:r>
      <w:r w:rsidR="009F061C" w:rsidRPr="007B2402">
        <w:rPr>
          <w:rFonts w:eastAsia="Calibri" w:cs="Times New Roman"/>
          <w:szCs w:val="20"/>
          <w:lang w:val="en-US"/>
        </w:rPr>
        <w:t>non-applicability of</w:t>
      </w:r>
      <w:r w:rsidRPr="007B2402">
        <w:rPr>
          <w:rFonts w:eastAsia="Calibri" w:cs="Times New Roman"/>
          <w:szCs w:val="20"/>
          <w:lang w:val="en-US"/>
        </w:rPr>
        <w:t xml:space="preserve"> statutory limitations is founded on the fact that certain contexts of institutional violence – added to certain obstacles to the investigation – may result in </w:t>
      </w:r>
      <w:r w:rsidR="009F061C" w:rsidRPr="007B2402">
        <w:rPr>
          <w:rFonts w:eastAsia="Calibri" w:cs="Times New Roman"/>
          <w:szCs w:val="20"/>
          <w:lang w:val="en-US"/>
        </w:rPr>
        <w:t>significant</w:t>
      </w:r>
      <w:r w:rsidRPr="007B2402">
        <w:rPr>
          <w:rFonts w:eastAsia="Calibri" w:cs="Times New Roman"/>
          <w:szCs w:val="20"/>
          <w:lang w:val="en-US"/>
        </w:rPr>
        <w:t xml:space="preserve"> difficulties for the investigation of some human rights violations.</w:t>
      </w:r>
      <w:r w:rsidR="00473A51" w:rsidRPr="007B2402">
        <w:rPr>
          <w:rFonts w:eastAsia="Calibri" w:cs="Times New Roman"/>
          <w:szCs w:val="20"/>
          <w:vertAlign w:val="superscript"/>
          <w:lang w:val="en-US"/>
        </w:rPr>
        <w:footnoteReference w:id="257"/>
      </w:r>
      <w:r w:rsidRPr="007B2402">
        <w:rPr>
          <w:rFonts w:eastAsia="Calibri" w:cs="Times New Roman"/>
          <w:szCs w:val="20"/>
          <w:lang w:val="en-US"/>
        </w:rPr>
        <w:t xml:space="preserve"> </w:t>
      </w:r>
      <w:r w:rsidRPr="007B2402">
        <w:rPr>
          <w:rFonts w:eastAsia="Calibri" w:cs="Times New Roman"/>
          <w:szCs w:val="20"/>
          <w:lang w:val="en-US"/>
        </w:rPr>
        <w:lastRenderedPageBreak/>
        <w:t xml:space="preserve">In each particular case, taking into account </w:t>
      </w:r>
      <w:r w:rsidR="009F061C" w:rsidRPr="007B2402">
        <w:rPr>
          <w:rFonts w:eastAsia="Calibri" w:cs="Times New Roman"/>
          <w:szCs w:val="20"/>
          <w:lang w:val="en-US"/>
        </w:rPr>
        <w:t xml:space="preserve">the </w:t>
      </w:r>
      <w:r w:rsidRPr="007B2402">
        <w:rPr>
          <w:rFonts w:eastAsia="Calibri" w:cs="Times New Roman"/>
          <w:szCs w:val="20"/>
          <w:lang w:val="en-US"/>
        </w:rPr>
        <w:t xml:space="preserve">specific arguments </w:t>
      </w:r>
      <w:r w:rsidR="009F061C" w:rsidRPr="007B2402">
        <w:rPr>
          <w:rFonts w:eastAsia="Calibri" w:cs="Times New Roman"/>
          <w:szCs w:val="20"/>
          <w:lang w:val="en-US"/>
        </w:rPr>
        <w:t>concerning</w:t>
      </w:r>
      <w:r w:rsidRPr="007B2402">
        <w:rPr>
          <w:rFonts w:eastAsia="Calibri" w:cs="Times New Roman"/>
          <w:szCs w:val="20"/>
          <w:lang w:val="en-US"/>
        </w:rPr>
        <w:t xml:space="preserve"> the evidence</w:t>
      </w:r>
      <w:r w:rsidR="00F92CB8" w:rsidRPr="007B2402">
        <w:rPr>
          <w:rFonts w:eastAsia="Calibri" w:cs="Times New Roman"/>
          <w:szCs w:val="20"/>
          <w:lang w:val="en-US"/>
        </w:rPr>
        <w:t xml:space="preserve">, the </w:t>
      </w:r>
      <w:r w:rsidR="009F061C" w:rsidRPr="007B2402">
        <w:rPr>
          <w:rFonts w:eastAsia="Calibri" w:cs="Times New Roman"/>
          <w:szCs w:val="20"/>
          <w:lang w:val="en-US"/>
        </w:rPr>
        <w:t>non-</w:t>
      </w:r>
      <w:r w:rsidR="00F92CB8" w:rsidRPr="007B2402">
        <w:rPr>
          <w:rFonts w:eastAsia="Calibri" w:cs="Times New Roman"/>
          <w:szCs w:val="20"/>
          <w:lang w:val="en-US"/>
        </w:rPr>
        <w:t xml:space="preserve">applicability of the statute of limitations at a certain moment may </w:t>
      </w:r>
      <w:r w:rsidR="009F061C" w:rsidRPr="007B2402">
        <w:rPr>
          <w:rFonts w:eastAsia="Calibri" w:cs="Times New Roman"/>
          <w:szCs w:val="20"/>
          <w:lang w:val="en-US"/>
        </w:rPr>
        <w:t>have</w:t>
      </w:r>
      <w:r w:rsidR="00F92CB8" w:rsidRPr="007B2402">
        <w:rPr>
          <w:rFonts w:eastAsia="Calibri" w:cs="Times New Roman"/>
          <w:szCs w:val="20"/>
          <w:lang w:val="en-US"/>
        </w:rPr>
        <w:t xml:space="preserve"> the purpose of preventing the State </w:t>
      </w:r>
      <w:r w:rsidR="009F061C" w:rsidRPr="007B2402">
        <w:rPr>
          <w:rFonts w:eastAsia="Calibri" w:cs="Times New Roman"/>
          <w:szCs w:val="20"/>
          <w:lang w:val="en-US"/>
        </w:rPr>
        <w:t xml:space="preserve">from </w:t>
      </w:r>
      <w:r w:rsidR="00F92CB8" w:rsidRPr="007B2402">
        <w:rPr>
          <w:rFonts w:eastAsia="Calibri" w:cs="Times New Roman"/>
          <w:szCs w:val="20"/>
          <w:lang w:val="en-US"/>
        </w:rPr>
        <w:t>evading accountability for the arbitrary acts committed by its own officials in such contexts</w:t>
      </w:r>
      <w:r w:rsidR="00473A51" w:rsidRPr="007B2402">
        <w:rPr>
          <w:rFonts w:eastAsia="Calibri" w:cs="Times New Roman"/>
          <w:szCs w:val="20"/>
          <w:vertAlign w:val="superscript"/>
          <w:lang w:val="en-US"/>
        </w:rPr>
        <w:footnoteReference w:id="258"/>
      </w:r>
      <w:r w:rsidR="005B1590" w:rsidRPr="007B2402">
        <w:rPr>
          <w:rFonts w:eastAsia="Calibri" w:cs="Times New Roman"/>
          <w:szCs w:val="20"/>
          <w:lang w:val="en-US"/>
        </w:rPr>
        <w:t xml:space="preserve"> and </w:t>
      </w:r>
      <w:r w:rsidR="00F92CB8" w:rsidRPr="007B2402">
        <w:rPr>
          <w:rFonts w:eastAsia="Calibri" w:cs="Times New Roman"/>
          <w:szCs w:val="20"/>
          <w:lang w:val="en-US"/>
        </w:rPr>
        <w:t>thus avoiding their repetition.</w:t>
      </w:r>
      <w:r w:rsidR="00473A51" w:rsidRPr="007B2402">
        <w:rPr>
          <w:rFonts w:eastAsia="Calibri" w:cs="Times New Roman"/>
          <w:szCs w:val="20"/>
          <w:vertAlign w:val="superscript"/>
          <w:lang w:val="en-US"/>
        </w:rPr>
        <w:footnoteReference w:id="259"/>
      </w:r>
      <w:r w:rsidR="00473A51" w:rsidRPr="007B2402">
        <w:rPr>
          <w:rFonts w:eastAsia="Calibri" w:cs="Times New Roman"/>
          <w:szCs w:val="20"/>
          <w:lang w:val="en-US"/>
        </w:rPr>
        <w:t xml:space="preserve"> </w:t>
      </w:r>
    </w:p>
    <w:p w14:paraId="40849F52" w14:textId="77777777" w:rsidR="00473A51" w:rsidRPr="007B2402" w:rsidRDefault="00473A51" w:rsidP="00473A51">
      <w:pPr>
        <w:spacing w:after="0" w:line="240" w:lineRule="auto"/>
        <w:jc w:val="both"/>
        <w:rPr>
          <w:rFonts w:eastAsia="Calibri" w:cs="Times New Roman"/>
          <w:szCs w:val="20"/>
          <w:lang w:val="en-US"/>
        </w:rPr>
      </w:pPr>
    </w:p>
    <w:p w14:paraId="18163D87" w14:textId="01FDF18F" w:rsidR="000744A8" w:rsidRPr="007B2402" w:rsidRDefault="00AF4344" w:rsidP="00F92CB8">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The Court</w:t>
      </w:r>
      <w:r w:rsidR="00473A51" w:rsidRPr="007B2402">
        <w:rPr>
          <w:rFonts w:eastAsia="Calibri" w:cs="Times New Roman"/>
          <w:szCs w:val="20"/>
          <w:lang w:val="en-US"/>
        </w:rPr>
        <w:t xml:space="preserve"> ha</w:t>
      </w:r>
      <w:r w:rsidR="00F92CB8" w:rsidRPr="007B2402">
        <w:rPr>
          <w:rFonts w:eastAsia="Calibri" w:cs="Times New Roman"/>
          <w:szCs w:val="20"/>
          <w:lang w:val="en-US"/>
        </w:rPr>
        <w:t>s affirmed, cons</w:t>
      </w:r>
      <w:r w:rsidR="009F061C" w:rsidRPr="007B2402">
        <w:rPr>
          <w:rFonts w:eastAsia="Calibri" w:cs="Times New Roman"/>
          <w:szCs w:val="20"/>
          <w:lang w:val="en-US"/>
        </w:rPr>
        <w:t>isten</w:t>
      </w:r>
      <w:r w:rsidR="00F92CB8" w:rsidRPr="007B2402">
        <w:rPr>
          <w:rFonts w:eastAsia="Calibri" w:cs="Times New Roman"/>
          <w:szCs w:val="20"/>
          <w:lang w:val="en-US"/>
        </w:rPr>
        <w:t>tly and repeatedly, that application of the statute of limitations is inadmissible in cases of torture, murders committed in a context of massive and systematic violations of human rights</w:t>
      </w:r>
      <w:r w:rsidR="009F061C" w:rsidRPr="007B2402">
        <w:rPr>
          <w:rFonts w:eastAsia="Calibri" w:cs="Times New Roman"/>
          <w:szCs w:val="20"/>
          <w:lang w:val="en-US"/>
        </w:rPr>
        <w:t>,</w:t>
      </w:r>
      <w:r w:rsidR="00F92CB8" w:rsidRPr="007B2402">
        <w:rPr>
          <w:rFonts w:eastAsia="Calibri" w:cs="Times New Roman"/>
          <w:szCs w:val="20"/>
          <w:lang w:val="en-US"/>
        </w:rPr>
        <w:t xml:space="preserve"> and forced disappearances,</w:t>
      </w:r>
      <w:r w:rsidR="00473A51" w:rsidRPr="007B2402">
        <w:rPr>
          <w:rFonts w:eastAsia="Calibri" w:cs="Times New Roman"/>
          <w:szCs w:val="20"/>
          <w:vertAlign w:val="superscript"/>
          <w:lang w:val="en-US"/>
        </w:rPr>
        <w:footnoteReference w:id="260"/>
      </w:r>
      <w:r w:rsidR="00F92CB8" w:rsidRPr="007B2402">
        <w:rPr>
          <w:rFonts w:eastAsia="Calibri" w:cs="Times New Roman"/>
          <w:szCs w:val="20"/>
          <w:lang w:val="en-US"/>
        </w:rPr>
        <w:t xml:space="preserve"> because such conducts contravene non-derogable rights and obligations recognized by international human rights law</w:t>
      </w:r>
      <w:r w:rsidR="00473A51" w:rsidRPr="007B2402">
        <w:rPr>
          <w:rFonts w:eastAsia="Calibri" w:cs="Times New Roman"/>
          <w:szCs w:val="20"/>
          <w:lang w:val="en-US"/>
        </w:rPr>
        <w:t xml:space="preserve">. </w:t>
      </w:r>
      <w:r w:rsidR="000744A8" w:rsidRPr="007B2402">
        <w:rPr>
          <w:rFonts w:eastAsia="Calibri" w:cs="Times New Roman"/>
          <w:szCs w:val="20"/>
          <w:lang w:val="en-US"/>
        </w:rPr>
        <w:t xml:space="preserve"> </w:t>
      </w:r>
    </w:p>
    <w:p w14:paraId="323235B8" w14:textId="77777777" w:rsidR="00160977" w:rsidRPr="007B2402" w:rsidRDefault="00160977" w:rsidP="00160977">
      <w:pPr>
        <w:pStyle w:val="Prrafodelista"/>
        <w:rPr>
          <w:rFonts w:eastAsia="Calibri" w:cs="Times New Roman"/>
          <w:szCs w:val="20"/>
          <w:lang w:val="en-US"/>
        </w:rPr>
      </w:pPr>
    </w:p>
    <w:p w14:paraId="33797D81" w14:textId="4BBE8C6C" w:rsidR="000744A8" w:rsidRPr="007B2402" w:rsidRDefault="00F92CB8" w:rsidP="00280D15">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 xml:space="preserve">Specifically, with regard to </w:t>
      </w:r>
      <w:r w:rsidR="00810476" w:rsidRPr="007B2402">
        <w:rPr>
          <w:rFonts w:eastAsia="Calibri" w:cs="Times New Roman"/>
          <w:szCs w:val="20"/>
          <w:lang w:val="en-US"/>
        </w:rPr>
        <w:t>crimes against humanity</w:t>
      </w:r>
      <w:r w:rsidR="000744A8" w:rsidRPr="007B2402">
        <w:rPr>
          <w:rFonts w:eastAsia="Calibri" w:cs="Times New Roman"/>
          <w:szCs w:val="20"/>
          <w:lang w:val="en-US"/>
        </w:rPr>
        <w:t xml:space="preserve">, </w:t>
      </w:r>
      <w:r w:rsidR="007762D5" w:rsidRPr="007B2402">
        <w:rPr>
          <w:rFonts w:eastAsia="Calibri" w:cs="Times New Roman"/>
          <w:szCs w:val="20"/>
          <w:lang w:val="en-US"/>
        </w:rPr>
        <w:t xml:space="preserve">“no rule on statute of limitations with respect to international crimes, including crimes against humanity, was established in </w:t>
      </w:r>
      <w:r w:rsidRPr="007B2402">
        <w:rPr>
          <w:rFonts w:eastAsia="Calibri" w:cs="Times New Roman"/>
          <w:szCs w:val="20"/>
          <w:lang w:val="en-US"/>
        </w:rPr>
        <w:t xml:space="preserve">the </w:t>
      </w:r>
      <w:r w:rsidR="007762D5" w:rsidRPr="007B2402">
        <w:rPr>
          <w:rFonts w:cs="Arial"/>
          <w:szCs w:val="20"/>
          <w:lang w:val="en-US"/>
        </w:rPr>
        <w:t>Nürnber</w:t>
      </w:r>
      <w:r w:rsidR="007762D5" w:rsidRPr="007B2402">
        <w:rPr>
          <w:rFonts w:eastAsia="Calibri" w:cs="Times New Roman"/>
          <w:szCs w:val="20"/>
          <w:lang w:val="en-US"/>
        </w:rPr>
        <w:t>g</w:t>
      </w:r>
      <w:r w:rsidRPr="007B2402">
        <w:rPr>
          <w:rFonts w:eastAsia="Calibri" w:cs="Times New Roman"/>
          <w:szCs w:val="20"/>
          <w:lang w:val="en-US"/>
        </w:rPr>
        <w:t xml:space="preserve"> or the Tokyo</w:t>
      </w:r>
      <w:r w:rsidR="007762D5" w:rsidRPr="007B2402">
        <w:rPr>
          <w:rFonts w:eastAsia="Calibri" w:cs="Times New Roman"/>
          <w:szCs w:val="20"/>
          <w:lang w:val="en-US"/>
        </w:rPr>
        <w:t xml:space="preserve"> Charters, or in the constituent instruments</w:t>
      </w:r>
      <w:r w:rsidRPr="007B2402">
        <w:rPr>
          <w:rFonts w:eastAsia="Calibri" w:cs="Times New Roman"/>
          <w:szCs w:val="20"/>
          <w:lang w:val="en-US"/>
        </w:rPr>
        <w:t xml:space="preserve"> of the International</w:t>
      </w:r>
      <w:r w:rsidR="007762D5" w:rsidRPr="007B2402">
        <w:rPr>
          <w:rFonts w:eastAsia="Calibri" w:cs="Times New Roman"/>
          <w:szCs w:val="20"/>
          <w:lang w:val="en-US"/>
        </w:rPr>
        <w:t xml:space="preserve"> Criminal</w:t>
      </w:r>
      <w:r w:rsidRPr="007B2402">
        <w:rPr>
          <w:rFonts w:eastAsia="Calibri" w:cs="Times New Roman"/>
          <w:szCs w:val="20"/>
          <w:lang w:val="en-US"/>
        </w:rPr>
        <w:t xml:space="preserve"> Tribunal for the Former Yugoslavia</w:t>
      </w:r>
      <w:r w:rsidR="000744A8" w:rsidRPr="007B2402">
        <w:rPr>
          <w:rFonts w:eastAsia="Calibri" w:cs="Times New Roman"/>
          <w:szCs w:val="20"/>
          <w:lang w:val="en-US"/>
        </w:rPr>
        <w:t xml:space="preserve">, </w:t>
      </w:r>
      <w:r w:rsidR="003B752F" w:rsidRPr="007B2402">
        <w:rPr>
          <w:rFonts w:eastAsia="Calibri" w:cs="Times New Roman"/>
          <w:szCs w:val="20"/>
          <w:lang w:val="en-US"/>
        </w:rPr>
        <w:t xml:space="preserve">the International Criminal </w:t>
      </w:r>
      <w:r w:rsidRPr="007B2402">
        <w:rPr>
          <w:rFonts w:eastAsia="Calibri" w:cs="Times New Roman"/>
          <w:szCs w:val="20"/>
          <w:lang w:val="en-US"/>
        </w:rPr>
        <w:t>Tribunal for Rwanda or the Special Court for</w:t>
      </w:r>
      <w:r w:rsidR="000744A8" w:rsidRPr="007B2402">
        <w:rPr>
          <w:rFonts w:eastAsia="Calibri" w:cs="Times New Roman"/>
          <w:szCs w:val="20"/>
          <w:lang w:val="en-US"/>
        </w:rPr>
        <w:t xml:space="preserve"> Sierra Leon. </w:t>
      </w:r>
      <w:r w:rsidRPr="007B2402">
        <w:rPr>
          <w:rFonts w:eastAsia="Calibri" w:cs="Times New Roman"/>
          <w:szCs w:val="20"/>
          <w:lang w:val="en-US"/>
        </w:rPr>
        <w:t xml:space="preserve">In </w:t>
      </w:r>
      <w:r w:rsidR="007762D5" w:rsidRPr="007B2402">
        <w:rPr>
          <w:rFonts w:eastAsia="Calibri" w:cs="Times New Roman"/>
          <w:szCs w:val="20"/>
          <w:lang w:val="en-US"/>
        </w:rPr>
        <w:t>contrast</w:t>
      </w:r>
      <w:r w:rsidRPr="007B2402">
        <w:rPr>
          <w:rFonts w:eastAsia="Calibri" w:cs="Times New Roman"/>
          <w:szCs w:val="20"/>
          <w:lang w:val="en-US"/>
        </w:rPr>
        <w:t xml:space="preserve">, </w:t>
      </w:r>
      <w:r w:rsidR="00831B04" w:rsidRPr="007B2402">
        <w:rPr>
          <w:rFonts w:cs="Arial"/>
          <w:szCs w:val="20"/>
          <w:lang w:val="en-US"/>
        </w:rPr>
        <w:t xml:space="preserve">Control Council Law No. 10, adopted in December 1945 by the Allied Control Council for Germany to ensure the continued prosecution of alleged offenders, provided that in any trial or prosecution for crimes against humanity (as well as war crimes and crimes against the peace) </w:t>
      </w:r>
      <w:r w:rsidR="00831B04" w:rsidRPr="007B2402">
        <w:rPr>
          <w:rFonts w:cs="Arial"/>
          <w:lang w:val="en-US"/>
        </w:rPr>
        <w:t>‘</w:t>
      </w:r>
      <w:r w:rsidR="00831B04" w:rsidRPr="007B2402">
        <w:rPr>
          <w:rFonts w:cs="Arial"/>
          <w:szCs w:val="20"/>
          <w:lang w:val="en-US"/>
        </w:rPr>
        <w:t>the accused shall not be entitled to the benefits of any statute of limitation in respect to the period from 30 January 1933 to 1 July 1945.</w:t>
      </w:r>
      <w:r w:rsidR="00831B04" w:rsidRPr="007B2402">
        <w:rPr>
          <w:rFonts w:cs="Arial"/>
          <w:lang w:val="en-US"/>
        </w:rPr>
        <w:t>’</w:t>
      </w:r>
      <w:bookmarkStart w:id="166" w:name="_Hlk11306340"/>
      <w:r w:rsidR="000744A8" w:rsidRPr="007B2402">
        <w:rPr>
          <w:rFonts w:eastAsia="Calibri" w:cs="Times New Roman"/>
          <w:szCs w:val="20"/>
          <w:lang w:val="en-US"/>
        </w:rPr>
        <w:t>”</w:t>
      </w:r>
      <w:r w:rsidR="00591F8E" w:rsidRPr="007B2402">
        <w:rPr>
          <w:rFonts w:eastAsia="Calibri" w:cs="Times New Roman"/>
          <w:szCs w:val="20"/>
          <w:vertAlign w:val="superscript"/>
          <w:lang w:val="en-US"/>
        </w:rPr>
        <w:footnoteReference w:id="261"/>
      </w:r>
      <w:r w:rsidR="000744A8" w:rsidRPr="007B2402">
        <w:rPr>
          <w:rFonts w:eastAsia="Calibri" w:cs="Times New Roman"/>
          <w:szCs w:val="20"/>
          <w:lang w:val="en-US"/>
        </w:rPr>
        <w:t xml:space="preserve"> </w:t>
      </w:r>
      <w:r w:rsidR="00160977" w:rsidRPr="007B2402">
        <w:rPr>
          <w:rFonts w:eastAsia="Calibri" w:cs="Times New Roman"/>
          <w:szCs w:val="20"/>
          <w:lang w:val="en-US"/>
        </w:rPr>
        <w:t xml:space="preserve">In addition, in </w:t>
      </w:r>
      <w:r w:rsidR="000744A8" w:rsidRPr="007B2402">
        <w:rPr>
          <w:rFonts w:eastAsia="Calibri" w:cs="Times New Roman"/>
          <w:szCs w:val="20"/>
          <w:lang w:val="en-US"/>
        </w:rPr>
        <w:t>1967</w:t>
      </w:r>
      <w:r w:rsidR="00160977" w:rsidRPr="007B2402">
        <w:rPr>
          <w:rFonts w:eastAsia="Calibri" w:cs="Times New Roman"/>
          <w:szCs w:val="20"/>
          <w:lang w:val="en-US"/>
        </w:rPr>
        <w:t xml:space="preserve">, the </w:t>
      </w:r>
      <w:r w:rsidR="00AB475D" w:rsidRPr="007B2402">
        <w:rPr>
          <w:rFonts w:eastAsia="Calibri" w:cs="Times New Roman"/>
          <w:szCs w:val="20"/>
          <w:lang w:val="en-US"/>
        </w:rPr>
        <w:t>United Nations</w:t>
      </w:r>
      <w:r w:rsidR="000744A8" w:rsidRPr="007B2402">
        <w:rPr>
          <w:rFonts w:eastAsia="Calibri" w:cs="Times New Roman"/>
          <w:szCs w:val="20"/>
          <w:lang w:val="en-US"/>
        </w:rPr>
        <w:t xml:space="preserve"> </w:t>
      </w:r>
      <w:r w:rsidR="00160977" w:rsidRPr="007B2402">
        <w:rPr>
          <w:rFonts w:eastAsia="Calibri" w:cs="Times New Roman"/>
          <w:szCs w:val="20"/>
          <w:lang w:val="en-US"/>
        </w:rPr>
        <w:t xml:space="preserve">General Assembly noted that </w:t>
      </w:r>
      <w:r w:rsidR="00160977" w:rsidRPr="007B2402">
        <w:rPr>
          <w:rFonts w:cs="Arial"/>
          <w:szCs w:val="20"/>
          <w:lang w:val="en-US"/>
        </w:rPr>
        <w:t>“the application to war crimes and crimes against humanity of the rule of municipal law relating to the period of limitation for ordinary crimes is a serious concern to world public opinion, since it prevents the prosecution and punishment of persons responsible for those crimes</w:t>
      </w:r>
      <w:r w:rsidR="00160977" w:rsidRPr="007B2402">
        <w:rPr>
          <w:rFonts w:cs="Arial"/>
          <w:lang w:val="en-US"/>
        </w:rPr>
        <w:t>.</w:t>
      </w:r>
      <w:r w:rsidR="000744A8" w:rsidRPr="007B2402">
        <w:rPr>
          <w:rFonts w:eastAsia="Calibri" w:cs="Times New Roman"/>
          <w:szCs w:val="20"/>
          <w:lang w:val="en-US"/>
        </w:rPr>
        <w:t>”</w:t>
      </w:r>
      <w:r w:rsidR="00591F8E" w:rsidRPr="007B2402">
        <w:rPr>
          <w:rFonts w:eastAsia="Calibri" w:cs="Times New Roman"/>
          <w:szCs w:val="20"/>
          <w:vertAlign w:val="superscript"/>
          <w:lang w:val="en-US"/>
        </w:rPr>
        <w:footnoteReference w:id="262"/>
      </w:r>
      <w:r w:rsidR="008903DD" w:rsidRPr="007B2402">
        <w:rPr>
          <w:rFonts w:eastAsia="Calibri" w:cs="Times New Roman"/>
          <w:szCs w:val="20"/>
          <w:lang w:val="en-US"/>
        </w:rPr>
        <w:t xml:space="preserve"> The following year, the States adopted </w:t>
      </w:r>
      <w:r w:rsidR="00AF4344" w:rsidRPr="007B2402">
        <w:rPr>
          <w:rFonts w:eastAsia="Calibri" w:cs="Times New Roman"/>
          <w:szCs w:val="20"/>
          <w:lang w:val="en-US"/>
        </w:rPr>
        <w:t>the Convention</w:t>
      </w:r>
      <w:r w:rsidR="000744A8" w:rsidRPr="007B2402">
        <w:rPr>
          <w:rFonts w:eastAsia="Calibri" w:cs="Times New Roman"/>
          <w:szCs w:val="20"/>
          <w:lang w:val="en-US"/>
        </w:rPr>
        <w:t xml:space="preserve"> </w:t>
      </w:r>
      <w:r w:rsidR="005B2BDF" w:rsidRPr="007B2402">
        <w:rPr>
          <w:iCs/>
          <w:szCs w:val="16"/>
          <w:lang w:val="en-US"/>
        </w:rPr>
        <w:t xml:space="preserve">on the Non-Applicability of Statutory Limitations to War Crimes and </w:t>
      </w:r>
      <w:r w:rsidR="005B2BDF" w:rsidRPr="007B2402">
        <w:rPr>
          <w:rFonts w:eastAsia="Calibri" w:cs="Times New Roman"/>
          <w:szCs w:val="20"/>
          <w:lang w:val="en-US"/>
        </w:rPr>
        <w:t>C</w:t>
      </w:r>
      <w:r w:rsidR="00810476" w:rsidRPr="007B2402">
        <w:rPr>
          <w:rFonts w:eastAsia="Calibri" w:cs="Times New Roman"/>
          <w:szCs w:val="20"/>
          <w:lang w:val="en-US"/>
        </w:rPr>
        <w:t xml:space="preserve">rimes against </w:t>
      </w:r>
      <w:r w:rsidR="005B2BDF" w:rsidRPr="007B2402">
        <w:rPr>
          <w:rFonts w:eastAsia="Calibri" w:cs="Times New Roman"/>
          <w:szCs w:val="20"/>
          <w:lang w:val="en-US"/>
        </w:rPr>
        <w:t>H</w:t>
      </w:r>
      <w:r w:rsidR="00810476" w:rsidRPr="007B2402">
        <w:rPr>
          <w:rFonts w:eastAsia="Calibri" w:cs="Times New Roman"/>
          <w:szCs w:val="20"/>
          <w:lang w:val="en-US"/>
        </w:rPr>
        <w:t>umanity</w:t>
      </w:r>
      <w:r w:rsidR="000744A8" w:rsidRPr="007B2402">
        <w:rPr>
          <w:rFonts w:eastAsia="Calibri" w:cs="Times New Roman"/>
          <w:szCs w:val="20"/>
          <w:lang w:val="en-US"/>
        </w:rPr>
        <w:t xml:space="preserve">, </w:t>
      </w:r>
      <w:r w:rsidR="005B2BDF" w:rsidRPr="007B2402">
        <w:rPr>
          <w:rFonts w:eastAsia="Calibri" w:cs="Times New Roman"/>
          <w:szCs w:val="20"/>
          <w:lang w:val="en-US"/>
        </w:rPr>
        <w:t xml:space="preserve">which recognized the evolution of international law on this matter and determined that “statutory or other limitations shall not apply to the prosecution and punishment of” </w:t>
      </w:r>
      <w:bookmarkEnd w:id="166"/>
      <w:r w:rsidR="00844CE7" w:rsidRPr="007B2402">
        <w:rPr>
          <w:rFonts w:eastAsia="Calibri" w:cs="Times New Roman"/>
          <w:szCs w:val="20"/>
          <w:lang w:val="en-US"/>
        </w:rPr>
        <w:t>crimes against humanity</w:t>
      </w:r>
      <w:r w:rsidR="005B2BDF" w:rsidRPr="007B2402">
        <w:rPr>
          <w:rFonts w:eastAsia="Calibri" w:cs="Times New Roman"/>
          <w:szCs w:val="20"/>
          <w:lang w:val="en-US"/>
        </w:rPr>
        <w:t>.</w:t>
      </w:r>
      <w:r w:rsidR="00591F8E" w:rsidRPr="007B2402">
        <w:rPr>
          <w:rFonts w:eastAsia="Calibri" w:cs="Times New Roman"/>
          <w:szCs w:val="20"/>
          <w:vertAlign w:val="superscript"/>
          <w:lang w:val="en-US"/>
        </w:rPr>
        <w:footnoteReference w:id="263"/>
      </w:r>
      <w:r w:rsidR="000744A8" w:rsidRPr="007B2402">
        <w:rPr>
          <w:rFonts w:eastAsia="Calibri" w:cs="Times New Roman"/>
          <w:szCs w:val="20"/>
          <w:lang w:val="en-US"/>
        </w:rPr>
        <w:t xml:space="preserve"> </w:t>
      </w:r>
      <w:r w:rsidR="005B2BDF" w:rsidRPr="007B2402">
        <w:rPr>
          <w:rFonts w:eastAsia="Calibri" w:cs="Times New Roman"/>
          <w:szCs w:val="20"/>
          <w:lang w:val="en-US"/>
        </w:rPr>
        <w:t>In addition,</w:t>
      </w:r>
      <w:r w:rsidR="000744A8" w:rsidRPr="007B2402">
        <w:rPr>
          <w:rFonts w:eastAsia="Calibri" w:cs="Times New Roman"/>
          <w:szCs w:val="20"/>
          <w:lang w:val="en-US"/>
        </w:rPr>
        <w:t xml:space="preserve"> </w:t>
      </w:r>
      <w:r w:rsidR="003B752F" w:rsidRPr="007B2402">
        <w:rPr>
          <w:rFonts w:eastAsia="Calibri" w:cs="Times New Roman"/>
          <w:szCs w:val="20"/>
          <w:lang w:val="en-US"/>
        </w:rPr>
        <w:t>the Rome Statute</w:t>
      </w:r>
      <w:r w:rsidR="000744A8" w:rsidRPr="007B2402">
        <w:rPr>
          <w:rFonts w:eastAsia="Calibri" w:cs="Times New Roman"/>
          <w:szCs w:val="20"/>
          <w:lang w:val="en-US"/>
        </w:rPr>
        <w:t xml:space="preserve"> </w:t>
      </w:r>
      <w:r w:rsidR="000744A8" w:rsidRPr="007B2402">
        <w:rPr>
          <w:rFonts w:eastAsia="Calibri" w:cs="Times New Roman"/>
          <w:szCs w:val="20"/>
          <w:lang w:val="en-US"/>
        </w:rPr>
        <w:lastRenderedPageBreak/>
        <w:t>expres</w:t>
      </w:r>
      <w:r w:rsidR="005B2BDF" w:rsidRPr="007B2402">
        <w:rPr>
          <w:rFonts w:eastAsia="Calibri" w:cs="Times New Roman"/>
          <w:szCs w:val="20"/>
          <w:lang w:val="en-US"/>
        </w:rPr>
        <w:t xml:space="preserve">sly provided that </w:t>
      </w:r>
      <w:r w:rsidR="005B2BDF" w:rsidRPr="007B2402">
        <w:rPr>
          <w:rFonts w:cs="Arial"/>
          <w:szCs w:val="20"/>
          <w:lang w:val="en-US"/>
        </w:rPr>
        <w:t>“[t]he crimes within the jurisdiction of the Court shall not be subject to any statute of limitation”</w:t>
      </w:r>
      <w:r w:rsidR="005B2BDF" w:rsidRPr="007B2402">
        <w:rPr>
          <w:rFonts w:eastAsia="Calibri" w:cs="Times New Roman"/>
          <w:szCs w:val="20"/>
          <w:lang w:val="en-US"/>
        </w:rPr>
        <w:t xml:space="preserve"> </w:t>
      </w:r>
      <w:r w:rsidR="000744A8" w:rsidRPr="007B2402">
        <w:rPr>
          <w:rFonts w:eastAsia="Calibri" w:cs="Times New Roman"/>
          <w:szCs w:val="20"/>
          <w:lang w:val="en-US"/>
        </w:rPr>
        <w:t>(</w:t>
      </w:r>
      <w:r w:rsidR="000744A8" w:rsidRPr="007B2402">
        <w:rPr>
          <w:rFonts w:eastAsia="Calibri" w:cs="Times New Roman"/>
          <w:i/>
          <w:szCs w:val="20"/>
          <w:lang w:val="en-US"/>
        </w:rPr>
        <w:t xml:space="preserve">supra </w:t>
      </w:r>
      <w:r w:rsidR="005B1590" w:rsidRPr="007B2402">
        <w:rPr>
          <w:rFonts w:eastAsia="Calibri" w:cs="Times New Roman"/>
          <w:szCs w:val="20"/>
          <w:lang w:val="en-US"/>
        </w:rPr>
        <w:t>para.</w:t>
      </w:r>
      <w:r w:rsidR="000744A8" w:rsidRPr="007B2402">
        <w:rPr>
          <w:rFonts w:eastAsia="Calibri" w:cs="Times New Roman"/>
          <w:szCs w:val="20"/>
          <w:lang w:val="en-US"/>
        </w:rPr>
        <w:t xml:space="preserve"> </w:t>
      </w:r>
      <w:r w:rsidR="000C74EE" w:rsidRPr="007B2402">
        <w:rPr>
          <w:rFonts w:eastAsia="Calibri" w:cs="Times New Roman"/>
          <w:szCs w:val="20"/>
          <w:lang w:val="en-US"/>
        </w:rPr>
        <w:t>217</w:t>
      </w:r>
      <w:r w:rsidR="000744A8" w:rsidRPr="007B2402">
        <w:rPr>
          <w:rFonts w:eastAsia="Calibri" w:cs="Times New Roman"/>
          <w:szCs w:val="20"/>
          <w:lang w:val="en-US"/>
        </w:rPr>
        <w:t xml:space="preserve">). </w:t>
      </w:r>
      <w:r w:rsidR="005B2BDF" w:rsidRPr="007B2402">
        <w:rPr>
          <w:rFonts w:eastAsia="Calibri" w:cs="Times New Roman"/>
          <w:szCs w:val="20"/>
          <w:lang w:val="en-US"/>
        </w:rPr>
        <w:t xml:space="preserve">Likewise, </w:t>
      </w:r>
      <w:r w:rsidR="00280D15" w:rsidRPr="007B2402">
        <w:rPr>
          <w:rFonts w:eastAsia="Calibri" w:cs="Times New Roman"/>
          <w:szCs w:val="20"/>
          <w:lang w:val="en-US"/>
        </w:rPr>
        <w:t xml:space="preserve">recent international developments such as the establishment of the Extraordinary Chambers in the Courts of Cambodia and the </w:t>
      </w:r>
      <w:r w:rsidR="001E2E4A" w:rsidRPr="007B2402">
        <w:rPr>
          <w:rFonts w:eastAsia="Calibri" w:cs="Times New Roman"/>
          <w:szCs w:val="20"/>
          <w:lang w:val="en-US"/>
        </w:rPr>
        <w:t>Regulation o</w:t>
      </w:r>
      <w:r w:rsidR="00194E71" w:rsidRPr="007B2402">
        <w:rPr>
          <w:rFonts w:eastAsia="Calibri" w:cs="Times New Roman"/>
          <w:szCs w:val="20"/>
          <w:lang w:val="en-US"/>
        </w:rPr>
        <w:t>n</w:t>
      </w:r>
      <w:r w:rsidR="001E2E4A" w:rsidRPr="007B2402">
        <w:rPr>
          <w:rFonts w:eastAsia="Calibri" w:cs="Times New Roman"/>
          <w:szCs w:val="20"/>
          <w:lang w:val="en-US"/>
        </w:rPr>
        <w:t xml:space="preserve"> the Special Panels for East</w:t>
      </w:r>
      <w:r w:rsidR="00280D15" w:rsidRPr="007B2402">
        <w:rPr>
          <w:rFonts w:eastAsia="Calibri" w:cs="Times New Roman"/>
          <w:szCs w:val="20"/>
          <w:lang w:val="en-US"/>
        </w:rPr>
        <w:t xml:space="preserve"> Timor expressly define crimes against humanity as crimes that </w:t>
      </w:r>
      <w:r w:rsidR="001E2E4A" w:rsidRPr="007B2402">
        <w:rPr>
          <w:rFonts w:eastAsia="Calibri" w:cs="Times New Roman"/>
          <w:szCs w:val="20"/>
          <w:lang w:val="en-US"/>
        </w:rPr>
        <w:t>have no</w:t>
      </w:r>
      <w:r w:rsidR="00280D15" w:rsidRPr="007B2402">
        <w:rPr>
          <w:rFonts w:eastAsia="Calibri" w:cs="Times New Roman"/>
          <w:szCs w:val="20"/>
          <w:lang w:val="en-US"/>
        </w:rPr>
        <w:t xml:space="preserve"> statute of limitations.</w:t>
      </w:r>
      <w:r w:rsidR="00591F8E" w:rsidRPr="007B2402">
        <w:rPr>
          <w:rFonts w:eastAsia="Calibri" w:cs="Times New Roman"/>
          <w:szCs w:val="20"/>
          <w:vertAlign w:val="superscript"/>
          <w:lang w:val="en-US"/>
        </w:rPr>
        <w:footnoteReference w:id="264"/>
      </w:r>
      <w:r w:rsidR="000744A8" w:rsidRPr="007B2402">
        <w:rPr>
          <w:rFonts w:eastAsia="Calibri" w:cs="Times New Roman"/>
          <w:szCs w:val="20"/>
          <w:lang w:val="en-US"/>
        </w:rPr>
        <w:t xml:space="preserve"> </w:t>
      </w:r>
    </w:p>
    <w:p w14:paraId="56D0845F" w14:textId="77777777" w:rsidR="000744A8" w:rsidRPr="007B2402" w:rsidRDefault="000744A8" w:rsidP="000744A8">
      <w:pPr>
        <w:spacing w:after="0" w:line="240" w:lineRule="auto"/>
        <w:jc w:val="both"/>
        <w:rPr>
          <w:rFonts w:eastAsia="Calibri" w:cs="Times New Roman"/>
          <w:szCs w:val="20"/>
          <w:lang w:val="en-US"/>
        </w:rPr>
      </w:pPr>
    </w:p>
    <w:p w14:paraId="1873076E" w14:textId="7DD17ED3" w:rsidR="000744A8" w:rsidRPr="007B2402" w:rsidRDefault="001E2E4A" w:rsidP="00D35CA6">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According to</w:t>
      </w:r>
      <w:r w:rsidR="000744A8" w:rsidRPr="007B2402">
        <w:rPr>
          <w:rFonts w:eastAsia="Calibri" w:cs="Times New Roman"/>
          <w:szCs w:val="20"/>
          <w:lang w:val="en-US"/>
        </w:rPr>
        <w:t xml:space="preserve"> </w:t>
      </w:r>
      <w:r w:rsidR="00AF4344" w:rsidRPr="007B2402">
        <w:rPr>
          <w:rFonts w:eastAsia="Calibri" w:cs="Times New Roman"/>
          <w:szCs w:val="20"/>
          <w:lang w:val="en-US"/>
        </w:rPr>
        <w:t xml:space="preserve">the </w:t>
      </w:r>
      <w:r w:rsidR="004E026D" w:rsidRPr="007B2402">
        <w:rPr>
          <w:rFonts w:eastAsia="Calibri" w:cs="Times New Roman"/>
          <w:szCs w:val="20"/>
          <w:lang w:val="en-US"/>
        </w:rPr>
        <w:t>International Law Commission</w:t>
      </w:r>
      <w:r w:rsidR="000744A8" w:rsidRPr="007B2402">
        <w:rPr>
          <w:rFonts w:eastAsia="Calibri" w:cs="Times New Roman"/>
          <w:szCs w:val="20"/>
          <w:lang w:val="en-US"/>
        </w:rPr>
        <w:t xml:space="preserve">, </w:t>
      </w:r>
      <w:r w:rsidR="00D35CA6" w:rsidRPr="007B2402">
        <w:rPr>
          <w:rFonts w:eastAsia="Calibri" w:cs="Times New Roman"/>
          <w:szCs w:val="20"/>
          <w:lang w:val="en-US"/>
        </w:rPr>
        <w:t>“[a]</w:t>
      </w:r>
      <w:r w:rsidR="00D35CA6" w:rsidRPr="007B2402">
        <w:rPr>
          <w:rFonts w:cs="Arial"/>
          <w:szCs w:val="20"/>
          <w:lang w:val="en-US"/>
        </w:rPr>
        <w:t>t present, there appears to be no State with a law on crimes against humanity that also bars prosecution after a period of time has elapsed. Rather, numerous States have specifically legislated against any such limitation.</w:t>
      </w:r>
      <w:r w:rsidR="00591F8E" w:rsidRPr="007B2402">
        <w:rPr>
          <w:rFonts w:eastAsia="Calibri" w:cs="Times New Roman"/>
          <w:szCs w:val="20"/>
          <w:lang w:val="en-US"/>
        </w:rPr>
        <w:t>”</w:t>
      </w:r>
      <w:r w:rsidR="00591F8E" w:rsidRPr="007B2402">
        <w:rPr>
          <w:rFonts w:eastAsia="Calibri" w:cs="Times New Roman"/>
          <w:szCs w:val="20"/>
          <w:vertAlign w:val="superscript"/>
          <w:lang w:val="en-US"/>
        </w:rPr>
        <w:footnoteReference w:id="265"/>
      </w:r>
      <w:r w:rsidR="00D35CA6" w:rsidRPr="007B2402">
        <w:rPr>
          <w:rFonts w:eastAsia="Calibri" w:cs="Times New Roman"/>
          <w:szCs w:val="20"/>
          <w:lang w:val="en-US"/>
        </w:rPr>
        <w:t xml:space="preserve"> Furthermore, even though neither </w:t>
      </w:r>
      <w:r w:rsidR="00AF4344" w:rsidRPr="007B2402">
        <w:rPr>
          <w:rFonts w:eastAsia="Calibri" w:cs="Times New Roman"/>
          <w:szCs w:val="20"/>
          <w:lang w:val="en-US"/>
        </w:rPr>
        <w:t xml:space="preserve">the </w:t>
      </w:r>
      <w:r w:rsidR="000873A7" w:rsidRPr="007B2402">
        <w:rPr>
          <w:rFonts w:eastAsia="Calibri" w:cs="Times New Roman"/>
          <w:szCs w:val="20"/>
          <w:lang w:val="en-US"/>
        </w:rPr>
        <w:t>Convention against Torture</w:t>
      </w:r>
      <w:r w:rsidR="00591F8E" w:rsidRPr="007B2402">
        <w:rPr>
          <w:rFonts w:eastAsia="Calibri" w:cs="Times New Roman"/>
          <w:szCs w:val="20"/>
          <w:lang w:val="en-US"/>
        </w:rPr>
        <w:t xml:space="preserve"> </w:t>
      </w:r>
      <w:r w:rsidR="00D35CA6" w:rsidRPr="007B2402">
        <w:rPr>
          <w:rFonts w:eastAsia="Calibri" w:cs="Times New Roman"/>
          <w:szCs w:val="20"/>
          <w:lang w:val="en-US"/>
        </w:rPr>
        <w:t>nor the International Covenant on Civil and Political Rights</w:t>
      </w:r>
      <w:r w:rsidR="00591F8E" w:rsidRPr="007B2402">
        <w:rPr>
          <w:rFonts w:eastAsia="Calibri" w:cs="Times New Roman"/>
          <w:szCs w:val="20"/>
          <w:lang w:val="en-US"/>
        </w:rPr>
        <w:t xml:space="preserve"> </w:t>
      </w:r>
      <w:r w:rsidR="00D35CA6" w:rsidRPr="007B2402">
        <w:rPr>
          <w:rFonts w:eastAsia="Calibri" w:cs="Times New Roman"/>
          <w:szCs w:val="20"/>
          <w:lang w:val="en-US"/>
        </w:rPr>
        <w:t>expressly prohibit the application of the statute of limitations to grave violations of these treaties, the respective committees created to interpret and monitor compliance with the two treaties have established that torture and grave violations of the Covenant should not be subject to any statute of limitations.</w:t>
      </w:r>
      <w:r w:rsidR="00591F8E" w:rsidRPr="007B2402">
        <w:rPr>
          <w:rFonts w:eastAsia="Calibri" w:cs="Times New Roman"/>
          <w:szCs w:val="20"/>
          <w:vertAlign w:val="superscript"/>
          <w:lang w:val="en-US"/>
        </w:rPr>
        <w:footnoteReference w:id="266"/>
      </w:r>
    </w:p>
    <w:p w14:paraId="0FF0D56A" w14:textId="77777777" w:rsidR="000744A8" w:rsidRPr="007B2402" w:rsidRDefault="000744A8" w:rsidP="000744A8">
      <w:pPr>
        <w:spacing w:after="0" w:line="240" w:lineRule="auto"/>
        <w:jc w:val="both"/>
        <w:rPr>
          <w:rFonts w:eastAsia="Calibri" w:cs="Times New Roman"/>
          <w:szCs w:val="20"/>
          <w:lang w:val="en-US"/>
        </w:rPr>
      </w:pPr>
    </w:p>
    <w:p w14:paraId="2537FDCE" w14:textId="2BEAA772" w:rsidR="000744A8" w:rsidRPr="007B2402" w:rsidRDefault="00D35CA6" w:rsidP="00741903">
      <w:pPr>
        <w:numPr>
          <w:ilvl w:val="0"/>
          <w:numId w:val="6"/>
        </w:numPr>
        <w:spacing w:after="0" w:line="240" w:lineRule="auto"/>
        <w:jc w:val="both"/>
        <w:rPr>
          <w:rFonts w:eastAsia="Calibri" w:cs="Times New Roman"/>
          <w:b/>
          <w:szCs w:val="20"/>
          <w:lang w:val="en-US"/>
        </w:rPr>
      </w:pPr>
      <w:r w:rsidRPr="007B2402">
        <w:rPr>
          <w:rFonts w:eastAsia="Calibri" w:cs="Times New Roman"/>
          <w:szCs w:val="20"/>
          <w:lang w:val="en-US"/>
        </w:rPr>
        <w:t>In the regional sphere</w:t>
      </w:r>
      <w:r w:rsidR="000744A8" w:rsidRPr="007B2402">
        <w:rPr>
          <w:rFonts w:eastAsia="Calibri" w:cs="Times New Roman"/>
          <w:szCs w:val="20"/>
          <w:lang w:val="en-US"/>
        </w:rPr>
        <w:t xml:space="preserve">, </w:t>
      </w:r>
      <w:r w:rsidR="00B520AC" w:rsidRPr="007B2402">
        <w:rPr>
          <w:rFonts w:eastAsia="Calibri" w:cs="Times New Roman"/>
          <w:szCs w:val="20"/>
          <w:lang w:val="en-US"/>
        </w:rPr>
        <w:t>the European Court of Human Rights</w:t>
      </w:r>
      <w:r w:rsidR="000744A8" w:rsidRPr="007B2402">
        <w:rPr>
          <w:rFonts w:eastAsia="Calibri" w:cs="Times New Roman"/>
          <w:szCs w:val="20"/>
          <w:lang w:val="en-US"/>
        </w:rPr>
        <w:t xml:space="preserve"> </w:t>
      </w:r>
      <w:r w:rsidRPr="007B2402">
        <w:rPr>
          <w:rFonts w:eastAsia="Calibri" w:cs="Times New Roman"/>
          <w:szCs w:val="20"/>
          <w:lang w:val="en-US"/>
        </w:rPr>
        <w:t xml:space="preserve">has referred to the statute of limitations in cases of gross or massive violations of human rights. In this regard, it has indicated that, </w:t>
      </w:r>
      <w:r w:rsidR="00741903" w:rsidRPr="007B2402">
        <w:rPr>
          <w:rFonts w:eastAsia="Calibri" w:cs="Times New Roman"/>
          <w:szCs w:val="20"/>
          <w:lang w:val="en-US"/>
        </w:rPr>
        <w:t>based on</w:t>
      </w:r>
      <w:r w:rsidRPr="007B2402">
        <w:rPr>
          <w:rFonts w:eastAsia="Calibri" w:cs="Times New Roman"/>
          <w:szCs w:val="20"/>
          <w:lang w:val="en-US"/>
        </w:rPr>
        <w:t xml:space="preserve"> the </w:t>
      </w:r>
      <w:r w:rsidR="00741903" w:rsidRPr="007B2402">
        <w:rPr>
          <w:rFonts w:eastAsia="Calibri" w:cs="Times New Roman"/>
          <w:szCs w:val="20"/>
          <w:lang w:val="en-US"/>
        </w:rPr>
        <w:t>seriousness</w:t>
      </w:r>
      <w:r w:rsidRPr="007B2402">
        <w:rPr>
          <w:rFonts w:eastAsia="Calibri" w:cs="Times New Roman"/>
          <w:szCs w:val="20"/>
          <w:lang w:val="en-US"/>
        </w:rPr>
        <w:t xml:space="preserve"> of the crimes, the application of the statute of limitations is contrary to the obligation </w:t>
      </w:r>
      <w:r w:rsidR="00741903" w:rsidRPr="007B2402">
        <w:rPr>
          <w:rFonts w:eastAsia="Calibri" w:cs="Times New Roman"/>
          <w:szCs w:val="20"/>
          <w:lang w:val="en-US"/>
        </w:rPr>
        <w:t>to ensure the right to life.</w:t>
      </w:r>
      <w:r w:rsidR="0011533F" w:rsidRPr="007B2402">
        <w:rPr>
          <w:rFonts w:eastAsia="Calibri" w:cs="Times New Roman"/>
          <w:szCs w:val="20"/>
          <w:vertAlign w:val="superscript"/>
          <w:lang w:val="en-US"/>
        </w:rPr>
        <w:footnoteReference w:id="267"/>
      </w:r>
      <w:r w:rsidR="00741903" w:rsidRPr="007B2402">
        <w:rPr>
          <w:rFonts w:eastAsia="Calibri" w:cs="Times New Roman"/>
          <w:szCs w:val="20"/>
          <w:lang w:val="en-US"/>
        </w:rPr>
        <w:t xml:space="preserve"> It has also recognized that even with the passage of time, the public interest in obtaining the prosecution and conviction of perpetrators was firmly recognized, in particular in the context of war crimes </w:t>
      </w:r>
      <w:r w:rsidR="005B1590" w:rsidRPr="007B2402">
        <w:rPr>
          <w:rFonts w:eastAsia="Calibri" w:cs="Times New Roman"/>
          <w:szCs w:val="20"/>
          <w:lang w:val="en-US"/>
        </w:rPr>
        <w:t xml:space="preserve">and </w:t>
      </w:r>
      <w:r w:rsidR="00844CE7" w:rsidRPr="007B2402">
        <w:rPr>
          <w:rFonts w:eastAsia="Calibri" w:cs="Times New Roman"/>
          <w:szCs w:val="20"/>
          <w:lang w:val="en-US"/>
        </w:rPr>
        <w:t>crimes against humanity</w:t>
      </w:r>
      <w:r w:rsidR="00741903" w:rsidRPr="007B2402">
        <w:rPr>
          <w:rFonts w:eastAsia="Calibri" w:cs="Times New Roman"/>
          <w:szCs w:val="20"/>
          <w:lang w:val="en-US"/>
        </w:rPr>
        <w:t>.</w:t>
      </w:r>
      <w:r w:rsidR="0011533F" w:rsidRPr="007B2402">
        <w:rPr>
          <w:rFonts w:eastAsia="Calibri" w:cs="Times New Roman"/>
          <w:szCs w:val="20"/>
          <w:vertAlign w:val="superscript"/>
          <w:lang w:val="en-US"/>
        </w:rPr>
        <w:footnoteReference w:id="268"/>
      </w:r>
    </w:p>
    <w:p w14:paraId="70108773" w14:textId="77777777" w:rsidR="000744A8" w:rsidRPr="007B2402" w:rsidRDefault="000744A8" w:rsidP="000744A8">
      <w:pPr>
        <w:spacing w:after="0" w:line="240" w:lineRule="auto"/>
        <w:jc w:val="both"/>
        <w:rPr>
          <w:rFonts w:eastAsia="Calibri" w:cs="Times New Roman"/>
          <w:b/>
          <w:szCs w:val="20"/>
          <w:lang w:val="en-US"/>
        </w:rPr>
      </w:pPr>
    </w:p>
    <w:p w14:paraId="452928C9" w14:textId="2ABB0679" w:rsidR="000744A8" w:rsidRPr="007B2402" w:rsidRDefault="00741903" w:rsidP="00DB1F30">
      <w:pPr>
        <w:numPr>
          <w:ilvl w:val="0"/>
          <w:numId w:val="6"/>
        </w:numPr>
        <w:spacing w:after="0" w:line="240" w:lineRule="auto"/>
        <w:jc w:val="both"/>
        <w:rPr>
          <w:rFonts w:eastAsia="Calibri" w:cs="Times New Roman"/>
          <w:b/>
          <w:szCs w:val="20"/>
          <w:lang w:val="en-US"/>
        </w:rPr>
      </w:pPr>
      <w:r w:rsidRPr="007B2402">
        <w:rPr>
          <w:rFonts w:eastAsia="Calibri" w:cs="Times New Roman"/>
          <w:szCs w:val="20"/>
          <w:lang w:val="en-US"/>
        </w:rPr>
        <w:lastRenderedPageBreak/>
        <w:t>Similarly, high courts of</w:t>
      </w:r>
      <w:r w:rsidR="000744A8" w:rsidRPr="007B2402">
        <w:rPr>
          <w:rFonts w:eastAsia="Calibri" w:cs="Times New Roman"/>
          <w:b/>
          <w:szCs w:val="20"/>
          <w:lang w:val="en-US"/>
        </w:rPr>
        <w:t xml:space="preserve"> </w:t>
      </w:r>
      <w:r w:rsidR="00D05845" w:rsidRPr="007B2402">
        <w:rPr>
          <w:rFonts w:eastAsia="Calibri" w:cs="Times New Roman"/>
          <w:szCs w:val="20"/>
          <w:lang w:val="en-US"/>
        </w:rPr>
        <w:t>Peru</w:t>
      </w:r>
      <w:r w:rsidRPr="007B2402">
        <w:rPr>
          <w:rFonts w:eastAsia="Calibri" w:cs="Times New Roman"/>
          <w:szCs w:val="20"/>
          <w:lang w:val="en-US"/>
        </w:rPr>
        <w:t>,</w:t>
      </w:r>
      <w:r w:rsidR="0011533F" w:rsidRPr="007B2402">
        <w:rPr>
          <w:rFonts w:eastAsia="Calibri" w:cs="Times New Roman"/>
          <w:szCs w:val="20"/>
          <w:vertAlign w:val="superscript"/>
          <w:lang w:val="en-US"/>
        </w:rPr>
        <w:footnoteReference w:id="269"/>
      </w:r>
      <w:r w:rsidR="000744A8" w:rsidRPr="007B2402">
        <w:rPr>
          <w:rFonts w:eastAsia="Calibri" w:cs="Times New Roman"/>
          <w:szCs w:val="20"/>
          <w:lang w:val="en-US"/>
        </w:rPr>
        <w:t xml:space="preserve"> </w:t>
      </w:r>
      <w:r w:rsidR="0011533F" w:rsidRPr="007B2402">
        <w:rPr>
          <w:rFonts w:eastAsia="Calibri" w:cs="Times New Roman"/>
          <w:szCs w:val="20"/>
          <w:lang w:val="en-US"/>
        </w:rPr>
        <w:t>Argentina</w:t>
      </w:r>
      <w:r w:rsidRPr="007B2402">
        <w:rPr>
          <w:rFonts w:eastAsia="Calibri" w:cs="Times New Roman"/>
          <w:szCs w:val="20"/>
          <w:lang w:val="en-US"/>
        </w:rPr>
        <w:t>.</w:t>
      </w:r>
      <w:r w:rsidR="0011533F" w:rsidRPr="007B2402">
        <w:rPr>
          <w:rFonts w:eastAsia="Calibri" w:cs="Times New Roman"/>
          <w:szCs w:val="20"/>
          <w:vertAlign w:val="superscript"/>
          <w:lang w:val="en-US"/>
        </w:rPr>
        <w:footnoteReference w:id="270"/>
      </w:r>
      <w:r w:rsidR="0011533F" w:rsidRPr="007B2402">
        <w:rPr>
          <w:rFonts w:eastAsia="Calibri" w:cs="Times New Roman"/>
          <w:szCs w:val="20"/>
          <w:lang w:val="en-US"/>
        </w:rPr>
        <w:t xml:space="preserve"> Chile</w:t>
      </w:r>
      <w:r w:rsidRPr="007B2402">
        <w:rPr>
          <w:rFonts w:eastAsia="Calibri" w:cs="Times New Roman"/>
          <w:szCs w:val="20"/>
          <w:lang w:val="en-US"/>
        </w:rPr>
        <w:t>,</w:t>
      </w:r>
      <w:r w:rsidR="0011533F" w:rsidRPr="007B2402">
        <w:rPr>
          <w:rFonts w:eastAsia="Calibri" w:cs="Times New Roman"/>
          <w:szCs w:val="20"/>
          <w:vertAlign w:val="superscript"/>
          <w:lang w:val="en-US"/>
        </w:rPr>
        <w:footnoteReference w:id="271"/>
      </w:r>
      <w:r w:rsidR="0011533F" w:rsidRPr="007B2402">
        <w:rPr>
          <w:rFonts w:eastAsia="Calibri" w:cs="Times New Roman"/>
          <w:szCs w:val="20"/>
          <w:lang w:val="en-US"/>
        </w:rPr>
        <w:t xml:space="preserve"> Colombia</w:t>
      </w:r>
      <w:r w:rsidRPr="007B2402">
        <w:rPr>
          <w:rFonts w:eastAsia="Calibri" w:cs="Times New Roman"/>
          <w:szCs w:val="20"/>
          <w:lang w:val="en-US"/>
        </w:rPr>
        <w:t>,</w:t>
      </w:r>
      <w:r w:rsidR="0011533F" w:rsidRPr="007B2402">
        <w:rPr>
          <w:rFonts w:eastAsia="Calibri" w:cs="Times New Roman"/>
          <w:szCs w:val="20"/>
          <w:vertAlign w:val="superscript"/>
          <w:lang w:val="en-US"/>
        </w:rPr>
        <w:footnoteReference w:id="272"/>
      </w:r>
      <w:r w:rsidR="0011533F" w:rsidRPr="007B2402">
        <w:rPr>
          <w:rFonts w:eastAsia="Calibri" w:cs="Times New Roman"/>
          <w:szCs w:val="20"/>
          <w:lang w:val="en-US"/>
        </w:rPr>
        <w:t xml:space="preserve"> Costa Rica</w:t>
      </w:r>
      <w:r w:rsidRPr="007B2402">
        <w:rPr>
          <w:rFonts w:eastAsia="Calibri" w:cs="Times New Roman"/>
          <w:szCs w:val="20"/>
          <w:lang w:val="en-US"/>
        </w:rPr>
        <w:t>,</w:t>
      </w:r>
      <w:r w:rsidR="0011533F" w:rsidRPr="007B2402">
        <w:rPr>
          <w:rFonts w:eastAsia="Calibri" w:cs="Times New Roman"/>
          <w:szCs w:val="20"/>
          <w:vertAlign w:val="superscript"/>
          <w:lang w:val="en-US"/>
        </w:rPr>
        <w:footnoteReference w:id="273"/>
      </w:r>
      <w:r w:rsidR="0011533F" w:rsidRPr="007B2402">
        <w:rPr>
          <w:rFonts w:eastAsia="Calibri" w:cs="Times New Roman"/>
          <w:szCs w:val="20"/>
          <w:lang w:val="en-US"/>
        </w:rPr>
        <w:t xml:space="preserve"> </w:t>
      </w:r>
      <w:r w:rsidR="007A5488" w:rsidRPr="007B2402">
        <w:rPr>
          <w:rFonts w:eastAsia="Calibri" w:cs="Times New Roman"/>
          <w:szCs w:val="20"/>
          <w:lang w:val="en-US"/>
        </w:rPr>
        <w:t>El Salvador</w:t>
      </w:r>
      <w:r w:rsidRPr="007B2402">
        <w:rPr>
          <w:rFonts w:eastAsia="Calibri" w:cs="Times New Roman"/>
          <w:szCs w:val="20"/>
          <w:lang w:val="en-US"/>
        </w:rPr>
        <w:t>,</w:t>
      </w:r>
      <w:r w:rsidR="007A5488" w:rsidRPr="007B2402">
        <w:rPr>
          <w:rStyle w:val="Refdenotaalpie"/>
          <w:rFonts w:ascii="Verdana" w:eastAsia="Calibri" w:hAnsi="Verdana"/>
          <w:lang w:val="en-US"/>
        </w:rPr>
        <w:footnoteReference w:id="274"/>
      </w:r>
      <w:r w:rsidR="007A5488" w:rsidRPr="007B2402">
        <w:rPr>
          <w:rFonts w:eastAsia="Calibri" w:cs="Times New Roman"/>
          <w:szCs w:val="20"/>
          <w:lang w:val="en-US"/>
        </w:rPr>
        <w:t xml:space="preserve"> </w:t>
      </w:r>
      <w:r w:rsidR="006D034C" w:rsidRPr="007B2402">
        <w:rPr>
          <w:rFonts w:eastAsia="Calibri" w:cs="Times New Roman"/>
          <w:szCs w:val="20"/>
          <w:lang w:val="en-US"/>
        </w:rPr>
        <w:t>Guatemala</w:t>
      </w:r>
      <w:r w:rsidRPr="007B2402">
        <w:rPr>
          <w:rFonts w:eastAsia="Calibri" w:cs="Times New Roman"/>
          <w:szCs w:val="20"/>
          <w:lang w:val="en-US"/>
        </w:rPr>
        <w:t>,</w:t>
      </w:r>
      <w:r w:rsidR="006D034C" w:rsidRPr="007B2402">
        <w:rPr>
          <w:rFonts w:eastAsia="Calibri" w:cs="Times New Roman"/>
          <w:szCs w:val="20"/>
          <w:vertAlign w:val="superscript"/>
          <w:lang w:val="en-US"/>
        </w:rPr>
        <w:footnoteReference w:id="275"/>
      </w:r>
      <w:r w:rsidR="006D034C" w:rsidRPr="007B2402">
        <w:rPr>
          <w:rFonts w:eastAsia="Calibri" w:cs="Times New Roman"/>
          <w:szCs w:val="20"/>
          <w:lang w:val="en-US"/>
        </w:rPr>
        <w:t xml:space="preserve"> </w:t>
      </w:r>
      <w:r w:rsidR="00CA49F9" w:rsidRPr="007B2402">
        <w:rPr>
          <w:rFonts w:eastAsia="Calibri" w:cs="Times New Roman"/>
          <w:szCs w:val="20"/>
          <w:lang w:val="en-US"/>
        </w:rPr>
        <w:t>Mexico</w:t>
      </w:r>
      <w:r w:rsidRPr="007B2402">
        <w:rPr>
          <w:rFonts w:eastAsia="Calibri" w:cs="Times New Roman"/>
          <w:szCs w:val="20"/>
          <w:lang w:val="en-US"/>
        </w:rPr>
        <w:t>,</w:t>
      </w:r>
      <w:r w:rsidR="006D034C" w:rsidRPr="007B2402">
        <w:rPr>
          <w:rFonts w:eastAsia="Calibri" w:cs="Times New Roman"/>
          <w:szCs w:val="20"/>
          <w:vertAlign w:val="superscript"/>
          <w:lang w:val="en-US"/>
        </w:rPr>
        <w:footnoteReference w:id="276"/>
      </w:r>
      <w:r w:rsidR="006D034C" w:rsidRPr="007B2402">
        <w:rPr>
          <w:rFonts w:eastAsia="Calibri" w:cs="Times New Roman"/>
          <w:szCs w:val="20"/>
          <w:lang w:val="en-US"/>
        </w:rPr>
        <w:t xml:space="preserve"> Paraguay</w:t>
      </w:r>
      <w:r w:rsidR="006D034C" w:rsidRPr="007B2402">
        <w:rPr>
          <w:rFonts w:eastAsia="Calibri" w:cs="Times New Roman"/>
          <w:szCs w:val="20"/>
          <w:vertAlign w:val="superscript"/>
          <w:lang w:val="en-US"/>
        </w:rPr>
        <w:footnoteReference w:id="277"/>
      </w:r>
      <w:r w:rsidR="005B1590" w:rsidRPr="007B2402">
        <w:rPr>
          <w:rFonts w:eastAsia="Calibri" w:cs="Times New Roman"/>
          <w:bCs/>
          <w:szCs w:val="20"/>
          <w:lang w:val="en-US"/>
        </w:rPr>
        <w:t xml:space="preserve"> and</w:t>
      </w:r>
      <w:r w:rsidR="005B1590" w:rsidRPr="007B2402">
        <w:rPr>
          <w:rFonts w:eastAsia="Calibri" w:cs="Times New Roman"/>
          <w:b/>
          <w:szCs w:val="20"/>
          <w:lang w:val="en-US"/>
        </w:rPr>
        <w:t xml:space="preserve"> </w:t>
      </w:r>
      <w:r w:rsidR="006D034C" w:rsidRPr="007B2402">
        <w:rPr>
          <w:rFonts w:eastAsia="Calibri" w:cs="Times New Roman"/>
          <w:szCs w:val="20"/>
          <w:lang w:val="en-US"/>
        </w:rPr>
        <w:t>Uruguay</w:t>
      </w:r>
      <w:r w:rsidR="006D034C" w:rsidRPr="007B2402">
        <w:rPr>
          <w:rStyle w:val="Refdenotaalpie"/>
          <w:rFonts w:ascii="Verdana" w:eastAsia="Calibri" w:hAnsi="Verdana"/>
          <w:lang w:val="en-US"/>
        </w:rPr>
        <w:footnoteReference w:id="278"/>
      </w:r>
      <w:r w:rsidR="00BE1AD3" w:rsidRPr="007B2402">
        <w:rPr>
          <w:rFonts w:eastAsia="Calibri" w:cs="Times New Roman"/>
          <w:b/>
          <w:szCs w:val="20"/>
          <w:lang w:val="en-US"/>
        </w:rPr>
        <w:t xml:space="preserve"> </w:t>
      </w:r>
      <w:r w:rsidR="000744A8" w:rsidRPr="007B2402">
        <w:rPr>
          <w:rFonts w:eastAsia="Calibri" w:cs="Times New Roman"/>
          <w:szCs w:val="20"/>
          <w:lang w:val="en-US"/>
        </w:rPr>
        <w:t>ha</w:t>
      </w:r>
      <w:r w:rsidRPr="007B2402">
        <w:rPr>
          <w:rFonts w:eastAsia="Calibri" w:cs="Times New Roman"/>
          <w:szCs w:val="20"/>
          <w:lang w:val="en-US"/>
        </w:rPr>
        <w:t xml:space="preserve">ve reaffirmed the principle of the </w:t>
      </w:r>
      <w:r w:rsidR="00194E71" w:rsidRPr="007B2402">
        <w:rPr>
          <w:rFonts w:eastAsia="Calibri" w:cs="Times New Roman"/>
          <w:szCs w:val="20"/>
          <w:lang w:val="en-US"/>
        </w:rPr>
        <w:t>non-</w:t>
      </w:r>
      <w:r w:rsidRPr="007B2402">
        <w:rPr>
          <w:rFonts w:eastAsia="Calibri" w:cs="Times New Roman"/>
          <w:szCs w:val="20"/>
          <w:lang w:val="en-US"/>
        </w:rPr>
        <w:t xml:space="preserve">applicability of the statute of limitations to </w:t>
      </w:r>
      <w:r w:rsidR="00810476" w:rsidRPr="007B2402">
        <w:rPr>
          <w:rFonts w:eastAsia="Calibri" w:cs="Times New Roman"/>
          <w:szCs w:val="20"/>
          <w:lang w:val="en-US"/>
        </w:rPr>
        <w:t>crimes against humanity</w:t>
      </w:r>
      <w:r w:rsidR="00F945FB" w:rsidRPr="007B2402">
        <w:rPr>
          <w:rFonts w:eastAsia="Calibri" w:cs="Times New Roman"/>
          <w:szCs w:val="20"/>
          <w:lang w:val="en-US"/>
        </w:rPr>
        <w:t>,</w:t>
      </w:r>
      <w:r w:rsidR="000744A8" w:rsidRPr="007B2402">
        <w:rPr>
          <w:rFonts w:eastAsia="Calibri" w:cs="Times New Roman"/>
          <w:szCs w:val="20"/>
          <w:lang w:val="en-US"/>
        </w:rPr>
        <w:t xml:space="preserve"> </w:t>
      </w:r>
      <w:r w:rsidRPr="007B2402">
        <w:rPr>
          <w:rFonts w:eastAsia="Calibri" w:cs="Times New Roman"/>
          <w:szCs w:val="20"/>
          <w:lang w:val="en-US"/>
        </w:rPr>
        <w:t>war crimes and genocide, referring to its nature as a norm of customary international law.</w:t>
      </w:r>
    </w:p>
    <w:p w14:paraId="570E70F9" w14:textId="77777777" w:rsidR="000744A8" w:rsidRPr="007B2402" w:rsidRDefault="000744A8" w:rsidP="002124D6">
      <w:pPr>
        <w:pStyle w:val="Asuntodelcomentario"/>
        <w:rPr>
          <w:rFonts w:eastAsia="Calibri" w:cs="Times New Roman"/>
          <w:bCs w:val="0"/>
          <w:noProof w:val="0"/>
          <w:lang w:val="en-US"/>
        </w:rPr>
      </w:pPr>
    </w:p>
    <w:p w14:paraId="6010E502" w14:textId="25D2954A" w:rsidR="000744A8" w:rsidRPr="007B2402" w:rsidRDefault="00741903"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 xml:space="preserve">Lastly, the Court points out that several countries of the Americas have incorporated legal or constitutional provisions on the </w:t>
      </w:r>
      <w:r w:rsidR="00194E71" w:rsidRPr="007B2402">
        <w:rPr>
          <w:rFonts w:eastAsia="Calibri" w:cs="Times New Roman"/>
          <w:szCs w:val="20"/>
          <w:lang w:val="en-US"/>
        </w:rPr>
        <w:t>non-</w:t>
      </w:r>
      <w:r w:rsidRPr="007B2402">
        <w:rPr>
          <w:rFonts w:eastAsia="Calibri" w:cs="Times New Roman"/>
          <w:szCs w:val="20"/>
          <w:lang w:val="en-US"/>
        </w:rPr>
        <w:t xml:space="preserve">applicability of statutory limitations to </w:t>
      </w:r>
      <w:r w:rsidR="00194E71" w:rsidRPr="007B2402">
        <w:rPr>
          <w:rFonts w:eastAsia="Calibri" w:cs="Times New Roman"/>
          <w:szCs w:val="20"/>
          <w:lang w:val="en-US"/>
        </w:rPr>
        <w:t>serious</w:t>
      </w:r>
      <w:r w:rsidRPr="007B2402">
        <w:rPr>
          <w:rFonts w:eastAsia="Calibri" w:cs="Times New Roman"/>
          <w:szCs w:val="20"/>
          <w:lang w:val="en-US"/>
        </w:rPr>
        <w:t xml:space="preserve"> </w:t>
      </w:r>
      <w:r w:rsidRPr="007B2402">
        <w:rPr>
          <w:rFonts w:eastAsia="Calibri" w:cs="Times New Roman"/>
          <w:szCs w:val="20"/>
          <w:lang w:val="en-US"/>
        </w:rPr>
        <w:lastRenderedPageBreak/>
        <w:t>human rights violations; they include</w:t>
      </w:r>
      <w:r w:rsidR="000744A8" w:rsidRPr="007B2402">
        <w:rPr>
          <w:rFonts w:eastAsia="Calibri" w:cs="Times New Roman"/>
          <w:szCs w:val="20"/>
          <w:lang w:val="en-US"/>
        </w:rPr>
        <w:t xml:space="preserve"> </w:t>
      </w:r>
      <w:r w:rsidR="006D034C" w:rsidRPr="007B2402">
        <w:rPr>
          <w:rFonts w:eastAsia="Calibri" w:cs="Times New Roman"/>
          <w:szCs w:val="20"/>
          <w:lang w:val="en-US"/>
        </w:rPr>
        <w:t>Ecuador</w:t>
      </w:r>
      <w:r w:rsidRPr="007B2402">
        <w:rPr>
          <w:rFonts w:eastAsia="Calibri" w:cs="Times New Roman"/>
          <w:szCs w:val="20"/>
          <w:lang w:val="en-US"/>
        </w:rPr>
        <w:t>,</w:t>
      </w:r>
      <w:r w:rsidR="006D034C" w:rsidRPr="007B2402">
        <w:rPr>
          <w:rFonts w:eastAsia="Calibri" w:cs="Times New Roman"/>
          <w:szCs w:val="20"/>
          <w:vertAlign w:val="superscript"/>
          <w:lang w:val="en-US"/>
        </w:rPr>
        <w:footnoteReference w:id="279"/>
      </w:r>
      <w:r w:rsidR="006D034C" w:rsidRPr="007B2402">
        <w:rPr>
          <w:rFonts w:eastAsia="Calibri" w:cs="Times New Roman"/>
          <w:szCs w:val="20"/>
          <w:lang w:val="en-US"/>
        </w:rPr>
        <w:t xml:space="preserve"> El Salvador</w:t>
      </w:r>
      <w:r w:rsidRPr="007B2402">
        <w:rPr>
          <w:rFonts w:eastAsia="Calibri" w:cs="Times New Roman"/>
          <w:szCs w:val="20"/>
          <w:lang w:val="en-US"/>
        </w:rPr>
        <w:t>,</w:t>
      </w:r>
      <w:r w:rsidR="006D034C" w:rsidRPr="007B2402">
        <w:rPr>
          <w:rFonts w:eastAsia="Calibri" w:cs="Times New Roman"/>
          <w:szCs w:val="20"/>
          <w:vertAlign w:val="superscript"/>
          <w:lang w:val="en-US"/>
        </w:rPr>
        <w:footnoteReference w:id="280"/>
      </w:r>
      <w:r w:rsidRPr="007B2402">
        <w:rPr>
          <w:rFonts w:eastAsia="Calibri" w:cs="Times New Roman"/>
          <w:szCs w:val="20"/>
          <w:lang w:val="en-US"/>
        </w:rPr>
        <w:t xml:space="preserve"> </w:t>
      </w:r>
      <w:r w:rsidR="006D034C" w:rsidRPr="007B2402">
        <w:rPr>
          <w:rFonts w:eastAsia="Calibri" w:cs="Times New Roman"/>
          <w:szCs w:val="20"/>
          <w:lang w:val="en-US"/>
        </w:rPr>
        <w:t>Guatemala</w:t>
      </w:r>
      <w:r w:rsidRPr="007B2402">
        <w:rPr>
          <w:rFonts w:eastAsia="Calibri" w:cs="Times New Roman"/>
          <w:szCs w:val="20"/>
          <w:lang w:val="en-US"/>
        </w:rPr>
        <w:t>,</w:t>
      </w:r>
      <w:r w:rsidR="006D034C" w:rsidRPr="007B2402">
        <w:rPr>
          <w:rFonts w:eastAsia="Calibri" w:cs="Times New Roman"/>
          <w:szCs w:val="20"/>
          <w:vertAlign w:val="superscript"/>
          <w:lang w:val="en-US"/>
        </w:rPr>
        <w:footnoteReference w:id="281"/>
      </w:r>
      <w:r w:rsidR="006D034C" w:rsidRPr="007B2402">
        <w:rPr>
          <w:rFonts w:eastAsia="Calibri" w:cs="Times New Roman"/>
          <w:szCs w:val="20"/>
          <w:lang w:val="en-US"/>
        </w:rPr>
        <w:t xml:space="preserve"> Nicaragua</w:t>
      </w:r>
      <w:r w:rsidRPr="007B2402">
        <w:rPr>
          <w:rFonts w:eastAsia="Calibri" w:cs="Times New Roman"/>
          <w:szCs w:val="20"/>
          <w:lang w:val="en-US"/>
        </w:rPr>
        <w:t>,</w:t>
      </w:r>
      <w:r w:rsidR="006D034C" w:rsidRPr="007B2402">
        <w:rPr>
          <w:rFonts w:eastAsia="Calibri" w:cs="Times New Roman"/>
          <w:szCs w:val="20"/>
          <w:vertAlign w:val="superscript"/>
          <w:lang w:val="en-US"/>
        </w:rPr>
        <w:footnoteReference w:id="282"/>
      </w:r>
      <w:r w:rsidR="006D034C" w:rsidRPr="007B2402">
        <w:rPr>
          <w:rFonts w:eastAsia="Calibri" w:cs="Times New Roman"/>
          <w:szCs w:val="20"/>
          <w:lang w:val="en-US"/>
        </w:rPr>
        <w:t xml:space="preserve"> Paraguay</w:t>
      </w:r>
      <w:r w:rsidRPr="007B2402">
        <w:rPr>
          <w:rFonts w:eastAsia="Calibri" w:cs="Times New Roman"/>
          <w:szCs w:val="20"/>
          <w:lang w:val="en-US"/>
        </w:rPr>
        <w:t>,</w:t>
      </w:r>
      <w:r w:rsidR="006D034C" w:rsidRPr="007B2402">
        <w:rPr>
          <w:rFonts w:eastAsia="Calibri" w:cs="Times New Roman"/>
          <w:szCs w:val="20"/>
          <w:vertAlign w:val="superscript"/>
          <w:lang w:val="en-US"/>
        </w:rPr>
        <w:footnoteReference w:id="283"/>
      </w:r>
      <w:r w:rsidR="006D034C" w:rsidRPr="007B2402">
        <w:rPr>
          <w:rFonts w:eastAsia="Calibri" w:cs="Times New Roman"/>
          <w:szCs w:val="20"/>
          <w:lang w:val="en-US"/>
        </w:rPr>
        <w:t xml:space="preserve"> Panam</w:t>
      </w:r>
      <w:r w:rsidRPr="007B2402">
        <w:rPr>
          <w:rFonts w:eastAsia="Calibri" w:cs="Times New Roman"/>
          <w:szCs w:val="20"/>
          <w:lang w:val="en-US"/>
        </w:rPr>
        <w:t>a,</w:t>
      </w:r>
      <w:r w:rsidR="006D034C" w:rsidRPr="007B2402">
        <w:rPr>
          <w:rFonts w:eastAsia="Calibri" w:cs="Times New Roman"/>
          <w:szCs w:val="20"/>
          <w:vertAlign w:val="superscript"/>
          <w:lang w:val="en-US"/>
        </w:rPr>
        <w:footnoteReference w:id="284"/>
      </w:r>
      <w:r w:rsidR="006D034C" w:rsidRPr="007B2402">
        <w:rPr>
          <w:rFonts w:eastAsia="Calibri" w:cs="Times New Roman"/>
          <w:szCs w:val="20"/>
          <w:lang w:val="en-US"/>
        </w:rPr>
        <w:t xml:space="preserve"> Uruguay</w:t>
      </w:r>
      <w:r w:rsidR="006D034C" w:rsidRPr="007B2402">
        <w:rPr>
          <w:rFonts w:eastAsia="Calibri" w:cs="Times New Roman"/>
          <w:szCs w:val="20"/>
          <w:vertAlign w:val="superscript"/>
          <w:lang w:val="en-US"/>
        </w:rPr>
        <w:footnoteReference w:id="285"/>
      </w:r>
      <w:r w:rsidR="005B1590" w:rsidRPr="007B2402">
        <w:rPr>
          <w:rFonts w:eastAsia="Calibri" w:cs="Times New Roman"/>
          <w:szCs w:val="20"/>
          <w:lang w:val="en-US"/>
        </w:rPr>
        <w:t xml:space="preserve"> and </w:t>
      </w:r>
      <w:r w:rsidR="006D034C" w:rsidRPr="007B2402">
        <w:rPr>
          <w:rFonts w:eastAsia="Calibri" w:cs="Times New Roman"/>
          <w:szCs w:val="20"/>
          <w:lang w:val="en-US"/>
        </w:rPr>
        <w:t>Venezuela</w:t>
      </w:r>
      <w:r w:rsidRPr="007B2402">
        <w:rPr>
          <w:rFonts w:eastAsia="Calibri" w:cs="Times New Roman"/>
          <w:szCs w:val="20"/>
          <w:lang w:val="en-US"/>
        </w:rPr>
        <w:t>.</w:t>
      </w:r>
      <w:r w:rsidR="006D034C" w:rsidRPr="007B2402">
        <w:rPr>
          <w:rFonts w:eastAsia="Calibri" w:cs="Times New Roman"/>
          <w:szCs w:val="20"/>
          <w:vertAlign w:val="superscript"/>
          <w:lang w:val="en-US"/>
        </w:rPr>
        <w:footnoteReference w:id="286"/>
      </w:r>
    </w:p>
    <w:p w14:paraId="032E74CB" w14:textId="77777777" w:rsidR="000744A8" w:rsidRPr="007B2402" w:rsidRDefault="000744A8" w:rsidP="000744A8">
      <w:pPr>
        <w:spacing w:after="0" w:line="240" w:lineRule="auto"/>
        <w:jc w:val="both"/>
        <w:rPr>
          <w:rFonts w:eastAsia="Calibri" w:cs="Times New Roman"/>
          <w:szCs w:val="20"/>
          <w:lang w:val="en-US"/>
        </w:rPr>
      </w:pPr>
    </w:p>
    <w:p w14:paraId="08FD1A4D" w14:textId="0549D393" w:rsidR="00741903" w:rsidRPr="007B2402" w:rsidRDefault="00741903" w:rsidP="00AC3061">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In sum, the Court notes that, in th</w:t>
      </w:r>
      <w:r w:rsidR="00686F0C" w:rsidRPr="007B2402">
        <w:rPr>
          <w:rFonts w:eastAsia="Calibri" w:cs="Times New Roman"/>
          <w:szCs w:val="20"/>
          <w:lang w:val="en-US"/>
        </w:rPr>
        <w:t>is</w:t>
      </w:r>
      <w:r w:rsidRPr="007B2402">
        <w:rPr>
          <w:rFonts w:eastAsia="Calibri" w:cs="Times New Roman"/>
          <w:szCs w:val="20"/>
          <w:lang w:val="en-US"/>
        </w:rPr>
        <w:t xml:space="preserve"> specific case</w:t>
      </w:r>
      <w:r w:rsidR="00686F0C" w:rsidRPr="007B2402">
        <w:rPr>
          <w:rFonts w:eastAsia="Calibri" w:cs="Times New Roman"/>
          <w:szCs w:val="20"/>
          <w:lang w:val="en-US"/>
        </w:rPr>
        <w:t xml:space="preserve">, </w:t>
      </w:r>
      <w:r w:rsidRPr="007B2402">
        <w:rPr>
          <w:rFonts w:eastAsia="Calibri" w:cs="Times New Roman"/>
          <w:szCs w:val="20"/>
          <w:lang w:val="en-US"/>
        </w:rPr>
        <w:t>the application of the statute of limitations as an obstacle to criminal prosecution</w:t>
      </w:r>
      <w:r w:rsidR="00686F0C" w:rsidRPr="007B2402">
        <w:rPr>
          <w:rFonts w:eastAsia="Calibri" w:cs="Times New Roman"/>
          <w:szCs w:val="20"/>
          <w:lang w:val="en-US"/>
        </w:rPr>
        <w:t xml:space="preserve"> would be contrary to international law and, in particular, the American Convention on Human Rights. This Court finds it </w:t>
      </w:r>
      <w:r w:rsidR="00EB788E" w:rsidRPr="007B2402">
        <w:rPr>
          <w:rFonts w:eastAsia="Calibri" w:cs="Times New Roman"/>
          <w:szCs w:val="20"/>
          <w:lang w:val="en-US"/>
        </w:rPr>
        <w:t>clear</w:t>
      </w:r>
      <w:r w:rsidR="00686F0C" w:rsidRPr="007B2402">
        <w:rPr>
          <w:rFonts w:eastAsia="Calibri" w:cs="Times New Roman"/>
          <w:szCs w:val="20"/>
          <w:lang w:val="en-US"/>
        </w:rPr>
        <w:t xml:space="preserve"> that there is sufficient evidence to affirm that the non-applicability of the statute of limitations to crimes against humanity is a customary law within international law that was fully established at the time of the facts, </w:t>
      </w:r>
      <w:r w:rsidR="00EB788E" w:rsidRPr="007B2402">
        <w:rPr>
          <w:rFonts w:eastAsia="Calibri" w:cs="Times New Roman"/>
          <w:szCs w:val="20"/>
          <w:lang w:val="en-US"/>
        </w:rPr>
        <w:t>as well as</w:t>
      </w:r>
      <w:r w:rsidR="00686F0C" w:rsidRPr="007B2402">
        <w:rPr>
          <w:rFonts w:eastAsia="Calibri" w:cs="Times New Roman"/>
          <w:szCs w:val="20"/>
          <w:lang w:val="en-US"/>
        </w:rPr>
        <w:t xml:space="preserve"> at the present time.</w:t>
      </w:r>
    </w:p>
    <w:p w14:paraId="3551AC15" w14:textId="77777777" w:rsidR="000744A8" w:rsidRPr="007B2402" w:rsidRDefault="000744A8" w:rsidP="00AC3061">
      <w:pPr>
        <w:spacing w:after="0" w:line="240" w:lineRule="auto"/>
        <w:jc w:val="both"/>
        <w:rPr>
          <w:rFonts w:eastAsia="Calibri" w:cs="Times New Roman"/>
          <w:szCs w:val="20"/>
          <w:lang w:val="en-US"/>
        </w:rPr>
      </w:pPr>
    </w:p>
    <w:p w14:paraId="19437F84" w14:textId="07C5A19A" w:rsidR="005F1156" w:rsidRPr="007B2402" w:rsidRDefault="000744A8" w:rsidP="005B2A1C">
      <w:pPr>
        <w:pStyle w:val="Prrafodelista"/>
        <w:numPr>
          <w:ilvl w:val="0"/>
          <w:numId w:val="44"/>
        </w:numPr>
        <w:outlineLvl w:val="3"/>
        <w:rPr>
          <w:rFonts w:eastAsia="Calibri"/>
          <w:i/>
          <w:szCs w:val="20"/>
          <w:lang w:val="en-US"/>
        </w:rPr>
      </w:pPr>
      <w:r w:rsidRPr="007B2402">
        <w:rPr>
          <w:rFonts w:eastAsia="Calibri" w:cs="Times New Roman"/>
          <w:i/>
          <w:szCs w:val="20"/>
          <w:lang w:val="en-US"/>
        </w:rPr>
        <w:t>Princ</w:t>
      </w:r>
      <w:r w:rsidR="00AC7E2D" w:rsidRPr="007B2402">
        <w:rPr>
          <w:rFonts w:eastAsia="Calibri" w:cs="Times New Roman"/>
          <w:i/>
          <w:szCs w:val="20"/>
          <w:lang w:val="en-US"/>
        </w:rPr>
        <w:t xml:space="preserve">iple of </w:t>
      </w:r>
      <w:r w:rsidRPr="007B2402">
        <w:rPr>
          <w:rFonts w:eastAsia="Calibri"/>
          <w:iCs/>
          <w:szCs w:val="20"/>
          <w:lang w:val="en-US"/>
        </w:rPr>
        <w:t xml:space="preserve">ne bis in </w:t>
      </w:r>
      <w:r w:rsidR="00993DBA" w:rsidRPr="007B2402">
        <w:rPr>
          <w:rFonts w:eastAsia="Calibri"/>
          <w:iCs/>
          <w:szCs w:val="20"/>
          <w:lang w:val="en-US"/>
        </w:rPr>
        <w:t>i</w:t>
      </w:r>
      <w:r w:rsidRPr="007B2402">
        <w:rPr>
          <w:rFonts w:eastAsia="Calibri"/>
          <w:iCs/>
          <w:szCs w:val="20"/>
          <w:lang w:val="en-US"/>
        </w:rPr>
        <w:t>dem</w:t>
      </w:r>
      <w:r w:rsidR="005B1590" w:rsidRPr="007B2402">
        <w:rPr>
          <w:rFonts w:eastAsia="Calibri"/>
          <w:i/>
          <w:szCs w:val="20"/>
          <w:lang w:val="en-US"/>
        </w:rPr>
        <w:t xml:space="preserve"> and </w:t>
      </w:r>
      <w:r w:rsidR="00993DBA" w:rsidRPr="007B2402">
        <w:rPr>
          <w:rFonts w:eastAsia="Calibri"/>
          <w:i/>
          <w:szCs w:val="20"/>
          <w:lang w:val="en-US"/>
        </w:rPr>
        <w:t xml:space="preserve">substantive </w:t>
      </w:r>
      <w:r w:rsidR="00993DBA" w:rsidRPr="007B2402">
        <w:rPr>
          <w:rFonts w:eastAsia="Calibri"/>
          <w:iCs/>
          <w:szCs w:val="20"/>
          <w:lang w:val="en-US"/>
        </w:rPr>
        <w:t>res judicata</w:t>
      </w:r>
    </w:p>
    <w:p w14:paraId="4D7FB548" w14:textId="77777777" w:rsidR="000744A8" w:rsidRPr="007B2402" w:rsidRDefault="000744A8" w:rsidP="000744A8">
      <w:pPr>
        <w:spacing w:after="0" w:line="240" w:lineRule="auto"/>
        <w:jc w:val="both"/>
        <w:rPr>
          <w:rFonts w:eastAsia="Calibri" w:cs="Times New Roman"/>
          <w:szCs w:val="20"/>
          <w:lang w:val="en-US"/>
        </w:rPr>
      </w:pPr>
    </w:p>
    <w:p w14:paraId="375A6C30" w14:textId="227A7CE7" w:rsidR="000744A8" w:rsidRPr="007B2402" w:rsidRDefault="00993DBA"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The</w:t>
      </w:r>
      <w:r w:rsidR="000744A8" w:rsidRPr="007B2402">
        <w:rPr>
          <w:rFonts w:eastAsia="Calibri" w:cs="Times New Roman"/>
          <w:szCs w:val="20"/>
          <w:lang w:val="en-US"/>
        </w:rPr>
        <w:t xml:space="preserve"> princip</w:t>
      </w:r>
      <w:r w:rsidRPr="007B2402">
        <w:rPr>
          <w:rFonts w:eastAsia="Calibri" w:cs="Times New Roman"/>
          <w:szCs w:val="20"/>
          <w:lang w:val="en-US"/>
        </w:rPr>
        <w:t xml:space="preserve">le of </w:t>
      </w:r>
      <w:r w:rsidR="000744A8" w:rsidRPr="007B2402">
        <w:rPr>
          <w:rFonts w:eastAsia="Calibri" w:cs="Times New Roman"/>
          <w:i/>
          <w:szCs w:val="20"/>
          <w:lang w:val="en-US"/>
        </w:rPr>
        <w:t xml:space="preserve">ne bis in </w:t>
      </w:r>
      <w:r w:rsidRPr="007B2402">
        <w:rPr>
          <w:rFonts w:eastAsia="Calibri" w:cs="Times New Roman"/>
          <w:i/>
          <w:szCs w:val="20"/>
          <w:lang w:val="en-US"/>
        </w:rPr>
        <w:t>idem</w:t>
      </w:r>
      <w:r w:rsidR="000744A8" w:rsidRPr="007B2402">
        <w:rPr>
          <w:rFonts w:eastAsia="Calibri" w:cs="Times New Roman"/>
          <w:szCs w:val="20"/>
          <w:lang w:val="en-US"/>
        </w:rPr>
        <w:t xml:space="preserve"> </w:t>
      </w:r>
      <w:r w:rsidRPr="007B2402">
        <w:rPr>
          <w:rFonts w:eastAsia="Calibri" w:cs="Times New Roman"/>
          <w:szCs w:val="20"/>
          <w:lang w:val="en-US"/>
        </w:rPr>
        <w:t>is a cornerstone of the guarantees of the administration of justice and of criminal guarantees according to which a person cannot be subjected to a second trial for the same facts.</w:t>
      </w:r>
      <w:r w:rsidR="000744A8" w:rsidRPr="007B2402">
        <w:rPr>
          <w:rFonts w:eastAsia="Calibri" w:cs="Times New Roman"/>
          <w:szCs w:val="20"/>
          <w:vertAlign w:val="superscript"/>
          <w:lang w:val="en-US"/>
        </w:rPr>
        <w:footnoteReference w:id="287"/>
      </w:r>
    </w:p>
    <w:p w14:paraId="22F54FE5" w14:textId="77777777" w:rsidR="000744A8" w:rsidRPr="007B2402" w:rsidRDefault="000744A8" w:rsidP="000744A8">
      <w:pPr>
        <w:spacing w:after="0" w:line="240" w:lineRule="auto"/>
        <w:jc w:val="both"/>
        <w:rPr>
          <w:rFonts w:eastAsia="Calibri" w:cs="Times New Roman"/>
          <w:szCs w:val="20"/>
          <w:lang w:val="en-US"/>
        </w:rPr>
      </w:pPr>
    </w:p>
    <w:p w14:paraId="3806D198" w14:textId="671180AE" w:rsidR="000744A8" w:rsidRPr="007B2402" w:rsidRDefault="00993DBA" w:rsidP="00606EA6">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The exception to this principle, as in the case of the statute of limitations, arises from the absolute nature of the prohibition of crimes against humanity and the international community’s expectation of justice. As the International Law Commission has indicated, this is based on the fact that “an individual</w:t>
      </w:r>
      <w:r w:rsidR="00606EA6" w:rsidRPr="007B2402">
        <w:rPr>
          <w:rFonts w:eastAsia="Calibri" w:cs="Times New Roman"/>
          <w:szCs w:val="20"/>
          <w:lang w:val="en-US"/>
        </w:rPr>
        <w:t xml:space="preserve"> </w:t>
      </w:r>
      <w:r w:rsidR="00606EA6" w:rsidRPr="007B2402">
        <w:rPr>
          <w:szCs w:val="20"/>
          <w:lang w:val="en-US"/>
        </w:rPr>
        <w:t>may be tried by an international criminal court</w:t>
      </w:r>
      <w:r w:rsidR="00606EA6" w:rsidRPr="007B2402">
        <w:rPr>
          <w:lang w:val="en-US"/>
        </w:rPr>
        <w:t xml:space="preserve"> </w:t>
      </w:r>
      <w:r w:rsidR="00606EA6" w:rsidRPr="007B2402">
        <w:rPr>
          <w:szCs w:val="20"/>
          <w:lang w:val="en-US"/>
        </w:rPr>
        <w:t>for a crime against the peace and security of mankind arising out of the same act that was the subject of the previous</w:t>
      </w:r>
      <w:r w:rsidR="00606EA6" w:rsidRPr="007B2402">
        <w:rPr>
          <w:lang w:val="en-US"/>
        </w:rPr>
        <w:t xml:space="preserve"> </w:t>
      </w:r>
      <w:r w:rsidR="00606EA6" w:rsidRPr="007B2402">
        <w:rPr>
          <w:szCs w:val="20"/>
          <w:lang w:val="en-US"/>
        </w:rPr>
        <w:t>national court proceedings if the individual was tried by a</w:t>
      </w:r>
      <w:r w:rsidR="00606EA6" w:rsidRPr="007B2402">
        <w:rPr>
          <w:lang w:val="en-US"/>
        </w:rPr>
        <w:t xml:space="preserve"> </w:t>
      </w:r>
      <w:r w:rsidR="00606EA6" w:rsidRPr="007B2402">
        <w:rPr>
          <w:szCs w:val="20"/>
          <w:lang w:val="en-US"/>
        </w:rPr>
        <w:t xml:space="preserve">national court for an </w:t>
      </w:r>
      <w:r w:rsidR="00E46398" w:rsidRPr="007B2402">
        <w:rPr>
          <w:szCs w:val="20"/>
          <w:lang w:val="en-US"/>
        </w:rPr>
        <w:t>‘</w:t>
      </w:r>
      <w:r w:rsidR="00606EA6" w:rsidRPr="007B2402">
        <w:rPr>
          <w:szCs w:val="20"/>
          <w:lang w:val="en-US"/>
        </w:rPr>
        <w:t>ordinary</w:t>
      </w:r>
      <w:r w:rsidR="00E46398" w:rsidRPr="007B2402">
        <w:rPr>
          <w:szCs w:val="20"/>
          <w:lang w:val="en-US"/>
        </w:rPr>
        <w:t>’</w:t>
      </w:r>
      <w:r w:rsidR="00606EA6" w:rsidRPr="007B2402">
        <w:rPr>
          <w:szCs w:val="20"/>
          <w:lang w:val="en-US"/>
        </w:rPr>
        <w:t xml:space="preserve"> crime rather than one of</w:t>
      </w:r>
      <w:r w:rsidR="00606EA6" w:rsidRPr="007B2402">
        <w:rPr>
          <w:lang w:val="en-US"/>
        </w:rPr>
        <w:t xml:space="preserve"> </w:t>
      </w:r>
      <w:r w:rsidR="00606EA6" w:rsidRPr="007B2402">
        <w:rPr>
          <w:szCs w:val="20"/>
          <w:lang w:val="en-US"/>
        </w:rPr>
        <w:t>the more serious crimes under the Code</w:t>
      </w:r>
      <w:r w:rsidR="00606EA6" w:rsidRPr="007B2402">
        <w:rPr>
          <w:rFonts w:eastAsia="Calibri" w:cs="Times New Roman"/>
          <w:szCs w:val="20"/>
          <w:lang w:val="en-US"/>
        </w:rPr>
        <w:t>.</w:t>
      </w:r>
      <w:r w:rsidR="000744A8" w:rsidRPr="007B2402">
        <w:rPr>
          <w:rFonts w:eastAsia="Calibri" w:cs="Times New Roman"/>
          <w:szCs w:val="20"/>
          <w:lang w:val="en-US"/>
        </w:rPr>
        <w:t>”</w:t>
      </w:r>
      <w:r w:rsidR="005B3DBD" w:rsidRPr="007B2402">
        <w:rPr>
          <w:rStyle w:val="Refdenotaalpie"/>
          <w:rFonts w:ascii="Verdana" w:eastAsia="Calibri" w:hAnsi="Verdana"/>
          <w:lang w:val="en-US"/>
        </w:rPr>
        <w:footnoteReference w:id="288"/>
      </w:r>
      <w:r w:rsidR="000744A8" w:rsidRPr="007B2402">
        <w:rPr>
          <w:rFonts w:eastAsia="Calibri" w:cs="Times New Roman"/>
          <w:szCs w:val="20"/>
          <w:lang w:val="en-US"/>
        </w:rPr>
        <w:t xml:space="preserve"> </w:t>
      </w:r>
      <w:r w:rsidR="00606EA6" w:rsidRPr="007B2402">
        <w:rPr>
          <w:rFonts w:eastAsia="Calibri" w:cs="Times New Roman"/>
          <w:szCs w:val="20"/>
          <w:lang w:val="en-US"/>
        </w:rPr>
        <w:t>“</w:t>
      </w:r>
      <w:r w:rsidR="00606EA6" w:rsidRPr="007B2402">
        <w:rPr>
          <w:szCs w:val="20"/>
          <w:lang w:val="en-US"/>
        </w:rPr>
        <w:t>In such a case,</w:t>
      </w:r>
      <w:r w:rsidR="00606EA6" w:rsidRPr="007B2402">
        <w:rPr>
          <w:lang w:val="en-US"/>
        </w:rPr>
        <w:t xml:space="preserve"> </w:t>
      </w:r>
      <w:r w:rsidR="00606EA6" w:rsidRPr="007B2402">
        <w:rPr>
          <w:szCs w:val="20"/>
          <w:lang w:val="en-US"/>
        </w:rPr>
        <w:t>the individual has not been tried or punished for the same</w:t>
      </w:r>
      <w:r w:rsidR="00606EA6" w:rsidRPr="007B2402">
        <w:rPr>
          <w:lang w:val="en-US"/>
        </w:rPr>
        <w:t xml:space="preserve"> </w:t>
      </w:r>
      <w:r w:rsidR="00606EA6" w:rsidRPr="007B2402">
        <w:rPr>
          <w:szCs w:val="20"/>
          <w:lang w:val="en-US"/>
        </w:rPr>
        <w:t xml:space="preserve">crime but for a </w:t>
      </w:r>
      <w:r w:rsidR="00E46398" w:rsidRPr="007B2402">
        <w:rPr>
          <w:szCs w:val="20"/>
          <w:lang w:val="en-US"/>
        </w:rPr>
        <w:t>‘</w:t>
      </w:r>
      <w:r w:rsidR="00606EA6" w:rsidRPr="007B2402">
        <w:rPr>
          <w:szCs w:val="20"/>
          <w:lang w:val="en-US"/>
        </w:rPr>
        <w:t>lesser crime</w:t>
      </w:r>
      <w:r w:rsidR="00E46398" w:rsidRPr="007B2402">
        <w:rPr>
          <w:szCs w:val="20"/>
          <w:lang w:val="en-US"/>
        </w:rPr>
        <w:t>’</w:t>
      </w:r>
      <w:r w:rsidR="00606EA6" w:rsidRPr="007B2402">
        <w:rPr>
          <w:szCs w:val="20"/>
          <w:lang w:val="en-US"/>
        </w:rPr>
        <w:t xml:space="preserve"> that does not encompass the full extent of his criminal conduct. Thus, an individual could be tried by a national court for murder and tried a second time by an </w:t>
      </w:r>
      <w:r w:rsidR="00606EA6" w:rsidRPr="007B2402">
        <w:rPr>
          <w:szCs w:val="20"/>
          <w:lang w:val="en-US"/>
        </w:rPr>
        <w:lastRenderedPageBreak/>
        <w:t>international criminal court for the crime of genocide based on the same act.</w:t>
      </w:r>
      <w:r w:rsidR="000744A8" w:rsidRPr="007B2402">
        <w:rPr>
          <w:rFonts w:eastAsia="Calibri" w:cs="Times New Roman"/>
          <w:szCs w:val="20"/>
          <w:lang w:val="en-US"/>
        </w:rPr>
        <w:t>”</w:t>
      </w:r>
      <w:r w:rsidR="000744A8" w:rsidRPr="007B2402">
        <w:rPr>
          <w:rFonts w:eastAsia="Calibri" w:cs="Times New Roman"/>
          <w:szCs w:val="20"/>
          <w:vertAlign w:val="superscript"/>
          <w:lang w:val="en-US"/>
        </w:rPr>
        <w:footnoteReference w:id="289"/>
      </w:r>
      <w:r w:rsidR="000744A8" w:rsidRPr="007B2402">
        <w:rPr>
          <w:rFonts w:eastAsia="Calibri" w:cs="Times New Roman"/>
          <w:szCs w:val="20"/>
          <w:lang w:val="en-US"/>
        </w:rPr>
        <w:t xml:space="preserve"> </w:t>
      </w:r>
      <w:r w:rsidR="00606EA6" w:rsidRPr="007B2402">
        <w:rPr>
          <w:rFonts w:eastAsia="Calibri" w:cs="Times New Roman"/>
          <w:szCs w:val="20"/>
          <w:lang w:val="en-US"/>
        </w:rPr>
        <w:t>I</w:t>
      </w:r>
      <w:r w:rsidR="000744A8" w:rsidRPr="007B2402">
        <w:rPr>
          <w:rFonts w:eastAsia="Calibri" w:cs="Times New Roman"/>
          <w:szCs w:val="20"/>
          <w:lang w:val="en-US"/>
        </w:rPr>
        <w:t xml:space="preserve">n </w:t>
      </w:r>
      <w:r w:rsidR="00606EA6" w:rsidRPr="007B2402">
        <w:rPr>
          <w:rFonts w:eastAsia="Calibri" w:cs="Times New Roman"/>
          <w:szCs w:val="20"/>
          <w:lang w:val="en-US"/>
        </w:rPr>
        <w:t xml:space="preserve">situations in which </w:t>
      </w:r>
      <w:r w:rsidR="000D42BF" w:rsidRPr="007B2402">
        <w:rPr>
          <w:rFonts w:eastAsia="Calibri" w:cs="Times New Roman"/>
          <w:szCs w:val="20"/>
          <w:lang w:val="en-US"/>
        </w:rPr>
        <w:t>“</w:t>
      </w:r>
      <w:r w:rsidR="00606EA6" w:rsidRPr="007B2402">
        <w:rPr>
          <w:rFonts w:eastAsia="Calibri" w:cs="Times New Roman"/>
          <w:szCs w:val="20"/>
          <w:lang w:val="en-US"/>
        </w:rPr>
        <w:t xml:space="preserve">the individual has not been duly tried </w:t>
      </w:r>
      <w:r w:rsidR="000D42BF" w:rsidRPr="007B2402">
        <w:rPr>
          <w:rFonts w:eastAsia="Calibri" w:cs="Times New Roman"/>
          <w:szCs w:val="20"/>
          <w:lang w:val="en-US"/>
        </w:rPr>
        <w:t>or</w:t>
      </w:r>
      <w:r w:rsidR="00606EA6" w:rsidRPr="007B2402">
        <w:rPr>
          <w:rFonts w:eastAsia="Calibri" w:cs="Times New Roman"/>
          <w:szCs w:val="20"/>
          <w:lang w:val="en-US"/>
        </w:rPr>
        <w:t xml:space="preserve"> punished </w:t>
      </w:r>
      <w:r w:rsidR="000D42BF" w:rsidRPr="007B2402">
        <w:rPr>
          <w:szCs w:val="20"/>
          <w:lang w:val="en-US"/>
        </w:rPr>
        <w:t>for the same act or the same</w:t>
      </w:r>
      <w:r w:rsidR="000D42BF" w:rsidRPr="007B2402">
        <w:rPr>
          <w:lang w:val="en-US"/>
        </w:rPr>
        <w:t xml:space="preserve"> </w:t>
      </w:r>
      <w:r w:rsidR="000D42BF" w:rsidRPr="007B2402">
        <w:rPr>
          <w:szCs w:val="20"/>
          <w:lang w:val="en-US"/>
        </w:rPr>
        <w:t>crime because of the abuse of power or improper administration of justice by the national authorities in prosecuting the case or conducting the proceedings</w:t>
      </w:r>
      <w:r w:rsidR="000D42BF" w:rsidRPr="007B2402">
        <w:rPr>
          <w:rFonts w:eastAsia="Calibri" w:cs="Times New Roman"/>
          <w:szCs w:val="20"/>
          <w:lang w:val="en-US"/>
        </w:rPr>
        <w:t xml:space="preserve">, </w:t>
      </w:r>
      <w:r w:rsidR="00606EA6" w:rsidRPr="007B2402">
        <w:rPr>
          <w:rFonts w:eastAsia="Calibri" w:cs="Times New Roman"/>
          <w:szCs w:val="20"/>
          <w:lang w:val="en-US"/>
        </w:rPr>
        <w:t>[t]</w:t>
      </w:r>
      <w:r w:rsidR="00606EA6" w:rsidRPr="007B2402">
        <w:rPr>
          <w:szCs w:val="20"/>
          <w:lang w:val="en-US"/>
        </w:rPr>
        <w:t>he international community should not be required to recognize a</w:t>
      </w:r>
      <w:r w:rsidR="00606EA6" w:rsidRPr="007B2402">
        <w:rPr>
          <w:lang w:val="en-US"/>
        </w:rPr>
        <w:t xml:space="preserve"> </w:t>
      </w:r>
      <w:r w:rsidR="00606EA6" w:rsidRPr="007B2402">
        <w:rPr>
          <w:szCs w:val="20"/>
          <w:lang w:val="en-US"/>
        </w:rPr>
        <w:t>decision that is the result of such a serious transgression</w:t>
      </w:r>
      <w:r w:rsidR="00606EA6" w:rsidRPr="007B2402">
        <w:rPr>
          <w:lang w:val="en-US"/>
        </w:rPr>
        <w:t xml:space="preserve"> </w:t>
      </w:r>
      <w:r w:rsidR="00606EA6" w:rsidRPr="007B2402">
        <w:rPr>
          <w:szCs w:val="20"/>
          <w:lang w:val="en-US"/>
        </w:rPr>
        <w:t>of the criminal justice process.”</w:t>
      </w:r>
      <w:r w:rsidR="000744A8" w:rsidRPr="007B2402">
        <w:rPr>
          <w:rFonts w:eastAsia="Calibri" w:cs="Times New Roman"/>
          <w:szCs w:val="20"/>
          <w:vertAlign w:val="superscript"/>
          <w:lang w:val="en-US"/>
        </w:rPr>
        <w:footnoteReference w:id="290"/>
      </w:r>
    </w:p>
    <w:p w14:paraId="78A3800B" w14:textId="77777777" w:rsidR="000744A8" w:rsidRPr="007B2402" w:rsidRDefault="000744A8" w:rsidP="000744A8">
      <w:pPr>
        <w:spacing w:after="0" w:line="240" w:lineRule="auto"/>
        <w:jc w:val="both"/>
        <w:rPr>
          <w:rFonts w:eastAsia="Calibri" w:cs="Times New Roman"/>
          <w:szCs w:val="20"/>
          <w:lang w:val="en-US"/>
        </w:rPr>
      </w:pPr>
    </w:p>
    <w:p w14:paraId="33741F4E" w14:textId="480BB18A" w:rsidR="000744A8" w:rsidRPr="007B2402" w:rsidRDefault="00AF4344" w:rsidP="009C7C2C">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The Court</w:t>
      </w:r>
      <w:r w:rsidR="00D52E7F" w:rsidRPr="007B2402">
        <w:rPr>
          <w:rFonts w:eastAsia="Calibri" w:cs="Times New Roman"/>
          <w:szCs w:val="20"/>
          <w:lang w:val="en-US"/>
        </w:rPr>
        <w:t xml:space="preserve"> ha</w:t>
      </w:r>
      <w:r w:rsidR="009C7C2C" w:rsidRPr="007B2402">
        <w:rPr>
          <w:rFonts w:eastAsia="Calibri" w:cs="Times New Roman"/>
          <w:szCs w:val="20"/>
          <w:lang w:val="en-US"/>
        </w:rPr>
        <w:t xml:space="preserve">s indicated that, in the case of gross and systematic violations of human rights, the possible impunity of such conducts owing to the absence of investigation gives rise to a particularly serious violation of the rights of the victims. The </w:t>
      </w:r>
      <w:r w:rsidR="00E46398" w:rsidRPr="007B2402">
        <w:rPr>
          <w:rFonts w:eastAsia="Calibri" w:cs="Times New Roman"/>
          <w:szCs w:val="20"/>
          <w:lang w:val="en-US"/>
        </w:rPr>
        <w:t>severity</w:t>
      </w:r>
      <w:r w:rsidR="009C7C2C" w:rsidRPr="007B2402">
        <w:rPr>
          <w:rFonts w:eastAsia="Calibri" w:cs="Times New Roman"/>
          <w:szCs w:val="20"/>
          <w:lang w:val="en-US"/>
        </w:rPr>
        <w:t xml:space="preserve"> of this violation not only authorizes, but demands, an exceptional limitation to the guarantee of </w:t>
      </w:r>
      <w:r w:rsidR="009C7C2C" w:rsidRPr="007B2402">
        <w:rPr>
          <w:rFonts w:eastAsia="Calibri" w:cs="Times New Roman"/>
          <w:i/>
          <w:szCs w:val="20"/>
          <w:lang w:val="en-US"/>
        </w:rPr>
        <w:t>ne bis in idem</w:t>
      </w:r>
      <w:r w:rsidR="009C7C2C" w:rsidRPr="007B2402">
        <w:rPr>
          <w:rFonts w:eastAsia="Calibri" w:cs="Times New Roman"/>
          <w:szCs w:val="20"/>
          <w:lang w:val="en-US"/>
        </w:rPr>
        <w:t xml:space="preserve"> in order to allow the re-opening of the investigations when the decision that is alleged to be </w:t>
      </w:r>
      <w:r w:rsidR="009C7C2C" w:rsidRPr="007B2402">
        <w:rPr>
          <w:rFonts w:eastAsia="Calibri" w:cs="Times New Roman"/>
          <w:i/>
          <w:iCs/>
          <w:szCs w:val="20"/>
          <w:lang w:val="en-US"/>
        </w:rPr>
        <w:t>res judicata</w:t>
      </w:r>
      <w:r w:rsidR="009C7C2C" w:rsidRPr="007B2402">
        <w:rPr>
          <w:rFonts w:eastAsia="Calibri" w:cs="Times New Roman"/>
          <w:szCs w:val="20"/>
          <w:lang w:val="en-US"/>
        </w:rPr>
        <w:t xml:space="preserve"> was issued as a result of </w:t>
      </w:r>
      <w:r w:rsidR="00E46398" w:rsidRPr="007B2402">
        <w:rPr>
          <w:rFonts w:eastAsia="Calibri" w:cs="Times New Roman"/>
          <w:szCs w:val="20"/>
          <w:lang w:val="en-US"/>
        </w:rPr>
        <w:t xml:space="preserve">an </w:t>
      </w:r>
      <w:r w:rsidR="009C7C2C" w:rsidRPr="007B2402">
        <w:rPr>
          <w:rFonts w:eastAsia="Calibri" w:cs="Times New Roman"/>
          <w:szCs w:val="20"/>
          <w:lang w:val="en-US"/>
        </w:rPr>
        <w:t xml:space="preserve">evident and notorious </w:t>
      </w:r>
      <w:r w:rsidR="00C811CA" w:rsidRPr="007B2402">
        <w:rPr>
          <w:rFonts w:eastAsia="Calibri" w:cs="Times New Roman"/>
          <w:szCs w:val="20"/>
          <w:lang w:val="en-US"/>
        </w:rPr>
        <w:t>failure to comply with the obligations to investigate and severely punish such grave violations.</w:t>
      </w:r>
      <w:r w:rsidR="008E1978" w:rsidRPr="007B2402">
        <w:rPr>
          <w:rFonts w:eastAsia="Calibri" w:cs="Times New Roman"/>
          <w:szCs w:val="20"/>
          <w:lang w:val="en-US"/>
        </w:rPr>
        <w:t xml:space="preserve"> In such a situation, the primacy of the rights of the victims over legal certainty and</w:t>
      </w:r>
      <w:r w:rsidR="00E46398" w:rsidRPr="007B2402">
        <w:rPr>
          <w:rFonts w:eastAsia="Calibri" w:cs="Times New Roman"/>
          <w:szCs w:val="20"/>
          <w:lang w:val="en-US"/>
        </w:rPr>
        <w:t xml:space="preserve"> the principle of</w:t>
      </w:r>
      <w:r w:rsidR="008E1978" w:rsidRPr="007B2402">
        <w:rPr>
          <w:rFonts w:eastAsia="Calibri" w:cs="Times New Roman"/>
          <w:szCs w:val="20"/>
          <w:lang w:val="en-US"/>
        </w:rPr>
        <w:t xml:space="preserve"> </w:t>
      </w:r>
      <w:r w:rsidR="008E1978" w:rsidRPr="007B2402">
        <w:rPr>
          <w:rFonts w:eastAsia="Calibri" w:cs="Times New Roman"/>
          <w:i/>
          <w:szCs w:val="20"/>
          <w:lang w:val="en-US"/>
        </w:rPr>
        <w:t>ne bis in idem</w:t>
      </w:r>
      <w:r w:rsidR="008E1978" w:rsidRPr="007B2402">
        <w:rPr>
          <w:rFonts w:eastAsia="Calibri" w:cs="Times New Roman"/>
          <w:szCs w:val="20"/>
          <w:lang w:val="en-US"/>
        </w:rPr>
        <w:t xml:space="preserve"> is even more obvious, because the victims were not only injured by a heinous conduct, but also had to </w:t>
      </w:r>
      <w:r w:rsidR="00E46398" w:rsidRPr="007B2402">
        <w:rPr>
          <w:rFonts w:eastAsia="Calibri" w:cs="Times New Roman"/>
          <w:szCs w:val="20"/>
          <w:lang w:val="en-US"/>
        </w:rPr>
        <w:t>suff</w:t>
      </w:r>
      <w:r w:rsidR="008E1978" w:rsidRPr="007B2402">
        <w:rPr>
          <w:rFonts w:eastAsia="Calibri" w:cs="Times New Roman"/>
          <w:szCs w:val="20"/>
          <w:lang w:val="en-US"/>
        </w:rPr>
        <w:t>e</w:t>
      </w:r>
      <w:r w:rsidR="00E46398" w:rsidRPr="007B2402">
        <w:rPr>
          <w:rFonts w:eastAsia="Calibri" w:cs="Times New Roman"/>
          <w:szCs w:val="20"/>
          <w:lang w:val="en-US"/>
        </w:rPr>
        <w:t>r</w:t>
      </w:r>
      <w:r w:rsidR="008E1978" w:rsidRPr="007B2402">
        <w:rPr>
          <w:rFonts w:eastAsia="Calibri" w:cs="Times New Roman"/>
          <w:szCs w:val="20"/>
          <w:lang w:val="en-US"/>
        </w:rPr>
        <w:t xml:space="preserve"> the indifference of the State, which evidently failed to comply with its obligation to clarify such acts, punish those responsible and make reparation to the victims. In such cases, the seriousness of the crime is such that it affects the essence of the social fabric and impedes any kind of legal certainty. Therefore, the Court stresses that, when the judicial authorities examine the judicial remedies filed by those accused of </w:t>
      </w:r>
      <w:r w:rsidR="00E46398" w:rsidRPr="007B2402">
        <w:rPr>
          <w:rFonts w:eastAsia="Calibri" w:cs="Times New Roman"/>
          <w:szCs w:val="20"/>
          <w:lang w:val="en-US"/>
        </w:rPr>
        <w:t>serious</w:t>
      </w:r>
      <w:r w:rsidR="008E1978" w:rsidRPr="007B2402">
        <w:rPr>
          <w:rFonts w:eastAsia="Calibri" w:cs="Times New Roman"/>
          <w:szCs w:val="20"/>
          <w:lang w:val="en-US"/>
        </w:rPr>
        <w:t xml:space="preserve"> human rights violations, they are obliged to determine whether the deviation in the use of a criminal guarantee may disproportionately restrict the rights of the victims, where a clear violation of the right of access to justice </w:t>
      </w:r>
      <w:r w:rsidR="00E46398" w:rsidRPr="007B2402">
        <w:rPr>
          <w:rFonts w:eastAsia="Calibri" w:cs="Times New Roman"/>
          <w:szCs w:val="20"/>
          <w:lang w:val="en-US"/>
        </w:rPr>
        <w:t>eclipses</w:t>
      </w:r>
      <w:r w:rsidR="008E1978" w:rsidRPr="007B2402">
        <w:rPr>
          <w:rFonts w:eastAsia="Calibri" w:cs="Times New Roman"/>
          <w:szCs w:val="20"/>
          <w:lang w:val="en-US"/>
        </w:rPr>
        <w:t xml:space="preserve"> the procedural guarantee of </w:t>
      </w:r>
      <w:r w:rsidR="008E1978" w:rsidRPr="007B2402">
        <w:rPr>
          <w:rFonts w:eastAsia="Calibri" w:cs="Times New Roman"/>
          <w:i/>
          <w:iCs/>
          <w:szCs w:val="20"/>
          <w:lang w:val="en-US"/>
        </w:rPr>
        <w:t>res judicata</w:t>
      </w:r>
      <w:r w:rsidR="008E1978" w:rsidRPr="007B2402">
        <w:rPr>
          <w:rFonts w:eastAsia="Calibri" w:cs="Times New Roman"/>
          <w:szCs w:val="20"/>
          <w:lang w:val="en-US"/>
        </w:rPr>
        <w:t>.</w:t>
      </w:r>
      <w:r w:rsidR="002424F2" w:rsidRPr="007B2402">
        <w:rPr>
          <w:rFonts w:eastAsia="Calibri" w:cs="Times New Roman"/>
          <w:szCs w:val="20"/>
          <w:vertAlign w:val="superscript"/>
          <w:lang w:val="en-US"/>
        </w:rPr>
        <w:footnoteReference w:id="291"/>
      </w:r>
    </w:p>
    <w:p w14:paraId="08E1D02D" w14:textId="77777777" w:rsidR="000744A8" w:rsidRPr="007B2402" w:rsidRDefault="000744A8" w:rsidP="000744A8">
      <w:pPr>
        <w:spacing w:after="0" w:line="240" w:lineRule="auto"/>
        <w:jc w:val="both"/>
        <w:rPr>
          <w:rFonts w:eastAsia="Calibri" w:cs="Times New Roman"/>
          <w:szCs w:val="20"/>
          <w:lang w:val="en-US"/>
        </w:rPr>
      </w:pPr>
    </w:p>
    <w:p w14:paraId="59FC03D8" w14:textId="796A2830" w:rsidR="000744A8" w:rsidRPr="007B2402" w:rsidRDefault="00C64FB6"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 xml:space="preserve">Recently, in the case of </w:t>
      </w:r>
      <w:r w:rsidR="00D52E7F" w:rsidRPr="007B2402">
        <w:rPr>
          <w:rFonts w:eastAsia="Calibri" w:cs="Times New Roman"/>
          <w:szCs w:val="20"/>
          <w:lang w:val="en-US"/>
        </w:rPr>
        <w:t xml:space="preserve">Marguš </w:t>
      </w:r>
      <w:r w:rsidR="00D05845" w:rsidRPr="007B2402">
        <w:rPr>
          <w:rFonts w:eastAsia="Calibri" w:cs="Times New Roman"/>
          <w:szCs w:val="20"/>
          <w:lang w:val="en-US"/>
        </w:rPr>
        <w:t>v.</w:t>
      </w:r>
      <w:r w:rsidR="00D52E7F" w:rsidRPr="007B2402">
        <w:rPr>
          <w:rFonts w:eastAsia="Calibri" w:cs="Times New Roman"/>
          <w:szCs w:val="20"/>
          <w:lang w:val="en-US"/>
        </w:rPr>
        <w:t xml:space="preserve"> Croa</w:t>
      </w:r>
      <w:r w:rsidRPr="007B2402">
        <w:rPr>
          <w:rFonts w:eastAsia="Calibri" w:cs="Times New Roman"/>
          <w:szCs w:val="20"/>
          <w:lang w:val="en-US"/>
        </w:rPr>
        <w:t>t</w:t>
      </w:r>
      <w:r w:rsidR="000744A8" w:rsidRPr="007B2402">
        <w:rPr>
          <w:rFonts w:eastAsia="Calibri" w:cs="Times New Roman"/>
          <w:szCs w:val="20"/>
          <w:lang w:val="en-US"/>
        </w:rPr>
        <w:t>ia</w:t>
      </w:r>
      <w:r w:rsidRPr="007B2402">
        <w:rPr>
          <w:rFonts w:eastAsia="Calibri" w:cs="Times New Roman"/>
          <w:szCs w:val="20"/>
          <w:lang w:val="en-US"/>
        </w:rPr>
        <w:t>,</w:t>
      </w:r>
      <w:r w:rsidR="002424F2" w:rsidRPr="007B2402">
        <w:rPr>
          <w:rFonts w:eastAsia="Calibri" w:cs="Times New Roman"/>
          <w:szCs w:val="20"/>
          <w:vertAlign w:val="superscript"/>
          <w:lang w:val="en-US"/>
        </w:rPr>
        <w:footnoteReference w:id="292"/>
      </w:r>
      <w:r w:rsidRPr="007B2402">
        <w:rPr>
          <w:rFonts w:eastAsia="Calibri" w:cs="Times New Roman"/>
          <w:szCs w:val="20"/>
          <w:lang w:val="en-US"/>
        </w:rPr>
        <w:t xml:space="preserve"> </w:t>
      </w:r>
      <w:r w:rsidR="00E46398" w:rsidRPr="007B2402">
        <w:rPr>
          <w:rFonts w:eastAsia="Calibri" w:cs="Times New Roman"/>
          <w:szCs w:val="20"/>
          <w:lang w:val="en-US"/>
        </w:rPr>
        <w:t xml:space="preserve">the European Court determined </w:t>
      </w:r>
      <w:r w:rsidRPr="007B2402">
        <w:rPr>
          <w:rFonts w:eastAsia="Calibri" w:cs="Times New Roman"/>
          <w:szCs w:val="20"/>
          <w:lang w:val="en-US"/>
        </w:rPr>
        <w:t xml:space="preserve">that the principle of </w:t>
      </w:r>
      <w:r w:rsidR="000744A8" w:rsidRPr="007B2402">
        <w:rPr>
          <w:rFonts w:eastAsia="Calibri" w:cs="Times New Roman"/>
          <w:i/>
          <w:szCs w:val="20"/>
          <w:lang w:val="en-US"/>
        </w:rPr>
        <w:t xml:space="preserve">ne bis in </w:t>
      </w:r>
      <w:r w:rsidR="00993DBA" w:rsidRPr="007B2402">
        <w:rPr>
          <w:rFonts w:eastAsia="Calibri" w:cs="Times New Roman"/>
          <w:i/>
          <w:szCs w:val="20"/>
          <w:lang w:val="en-US"/>
        </w:rPr>
        <w:t>idem</w:t>
      </w:r>
      <w:r w:rsidR="000744A8" w:rsidRPr="007B2402">
        <w:rPr>
          <w:rFonts w:eastAsia="Calibri" w:cs="Times New Roman"/>
          <w:szCs w:val="20"/>
          <w:lang w:val="en-US"/>
        </w:rPr>
        <w:t xml:space="preserve">, </w:t>
      </w:r>
      <w:r w:rsidRPr="007B2402">
        <w:rPr>
          <w:rFonts w:eastAsia="Calibri" w:cs="Times New Roman"/>
          <w:szCs w:val="20"/>
          <w:lang w:val="en-US"/>
        </w:rPr>
        <w:t>established in</w:t>
      </w:r>
      <w:r w:rsidR="000744A8" w:rsidRPr="007B2402">
        <w:rPr>
          <w:rFonts w:eastAsia="Calibri" w:cs="Times New Roman"/>
          <w:szCs w:val="20"/>
          <w:lang w:val="en-US"/>
        </w:rPr>
        <w:t xml:space="preserve"> </w:t>
      </w:r>
      <w:r w:rsidRPr="007B2402">
        <w:rPr>
          <w:rFonts w:eastAsia="Calibri" w:cs="Times New Roman"/>
          <w:szCs w:val="20"/>
          <w:lang w:val="en-US"/>
        </w:rPr>
        <w:t>a</w:t>
      </w:r>
      <w:r w:rsidR="00C50E81" w:rsidRPr="007B2402">
        <w:rPr>
          <w:rFonts w:eastAsia="Calibri" w:cs="Times New Roman"/>
          <w:szCs w:val="20"/>
          <w:lang w:val="en-US"/>
        </w:rPr>
        <w:t>rticle</w:t>
      </w:r>
      <w:r w:rsidR="000744A8" w:rsidRPr="007B2402">
        <w:rPr>
          <w:rFonts w:eastAsia="Calibri" w:cs="Times New Roman"/>
          <w:szCs w:val="20"/>
          <w:lang w:val="en-US"/>
        </w:rPr>
        <w:t xml:space="preserve"> 4 </w:t>
      </w:r>
      <w:r w:rsidRPr="007B2402">
        <w:rPr>
          <w:rFonts w:eastAsia="Calibri" w:cs="Times New Roman"/>
          <w:szCs w:val="20"/>
          <w:lang w:val="en-US"/>
        </w:rPr>
        <w:t>of Protocol</w:t>
      </w:r>
      <w:r w:rsidR="000744A8" w:rsidRPr="007B2402">
        <w:rPr>
          <w:rFonts w:eastAsia="Calibri" w:cs="Times New Roman"/>
          <w:szCs w:val="20"/>
          <w:lang w:val="en-US"/>
        </w:rPr>
        <w:t xml:space="preserve"> No. 7 </w:t>
      </w:r>
      <w:r w:rsidRPr="007B2402">
        <w:rPr>
          <w:rFonts w:eastAsia="Calibri" w:cs="Times New Roman"/>
          <w:szCs w:val="20"/>
          <w:lang w:val="en-US"/>
        </w:rPr>
        <w:t xml:space="preserve">to the European Convention on Human Rights was not applicable to </w:t>
      </w:r>
      <w:r w:rsidR="00E46398" w:rsidRPr="007B2402">
        <w:rPr>
          <w:rFonts w:eastAsia="Calibri" w:cs="Times New Roman"/>
          <w:szCs w:val="20"/>
          <w:lang w:val="en-US"/>
        </w:rPr>
        <w:t xml:space="preserve">a </w:t>
      </w:r>
      <w:r w:rsidRPr="007B2402">
        <w:rPr>
          <w:rFonts w:eastAsia="Calibri" w:cs="Times New Roman"/>
          <w:szCs w:val="20"/>
          <w:lang w:val="en-US"/>
        </w:rPr>
        <w:t xml:space="preserve">situation of </w:t>
      </w:r>
      <w:r w:rsidR="00E46398" w:rsidRPr="007B2402">
        <w:rPr>
          <w:rFonts w:eastAsia="Calibri" w:cs="Times New Roman"/>
          <w:szCs w:val="20"/>
          <w:lang w:val="en-US"/>
        </w:rPr>
        <w:t>serious</w:t>
      </w:r>
      <w:r w:rsidRPr="007B2402">
        <w:rPr>
          <w:rFonts w:eastAsia="Calibri" w:cs="Times New Roman"/>
          <w:szCs w:val="20"/>
          <w:lang w:val="en-US"/>
        </w:rPr>
        <w:t xml:space="preserve"> human rights violations to which an amnesty law had been applied.</w:t>
      </w:r>
      <w:r w:rsidR="000744A8" w:rsidRPr="007B2402">
        <w:rPr>
          <w:rFonts w:eastAsia="Calibri" w:cs="Times New Roman"/>
          <w:szCs w:val="20"/>
          <w:lang w:val="en-US"/>
        </w:rPr>
        <w:t xml:space="preserve"> </w:t>
      </w:r>
    </w:p>
    <w:p w14:paraId="342C69D5" w14:textId="77777777" w:rsidR="000744A8" w:rsidRPr="007B2402" w:rsidRDefault="000744A8" w:rsidP="000744A8">
      <w:pPr>
        <w:spacing w:after="0" w:line="240" w:lineRule="auto"/>
        <w:jc w:val="both"/>
        <w:rPr>
          <w:rFonts w:eastAsia="Calibri" w:cs="Times New Roman"/>
          <w:szCs w:val="20"/>
          <w:lang w:val="en-US"/>
        </w:rPr>
      </w:pPr>
    </w:p>
    <w:p w14:paraId="26E4ED97" w14:textId="7894B85D" w:rsidR="000744A8" w:rsidRPr="007B2402" w:rsidRDefault="000744A8" w:rsidP="00D35E53">
      <w:pPr>
        <w:pStyle w:val="Textocomentario"/>
        <w:numPr>
          <w:ilvl w:val="0"/>
          <w:numId w:val="6"/>
        </w:numPr>
        <w:rPr>
          <w:rFonts w:eastAsia="Calibri" w:cs="Times New Roman"/>
          <w:noProof w:val="0"/>
          <w:lang w:val="en-US"/>
        </w:rPr>
      </w:pPr>
      <w:r w:rsidRPr="007B2402">
        <w:rPr>
          <w:rFonts w:eastAsia="Calibri" w:cs="Times New Roman"/>
          <w:noProof w:val="0"/>
          <w:lang w:val="en-US"/>
        </w:rPr>
        <w:t>T</w:t>
      </w:r>
      <w:r w:rsidR="00C64FB6" w:rsidRPr="007B2402">
        <w:rPr>
          <w:rFonts w:eastAsia="Calibri" w:cs="Times New Roman"/>
          <w:noProof w:val="0"/>
          <w:lang w:val="en-US"/>
        </w:rPr>
        <w:t xml:space="preserve">aking </w:t>
      </w:r>
      <w:r w:rsidR="00BD0EA8" w:rsidRPr="007B2402">
        <w:rPr>
          <w:rFonts w:eastAsia="Calibri" w:cs="Times New Roman"/>
          <w:noProof w:val="0"/>
          <w:lang w:val="en-US"/>
        </w:rPr>
        <w:t xml:space="preserve">all </w:t>
      </w:r>
      <w:r w:rsidR="00C64FB6" w:rsidRPr="007B2402">
        <w:rPr>
          <w:rFonts w:eastAsia="Calibri" w:cs="Times New Roman"/>
          <w:noProof w:val="0"/>
          <w:lang w:val="en-US"/>
        </w:rPr>
        <w:t>the foregoing into account, the Court considers that, in t</w:t>
      </w:r>
      <w:r w:rsidR="00B31BB8" w:rsidRPr="007B2402">
        <w:rPr>
          <w:rFonts w:eastAsia="Calibri" w:cs="Times New Roman"/>
          <w:noProof w:val="0"/>
          <w:lang w:val="en-US"/>
        </w:rPr>
        <w:t>h</w:t>
      </w:r>
      <w:r w:rsidR="00C64FB6" w:rsidRPr="007B2402">
        <w:rPr>
          <w:rFonts w:eastAsia="Calibri" w:cs="Times New Roman"/>
          <w:noProof w:val="0"/>
          <w:lang w:val="en-US"/>
        </w:rPr>
        <w:t xml:space="preserve">is case, the alleged substantive </w:t>
      </w:r>
      <w:r w:rsidR="00C64FB6" w:rsidRPr="007B2402">
        <w:rPr>
          <w:rFonts w:eastAsia="Calibri" w:cs="Times New Roman"/>
          <w:i/>
          <w:iCs/>
          <w:noProof w:val="0"/>
          <w:lang w:val="en-US"/>
        </w:rPr>
        <w:t>res judicata</w:t>
      </w:r>
      <w:r w:rsidR="00C64FB6" w:rsidRPr="007B2402">
        <w:rPr>
          <w:rFonts w:eastAsia="Calibri" w:cs="Times New Roman"/>
          <w:noProof w:val="0"/>
          <w:lang w:val="en-US"/>
        </w:rPr>
        <w:t xml:space="preserve"> by virtue of the </w:t>
      </w:r>
      <w:r w:rsidR="00221E16" w:rsidRPr="007B2402">
        <w:rPr>
          <w:rFonts w:eastAsia="Calibri" w:cs="Times New Roman"/>
          <w:noProof w:val="0"/>
          <w:lang w:val="en-US"/>
        </w:rPr>
        <w:t>Amnesty Law</w:t>
      </w:r>
      <w:r w:rsidRPr="007B2402">
        <w:rPr>
          <w:rFonts w:eastAsia="Calibri" w:cs="Times New Roman"/>
          <w:noProof w:val="0"/>
          <w:lang w:val="en-US"/>
        </w:rPr>
        <w:t xml:space="preserve"> </w:t>
      </w:r>
      <w:r w:rsidR="00C64FB6" w:rsidRPr="007B2402">
        <w:rPr>
          <w:rFonts w:eastAsia="Calibri" w:cs="Times New Roman"/>
          <w:noProof w:val="0"/>
          <w:lang w:val="en-US"/>
        </w:rPr>
        <w:t xml:space="preserve">is definitively inapplicable. </w:t>
      </w:r>
    </w:p>
    <w:p w14:paraId="377B9232" w14:textId="77777777" w:rsidR="000744A8" w:rsidRPr="007B2402" w:rsidRDefault="000744A8" w:rsidP="000744A8">
      <w:pPr>
        <w:spacing w:after="0" w:line="240" w:lineRule="auto"/>
        <w:jc w:val="both"/>
        <w:rPr>
          <w:rFonts w:eastAsia="Calibri" w:cs="Times New Roman"/>
          <w:szCs w:val="20"/>
          <w:lang w:val="en-US"/>
        </w:rPr>
      </w:pPr>
    </w:p>
    <w:p w14:paraId="1AA467ED" w14:textId="30F2631F" w:rsidR="000744A8" w:rsidRPr="007B2402" w:rsidRDefault="00BD0EA8" w:rsidP="00CC439C">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In this regard, the Court notes that, with regard to</w:t>
      </w:r>
      <w:r w:rsidR="000744A8" w:rsidRPr="007B2402">
        <w:rPr>
          <w:rFonts w:eastAsia="Calibri" w:cs="Times New Roman"/>
          <w:szCs w:val="20"/>
          <w:lang w:val="en-US"/>
        </w:rPr>
        <w:t xml:space="preserve"> </w:t>
      </w:r>
      <w:r w:rsidR="008E1978" w:rsidRPr="007B2402">
        <w:rPr>
          <w:rFonts w:eastAsia="Calibri" w:cs="Times New Roman"/>
          <w:szCs w:val="20"/>
          <w:lang w:val="en-US"/>
        </w:rPr>
        <w:t>the 1993 ruling of the</w:t>
      </w:r>
      <w:r w:rsidR="000744A8" w:rsidRPr="007B2402">
        <w:rPr>
          <w:rFonts w:eastAsia="Calibri" w:cs="Times New Roman"/>
          <w:szCs w:val="20"/>
          <w:lang w:val="en-US"/>
        </w:rPr>
        <w:t xml:space="preserve"> </w:t>
      </w:r>
      <w:r w:rsidR="00F337BB" w:rsidRPr="007B2402">
        <w:rPr>
          <w:rFonts w:eastAsia="Calibri" w:cs="Times New Roman"/>
          <w:szCs w:val="20"/>
          <w:lang w:val="en-US"/>
        </w:rPr>
        <w:t>Superior Court of Justice</w:t>
      </w:r>
      <w:r w:rsidR="008E1978" w:rsidRPr="007B2402">
        <w:rPr>
          <w:rFonts w:eastAsia="Calibri" w:cs="Times New Roman"/>
          <w:szCs w:val="20"/>
          <w:lang w:val="en-US"/>
        </w:rPr>
        <w:t xml:space="preserve">, which confirmed the </w:t>
      </w:r>
      <w:r w:rsidR="000744A8" w:rsidRPr="007B2402">
        <w:rPr>
          <w:rFonts w:eastAsia="Calibri" w:cs="Times New Roman"/>
          <w:i/>
          <w:szCs w:val="20"/>
          <w:lang w:val="en-US"/>
        </w:rPr>
        <w:t>habeas corpus</w:t>
      </w:r>
      <w:r w:rsidR="000744A8" w:rsidRPr="007B2402">
        <w:rPr>
          <w:rFonts w:eastAsia="Calibri" w:cs="Times New Roman"/>
          <w:szCs w:val="20"/>
          <w:lang w:val="en-US"/>
        </w:rPr>
        <w:t xml:space="preserve"> </w:t>
      </w:r>
      <w:r w:rsidRPr="007B2402">
        <w:rPr>
          <w:rFonts w:eastAsia="Calibri" w:cs="Times New Roman"/>
          <w:szCs w:val="20"/>
          <w:lang w:val="en-US"/>
        </w:rPr>
        <w:t>of</w:t>
      </w:r>
      <w:r w:rsidR="000744A8" w:rsidRPr="007B2402">
        <w:rPr>
          <w:rFonts w:eastAsia="Calibri" w:cs="Times New Roman"/>
          <w:szCs w:val="20"/>
          <w:lang w:val="en-US"/>
        </w:rPr>
        <w:t xml:space="preserve"> Mira Grancieri</w:t>
      </w:r>
      <w:r w:rsidR="005B1590" w:rsidRPr="007B2402">
        <w:rPr>
          <w:rFonts w:eastAsia="Calibri" w:cs="Times New Roman"/>
          <w:szCs w:val="20"/>
          <w:lang w:val="en-US"/>
        </w:rPr>
        <w:t xml:space="preserve"> and </w:t>
      </w:r>
      <w:r w:rsidRPr="007B2402">
        <w:rPr>
          <w:rFonts w:eastAsia="Calibri" w:cs="Times New Roman"/>
          <w:szCs w:val="20"/>
          <w:lang w:val="en-US"/>
        </w:rPr>
        <w:t xml:space="preserve">closed the investigation into </w:t>
      </w:r>
      <w:r w:rsidR="008B5281" w:rsidRPr="007B2402">
        <w:rPr>
          <w:rFonts w:eastAsia="Calibri" w:cs="Times New Roman"/>
          <w:szCs w:val="20"/>
          <w:lang w:val="en-US"/>
        </w:rPr>
        <w:t>the torture and murder of Vladimir Herzog</w:t>
      </w:r>
      <w:r w:rsidR="000744A8" w:rsidRPr="007B2402">
        <w:rPr>
          <w:rFonts w:eastAsia="Calibri" w:cs="Times New Roman"/>
          <w:szCs w:val="20"/>
          <w:lang w:val="en-US"/>
        </w:rPr>
        <w:t xml:space="preserve">, </w:t>
      </w:r>
      <w:r w:rsidRPr="007B2402">
        <w:rPr>
          <w:rFonts w:eastAsia="Calibri" w:cs="Times New Roman"/>
          <w:szCs w:val="20"/>
          <w:lang w:val="en-US"/>
        </w:rPr>
        <w:t>expert witness</w:t>
      </w:r>
      <w:r w:rsidR="000744A8" w:rsidRPr="007B2402">
        <w:rPr>
          <w:rFonts w:eastAsia="Calibri" w:cs="Times New Roman"/>
          <w:szCs w:val="20"/>
          <w:lang w:val="en-US"/>
        </w:rPr>
        <w:t xml:space="preserve"> Maria Auxiliadora Minahim</w:t>
      </w:r>
      <w:r w:rsidRPr="007B2402">
        <w:rPr>
          <w:rFonts w:eastAsia="Calibri" w:cs="Times New Roman"/>
          <w:szCs w:val="20"/>
          <w:lang w:val="en-US"/>
        </w:rPr>
        <w:t xml:space="preserve"> indicated that</w:t>
      </w:r>
      <w:r w:rsidR="000744A8" w:rsidRPr="007B2402">
        <w:rPr>
          <w:rFonts w:eastAsia="Calibri" w:cs="Times New Roman"/>
          <w:szCs w:val="20"/>
          <w:lang w:val="en-US"/>
        </w:rPr>
        <w:t xml:space="preserve"> “</w:t>
      </w:r>
      <w:r w:rsidR="00CC439C" w:rsidRPr="007B2402">
        <w:rPr>
          <w:rFonts w:eastAsia="Calibri" w:cs="Times New Roman"/>
          <w:szCs w:val="20"/>
          <w:lang w:val="en-US"/>
        </w:rPr>
        <w:t xml:space="preserve">there is no judicial error that makes it possible, within the objective and subjective limitations of </w:t>
      </w:r>
      <w:r w:rsidR="000744A8" w:rsidRPr="007B2402">
        <w:rPr>
          <w:rFonts w:eastAsia="Calibri" w:cs="Times New Roman"/>
          <w:i/>
          <w:szCs w:val="20"/>
          <w:lang w:val="en-US"/>
        </w:rPr>
        <w:t>res judicata</w:t>
      </w:r>
      <w:r w:rsidR="000744A8" w:rsidRPr="007B2402">
        <w:rPr>
          <w:rFonts w:eastAsia="Calibri" w:cs="Times New Roman"/>
          <w:szCs w:val="20"/>
          <w:lang w:val="en-US"/>
        </w:rPr>
        <w:t xml:space="preserve">, </w:t>
      </w:r>
      <w:r w:rsidR="00CC439C" w:rsidRPr="007B2402">
        <w:rPr>
          <w:rFonts w:eastAsia="Calibri" w:cs="Times New Roman"/>
          <w:szCs w:val="20"/>
          <w:lang w:val="en-US"/>
        </w:rPr>
        <w:t xml:space="preserve">to derogate the </w:t>
      </w:r>
      <w:r w:rsidR="00272CD4" w:rsidRPr="007B2402">
        <w:rPr>
          <w:rFonts w:eastAsia="Calibri" w:cs="Times New Roman"/>
          <w:szCs w:val="20"/>
          <w:lang w:val="en-US"/>
        </w:rPr>
        <w:t>jurisdictional</w:t>
      </w:r>
      <w:r w:rsidR="00CC439C" w:rsidRPr="007B2402">
        <w:rPr>
          <w:rFonts w:eastAsia="Calibri" w:cs="Times New Roman"/>
          <w:szCs w:val="20"/>
          <w:lang w:val="en-US"/>
        </w:rPr>
        <w:t xml:space="preserve"> decision declaring the dismissal of the charges.</w:t>
      </w:r>
      <w:r w:rsidR="000744A8" w:rsidRPr="007B2402">
        <w:rPr>
          <w:rFonts w:eastAsia="Calibri" w:cs="Times New Roman"/>
          <w:szCs w:val="20"/>
          <w:lang w:val="en-US"/>
        </w:rPr>
        <w:t>”</w:t>
      </w:r>
      <w:r w:rsidR="002424F2" w:rsidRPr="007B2402">
        <w:rPr>
          <w:rFonts w:eastAsia="Calibri" w:cs="Times New Roman"/>
          <w:szCs w:val="20"/>
          <w:vertAlign w:val="superscript"/>
          <w:lang w:val="en-US"/>
        </w:rPr>
        <w:footnoteReference w:id="293"/>
      </w:r>
      <w:r w:rsidR="00CC439C" w:rsidRPr="007B2402">
        <w:rPr>
          <w:rFonts w:eastAsia="Calibri" w:cs="Times New Roman"/>
          <w:szCs w:val="20"/>
          <w:lang w:val="en-US"/>
        </w:rPr>
        <w:t xml:space="preserve"> However, taking into account the legal considerations set out </w:t>
      </w:r>
      <w:r w:rsidR="00CC439C" w:rsidRPr="007B2402">
        <w:rPr>
          <w:rFonts w:eastAsia="Calibri" w:cs="Times New Roman"/>
          <w:szCs w:val="20"/>
          <w:lang w:val="en-US"/>
        </w:rPr>
        <w:lastRenderedPageBreak/>
        <w:t xml:space="preserve">previously in this section, the Court finds that </w:t>
      </w:r>
      <w:r w:rsidR="00CC439C" w:rsidRPr="007B2402">
        <w:rPr>
          <w:rFonts w:eastAsia="Calibri" w:cs="Times New Roman"/>
          <w:i/>
          <w:iCs/>
          <w:szCs w:val="20"/>
          <w:lang w:val="en-US"/>
        </w:rPr>
        <w:t>res judicata</w:t>
      </w:r>
      <w:r w:rsidR="00CC439C" w:rsidRPr="007B2402">
        <w:rPr>
          <w:rFonts w:eastAsia="Calibri" w:cs="Times New Roman"/>
          <w:szCs w:val="20"/>
          <w:lang w:val="en-US"/>
        </w:rPr>
        <w:t xml:space="preserve"> is not absolute. Also, it should be emphasized that the decision that closed the investigation was not an acquittal issued in accordance with the guarantees of due process. To the contrary, it was a decision on an application for </w:t>
      </w:r>
      <w:r w:rsidR="00CC439C" w:rsidRPr="007B2402">
        <w:rPr>
          <w:rFonts w:eastAsia="Calibri" w:cs="Times New Roman"/>
          <w:i/>
          <w:szCs w:val="20"/>
          <w:lang w:val="en-US"/>
        </w:rPr>
        <w:t>habeas corpus</w:t>
      </w:r>
      <w:r w:rsidR="00CC439C" w:rsidRPr="007B2402">
        <w:rPr>
          <w:rFonts w:eastAsia="Calibri" w:cs="Times New Roman"/>
          <w:szCs w:val="20"/>
          <w:lang w:val="en-US"/>
        </w:rPr>
        <w:t xml:space="preserve"> taken by a court </w:t>
      </w:r>
      <w:r w:rsidR="00272CD4" w:rsidRPr="007B2402">
        <w:rPr>
          <w:rFonts w:eastAsia="Calibri" w:cs="Times New Roman"/>
          <w:szCs w:val="20"/>
          <w:lang w:val="en-US"/>
        </w:rPr>
        <w:t>without</w:t>
      </w:r>
      <w:r w:rsidR="00CC439C" w:rsidRPr="007B2402">
        <w:rPr>
          <w:rFonts w:eastAsia="Calibri" w:cs="Times New Roman"/>
          <w:szCs w:val="20"/>
          <w:lang w:val="en-US"/>
        </w:rPr>
        <w:t xml:space="preserve"> jurisdiction,</w:t>
      </w:r>
      <w:r w:rsidR="002424F2" w:rsidRPr="007B2402">
        <w:rPr>
          <w:rFonts w:eastAsia="Calibri" w:cs="Times New Roman"/>
          <w:szCs w:val="20"/>
          <w:vertAlign w:val="superscript"/>
          <w:lang w:val="en-US"/>
        </w:rPr>
        <w:footnoteReference w:id="294"/>
      </w:r>
      <w:r w:rsidR="00CC439C" w:rsidRPr="007B2402">
        <w:rPr>
          <w:rFonts w:eastAsia="Calibri" w:cs="Times New Roman"/>
          <w:szCs w:val="20"/>
          <w:lang w:val="en-US"/>
        </w:rPr>
        <w:t xml:space="preserve"> based on a law </w:t>
      </w:r>
      <w:r w:rsidR="00653324" w:rsidRPr="007B2402">
        <w:rPr>
          <w:rFonts w:eastAsia="Calibri" w:cs="Times New Roman"/>
          <w:szCs w:val="20"/>
          <w:lang w:val="en-US"/>
        </w:rPr>
        <w:t>(</w:t>
      </w:r>
      <w:r w:rsidR="00CC439C" w:rsidRPr="007B2402">
        <w:rPr>
          <w:rFonts w:eastAsia="Calibri" w:cs="Times New Roman"/>
          <w:szCs w:val="20"/>
          <w:lang w:val="en-US"/>
        </w:rPr>
        <w:t>Law</w:t>
      </w:r>
      <w:r w:rsidR="00653324" w:rsidRPr="007B2402">
        <w:rPr>
          <w:rFonts w:eastAsia="Calibri" w:cs="Times New Roman"/>
          <w:szCs w:val="20"/>
          <w:lang w:val="en-US"/>
        </w:rPr>
        <w:t xml:space="preserve"> No. 6683/79) </w:t>
      </w:r>
      <w:r w:rsidR="00CC439C" w:rsidRPr="007B2402">
        <w:rPr>
          <w:rFonts w:eastAsia="Calibri" w:cs="Times New Roman"/>
          <w:szCs w:val="20"/>
          <w:lang w:val="en-US"/>
        </w:rPr>
        <w:t>that, according to this Court, ha</w:t>
      </w:r>
      <w:r w:rsidR="00272CD4" w:rsidRPr="007B2402">
        <w:rPr>
          <w:rFonts w:eastAsia="Calibri" w:cs="Times New Roman"/>
          <w:szCs w:val="20"/>
          <w:lang w:val="en-US"/>
        </w:rPr>
        <w:t>d</w:t>
      </w:r>
      <w:r w:rsidR="00CC439C" w:rsidRPr="007B2402">
        <w:rPr>
          <w:rFonts w:eastAsia="Calibri" w:cs="Times New Roman"/>
          <w:szCs w:val="20"/>
          <w:lang w:val="en-US"/>
        </w:rPr>
        <w:t xml:space="preserve"> no legal </w:t>
      </w:r>
      <w:r w:rsidR="00272CD4" w:rsidRPr="007B2402">
        <w:rPr>
          <w:rFonts w:eastAsia="Calibri" w:cs="Times New Roman"/>
          <w:szCs w:val="20"/>
          <w:lang w:val="en-US"/>
        </w:rPr>
        <w:t>force</w:t>
      </w:r>
      <w:r w:rsidR="00CC439C" w:rsidRPr="007B2402">
        <w:rPr>
          <w:rFonts w:eastAsia="Calibri" w:cs="Times New Roman"/>
          <w:szCs w:val="20"/>
          <w:lang w:val="en-US"/>
        </w:rPr>
        <w:t xml:space="preserve">. Furthermore, the decision in question did not respect the legal consequences </w:t>
      </w:r>
      <w:r w:rsidR="00272CD4" w:rsidRPr="007B2402">
        <w:rPr>
          <w:rFonts w:eastAsia="Calibri" w:cs="Times New Roman"/>
          <w:szCs w:val="20"/>
          <w:lang w:val="en-US"/>
        </w:rPr>
        <w:t>of</w:t>
      </w:r>
      <w:r w:rsidR="00CC439C" w:rsidRPr="007B2402">
        <w:rPr>
          <w:rFonts w:eastAsia="Calibri" w:cs="Times New Roman"/>
          <w:szCs w:val="20"/>
          <w:lang w:val="en-US"/>
        </w:rPr>
        <w:t xml:space="preserve"> the obligation </w:t>
      </w:r>
      <w:r w:rsidR="000744A8" w:rsidRPr="007B2402">
        <w:rPr>
          <w:rFonts w:eastAsia="Calibri" w:cs="Times New Roman"/>
          <w:i/>
          <w:szCs w:val="20"/>
          <w:lang w:val="en-US"/>
        </w:rPr>
        <w:t>erga omnes</w:t>
      </w:r>
      <w:r w:rsidR="000744A8" w:rsidRPr="007B2402">
        <w:rPr>
          <w:rFonts w:eastAsia="Calibri" w:cs="Times New Roman"/>
          <w:szCs w:val="20"/>
          <w:lang w:val="en-US"/>
        </w:rPr>
        <w:t xml:space="preserve"> </w:t>
      </w:r>
      <w:r w:rsidR="00CC439C" w:rsidRPr="007B2402">
        <w:rPr>
          <w:rFonts w:eastAsia="Calibri" w:cs="Times New Roman"/>
          <w:szCs w:val="20"/>
          <w:lang w:val="en-US"/>
        </w:rPr>
        <w:t>to investigate, prosecute and punish the perpetrators of</w:t>
      </w:r>
      <w:r w:rsidR="000744A8" w:rsidRPr="007B2402">
        <w:rPr>
          <w:rFonts w:eastAsia="Calibri" w:cs="Times New Roman"/>
          <w:szCs w:val="20"/>
          <w:lang w:val="en-US"/>
        </w:rPr>
        <w:t xml:space="preserve"> </w:t>
      </w:r>
      <w:r w:rsidR="00844CE7" w:rsidRPr="007B2402">
        <w:rPr>
          <w:rFonts w:eastAsia="Calibri" w:cs="Times New Roman"/>
          <w:szCs w:val="20"/>
          <w:lang w:val="en-US"/>
        </w:rPr>
        <w:t>crimes against humanity</w:t>
      </w:r>
      <w:r w:rsidR="000744A8" w:rsidRPr="007B2402">
        <w:rPr>
          <w:rFonts w:eastAsia="Calibri" w:cs="Times New Roman"/>
          <w:szCs w:val="20"/>
          <w:lang w:val="en-US"/>
        </w:rPr>
        <w:t xml:space="preserve">. </w:t>
      </w:r>
      <w:r w:rsidR="00CC439C" w:rsidRPr="007B2402">
        <w:rPr>
          <w:rFonts w:eastAsia="Calibri" w:cs="Times New Roman"/>
          <w:szCs w:val="20"/>
          <w:lang w:val="en-US"/>
        </w:rPr>
        <w:t xml:space="preserve">Consequently, it was a ruling that had no legal </w:t>
      </w:r>
      <w:r w:rsidR="00272CD4" w:rsidRPr="007B2402">
        <w:rPr>
          <w:rFonts w:eastAsia="Calibri" w:cs="Times New Roman"/>
          <w:szCs w:val="20"/>
          <w:lang w:val="en-US"/>
        </w:rPr>
        <w:t>force</w:t>
      </w:r>
      <w:r w:rsidR="00CC439C" w:rsidRPr="007B2402">
        <w:rPr>
          <w:rFonts w:eastAsia="Calibri" w:cs="Times New Roman"/>
          <w:szCs w:val="20"/>
          <w:lang w:val="en-US"/>
        </w:rPr>
        <w:t xml:space="preserve"> and that that does not alter the legal considerations set forth in this judgment.</w:t>
      </w:r>
    </w:p>
    <w:p w14:paraId="3033A7D2" w14:textId="77777777" w:rsidR="000744A8" w:rsidRPr="007B2402" w:rsidRDefault="000744A8" w:rsidP="000744A8">
      <w:pPr>
        <w:spacing w:after="0" w:line="240" w:lineRule="auto"/>
        <w:jc w:val="both"/>
        <w:rPr>
          <w:rFonts w:eastAsia="Calibri" w:cs="Times New Roman"/>
          <w:szCs w:val="20"/>
          <w:lang w:val="en-US"/>
        </w:rPr>
      </w:pPr>
    </w:p>
    <w:p w14:paraId="609FA6A1" w14:textId="76E8A999" w:rsidR="00CC439C" w:rsidRPr="007B2402" w:rsidRDefault="00CC439C"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Additionally, the 2008 decision of the federal judge is not a credible decision resulting from a judicial proceeding respect</w:t>
      </w:r>
      <w:r w:rsidR="00272CD4" w:rsidRPr="007B2402">
        <w:rPr>
          <w:rFonts w:eastAsia="Calibri" w:cs="Times New Roman"/>
          <w:szCs w:val="20"/>
          <w:lang w:val="en-US"/>
        </w:rPr>
        <w:t>ing</w:t>
      </w:r>
      <w:r w:rsidRPr="007B2402">
        <w:rPr>
          <w:rFonts w:eastAsia="Calibri" w:cs="Times New Roman"/>
          <w:szCs w:val="20"/>
          <w:lang w:val="en-US"/>
        </w:rPr>
        <w:t xml:space="preserve"> judicial guarantees </w:t>
      </w:r>
      <w:r w:rsidR="00272CD4" w:rsidRPr="007B2402">
        <w:rPr>
          <w:rFonts w:eastAsia="Calibri" w:cs="Times New Roman"/>
          <w:szCs w:val="20"/>
          <w:lang w:val="en-US"/>
        </w:rPr>
        <w:t>that had the purpose of</w:t>
      </w:r>
      <w:r w:rsidRPr="007B2402">
        <w:rPr>
          <w:rFonts w:eastAsia="Calibri" w:cs="Times New Roman"/>
          <w:szCs w:val="20"/>
          <w:lang w:val="en-US"/>
        </w:rPr>
        <w:t xml:space="preserve"> determining the truth of the facts and the identification of those responsible for the violations denounced.</w:t>
      </w:r>
      <w:r w:rsidR="00F83697" w:rsidRPr="007B2402">
        <w:rPr>
          <w:rFonts w:eastAsia="Calibri" w:cs="Times New Roman"/>
          <w:szCs w:val="20"/>
          <w:lang w:val="en-US"/>
        </w:rPr>
        <w:t xml:space="preserve"> To the contrary, it was a procedural decision to close an investigation. Accordingly, the Court considers that the </w:t>
      </w:r>
      <w:r w:rsidR="00F83697" w:rsidRPr="007B2402">
        <w:rPr>
          <w:rFonts w:eastAsia="Calibri" w:cs="Times New Roman"/>
          <w:i/>
          <w:szCs w:val="20"/>
          <w:lang w:val="en-US"/>
        </w:rPr>
        <w:t>ne bis in idem</w:t>
      </w:r>
      <w:r w:rsidR="00F83697" w:rsidRPr="007B2402">
        <w:rPr>
          <w:rFonts w:eastAsia="Calibri" w:cs="Times New Roman"/>
          <w:szCs w:val="20"/>
          <w:lang w:val="en-US"/>
        </w:rPr>
        <w:t xml:space="preserve"> principle is not applicable. Finally, the Court points out that a decision based on a law that has no legal </w:t>
      </w:r>
      <w:r w:rsidR="00272CD4" w:rsidRPr="007B2402">
        <w:rPr>
          <w:rFonts w:eastAsia="Calibri" w:cs="Times New Roman"/>
          <w:szCs w:val="20"/>
          <w:lang w:val="en-US"/>
        </w:rPr>
        <w:t>force</w:t>
      </w:r>
      <w:r w:rsidR="00F83697" w:rsidRPr="007B2402">
        <w:rPr>
          <w:rFonts w:eastAsia="Calibri" w:cs="Times New Roman"/>
          <w:szCs w:val="20"/>
          <w:lang w:val="en-US"/>
        </w:rPr>
        <w:t xml:space="preserve"> because it is incompatible with the Convention does not generate the legal certainty expected of the system of justice.</w:t>
      </w:r>
    </w:p>
    <w:p w14:paraId="1F53ADA4" w14:textId="77777777" w:rsidR="00D35E53" w:rsidRPr="007B2402" w:rsidRDefault="00D35E53" w:rsidP="00D35E53">
      <w:pPr>
        <w:spacing w:after="0" w:line="240" w:lineRule="auto"/>
        <w:jc w:val="both"/>
        <w:rPr>
          <w:rFonts w:eastAsia="Calibri" w:cs="Times New Roman"/>
          <w:szCs w:val="20"/>
          <w:lang w:val="en-US"/>
        </w:rPr>
      </w:pPr>
    </w:p>
    <w:p w14:paraId="68392EAA" w14:textId="4CC68297" w:rsidR="000744A8" w:rsidRPr="007B2402" w:rsidRDefault="00F83697" w:rsidP="005B2A1C">
      <w:pPr>
        <w:pStyle w:val="Prrafodelista"/>
        <w:numPr>
          <w:ilvl w:val="0"/>
          <w:numId w:val="44"/>
        </w:numPr>
        <w:outlineLvl w:val="3"/>
        <w:rPr>
          <w:rFonts w:eastAsia="Calibri"/>
          <w:i/>
          <w:szCs w:val="20"/>
          <w:lang w:val="en-US"/>
        </w:rPr>
      </w:pPr>
      <w:r w:rsidRPr="007B2402">
        <w:rPr>
          <w:rFonts w:eastAsia="Calibri" w:cs="Times New Roman"/>
          <w:i/>
          <w:szCs w:val="20"/>
          <w:lang w:val="en-US"/>
        </w:rPr>
        <w:t>Amnesty laws</w:t>
      </w:r>
    </w:p>
    <w:p w14:paraId="74C01189" w14:textId="77777777" w:rsidR="000744A8" w:rsidRPr="007B2402" w:rsidRDefault="000744A8" w:rsidP="000744A8">
      <w:pPr>
        <w:spacing w:after="0" w:line="240" w:lineRule="auto"/>
        <w:jc w:val="both"/>
        <w:rPr>
          <w:rFonts w:eastAsia="Calibri" w:cs="Times New Roman"/>
          <w:szCs w:val="20"/>
          <w:lang w:val="en-US"/>
        </w:rPr>
      </w:pPr>
    </w:p>
    <w:p w14:paraId="12F60F94" w14:textId="630FE8FE" w:rsidR="00F83697" w:rsidRPr="007B2402" w:rsidRDefault="00511A4C" w:rsidP="00F83697">
      <w:pPr>
        <w:numPr>
          <w:ilvl w:val="0"/>
          <w:numId w:val="6"/>
        </w:numPr>
        <w:spacing w:after="0" w:line="240" w:lineRule="auto"/>
        <w:jc w:val="both"/>
        <w:rPr>
          <w:rFonts w:eastAsia="Calibri" w:cs="Times New Roman"/>
          <w:szCs w:val="20"/>
          <w:lang w:val="en-US"/>
        </w:rPr>
      </w:pPr>
      <w:r w:rsidRPr="007B2402">
        <w:rPr>
          <w:rFonts w:eastAsia="Batang" w:cs="Times New Roman"/>
          <w:szCs w:val="20"/>
          <w:lang w:val="en-US"/>
        </w:rPr>
        <w:t>Some States have alleged a</w:t>
      </w:r>
      <w:r w:rsidR="00F83697" w:rsidRPr="007B2402">
        <w:rPr>
          <w:rFonts w:eastAsia="Batang" w:cs="Times New Roman"/>
          <w:szCs w:val="20"/>
          <w:lang w:val="en-US"/>
        </w:rPr>
        <w:t xml:space="preserve">mnesties or similar devices </w:t>
      </w:r>
      <w:r w:rsidRPr="007B2402">
        <w:rPr>
          <w:rFonts w:eastAsia="Batang" w:cs="Times New Roman"/>
          <w:szCs w:val="20"/>
          <w:lang w:val="en-US"/>
        </w:rPr>
        <w:t xml:space="preserve">in order </w:t>
      </w:r>
      <w:r w:rsidR="00F83697" w:rsidRPr="007B2402">
        <w:rPr>
          <w:rFonts w:eastAsia="Batang" w:cs="Times New Roman"/>
          <w:szCs w:val="20"/>
          <w:lang w:val="en-US"/>
        </w:rPr>
        <w:t>to obstruct the investigation and, when app</w:t>
      </w:r>
      <w:r w:rsidRPr="007B2402">
        <w:rPr>
          <w:rFonts w:eastAsia="Batang" w:cs="Times New Roman"/>
          <w:szCs w:val="20"/>
          <w:lang w:val="en-US"/>
        </w:rPr>
        <w:t>licable</w:t>
      </w:r>
      <w:r w:rsidR="00F83697" w:rsidRPr="007B2402">
        <w:rPr>
          <w:rFonts w:eastAsia="Batang" w:cs="Times New Roman"/>
          <w:szCs w:val="20"/>
          <w:lang w:val="en-US"/>
        </w:rPr>
        <w:t>, the punishment of those responsible for serious human rights violations.</w:t>
      </w:r>
      <w:r w:rsidR="000744A8" w:rsidRPr="007B2402">
        <w:rPr>
          <w:rFonts w:eastAsia="Batang" w:cs="Times New Roman"/>
          <w:szCs w:val="20"/>
          <w:vertAlign w:val="superscript"/>
          <w:lang w:val="en-US"/>
        </w:rPr>
        <w:footnoteReference w:id="295"/>
      </w:r>
      <w:r w:rsidR="000744A8" w:rsidRPr="007B2402">
        <w:rPr>
          <w:rFonts w:eastAsia="Batang" w:cs="Times New Roman"/>
          <w:szCs w:val="20"/>
          <w:lang w:val="en-US"/>
        </w:rPr>
        <w:t xml:space="preserve"> </w:t>
      </w:r>
      <w:r w:rsidR="00F83697" w:rsidRPr="007B2402">
        <w:rPr>
          <w:rFonts w:eastAsia="Batang" w:cs="Times New Roman"/>
          <w:szCs w:val="20"/>
          <w:lang w:val="en-US"/>
        </w:rPr>
        <w:t>This Court</w:t>
      </w:r>
      <w:r w:rsidR="000744A8" w:rsidRPr="007B2402">
        <w:rPr>
          <w:rFonts w:eastAsia="Batang" w:cs="Times New Roman"/>
          <w:szCs w:val="20"/>
          <w:lang w:val="en-US"/>
        </w:rPr>
        <w:t xml:space="preserve">, </w:t>
      </w:r>
      <w:r w:rsidR="00AF4344" w:rsidRPr="007B2402">
        <w:rPr>
          <w:rFonts w:eastAsia="Batang" w:cs="Times New Roman"/>
          <w:szCs w:val="20"/>
          <w:lang w:val="en-US"/>
        </w:rPr>
        <w:t>the Inter-American Commission on Human Rights</w:t>
      </w:r>
      <w:r w:rsidR="000744A8" w:rsidRPr="007B2402">
        <w:rPr>
          <w:rFonts w:eastAsia="Batang" w:cs="Times New Roman"/>
          <w:szCs w:val="20"/>
          <w:lang w:val="en-US"/>
        </w:rPr>
        <w:t xml:space="preserve">, </w:t>
      </w:r>
      <w:r w:rsidR="00F83697" w:rsidRPr="007B2402">
        <w:rPr>
          <w:rFonts w:eastAsia="Batang" w:cs="Times New Roman"/>
          <w:szCs w:val="20"/>
          <w:lang w:val="en-US"/>
        </w:rPr>
        <w:t>the relevant</w:t>
      </w:r>
      <w:r w:rsidR="000744A8" w:rsidRPr="007B2402">
        <w:rPr>
          <w:rFonts w:eastAsia="Batang" w:cs="Times New Roman"/>
          <w:szCs w:val="20"/>
          <w:lang w:val="en-US"/>
        </w:rPr>
        <w:t xml:space="preserve"> </w:t>
      </w:r>
      <w:r w:rsidR="00AB475D" w:rsidRPr="007B2402">
        <w:rPr>
          <w:rFonts w:eastAsia="Batang" w:cs="Times New Roman"/>
          <w:szCs w:val="20"/>
          <w:lang w:val="en-US"/>
        </w:rPr>
        <w:t>United Nations</w:t>
      </w:r>
      <w:r w:rsidR="005B1590" w:rsidRPr="007B2402">
        <w:rPr>
          <w:rFonts w:eastAsia="Batang" w:cs="Times New Roman"/>
          <w:szCs w:val="20"/>
          <w:lang w:val="en-US"/>
        </w:rPr>
        <w:t xml:space="preserve"> </w:t>
      </w:r>
      <w:r w:rsidR="00F83697" w:rsidRPr="007B2402">
        <w:rPr>
          <w:rFonts w:eastAsia="Batang" w:cs="Times New Roman"/>
          <w:szCs w:val="20"/>
          <w:lang w:val="en-US"/>
        </w:rPr>
        <w:t xml:space="preserve">bodies and other regional and universal </w:t>
      </w:r>
      <w:r w:rsidRPr="007B2402">
        <w:rPr>
          <w:rFonts w:eastAsia="Batang" w:cs="Times New Roman"/>
          <w:szCs w:val="20"/>
          <w:lang w:val="en-US"/>
        </w:rPr>
        <w:t>human rights bodies</w:t>
      </w:r>
      <w:r w:rsidR="00F83697" w:rsidRPr="007B2402">
        <w:rPr>
          <w:rFonts w:eastAsia="Batang" w:cs="Times New Roman"/>
          <w:szCs w:val="20"/>
          <w:lang w:val="en-US"/>
        </w:rPr>
        <w:t xml:space="preserve"> have ruled on the incompatibility with international law and the international obligations of the States</w:t>
      </w:r>
      <w:r w:rsidRPr="007B2402">
        <w:rPr>
          <w:rFonts w:eastAsia="Batang" w:cs="Times New Roman"/>
          <w:szCs w:val="20"/>
          <w:lang w:val="en-US"/>
        </w:rPr>
        <w:t xml:space="preserve"> of amnesty laws in relation to serious human rights violations</w:t>
      </w:r>
      <w:r w:rsidR="00F83697" w:rsidRPr="007B2402">
        <w:rPr>
          <w:rFonts w:eastAsia="Batang" w:cs="Times New Roman"/>
          <w:szCs w:val="20"/>
          <w:lang w:val="en-US"/>
        </w:rPr>
        <w:t>.</w:t>
      </w:r>
    </w:p>
    <w:p w14:paraId="1700E36A" w14:textId="77777777" w:rsidR="000744A8" w:rsidRPr="007B2402" w:rsidRDefault="000744A8" w:rsidP="000744A8">
      <w:pPr>
        <w:spacing w:after="0" w:line="240" w:lineRule="auto"/>
        <w:jc w:val="both"/>
        <w:rPr>
          <w:rFonts w:eastAsia="Calibri" w:cs="Times New Roman"/>
          <w:szCs w:val="20"/>
          <w:lang w:val="en-US"/>
        </w:rPr>
      </w:pPr>
    </w:p>
    <w:p w14:paraId="18212916" w14:textId="37A9A49A" w:rsidR="000744A8" w:rsidRPr="007B2402" w:rsidRDefault="00F83697" w:rsidP="00DB1F30">
      <w:pPr>
        <w:numPr>
          <w:ilvl w:val="0"/>
          <w:numId w:val="6"/>
        </w:numPr>
        <w:spacing w:after="0" w:line="240" w:lineRule="auto"/>
        <w:jc w:val="both"/>
        <w:rPr>
          <w:rFonts w:eastAsia="Calibri" w:cs="Times New Roman"/>
          <w:szCs w:val="20"/>
          <w:lang w:val="en-US"/>
        </w:rPr>
      </w:pPr>
      <w:r w:rsidRPr="007B2402">
        <w:rPr>
          <w:rFonts w:eastAsia="Batang" w:cs="Times New Roman"/>
          <w:szCs w:val="20"/>
          <w:lang w:val="en-US"/>
        </w:rPr>
        <w:t>As already indicated, this Court has ruled</w:t>
      </w:r>
      <w:r w:rsidR="00A47526" w:rsidRPr="007B2402">
        <w:rPr>
          <w:rFonts w:eastAsia="Batang" w:cs="Times New Roman"/>
          <w:szCs w:val="20"/>
          <w:lang w:val="en-US"/>
        </w:rPr>
        <w:t xml:space="preserve"> </w:t>
      </w:r>
      <w:r w:rsidRPr="007B2402">
        <w:rPr>
          <w:rFonts w:eastAsia="Batang" w:cs="Times New Roman"/>
          <w:szCs w:val="20"/>
          <w:lang w:val="en-US"/>
        </w:rPr>
        <w:t xml:space="preserve">on the incompatibility of </w:t>
      </w:r>
      <w:r w:rsidR="00DF1102" w:rsidRPr="007B2402">
        <w:rPr>
          <w:rFonts w:eastAsia="Batang" w:cs="Times New Roman"/>
          <w:szCs w:val="20"/>
          <w:lang w:val="en-US"/>
        </w:rPr>
        <w:t>amnesties</w:t>
      </w:r>
      <w:r w:rsidRPr="007B2402">
        <w:rPr>
          <w:rFonts w:eastAsia="Batang" w:cs="Times New Roman"/>
          <w:szCs w:val="20"/>
          <w:lang w:val="en-US"/>
        </w:rPr>
        <w:t xml:space="preserve"> with </w:t>
      </w:r>
      <w:r w:rsidR="00AF4344" w:rsidRPr="007B2402">
        <w:rPr>
          <w:rFonts w:eastAsia="Batang" w:cs="Times New Roman"/>
          <w:szCs w:val="20"/>
          <w:lang w:val="en-US"/>
        </w:rPr>
        <w:t>the American Convention</w:t>
      </w:r>
      <w:r w:rsidR="000744A8" w:rsidRPr="007B2402">
        <w:rPr>
          <w:rFonts w:eastAsia="Batang" w:cs="Times New Roman"/>
          <w:szCs w:val="20"/>
          <w:lang w:val="en-US"/>
        </w:rPr>
        <w:t xml:space="preserve"> </w:t>
      </w:r>
      <w:r w:rsidRPr="007B2402">
        <w:rPr>
          <w:rFonts w:eastAsia="Batang" w:cs="Times New Roman"/>
          <w:szCs w:val="20"/>
          <w:lang w:val="en-US"/>
        </w:rPr>
        <w:t xml:space="preserve">in cases of serious human rights violations or </w:t>
      </w:r>
      <w:r w:rsidR="00844CE7" w:rsidRPr="007B2402">
        <w:rPr>
          <w:rFonts w:eastAsia="Batang" w:cs="Times New Roman"/>
          <w:szCs w:val="20"/>
          <w:lang w:val="en-US"/>
        </w:rPr>
        <w:t>crimes against humanity</w:t>
      </w:r>
      <w:r w:rsidR="000744A8" w:rsidRPr="007B2402">
        <w:rPr>
          <w:rFonts w:eastAsia="Batang" w:cs="Times New Roman"/>
          <w:szCs w:val="20"/>
          <w:lang w:val="en-US"/>
        </w:rPr>
        <w:t xml:space="preserve"> </w:t>
      </w:r>
      <w:r w:rsidRPr="007B2402">
        <w:rPr>
          <w:rFonts w:eastAsia="Batang" w:cs="Times New Roman"/>
          <w:szCs w:val="20"/>
          <w:lang w:val="en-US"/>
        </w:rPr>
        <w:t>with regard to</w:t>
      </w:r>
      <w:r w:rsidR="000744A8" w:rsidRPr="007B2402">
        <w:rPr>
          <w:rFonts w:eastAsia="Batang" w:cs="Times New Roman"/>
          <w:szCs w:val="20"/>
          <w:lang w:val="en-US"/>
        </w:rPr>
        <w:t xml:space="preserve"> </w:t>
      </w:r>
      <w:r w:rsidR="00D05845" w:rsidRPr="007B2402">
        <w:rPr>
          <w:rFonts w:eastAsia="Batang" w:cs="Times New Roman"/>
          <w:szCs w:val="20"/>
          <w:lang w:val="en-US"/>
        </w:rPr>
        <w:t>Peru</w:t>
      </w:r>
      <w:r w:rsidR="000744A8" w:rsidRPr="007B2402">
        <w:rPr>
          <w:rFonts w:eastAsia="Batang" w:cs="Times New Roman"/>
          <w:szCs w:val="20"/>
          <w:lang w:val="en-US"/>
        </w:rPr>
        <w:t xml:space="preserve"> (</w:t>
      </w:r>
      <w:r w:rsidR="000744A8" w:rsidRPr="007B2402">
        <w:rPr>
          <w:rFonts w:eastAsia="Batang" w:cs="Times New Roman"/>
          <w:i/>
          <w:szCs w:val="20"/>
          <w:lang w:val="en-US"/>
        </w:rPr>
        <w:t>Barrios Altos</w:t>
      </w:r>
      <w:r w:rsidR="005B1590" w:rsidRPr="007B2402">
        <w:rPr>
          <w:rFonts w:eastAsia="Batang" w:cs="Times New Roman"/>
          <w:i/>
          <w:szCs w:val="20"/>
          <w:lang w:val="en-US"/>
        </w:rPr>
        <w:t xml:space="preserve"> and </w:t>
      </w:r>
      <w:r w:rsidR="000744A8" w:rsidRPr="007B2402">
        <w:rPr>
          <w:rFonts w:eastAsia="Batang" w:cs="Times New Roman"/>
          <w:i/>
          <w:szCs w:val="20"/>
          <w:lang w:val="en-US"/>
        </w:rPr>
        <w:t xml:space="preserve">La Cantuta), </w:t>
      </w:r>
      <w:r w:rsidR="000744A8" w:rsidRPr="007B2402">
        <w:rPr>
          <w:rFonts w:eastAsia="Batang" w:cs="Times New Roman"/>
          <w:szCs w:val="20"/>
          <w:lang w:val="en-US"/>
        </w:rPr>
        <w:t>Chile</w:t>
      </w:r>
      <w:r w:rsidR="000744A8" w:rsidRPr="007B2402">
        <w:rPr>
          <w:rFonts w:eastAsia="Batang" w:cs="Times New Roman"/>
          <w:i/>
          <w:szCs w:val="20"/>
          <w:lang w:val="en-US"/>
        </w:rPr>
        <w:t xml:space="preserve"> (Almonacid Arellano</w:t>
      </w:r>
      <w:r w:rsidR="005B1590" w:rsidRPr="007B2402">
        <w:rPr>
          <w:rFonts w:eastAsia="Batang" w:cs="Times New Roman"/>
          <w:i/>
          <w:szCs w:val="20"/>
          <w:lang w:val="en-US"/>
        </w:rPr>
        <w:t xml:space="preserve"> </w:t>
      </w:r>
      <w:r w:rsidR="00892CA3" w:rsidRPr="007B2402">
        <w:rPr>
          <w:rFonts w:eastAsia="Batang" w:cs="Times New Roman"/>
          <w:i/>
          <w:szCs w:val="20"/>
          <w:lang w:val="en-US"/>
        </w:rPr>
        <w:t>et al.</w:t>
      </w:r>
      <w:r w:rsidR="000744A8" w:rsidRPr="007B2402">
        <w:rPr>
          <w:rFonts w:eastAsia="Batang" w:cs="Times New Roman"/>
          <w:i/>
          <w:szCs w:val="20"/>
          <w:lang w:val="en-US"/>
        </w:rPr>
        <w:t xml:space="preserve">), </w:t>
      </w:r>
      <w:r w:rsidR="00AF4344" w:rsidRPr="007B2402">
        <w:rPr>
          <w:rFonts w:eastAsia="Batang" w:cs="Times New Roman"/>
          <w:szCs w:val="20"/>
          <w:lang w:val="en-US"/>
        </w:rPr>
        <w:t>Brazil</w:t>
      </w:r>
      <w:r w:rsidR="000744A8" w:rsidRPr="007B2402">
        <w:rPr>
          <w:rFonts w:eastAsia="Batang" w:cs="Times New Roman"/>
          <w:szCs w:val="20"/>
          <w:lang w:val="en-US"/>
        </w:rPr>
        <w:t xml:space="preserve"> </w:t>
      </w:r>
      <w:r w:rsidR="000744A8" w:rsidRPr="007B2402">
        <w:rPr>
          <w:rFonts w:eastAsia="Batang" w:cs="Times New Roman"/>
          <w:i/>
          <w:szCs w:val="20"/>
          <w:lang w:val="en-US"/>
        </w:rPr>
        <w:t>(Gomes Lund</w:t>
      </w:r>
      <w:r w:rsidR="005B1590" w:rsidRPr="007B2402">
        <w:rPr>
          <w:rFonts w:eastAsia="Batang" w:cs="Times New Roman"/>
          <w:i/>
          <w:szCs w:val="20"/>
          <w:lang w:val="en-US"/>
        </w:rPr>
        <w:t xml:space="preserve"> </w:t>
      </w:r>
      <w:r w:rsidR="00892CA3" w:rsidRPr="007B2402">
        <w:rPr>
          <w:rFonts w:eastAsia="Batang" w:cs="Times New Roman"/>
          <w:i/>
          <w:szCs w:val="20"/>
          <w:lang w:val="en-US"/>
        </w:rPr>
        <w:t>et al.</w:t>
      </w:r>
      <w:r w:rsidR="000744A8" w:rsidRPr="007B2402">
        <w:rPr>
          <w:rFonts w:eastAsia="Batang" w:cs="Times New Roman"/>
          <w:i/>
          <w:szCs w:val="20"/>
          <w:lang w:val="en-US"/>
        </w:rPr>
        <w:t>)</w:t>
      </w:r>
      <w:r w:rsidR="000744A8" w:rsidRPr="007B2402">
        <w:rPr>
          <w:rFonts w:eastAsia="Batang" w:cs="Times New Roman"/>
          <w:szCs w:val="20"/>
          <w:lang w:val="en-US"/>
        </w:rPr>
        <w:t>,</w:t>
      </w:r>
      <w:r w:rsidR="000744A8" w:rsidRPr="007B2402">
        <w:rPr>
          <w:rFonts w:eastAsia="Batang" w:cs="Times New Roman"/>
          <w:i/>
          <w:szCs w:val="20"/>
          <w:lang w:val="en-US"/>
        </w:rPr>
        <w:t xml:space="preserve"> </w:t>
      </w:r>
      <w:r w:rsidR="000744A8" w:rsidRPr="007B2402">
        <w:rPr>
          <w:rFonts w:eastAsia="Batang" w:cs="Times New Roman"/>
          <w:szCs w:val="20"/>
          <w:lang w:val="en-US"/>
        </w:rPr>
        <w:t>Uruguay (</w:t>
      </w:r>
      <w:r w:rsidR="000744A8" w:rsidRPr="007B2402">
        <w:rPr>
          <w:rFonts w:eastAsia="Batang" w:cs="Times New Roman"/>
          <w:i/>
          <w:szCs w:val="20"/>
          <w:lang w:val="en-US"/>
        </w:rPr>
        <w:t>Gelm</w:t>
      </w:r>
      <w:r w:rsidR="000361ED" w:rsidRPr="007B2402">
        <w:rPr>
          <w:rFonts w:eastAsia="Batang" w:cs="Times New Roman"/>
          <w:i/>
          <w:szCs w:val="20"/>
          <w:lang w:val="en-US"/>
        </w:rPr>
        <w:t>a</w:t>
      </w:r>
      <w:r w:rsidR="000744A8" w:rsidRPr="007B2402">
        <w:rPr>
          <w:rFonts w:eastAsia="Batang" w:cs="Times New Roman"/>
          <w:i/>
          <w:szCs w:val="20"/>
          <w:lang w:val="en-US"/>
        </w:rPr>
        <w:t>n)</w:t>
      </w:r>
      <w:r w:rsidR="005B1590" w:rsidRPr="007B2402">
        <w:rPr>
          <w:rFonts w:eastAsia="Batang" w:cs="Times New Roman"/>
          <w:i/>
          <w:szCs w:val="20"/>
          <w:lang w:val="en-US"/>
        </w:rPr>
        <w:t xml:space="preserve"> </w:t>
      </w:r>
      <w:r w:rsidR="005B1590" w:rsidRPr="007B2402">
        <w:rPr>
          <w:rFonts w:eastAsia="Batang" w:cs="Times New Roman"/>
          <w:iCs/>
          <w:szCs w:val="20"/>
          <w:lang w:val="en-US"/>
        </w:rPr>
        <w:t xml:space="preserve">and </w:t>
      </w:r>
      <w:r w:rsidR="000744A8" w:rsidRPr="007B2402">
        <w:rPr>
          <w:rFonts w:eastAsia="Batang" w:cs="Times New Roman"/>
          <w:szCs w:val="20"/>
          <w:lang w:val="en-US"/>
        </w:rPr>
        <w:t>El Salvador (</w:t>
      </w:r>
      <w:r w:rsidR="000744A8" w:rsidRPr="007B2402">
        <w:rPr>
          <w:rFonts w:eastAsia="Batang" w:cs="Times New Roman"/>
          <w:i/>
          <w:szCs w:val="20"/>
          <w:lang w:val="en-US"/>
        </w:rPr>
        <w:t>Mas</w:t>
      </w:r>
      <w:r w:rsidRPr="007B2402">
        <w:rPr>
          <w:rFonts w:eastAsia="Batang" w:cs="Times New Roman"/>
          <w:i/>
          <w:szCs w:val="20"/>
          <w:lang w:val="en-US"/>
        </w:rPr>
        <w:t>s</w:t>
      </w:r>
      <w:r w:rsidR="000744A8" w:rsidRPr="007B2402">
        <w:rPr>
          <w:rFonts w:eastAsia="Batang" w:cs="Times New Roman"/>
          <w:i/>
          <w:szCs w:val="20"/>
          <w:lang w:val="en-US"/>
        </w:rPr>
        <w:t>acre</w:t>
      </w:r>
      <w:r w:rsidR="00A47526" w:rsidRPr="007B2402">
        <w:rPr>
          <w:rFonts w:eastAsia="Batang" w:cs="Times New Roman"/>
          <w:i/>
          <w:szCs w:val="20"/>
          <w:lang w:val="en-US"/>
        </w:rPr>
        <w:t>s</w:t>
      </w:r>
      <w:r w:rsidR="000744A8" w:rsidRPr="007B2402">
        <w:rPr>
          <w:rFonts w:eastAsia="Batang" w:cs="Times New Roman"/>
          <w:i/>
          <w:szCs w:val="20"/>
          <w:lang w:val="en-US"/>
        </w:rPr>
        <w:t xml:space="preserve"> </w:t>
      </w:r>
      <w:r w:rsidRPr="007B2402">
        <w:rPr>
          <w:rFonts w:eastAsia="Batang" w:cs="Times New Roman"/>
          <w:i/>
          <w:szCs w:val="20"/>
          <w:lang w:val="en-US"/>
        </w:rPr>
        <w:t>of</w:t>
      </w:r>
      <w:r w:rsidR="000744A8" w:rsidRPr="007B2402">
        <w:rPr>
          <w:rFonts w:eastAsia="Batang" w:cs="Times New Roman"/>
          <w:i/>
          <w:szCs w:val="20"/>
          <w:lang w:val="en-US"/>
        </w:rPr>
        <w:t xml:space="preserve"> El Mozote</w:t>
      </w:r>
      <w:r w:rsidR="005B1590" w:rsidRPr="007B2402">
        <w:rPr>
          <w:rFonts w:eastAsia="Batang" w:cs="Times New Roman"/>
          <w:i/>
          <w:szCs w:val="20"/>
          <w:lang w:val="en-US"/>
        </w:rPr>
        <w:t xml:space="preserve"> and </w:t>
      </w:r>
      <w:r w:rsidRPr="007B2402">
        <w:rPr>
          <w:rFonts w:eastAsia="Batang" w:cs="Times New Roman"/>
          <w:i/>
          <w:szCs w:val="20"/>
          <w:lang w:val="en-US"/>
        </w:rPr>
        <w:t>neighboring places).</w:t>
      </w:r>
    </w:p>
    <w:p w14:paraId="4B31E0B9" w14:textId="77777777" w:rsidR="000744A8" w:rsidRPr="007B2402" w:rsidRDefault="000744A8" w:rsidP="000744A8">
      <w:pPr>
        <w:spacing w:after="0" w:line="240" w:lineRule="auto"/>
        <w:jc w:val="both"/>
        <w:rPr>
          <w:rFonts w:eastAsia="Batang" w:cs="Times New Roman"/>
          <w:szCs w:val="20"/>
          <w:lang w:val="en-US"/>
        </w:rPr>
      </w:pPr>
    </w:p>
    <w:p w14:paraId="2787316F" w14:textId="48A0DD18" w:rsidR="00F83697" w:rsidRPr="007B2402" w:rsidRDefault="00F83697" w:rsidP="000744A8">
      <w:pPr>
        <w:numPr>
          <w:ilvl w:val="0"/>
          <w:numId w:val="6"/>
        </w:numPr>
        <w:spacing w:after="0" w:line="240" w:lineRule="auto"/>
        <w:jc w:val="both"/>
        <w:rPr>
          <w:rFonts w:eastAsia="Batang" w:cs="Times New Roman"/>
          <w:szCs w:val="20"/>
          <w:lang w:val="en-US"/>
        </w:rPr>
      </w:pPr>
      <w:r w:rsidRPr="007B2402">
        <w:rPr>
          <w:rFonts w:eastAsia="Batang" w:cs="Times New Roman"/>
          <w:szCs w:val="20"/>
          <w:lang w:val="en-US"/>
        </w:rPr>
        <w:t xml:space="preserve">Under the inter-American human rights system, of which Brazil forms part by sovereign decision, </w:t>
      </w:r>
      <w:r w:rsidR="00DB32D3" w:rsidRPr="007B2402">
        <w:rPr>
          <w:rFonts w:eastAsia="Batang" w:cs="Times New Roman"/>
          <w:szCs w:val="20"/>
          <w:lang w:val="en-US"/>
        </w:rPr>
        <w:t xml:space="preserve">numerous rulings have been made on the incompatibility of amnesty laws with the treaty-based obligations of States in the case of </w:t>
      </w:r>
      <w:r w:rsidR="00A47526" w:rsidRPr="007B2402">
        <w:rPr>
          <w:rFonts w:eastAsia="Batang" w:cs="Times New Roman"/>
          <w:szCs w:val="20"/>
          <w:lang w:val="en-US"/>
        </w:rPr>
        <w:t>serious</w:t>
      </w:r>
      <w:r w:rsidR="00DB32D3" w:rsidRPr="007B2402">
        <w:rPr>
          <w:rFonts w:eastAsia="Batang" w:cs="Times New Roman"/>
          <w:szCs w:val="20"/>
          <w:lang w:val="en-US"/>
        </w:rPr>
        <w:t xml:space="preserve"> human rights violations. These rulings are even clearer when they refer to </w:t>
      </w:r>
      <w:r w:rsidR="00955D71" w:rsidRPr="007B2402">
        <w:rPr>
          <w:rFonts w:eastAsia="Batang" w:cs="Times New Roman"/>
          <w:szCs w:val="20"/>
          <w:lang w:val="en-US"/>
        </w:rPr>
        <w:t>crimes under international</w:t>
      </w:r>
      <w:r w:rsidR="00DB32D3" w:rsidRPr="007B2402">
        <w:rPr>
          <w:rFonts w:eastAsia="Batang" w:cs="Times New Roman"/>
          <w:szCs w:val="20"/>
          <w:lang w:val="en-US"/>
        </w:rPr>
        <w:t xml:space="preserve"> law, because their seriousness and magnitude is evident.</w:t>
      </w:r>
    </w:p>
    <w:p w14:paraId="61C8585E" w14:textId="77777777" w:rsidR="009D2BE7" w:rsidRPr="007B2402" w:rsidRDefault="009D2BE7" w:rsidP="009D2BE7">
      <w:pPr>
        <w:pStyle w:val="Prrafodelista"/>
        <w:rPr>
          <w:rFonts w:cs="Times New Roman"/>
          <w:szCs w:val="20"/>
          <w:lang w:val="en-US"/>
        </w:rPr>
      </w:pPr>
    </w:p>
    <w:p w14:paraId="38E4CA30" w14:textId="03D54CF2" w:rsidR="009D2BE7" w:rsidRPr="007B2402" w:rsidRDefault="00DB32D3" w:rsidP="00825DD3">
      <w:pPr>
        <w:numPr>
          <w:ilvl w:val="0"/>
          <w:numId w:val="6"/>
        </w:numPr>
        <w:spacing w:after="0" w:line="240" w:lineRule="auto"/>
        <w:jc w:val="both"/>
        <w:rPr>
          <w:rFonts w:eastAsia="Batang" w:cs="Times New Roman"/>
          <w:szCs w:val="20"/>
          <w:lang w:val="en-US"/>
        </w:rPr>
      </w:pPr>
      <w:r w:rsidRPr="007B2402">
        <w:rPr>
          <w:rFonts w:eastAsia="Batang" w:cs="Times New Roman"/>
          <w:szCs w:val="20"/>
          <w:lang w:val="en-US"/>
        </w:rPr>
        <w:t xml:space="preserve">In this regard, it is </w:t>
      </w:r>
      <w:r w:rsidR="00DF1102" w:rsidRPr="007B2402">
        <w:rPr>
          <w:rFonts w:eastAsia="Batang" w:cs="Times New Roman"/>
          <w:szCs w:val="20"/>
          <w:lang w:val="en-US"/>
        </w:rPr>
        <w:t>important</w:t>
      </w:r>
      <w:r w:rsidRPr="007B2402">
        <w:rPr>
          <w:rFonts w:eastAsia="Batang" w:cs="Times New Roman"/>
          <w:szCs w:val="20"/>
          <w:lang w:val="en-US"/>
        </w:rPr>
        <w:t xml:space="preserve"> to point out that, as this Court has established,</w:t>
      </w:r>
      <w:r w:rsidR="002424F2" w:rsidRPr="007B2402">
        <w:rPr>
          <w:rStyle w:val="Refdenotaalpie"/>
          <w:rFonts w:ascii="Verdana" w:eastAsia="Batang" w:hAnsi="Verdana"/>
          <w:lang w:val="en-US"/>
        </w:rPr>
        <w:footnoteReference w:id="296"/>
      </w:r>
      <w:r w:rsidRPr="007B2402">
        <w:rPr>
          <w:rFonts w:eastAsia="Batang" w:cs="Times New Roman"/>
          <w:szCs w:val="20"/>
          <w:lang w:val="en-US"/>
        </w:rPr>
        <w:t xml:space="preserve"> international </w:t>
      </w:r>
      <w:r w:rsidR="00DF1102" w:rsidRPr="007B2402">
        <w:rPr>
          <w:rFonts w:eastAsia="Batang" w:cs="Times New Roman"/>
          <w:szCs w:val="20"/>
          <w:lang w:val="en-US"/>
        </w:rPr>
        <w:t>humanitarian</w:t>
      </w:r>
      <w:r w:rsidRPr="007B2402">
        <w:rPr>
          <w:rFonts w:eastAsia="Batang" w:cs="Times New Roman"/>
          <w:szCs w:val="20"/>
          <w:lang w:val="en-US"/>
        </w:rPr>
        <w:t xml:space="preserve"> law justifies the enactment of amnesty laws</w:t>
      </w:r>
      <w:r w:rsidR="002424F2" w:rsidRPr="007B2402">
        <w:rPr>
          <w:rStyle w:val="Refdenotaalpie"/>
          <w:rFonts w:ascii="Verdana" w:hAnsi="Verdana"/>
          <w:lang w:val="en-US"/>
        </w:rPr>
        <w:footnoteReference w:id="297"/>
      </w:r>
      <w:r w:rsidR="002424F2" w:rsidRPr="007B2402">
        <w:rPr>
          <w:lang w:val="en-US"/>
        </w:rPr>
        <w:t xml:space="preserve"> </w:t>
      </w:r>
      <w:r w:rsidRPr="007B2402">
        <w:rPr>
          <w:lang w:val="en-US"/>
        </w:rPr>
        <w:t xml:space="preserve">when hostilities </w:t>
      </w:r>
      <w:r w:rsidRPr="007B2402">
        <w:rPr>
          <w:lang w:val="en-US"/>
        </w:rPr>
        <w:lastRenderedPageBreak/>
        <w:t xml:space="preserve">cease in non-international armed conflicts to enable the return to peace, provided they do not cover up war crimes and </w:t>
      </w:r>
      <w:r w:rsidR="00810476" w:rsidRPr="007B2402">
        <w:rPr>
          <w:lang w:val="en-US"/>
        </w:rPr>
        <w:t>crimes against humanity</w:t>
      </w:r>
      <w:r w:rsidR="00A7189D" w:rsidRPr="007B2402">
        <w:rPr>
          <w:lang w:val="en-US"/>
        </w:rPr>
        <w:t xml:space="preserve">, </w:t>
      </w:r>
      <w:r w:rsidRPr="007B2402">
        <w:rPr>
          <w:lang w:val="en-US"/>
        </w:rPr>
        <w:t>which cannot remain unpunished.</w:t>
      </w:r>
      <w:r w:rsidR="002424F2" w:rsidRPr="007B2402">
        <w:rPr>
          <w:rStyle w:val="Refdenotaalpie"/>
          <w:rFonts w:ascii="Verdana" w:eastAsia="Batang" w:hAnsi="Verdana"/>
          <w:lang w:val="en-US"/>
        </w:rPr>
        <w:footnoteReference w:id="298"/>
      </w:r>
    </w:p>
    <w:p w14:paraId="7974D88E" w14:textId="77777777" w:rsidR="002F14B8" w:rsidRPr="007B2402" w:rsidRDefault="002F14B8" w:rsidP="002F14B8">
      <w:pPr>
        <w:spacing w:after="0" w:line="240" w:lineRule="auto"/>
        <w:jc w:val="both"/>
        <w:rPr>
          <w:rFonts w:eastAsia="Batang" w:cs="Times New Roman"/>
          <w:szCs w:val="20"/>
          <w:lang w:val="en-US"/>
        </w:rPr>
      </w:pPr>
    </w:p>
    <w:p w14:paraId="12A4C7CF" w14:textId="2F5650CE" w:rsidR="000744A8" w:rsidRPr="007B2402" w:rsidRDefault="00DB32D3" w:rsidP="00B044BE">
      <w:pPr>
        <w:numPr>
          <w:ilvl w:val="0"/>
          <w:numId w:val="6"/>
        </w:numPr>
        <w:spacing w:after="0" w:line="240" w:lineRule="auto"/>
        <w:jc w:val="both"/>
        <w:rPr>
          <w:rFonts w:eastAsia="Batang" w:cs="Times New Roman"/>
          <w:szCs w:val="20"/>
          <w:lang w:val="en-US"/>
        </w:rPr>
      </w:pPr>
      <w:r w:rsidRPr="007B2402">
        <w:rPr>
          <w:rFonts w:eastAsia="Batang" w:cs="Times New Roman"/>
          <w:szCs w:val="20"/>
          <w:lang w:val="en-US"/>
        </w:rPr>
        <w:t>In the</w:t>
      </w:r>
      <w:r w:rsidR="000744A8" w:rsidRPr="007B2402">
        <w:rPr>
          <w:rFonts w:eastAsia="Batang" w:cs="Times New Roman"/>
          <w:szCs w:val="20"/>
          <w:lang w:val="en-US"/>
        </w:rPr>
        <w:t xml:space="preserve"> </w:t>
      </w:r>
      <w:r w:rsidR="000744A8" w:rsidRPr="007B2402">
        <w:rPr>
          <w:rFonts w:eastAsia="Batang" w:cs="Times New Roman"/>
          <w:i/>
          <w:iCs/>
          <w:szCs w:val="20"/>
          <w:lang w:val="en-US"/>
        </w:rPr>
        <w:t>universal</w:t>
      </w:r>
      <w:r w:rsidRPr="007B2402">
        <w:rPr>
          <w:rFonts w:eastAsia="Batang" w:cs="Times New Roman"/>
          <w:i/>
          <w:iCs/>
          <w:szCs w:val="20"/>
          <w:lang w:val="en-US"/>
        </w:rPr>
        <w:t xml:space="preserve"> sphere</w:t>
      </w:r>
      <w:r w:rsidR="000744A8" w:rsidRPr="007B2402">
        <w:rPr>
          <w:rFonts w:eastAsia="Batang" w:cs="Times New Roman"/>
          <w:szCs w:val="20"/>
          <w:lang w:val="en-US"/>
        </w:rPr>
        <w:t xml:space="preserve">, </w:t>
      </w:r>
      <w:r w:rsidRPr="007B2402">
        <w:rPr>
          <w:rFonts w:eastAsia="Batang" w:cs="Times New Roman"/>
          <w:szCs w:val="20"/>
          <w:lang w:val="en-US"/>
        </w:rPr>
        <w:t>the United Nations</w:t>
      </w:r>
      <w:r w:rsidR="00794B4B" w:rsidRPr="007B2402">
        <w:rPr>
          <w:rFonts w:eastAsia="Batang" w:cs="Times New Roman"/>
          <w:szCs w:val="20"/>
          <w:lang w:val="en-US"/>
        </w:rPr>
        <w:t xml:space="preserve"> Secretar</w:t>
      </w:r>
      <w:r w:rsidRPr="007B2402">
        <w:rPr>
          <w:rFonts w:eastAsia="Batang" w:cs="Times New Roman"/>
          <w:szCs w:val="20"/>
          <w:lang w:val="en-US"/>
        </w:rPr>
        <w:t>y-</w:t>
      </w:r>
      <w:r w:rsidR="00794B4B" w:rsidRPr="007B2402">
        <w:rPr>
          <w:rFonts w:eastAsia="Batang" w:cs="Times New Roman"/>
          <w:szCs w:val="20"/>
          <w:lang w:val="en-US"/>
        </w:rPr>
        <w:t>General</w:t>
      </w:r>
      <w:r w:rsidRPr="007B2402">
        <w:rPr>
          <w:rFonts w:eastAsia="Batang" w:cs="Times New Roman"/>
          <w:szCs w:val="20"/>
          <w:lang w:val="en-US"/>
        </w:rPr>
        <w:t xml:space="preserve">, in his report to the Security Council entitled </w:t>
      </w:r>
      <w:r w:rsidR="00B044BE" w:rsidRPr="007B2402">
        <w:rPr>
          <w:i/>
          <w:szCs w:val="16"/>
          <w:lang w:val="en-US"/>
        </w:rPr>
        <w:t xml:space="preserve">The rule of law and transitional justice in conflict and post-conflict </w:t>
      </w:r>
      <w:r w:rsidR="00B044BE" w:rsidRPr="007B2402">
        <w:rPr>
          <w:i/>
          <w:szCs w:val="20"/>
          <w:lang w:val="en-US"/>
        </w:rPr>
        <w:t xml:space="preserve">societies </w:t>
      </w:r>
      <w:r w:rsidR="00B044BE" w:rsidRPr="007B2402">
        <w:rPr>
          <w:iCs/>
          <w:szCs w:val="20"/>
          <w:lang w:val="en-US"/>
        </w:rPr>
        <w:t>indicated that “</w:t>
      </w:r>
      <w:r w:rsidR="00B044BE" w:rsidRPr="007B2402">
        <w:rPr>
          <w:szCs w:val="20"/>
          <w:lang w:val="en-US"/>
        </w:rPr>
        <w:t>United Nations-endorsed peace agreements can never promise amnesties for genocide, war crimes, crimes against humanity or gross violations of human rights</w:t>
      </w:r>
      <w:r w:rsidR="00B044BE" w:rsidRPr="007B2402">
        <w:rPr>
          <w:rFonts w:eastAsia="Batang" w:cs="Times New Roman"/>
          <w:szCs w:val="20"/>
          <w:lang w:val="en-US"/>
        </w:rPr>
        <w:t>.</w:t>
      </w:r>
      <w:r w:rsidR="000744A8" w:rsidRPr="007B2402">
        <w:rPr>
          <w:rFonts w:eastAsia="Batang" w:cs="Times-Roman"/>
          <w:szCs w:val="20"/>
          <w:lang w:val="en-US" w:bidi="en-US"/>
        </w:rPr>
        <w:t>”</w:t>
      </w:r>
      <w:r w:rsidR="002424F2" w:rsidRPr="007B2402">
        <w:rPr>
          <w:rFonts w:eastAsia="Batang" w:cs="Times-Roman"/>
          <w:szCs w:val="20"/>
          <w:vertAlign w:val="superscript"/>
          <w:lang w:val="en-US" w:bidi="en-US"/>
        </w:rPr>
        <w:footnoteReference w:id="299"/>
      </w:r>
      <w:r w:rsidR="002F14B8" w:rsidRPr="007B2402">
        <w:rPr>
          <w:rFonts w:eastAsia="Batang" w:cs="Times New Roman"/>
          <w:szCs w:val="20"/>
          <w:lang w:val="en-US"/>
        </w:rPr>
        <w:t xml:space="preserve"> </w:t>
      </w:r>
      <w:r w:rsidR="00B044BE" w:rsidRPr="007B2402">
        <w:rPr>
          <w:rFonts w:eastAsia="Batang" w:cs="Times New Roman"/>
          <w:szCs w:val="20"/>
          <w:lang w:val="en-US"/>
        </w:rPr>
        <w:t>Similarly, the United Nations High Commissioner for Human Rights has concluded that “amnesties and other juridical arrangements of comparable effect […] promote impunity [and] pose a major obstacle to efforts to uphold the right to the truth by inhibiting the conduct of full inquiries,”</w:t>
      </w:r>
      <w:r w:rsidR="002424F2" w:rsidRPr="007B2402">
        <w:rPr>
          <w:rFonts w:eastAsia="Batang" w:cs="Times New Roman"/>
          <w:szCs w:val="20"/>
          <w:vertAlign w:val="superscript"/>
          <w:lang w:val="en-US"/>
        </w:rPr>
        <w:footnoteReference w:id="300"/>
      </w:r>
      <w:r w:rsidR="005B1590" w:rsidRPr="007B2402">
        <w:rPr>
          <w:rFonts w:eastAsia="Batang" w:cs="Times New Roman"/>
          <w:szCs w:val="20"/>
          <w:lang w:val="en-US"/>
        </w:rPr>
        <w:t xml:space="preserve"> and </w:t>
      </w:r>
      <w:r w:rsidR="00B044BE" w:rsidRPr="007B2402">
        <w:rPr>
          <w:rFonts w:eastAsia="Batang" w:cs="Times New Roman"/>
          <w:szCs w:val="20"/>
          <w:lang w:val="en-US"/>
        </w:rPr>
        <w:t>are, therefore, incompatible with State obligations by virtue of different sour</w:t>
      </w:r>
      <w:r w:rsidR="00E53F80" w:rsidRPr="007B2402">
        <w:rPr>
          <w:rFonts w:eastAsia="Batang" w:cs="Times New Roman"/>
          <w:szCs w:val="20"/>
          <w:lang w:val="en-US"/>
        </w:rPr>
        <w:t>c</w:t>
      </w:r>
      <w:r w:rsidR="00B044BE" w:rsidRPr="007B2402">
        <w:rPr>
          <w:rFonts w:eastAsia="Batang" w:cs="Times New Roman"/>
          <w:szCs w:val="20"/>
          <w:lang w:val="en-US"/>
        </w:rPr>
        <w:t>es of international law.</w:t>
      </w:r>
      <w:r w:rsidR="002424F2" w:rsidRPr="007B2402">
        <w:rPr>
          <w:rFonts w:eastAsia="Batang" w:cs="Times New Roman"/>
          <w:szCs w:val="20"/>
          <w:vertAlign w:val="superscript"/>
          <w:lang w:val="en-US"/>
        </w:rPr>
        <w:footnoteReference w:id="301"/>
      </w:r>
    </w:p>
    <w:p w14:paraId="56920C5E" w14:textId="77777777" w:rsidR="000744A8" w:rsidRPr="007B2402" w:rsidRDefault="000744A8" w:rsidP="000744A8">
      <w:pPr>
        <w:spacing w:after="0" w:line="240" w:lineRule="auto"/>
        <w:ind w:left="709" w:right="662"/>
        <w:rPr>
          <w:rFonts w:eastAsia="Batang" w:cs="Times New Roman"/>
          <w:szCs w:val="20"/>
          <w:lang w:val="en-US"/>
        </w:rPr>
      </w:pPr>
    </w:p>
    <w:p w14:paraId="3BF14685" w14:textId="7186771C" w:rsidR="00BF0EA4" w:rsidRPr="007B2402" w:rsidRDefault="00DF1102" w:rsidP="00DB1F30">
      <w:pPr>
        <w:numPr>
          <w:ilvl w:val="0"/>
          <w:numId w:val="6"/>
        </w:numPr>
        <w:spacing w:after="0" w:line="240" w:lineRule="auto"/>
        <w:jc w:val="both"/>
        <w:rPr>
          <w:rFonts w:eastAsia="Batang" w:cs="Verdana"/>
          <w:szCs w:val="20"/>
          <w:lang w:val="en-US" w:bidi="en-US"/>
        </w:rPr>
      </w:pPr>
      <w:r w:rsidRPr="007B2402">
        <w:rPr>
          <w:rFonts w:eastAsia="Batang" w:cs="Times New Roman"/>
          <w:szCs w:val="20"/>
          <w:lang w:val="en-US"/>
        </w:rPr>
        <w:t>Also,</w:t>
      </w:r>
      <w:r w:rsidR="00E53F80" w:rsidRPr="007B2402">
        <w:rPr>
          <w:rFonts w:eastAsia="Batang" w:cs="Times New Roman"/>
          <w:szCs w:val="20"/>
          <w:lang w:val="en-US"/>
        </w:rPr>
        <w:t xml:space="preserve"> in the universal sphere, the human rights treaty bodies have maintained the same standard on the prohibition of amnesties that prevent the investigation and punishment of those who commit grave human rights violations.</w:t>
      </w:r>
      <w:r w:rsidR="002424F2" w:rsidRPr="007B2402">
        <w:rPr>
          <w:rFonts w:eastAsia="Batang" w:cs="Times New Roman"/>
          <w:szCs w:val="20"/>
          <w:vertAlign w:val="superscript"/>
          <w:lang w:val="en-US"/>
        </w:rPr>
        <w:footnoteReference w:id="302"/>
      </w:r>
      <w:r w:rsidR="000744A8" w:rsidRPr="007B2402">
        <w:rPr>
          <w:rFonts w:eastAsia="Batang" w:cs="Times New Roman"/>
          <w:szCs w:val="20"/>
          <w:lang w:val="en-US"/>
        </w:rPr>
        <w:t xml:space="preserve"> </w:t>
      </w:r>
    </w:p>
    <w:p w14:paraId="322B2406" w14:textId="77777777" w:rsidR="00BF0EA4" w:rsidRPr="007B2402" w:rsidRDefault="00BF0EA4" w:rsidP="00BF0EA4">
      <w:pPr>
        <w:pStyle w:val="Prrafodelista"/>
        <w:rPr>
          <w:rFonts w:cs="Times New Roman"/>
          <w:szCs w:val="20"/>
          <w:lang w:val="en-US"/>
        </w:rPr>
      </w:pPr>
    </w:p>
    <w:p w14:paraId="3C11CD80" w14:textId="46165686" w:rsidR="000744A8" w:rsidRPr="007B2402" w:rsidRDefault="00880755" w:rsidP="00565ED3">
      <w:pPr>
        <w:numPr>
          <w:ilvl w:val="0"/>
          <w:numId w:val="6"/>
        </w:numPr>
        <w:spacing w:after="0" w:line="240" w:lineRule="auto"/>
        <w:jc w:val="both"/>
        <w:rPr>
          <w:rFonts w:eastAsia="Batang" w:cs="Verdana"/>
          <w:szCs w:val="20"/>
          <w:lang w:val="en-US" w:bidi="en-US"/>
        </w:rPr>
      </w:pPr>
      <w:r w:rsidRPr="007B2402">
        <w:rPr>
          <w:rFonts w:eastAsia="Batang" w:cs="Times New Roman"/>
          <w:szCs w:val="20"/>
          <w:lang w:val="en-US"/>
        </w:rPr>
        <w:t>Amnesties or similar measures have also been considered inadmissible under international criminal law.</w:t>
      </w:r>
      <w:r w:rsidRPr="007B2402">
        <w:rPr>
          <w:rFonts w:eastAsia="Batang" w:cs="Verdana"/>
          <w:szCs w:val="20"/>
          <w:lang w:val="en-US" w:bidi="en-US"/>
        </w:rPr>
        <w:t xml:space="preserve"> </w:t>
      </w:r>
      <w:r w:rsidR="003B752F" w:rsidRPr="007B2402">
        <w:rPr>
          <w:rFonts w:eastAsia="Batang" w:cs="Times New Roman"/>
          <w:szCs w:val="20"/>
          <w:lang w:val="en-US"/>
        </w:rPr>
        <w:t xml:space="preserve">The International Criminal </w:t>
      </w:r>
      <w:r w:rsidRPr="007B2402">
        <w:rPr>
          <w:rFonts w:eastAsia="Batang" w:cs="Times New Roman"/>
          <w:szCs w:val="20"/>
          <w:lang w:val="en-US"/>
        </w:rPr>
        <w:t>Tribunal for the Former</w:t>
      </w:r>
      <w:r w:rsidR="000744A8" w:rsidRPr="007B2402">
        <w:rPr>
          <w:rFonts w:eastAsia="Batang" w:cs="Times New Roman"/>
          <w:szCs w:val="20"/>
          <w:lang w:val="en-US"/>
        </w:rPr>
        <w:t xml:space="preserve"> Yugoslavia consider</w:t>
      </w:r>
      <w:r w:rsidRPr="007B2402">
        <w:rPr>
          <w:rFonts w:eastAsia="Batang" w:cs="Times New Roman"/>
          <w:szCs w:val="20"/>
          <w:lang w:val="en-US"/>
        </w:rPr>
        <w:t xml:space="preserve">ed that </w:t>
      </w:r>
      <w:r w:rsidR="00493783" w:rsidRPr="007B2402">
        <w:rPr>
          <w:rFonts w:cs="Arial"/>
          <w:szCs w:val="20"/>
          <w:lang w:val="en-US"/>
        </w:rPr>
        <w:t>it would be senseless to argue, on the one hand, to maintain the prohibition of gr</w:t>
      </w:r>
      <w:r w:rsidR="00F33FE3" w:rsidRPr="007B2402">
        <w:rPr>
          <w:rFonts w:cs="Arial"/>
          <w:szCs w:val="20"/>
          <w:lang w:val="en-US"/>
        </w:rPr>
        <w:t>ave</w:t>
      </w:r>
      <w:r w:rsidR="00493783" w:rsidRPr="007B2402">
        <w:rPr>
          <w:rFonts w:cs="Arial"/>
          <w:szCs w:val="20"/>
          <w:lang w:val="en-US"/>
        </w:rPr>
        <w:t xml:space="preserve"> human rights violations and, on the other,</w:t>
      </w:r>
      <w:r w:rsidR="00F33FE3" w:rsidRPr="007B2402">
        <w:rPr>
          <w:rFonts w:cs="Arial"/>
          <w:szCs w:val="20"/>
          <w:lang w:val="en-US"/>
        </w:rPr>
        <w:t xml:space="preserve"> to</w:t>
      </w:r>
      <w:r w:rsidR="00493783" w:rsidRPr="007B2402">
        <w:rPr>
          <w:rFonts w:cs="Arial"/>
          <w:szCs w:val="20"/>
          <w:lang w:val="en-US"/>
        </w:rPr>
        <w:t xml:space="preserve"> allow State measures that authorize or condone</w:t>
      </w:r>
      <w:r w:rsidR="00F33FE3" w:rsidRPr="007B2402">
        <w:rPr>
          <w:rFonts w:cs="Arial"/>
          <w:szCs w:val="20"/>
          <w:lang w:val="en-US"/>
        </w:rPr>
        <w:t xml:space="preserve"> them</w:t>
      </w:r>
      <w:r w:rsidR="00493783" w:rsidRPr="007B2402">
        <w:rPr>
          <w:rFonts w:cs="Arial"/>
          <w:szCs w:val="20"/>
          <w:lang w:val="en-US"/>
        </w:rPr>
        <w:t>, or amnesty laws that absolve the perpetrators.</w:t>
      </w:r>
      <w:r w:rsidR="002424F2" w:rsidRPr="007B2402">
        <w:rPr>
          <w:rFonts w:eastAsia="Batang" w:cs="Times New Roman"/>
          <w:szCs w:val="20"/>
          <w:vertAlign w:val="superscript"/>
          <w:lang w:val="en-US"/>
        </w:rPr>
        <w:footnoteReference w:id="303"/>
      </w:r>
      <w:r w:rsidR="00493783" w:rsidRPr="007B2402">
        <w:rPr>
          <w:rFonts w:eastAsia="Batang" w:cs="Times New Roman"/>
          <w:szCs w:val="20"/>
          <w:lang w:val="en-US"/>
        </w:rPr>
        <w:t xml:space="preserve"> It also affirmed that an amnesty enacted under domestic law with regard to the crime of torture, “would not be accorded international legal recognition.</w:t>
      </w:r>
      <w:r w:rsidR="000744A8" w:rsidRPr="007B2402">
        <w:rPr>
          <w:rFonts w:eastAsia="Batang" w:cs="Verdana"/>
          <w:szCs w:val="20"/>
          <w:lang w:val="en-US" w:bidi="en-US"/>
        </w:rPr>
        <w:t>”</w:t>
      </w:r>
      <w:r w:rsidR="002424F2" w:rsidRPr="007B2402">
        <w:rPr>
          <w:rFonts w:eastAsia="Batang" w:cs="Verdana"/>
          <w:szCs w:val="20"/>
          <w:vertAlign w:val="superscript"/>
          <w:lang w:val="en-US" w:bidi="en-US"/>
        </w:rPr>
        <w:footnoteReference w:id="304"/>
      </w:r>
      <w:r w:rsidR="00493783" w:rsidRPr="007B2402">
        <w:rPr>
          <w:rFonts w:eastAsia="Batang" w:cs="Verdana"/>
          <w:szCs w:val="20"/>
          <w:lang w:val="en-US" w:bidi="en-US"/>
        </w:rPr>
        <w:t xml:space="preserve"> Similarly, the Special Court for Sierra Leone considered that the amnesty laws of that country were not applicable to </w:t>
      </w:r>
      <w:r w:rsidR="00F33FE3" w:rsidRPr="007B2402">
        <w:rPr>
          <w:rFonts w:eastAsia="Batang" w:cs="Verdana"/>
          <w:szCs w:val="20"/>
          <w:lang w:val="en-US" w:bidi="en-US"/>
        </w:rPr>
        <w:t>serious</w:t>
      </w:r>
      <w:r w:rsidR="00493783" w:rsidRPr="007B2402">
        <w:rPr>
          <w:rFonts w:eastAsia="Batang" w:cs="Verdana"/>
          <w:szCs w:val="20"/>
          <w:lang w:val="en-US" w:bidi="en-US"/>
        </w:rPr>
        <w:t xml:space="preserve"> international crimes.</w:t>
      </w:r>
      <w:r w:rsidR="002950B0" w:rsidRPr="007B2402">
        <w:rPr>
          <w:rFonts w:eastAsia="Batang" w:cs="Times New Roman"/>
          <w:szCs w:val="20"/>
          <w:vertAlign w:val="superscript"/>
          <w:lang w:val="en-US"/>
        </w:rPr>
        <w:footnoteReference w:id="305"/>
      </w:r>
      <w:r w:rsidR="00704F97" w:rsidRPr="007B2402">
        <w:rPr>
          <w:rFonts w:eastAsia="Batang" w:cs="Times New Roman"/>
          <w:szCs w:val="20"/>
          <w:lang w:val="en-US"/>
        </w:rPr>
        <w:t xml:space="preserve"> This universal trend has been incorporated into the Agreement between the United Nations and the Lebanese Republic and the Agreement between the United Nations and the Kingdom of Cambodia, and also into </w:t>
      </w:r>
      <w:r w:rsidR="00F33FE3" w:rsidRPr="007B2402">
        <w:rPr>
          <w:rFonts w:eastAsia="Batang" w:cs="Times New Roman"/>
          <w:szCs w:val="20"/>
          <w:lang w:val="en-US"/>
        </w:rPr>
        <w:t xml:space="preserve">the </w:t>
      </w:r>
      <w:r w:rsidR="00704F97" w:rsidRPr="007B2402">
        <w:rPr>
          <w:rFonts w:eastAsia="Batang" w:cs="Times New Roman"/>
          <w:szCs w:val="20"/>
          <w:lang w:val="en-US"/>
        </w:rPr>
        <w:t xml:space="preserve">Charters that created the Special Tribunal for the Lebanon, the Special Court for Sierra Leone, and the Extraordinary Chambers of the Courts of </w:t>
      </w:r>
      <w:r w:rsidR="00704F97" w:rsidRPr="007B2402">
        <w:rPr>
          <w:rFonts w:eastAsia="Batang" w:cs="Times New Roman"/>
          <w:szCs w:val="20"/>
          <w:lang w:val="en-US"/>
        </w:rPr>
        <w:lastRenderedPageBreak/>
        <w:t>Cambodia.</w:t>
      </w:r>
      <w:r w:rsidR="002950B0" w:rsidRPr="007B2402">
        <w:rPr>
          <w:rFonts w:eastAsia="Batang" w:cs="Times New Roman"/>
          <w:szCs w:val="20"/>
          <w:vertAlign w:val="superscript"/>
          <w:lang w:val="en-US"/>
        </w:rPr>
        <w:footnoteReference w:id="306"/>
      </w:r>
      <w:r w:rsidR="000744A8" w:rsidRPr="007B2402">
        <w:rPr>
          <w:rFonts w:eastAsia="Batang" w:cs="Verdana"/>
          <w:szCs w:val="20"/>
          <w:lang w:val="en-US" w:bidi="en-US"/>
        </w:rPr>
        <w:t xml:space="preserve"> </w:t>
      </w:r>
      <w:r w:rsidR="00704F97" w:rsidRPr="007B2402">
        <w:rPr>
          <w:rFonts w:eastAsia="Batang" w:cs="Verdana"/>
          <w:szCs w:val="20"/>
          <w:lang w:val="en-US" w:bidi="en-US"/>
        </w:rPr>
        <w:t>Moreover, these courts recognize that there is a “</w:t>
      </w:r>
      <w:r w:rsidR="00023645" w:rsidRPr="007B2402">
        <w:rPr>
          <w:rFonts w:eastAsia="Batang" w:cs="Verdana"/>
          <w:szCs w:val="20"/>
          <w:lang w:val="en-US" w:bidi="en-US"/>
        </w:rPr>
        <w:t>crystallising international norm,</w:t>
      </w:r>
      <w:r w:rsidR="002950B0" w:rsidRPr="007B2402">
        <w:rPr>
          <w:rFonts w:eastAsia="Batang" w:cs="Verdana"/>
          <w:szCs w:val="20"/>
          <w:lang w:val="en-US" w:bidi="en-US"/>
        </w:rPr>
        <w:t>”</w:t>
      </w:r>
      <w:r w:rsidR="002950B0" w:rsidRPr="007B2402">
        <w:rPr>
          <w:rFonts w:eastAsia="Batang" w:cs="Verdana"/>
          <w:szCs w:val="20"/>
          <w:vertAlign w:val="superscript"/>
          <w:lang w:val="en-US" w:bidi="en-US"/>
        </w:rPr>
        <w:footnoteReference w:id="307"/>
      </w:r>
      <w:r w:rsidR="002950B0" w:rsidRPr="007B2402">
        <w:rPr>
          <w:rFonts w:eastAsia="Batang" w:cs="Verdana"/>
          <w:szCs w:val="20"/>
          <w:lang w:val="en-US" w:bidi="en-US"/>
        </w:rPr>
        <w:t xml:space="preserve"> </w:t>
      </w:r>
      <w:r w:rsidR="00023645" w:rsidRPr="007B2402">
        <w:rPr>
          <w:rFonts w:eastAsia="Batang" w:cs="Verdana"/>
          <w:szCs w:val="20"/>
          <w:lang w:val="en-US" w:bidi="en-US"/>
        </w:rPr>
        <w:t>or an “emerging consensus</w:t>
      </w:r>
      <w:r w:rsidR="002950B0" w:rsidRPr="007B2402">
        <w:rPr>
          <w:rFonts w:eastAsia="Batang" w:cs="Verdana"/>
          <w:szCs w:val="20"/>
          <w:lang w:val="en-US" w:bidi="en-US"/>
        </w:rPr>
        <w:t>”</w:t>
      </w:r>
      <w:r w:rsidR="002950B0" w:rsidRPr="007B2402">
        <w:rPr>
          <w:rFonts w:eastAsia="Batang" w:cs="Verdana"/>
          <w:szCs w:val="20"/>
          <w:vertAlign w:val="superscript"/>
          <w:lang w:val="en-US" w:bidi="en-US"/>
        </w:rPr>
        <w:footnoteReference w:id="308"/>
      </w:r>
      <w:r w:rsidR="002950B0" w:rsidRPr="007B2402">
        <w:rPr>
          <w:rFonts w:eastAsia="Batang" w:cs="Verdana"/>
          <w:szCs w:val="20"/>
          <w:lang w:val="en-US" w:bidi="en-US"/>
        </w:rPr>
        <w:t xml:space="preserve"> </w:t>
      </w:r>
      <w:r w:rsidR="00023645" w:rsidRPr="007B2402">
        <w:rPr>
          <w:rFonts w:eastAsia="Batang" w:cs="Verdana"/>
          <w:szCs w:val="20"/>
          <w:lang w:val="en-US" w:bidi="en-US"/>
        </w:rPr>
        <w:t xml:space="preserve">with regard to the prohibition of amnesties in relation to </w:t>
      </w:r>
      <w:r w:rsidR="00AC3465" w:rsidRPr="007B2402">
        <w:rPr>
          <w:rFonts w:eastAsia="Batang" w:cs="Verdana"/>
          <w:szCs w:val="20"/>
          <w:lang w:val="en-US" w:bidi="en-US"/>
        </w:rPr>
        <w:t>serious</w:t>
      </w:r>
      <w:r w:rsidR="00023645" w:rsidRPr="007B2402">
        <w:rPr>
          <w:rFonts w:eastAsia="Batang" w:cs="Verdana"/>
          <w:szCs w:val="20"/>
          <w:lang w:val="en-US" w:bidi="en-US"/>
        </w:rPr>
        <w:t xml:space="preserve"> international crimes; in particular, as regards total or general amnesties</w:t>
      </w:r>
      <w:r w:rsidR="00AC3465" w:rsidRPr="007B2402">
        <w:rPr>
          <w:rFonts w:eastAsia="Batang" w:cs="Verdana"/>
          <w:szCs w:val="20"/>
          <w:lang w:val="en-US" w:bidi="en-US"/>
        </w:rPr>
        <w:t>,</w:t>
      </w:r>
      <w:r w:rsidR="00023645" w:rsidRPr="007B2402">
        <w:rPr>
          <w:rFonts w:eastAsia="Batang" w:cs="Verdana"/>
          <w:szCs w:val="20"/>
          <w:lang w:val="en-US" w:bidi="en-US"/>
        </w:rPr>
        <w:t xml:space="preserve"> based on the obligation to investigate and prosecute such crimes and punish those who commit them.</w:t>
      </w:r>
    </w:p>
    <w:p w14:paraId="120580BE" w14:textId="77777777" w:rsidR="000744A8" w:rsidRPr="007B2402" w:rsidRDefault="000744A8" w:rsidP="000744A8">
      <w:pPr>
        <w:spacing w:after="0" w:line="240" w:lineRule="auto"/>
        <w:jc w:val="both"/>
        <w:rPr>
          <w:rFonts w:eastAsia="Batang" w:cs="Verdana"/>
          <w:szCs w:val="20"/>
          <w:lang w:val="en-US" w:bidi="en-US"/>
        </w:rPr>
      </w:pPr>
    </w:p>
    <w:p w14:paraId="7828B94F" w14:textId="1A05187D" w:rsidR="000744A8" w:rsidRPr="007B2402" w:rsidRDefault="00023645" w:rsidP="00023645">
      <w:pPr>
        <w:numPr>
          <w:ilvl w:val="0"/>
          <w:numId w:val="6"/>
        </w:numPr>
        <w:spacing w:after="0" w:line="240" w:lineRule="auto"/>
        <w:jc w:val="both"/>
        <w:rPr>
          <w:rFonts w:eastAsia="Calibri" w:cs="Times New Roman"/>
          <w:szCs w:val="20"/>
          <w:lang w:val="en-US"/>
        </w:rPr>
      </w:pPr>
      <w:r w:rsidRPr="007B2402">
        <w:rPr>
          <w:rFonts w:eastAsia="Batang" w:cs="Times New Roman"/>
          <w:szCs w:val="20"/>
          <w:lang w:val="en-US"/>
        </w:rPr>
        <w:t xml:space="preserve">In the case of the </w:t>
      </w:r>
      <w:r w:rsidRPr="007B2402">
        <w:rPr>
          <w:rFonts w:eastAsia="Batang" w:cs="Times New Roman"/>
          <w:i/>
          <w:szCs w:val="20"/>
          <w:lang w:val="en-US"/>
        </w:rPr>
        <w:t xml:space="preserve">regional systems </w:t>
      </w:r>
      <w:r w:rsidRPr="007B2402">
        <w:rPr>
          <w:rFonts w:eastAsia="Batang" w:cs="Times New Roman"/>
          <w:iCs/>
          <w:szCs w:val="20"/>
          <w:lang w:val="en-US"/>
        </w:rPr>
        <w:t>for the protection of human rights</w:t>
      </w:r>
      <w:r w:rsidRPr="007B2402">
        <w:rPr>
          <w:rFonts w:eastAsia="Batang" w:cs="Times New Roman"/>
          <w:i/>
          <w:szCs w:val="20"/>
          <w:lang w:val="en-US"/>
        </w:rPr>
        <w:t xml:space="preserve">, </w:t>
      </w:r>
      <w:r w:rsidR="00B520AC" w:rsidRPr="007B2402">
        <w:rPr>
          <w:rFonts w:eastAsia="Batang" w:cs="Times New Roman"/>
          <w:szCs w:val="20"/>
          <w:lang w:val="en-US"/>
        </w:rPr>
        <w:t>the European Court of Human Rights</w:t>
      </w:r>
      <w:r w:rsidR="000744A8" w:rsidRPr="007B2402">
        <w:rPr>
          <w:rFonts w:eastAsia="Batang" w:cs="Times New Roman"/>
          <w:szCs w:val="20"/>
          <w:lang w:val="en-US"/>
        </w:rPr>
        <w:t xml:space="preserve"> </w:t>
      </w:r>
      <w:r w:rsidRPr="007B2402">
        <w:rPr>
          <w:rFonts w:eastAsia="Batang" w:cs="Times New Roman"/>
          <w:szCs w:val="20"/>
          <w:lang w:val="en-US"/>
        </w:rPr>
        <w:t xml:space="preserve">has considered that “it was of the utmost importance for the purposes of an ‘effective remedy’ that criminal proceedings </w:t>
      </w:r>
      <w:r w:rsidR="00836DD5" w:rsidRPr="007B2402">
        <w:rPr>
          <w:rFonts w:eastAsia="Batang" w:cs="Times New Roman"/>
          <w:szCs w:val="20"/>
          <w:lang w:val="en-US"/>
        </w:rPr>
        <w:t>[</w:t>
      </w:r>
      <w:r w:rsidRPr="007B2402">
        <w:rPr>
          <w:rFonts w:eastAsia="Batang" w:cs="Times New Roman"/>
          <w:szCs w:val="20"/>
          <w:lang w:val="en-US"/>
        </w:rPr>
        <w:t>relating to crimes such as torture, which involve gross human rights violations,</w:t>
      </w:r>
      <w:r w:rsidR="00836DD5" w:rsidRPr="007B2402">
        <w:rPr>
          <w:rFonts w:eastAsia="Batang" w:cs="Times New Roman"/>
          <w:szCs w:val="20"/>
          <w:lang w:val="en-US"/>
        </w:rPr>
        <w:t>]</w:t>
      </w:r>
      <w:r w:rsidRPr="007B2402">
        <w:rPr>
          <w:rFonts w:eastAsia="Batang" w:cs="Times New Roman"/>
          <w:szCs w:val="20"/>
          <w:lang w:val="en-US"/>
        </w:rPr>
        <w:t xml:space="preserve"> are not </w:t>
      </w:r>
      <w:r w:rsidR="00836DD5" w:rsidRPr="007B2402">
        <w:rPr>
          <w:rFonts w:eastAsia="Batang" w:cs="Times New Roman"/>
          <w:szCs w:val="20"/>
          <w:lang w:val="en-US"/>
        </w:rPr>
        <w:t xml:space="preserve">time-barred </w:t>
      </w:r>
      <w:r w:rsidRPr="007B2402">
        <w:rPr>
          <w:rFonts w:eastAsia="Batang" w:cs="Times New Roman"/>
          <w:szCs w:val="20"/>
          <w:lang w:val="en-US"/>
        </w:rPr>
        <w:t>and that</w:t>
      </w:r>
      <w:r w:rsidR="00836DD5" w:rsidRPr="007B2402">
        <w:rPr>
          <w:rFonts w:eastAsia="Batang" w:cs="Times New Roman"/>
          <w:szCs w:val="20"/>
          <w:lang w:val="en-US"/>
        </w:rPr>
        <w:t xml:space="preserve"> the granting of an</w:t>
      </w:r>
      <w:r w:rsidRPr="007B2402">
        <w:rPr>
          <w:rFonts w:eastAsia="Batang" w:cs="Times New Roman"/>
          <w:szCs w:val="20"/>
          <w:lang w:val="en-US"/>
        </w:rPr>
        <w:t xml:space="preserve"> amnest</w:t>
      </w:r>
      <w:r w:rsidR="00836DD5" w:rsidRPr="007B2402">
        <w:rPr>
          <w:rFonts w:eastAsia="Batang" w:cs="Times New Roman"/>
          <w:szCs w:val="20"/>
          <w:lang w:val="en-US"/>
        </w:rPr>
        <w:t>y or</w:t>
      </w:r>
      <w:r w:rsidRPr="007B2402">
        <w:rPr>
          <w:rFonts w:eastAsia="Batang" w:cs="Times New Roman"/>
          <w:szCs w:val="20"/>
          <w:lang w:val="en-US"/>
        </w:rPr>
        <w:t xml:space="preserve"> pardon should not be </w:t>
      </w:r>
      <w:r w:rsidR="00836DD5" w:rsidRPr="007B2402">
        <w:rPr>
          <w:rFonts w:eastAsia="Batang" w:cs="Times New Roman"/>
          <w:szCs w:val="20"/>
          <w:lang w:val="en-US"/>
        </w:rPr>
        <w:t>permissible.”</w:t>
      </w:r>
      <w:r w:rsidR="002950B0" w:rsidRPr="007B2402">
        <w:rPr>
          <w:rFonts w:eastAsia="Batang" w:cs="Times New Roman"/>
          <w:szCs w:val="20"/>
          <w:vertAlign w:val="superscript"/>
          <w:lang w:val="en-US"/>
        </w:rPr>
        <w:footnoteReference w:id="309"/>
      </w:r>
      <w:r w:rsidR="00836DD5" w:rsidRPr="007B2402">
        <w:rPr>
          <w:rFonts w:eastAsia="Batang" w:cs="Times New Roman"/>
          <w:szCs w:val="20"/>
          <w:lang w:val="en-US"/>
        </w:rPr>
        <w:t xml:space="preserve"> In other cases, it has stressed that when a State agent is accused of crimes that violate the right recognized in </w:t>
      </w:r>
      <w:r w:rsidR="00C50E81" w:rsidRPr="007B2402">
        <w:rPr>
          <w:rFonts w:eastAsia="Calibri" w:cs="Calibri"/>
          <w:szCs w:val="20"/>
          <w:lang w:val="en-US"/>
        </w:rPr>
        <w:t>Article</w:t>
      </w:r>
      <w:r w:rsidR="002950B0" w:rsidRPr="007B2402">
        <w:rPr>
          <w:rFonts w:eastAsia="Calibri" w:cs="Calibri"/>
          <w:szCs w:val="20"/>
          <w:lang w:val="en-US"/>
        </w:rPr>
        <w:t xml:space="preserve"> 3 </w:t>
      </w:r>
      <w:r w:rsidR="00836DD5" w:rsidRPr="007B2402">
        <w:rPr>
          <w:rFonts w:eastAsia="Calibri" w:cs="Calibri"/>
          <w:szCs w:val="20"/>
          <w:lang w:val="en-US"/>
        </w:rPr>
        <w:t>of the European Convention (Right to Life), the criminal proceedings and the sentencing should not be obstructed</w:t>
      </w:r>
      <w:r w:rsidR="00FE487D" w:rsidRPr="007B2402">
        <w:rPr>
          <w:rFonts w:eastAsia="Calibri" w:cs="Calibri"/>
          <w:szCs w:val="20"/>
          <w:lang w:val="en-US"/>
        </w:rPr>
        <w:t>,</w:t>
      </w:r>
      <w:r w:rsidR="00836DD5" w:rsidRPr="007B2402">
        <w:rPr>
          <w:rFonts w:eastAsia="Calibri" w:cs="Calibri"/>
          <w:szCs w:val="20"/>
          <w:lang w:val="en-US"/>
        </w:rPr>
        <w:t xml:space="preserve"> and the granting of an amnesty is not permissible.</w:t>
      </w:r>
      <w:r w:rsidR="002950B0" w:rsidRPr="007B2402">
        <w:rPr>
          <w:rFonts w:eastAsia="Calibri" w:cs="Calibri"/>
          <w:szCs w:val="20"/>
          <w:vertAlign w:val="superscript"/>
          <w:lang w:val="en-US" w:eastAsia="fr-CA"/>
        </w:rPr>
        <w:footnoteReference w:id="310"/>
      </w:r>
      <w:r w:rsidR="00836DD5" w:rsidRPr="007B2402">
        <w:rPr>
          <w:rFonts w:eastAsia="Calibri" w:cs="Calibri"/>
          <w:szCs w:val="20"/>
          <w:lang w:val="en-US"/>
        </w:rPr>
        <w:t xml:space="preserve"> More recently, it applied the same conclusion in the case of </w:t>
      </w:r>
      <w:r w:rsidR="002950B0" w:rsidRPr="007B2402">
        <w:rPr>
          <w:rFonts w:eastAsia="Calibri" w:cs="Calibri"/>
          <w:bCs/>
          <w:szCs w:val="20"/>
          <w:lang w:val="en-US"/>
        </w:rPr>
        <w:t xml:space="preserve">Marguš </w:t>
      </w:r>
      <w:r w:rsidR="00D05845" w:rsidRPr="007B2402">
        <w:rPr>
          <w:rFonts w:eastAsia="Calibri" w:cs="Calibri"/>
          <w:bCs/>
          <w:i/>
          <w:iCs/>
          <w:szCs w:val="20"/>
          <w:lang w:val="en-US"/>
        </w:rPr>
        <w:t>v.</w:t>
      </w:r>
      <w:r w:rsidR="002950B0" w:rsidRPr="007B2402">
        <w:rPr>
          <w:rFonts w:eastAsia="Calibri" w:cs="Calibri"/>
          <w:bCs/>
          <w:szCs w:val="20"/>
          <w:lang w:val="en-US"/>
        </w:rPr>
        <w:t xml:space="preserve"> </w:t>
      </w:r>
      <w:r w:rsidR="00836DD5" w:rsidRPr="007B2402">
        <w:rPr>
          <w:rFonts w:eastAsia="Calibri" w:cs="Calibri"/>
          <w:bCs/>
          <w:szCs w:val="20"/>
          <w:lang w:val="en-US"/>
        </w:rPr>
        <w:t>Croatia</w:t>
      </w:r>
      <w:r w:rsidR="00FE487D" w:rsidRPr="007B2402">
        <w:rPr>
          <w:rFonts w:eastAsia="Calibri" w:cs="Calibri"/>
          <w:bCs/>
          <w:szCs w:val="20"/>
          <w:lang w:val="en-US"/>
        </w:rPr>
        <w:t>.</w:t>
      </w:r>
      <w:r w:rsidR="002950B0" w:rsidRPr="007B2402">
        <w:rPr>
          <w:rFonts w:eastAsia="Calibri" w:cs="Calibri"/>
          <w:bCs/>
          <w:szCs w:val="20"/>
          <w:vertAlign w:val="superscript"/>
          <w:lang w:val="en-US"/>
        </w:rPr>
        <w:footnoteReference w:id="311"/>
      </w:r>
      <w:r w:rsidR="000744A8" w:rsidRPr="007B2402">
        <w:rPr>
          <w:rFonts w:eastAsia="Calibri" w:cs="Calibri"/>
          <w:bCs/>
          <w:szCs w:val="20"/>
          <w:lang w:val="en-US"/>
        </w:rPr>
        <w:t xml:space="preserve"> </w:t>
      </w:r>
    </w:p>
    <w:p w14:paraId="4D5A060E" w14:textId="77777777" w:rsidR="000744A8" w:rsidRPr="007B2402" w:rsidRDefault="000744A8" w:rsidP="000744A8">
      <w:pPr>
        <w:spacing w:after="0" w:line="240" w:lineRule="auto"/>
        <w:jc w:val="both"/>
        <w:rPr>
          <w:rFonts w:eastAsia="Batang" w:cs="Times New Roman"/>
          <w:szCs w:val="20"/>
          <w:lang w:val="en-US"/>
        </w:rPr>
      </w:pPr>
    </w:p>
    <w:p w14:paraId="11A738C1" w14:textId="161570B8" w:rsidR="000744A8" w:rsidRPr="007B2402" w:rsidRDefault="00836DD5" w:rsidP="00836DD5">
      <w:pPr>
        <w:numPr>
          <w:ilvl w:val="0"/>
          <w:numId w:val="6"/>
        </w:numPr>
        <w:spacing w:after="0" w:line="240" w:lineRule="auto"/>
        <w:jc w:val="both"/>
        <w:rPr>
          <w:rFonts w:eastAsia="Calibri" w:cs="Times New Roman"/>
          <w:szCs w:val="20"/>
          <w:lang w:val="en-US"/>
        </w:rPr>
      </w:pPr>
      <w:r w:rsidRPr="007B2402">
        <w:rPr>
          <w:rFonts w:eastAsia="Batang" w:cs="Times New Roman"/>
          <w:szCs w:val="20"/>
          <w:lang w:val="en-US"/>
        </w:rPr>
        <w:t>Under the African system</w:t>
      </w:r>
      <w:r w:rsidR="000744A8" w:rsidRPr="007B2402">
        <w:rPr>
          <w:rFonts w:eastAsia="Batang" w:cs="Times New Roman"/>
          <w:szCs w:val="20"/>
          <w:lang w:val="en-US"/>
        </w:rPr>
        <w:t xml:space="preserve">, </w:t>
      </w:r>
      <w:r w:rsidR="00AF4344" w:rsidRPr="007B2402">
        <w:rPr>
          <w:rFonts w:eastAsia="Batang" w:cs="Times New Roman"/>
          <w:szCs w:val="20"/>
          <w:lang w:val="en-US"/>
        </w:rPr>
        <w:t xml:space="preserve">the </w:t>
      </w:r>
      <w:r w:rsidRPr="007B2402">
        <w:rPr>
          <w:rFonts w:cs="Georgia-Bold"/>
          <w:bCs/>
          <w:szCs w:val="16"/>
          <w:lang w:val="en-US" w:bidi="en-US"/>
        </w:rPr>
        <w:t>African Commission on Human and Peoples’ Rights has considered that amnesty laws cannot shield the State that adopts them from complying with its international obligations</w:t>
      </w:r>
      <w:r w:rsidR="00FE487D" w:rsidRPr="007B2402">
        <w:rPr>
          <w:rFonts w:cs="Georgia-Bold"/>
          <w:bCs/>
          <w:szCs w:val="16"/>
          <w:lang w:val="en-US" w:bidi="en-US"/>
        </w:rPr>
        <w:t>,</w:t>
      </w:r>
      <w:r w:rsidR="002950B0" w:rsidRPr="007B2402">
        <w:rPr>
          <w:rFonts w:eastAsia="Batang" w:cs="Times New Roman"/>
          <w:szCs w:val="20"/>
          <w:vertAlign w:val="superscript"/>
          <w:lang w:val="en-US"/>
        </w:rPr>
        <w:footnoteReference w:id="312"/>
      </w:r>
      <w:r w:rsidR="005B1590" w:rsidRPr="007B2402">
        <w:rPr>
          <w:rFonts w:eastAsia="Batang" w:cs="Times New Roman"/>
          <w:szCs w:val="20"/>
          <w:lang w:val="en-US"/>
        </w:rPr>
        <w:t xml:space="preserve"> and</w:t>
      </w:r>
      <w:r w:rsidRPr="007B2402">
        <w:rPr>
          <w:rFonts w:eastAsia="Batang" w:cs="Times New Roman"/>
          <w:szCs w:val="20"/>
          <w:lang w:val="en-US"/>
        </w:rPr>
        <w:t xml:space="preserve"> has also indicated that by prohibiting the prosecution of perpetrators of gross human rights violations by granting an amnesty, States not only foster impunity, but also close the possibility that such abuses will be investigated and that the victims of such crimes have an effective remedy to obtain reparation.</w:t>
      </w:r>
      <w:r w:rsidR="002950B0" w:rsidRPr="007B2402">
        <w:rPr>
          <w:rFonts w:eastAsia="Batang" w:cs="Times New Roman"/>
          <w:szCs w:val="20"/>
          <w:vertAlign w:val="superscript"/>
          <w:lang w:val="en-US"/>
        </w:rPr>
        <w:footnoteReference w:id="313"/>
      </w:r>
    </w:p>
    <w:p w14:paraId="57390CA5" w14:textId="77777777" w:rsidR="000744A8" w:rsidRPr="007B2402" w:rsidRDefault="000744A8" w:rsidP="000744A8">
      <w:pPr>
        <w:spacing w:after="0" w:line="240" w:lineRule="auto"/>
        <w:jc w:val="both"/>
        <w:rPr>
          <w:rFonts w:eastAsia="Batang" w:cs="Times New Roman"/>
          <w:szCs w:val="20"/>
          <w:lang w:val="en-US"/>
        </w:rPr>
      </w:pPr>
    </w:p>
    <w:p w14:paraId="42A6E930" w14:textId="773EE63B" w:rsidR="000744A8" w:rsidRPr="007B2402" w:rsidRDefault="00836DD5" w:rsidP="00DB1F30">
      <w:pPr>
        <w:numPr>
          <w:ilvl w:val="0"/>
          <w:numId w:val="6"/>
        </w:numPr>
        <w:spacing w:after="0" w:line="240" w:lineRule="auto"/>
        <w:ind w:right="-7"/>
        <w:jc w:val="both"/>
        <w:rPr>
          <w:rFonts w:eastAsia="Batang" w:cs="Times New Roman"/>
          <w:szCs w:val="20"/>
          <w:lang w:val="en-US"/>
        </w:rPr>
      </w:pPr>
      <w:r w:rsidRPr="007B2402">
        <w:rPr>
          <w:rFonts w:eastAsia="Batang" w:cs="Times New Roman"/>
          <w:szCs w:val="20"/>
          <w:lang w:val="en-US"/>
        </w:rPr>
        <w:t>In the same way, various Member States of the Organization of American States, through their highest courts of justice, have incorporated the a</w:t>
      </w:r>
      <w:r w:rsidR="00FE487D" w:rsidRPr="007B2402">
        <w:rPr>
          <w:rFonts w:eastAsia="Batang" w:cs="Times New Roman"/>
          <w:szCs w:val="20"/>
          <w:lang w:val="en-US"/>
        </w:rPr>
        <w:t>fore</w:t>
      </w:r>
      <w:r w:rsidRPr="007B2402">
        <w:rPr>
          <w:rFonts w:eastAsia="Batang" w:cs="Times New Roman"/>
          <w:szCs w:val="20"/>
          <w:lang w:val="en-US"/>
        </w:rPr>
        <w:t xml:space="preserve">mentioned standards, complying with their international obligations in good faith. </w:t>
      </w:r>
      <w:r w:rsidR="00AF4344" w:rsidRPr="007B2402">
        <w:rPr>
          <w:rFonts w:eastAsia="Batang" w:cs="Times New Roman"/>
          <w:szCs w:val="20"/>
          <w:lang w:val="en-US"/>
        </w:rPr>
        <w:t>The Court</w:t>
      </w:r>
      <w:r w:rsidR="000744A8" w:rsidRPr="007B2402">
        <w:rPr>
          <w:rFonts w:eastAsia="Batang" w:cs="Times New Roman"/>
          <w:szCs w:val="20"/>
          <w:lang w:val="en-US"/>
        </w:rPr>
        <w:t xml:space="preserve"> </w:t>
      </w:r>
      <w:r w:rsidR="00C74B15" w:rsidRPr="007B2402">
        <w:rPr>
          <w:rFonts w:eastAsia="Batang" w:cs="Times New Roman"/>
          <w:szCs w:val="20"/>
          <w:lang w:val="en-US"/>
        </w:rPr>
        <w:t>rec</w:t>
      </w:r>
      <w:r w:rsidRPr="007B2402">
        <w:rPr>
          <w:rFonts w:eastAsia="Batang" w:cs="Times New Roman"/>
          <w:szCs w:val="20"/>
          <w:lang w:val="en-US"/>
        </w:rPr>
        <w:t>alls its considerations in other judgments</w:t>
      </w:r>
      <w:r w:rsidR="002950B0" w:rsidRPr="007B2402">
        <w:rPr>
          <w:rStyle w:val="Refdenotaalpie"/>
          <w:rFonts w:ascii="Verdana" w:eastAsia="Batang" w:hAnsi="Verdana"/>
          <w:lang w:val="en-US"/>
        </w:rPr>
        <w:footnoteReference w:id="314"/>
      </w:r>
      <w:r w:rsidR="002950B0" w:rsidRPr="007B2402">
        <w:rPr>
          <w:rFonts w:eastAsia="Batang" w:cs="Times New Roman"/>
          <w:szCs w:val="20"/>
          <w:lang w:val="en-US"/>
        </w:rPr>
        <w:t xml:space="preserve"> </w:t>
      </w:r>
      <w:r w:rsidRPr="007B2402">
        <w:rPr>
          <w:rFonts w:eastAsia="Batang" w:cs="Times New Roman"/>
          <w:szCs w:val="20"/>
          <w:lang w:val="en-US"/>
        </w:rPr>
        <w:t>with regard to decision</w:t>
      </w:r>
      <w:r w:rsidR="00FE487D" w:rsidRPr="007B2402">
        <w:rPr>
          <w:rFonts w:eastAsia="Batang" w:cs="Times New Roman"/>
          <w:szCs w:val="20"/>
          <w:lang w:val="en-US"/>
        </w:rPr>
        <w:t>s</w:t>
      </w:r>
      <w:r w:rsidRPr="007B2402">
        <w:rPr>
          <w:rFonts w:eastAsia="Batang" w:cs="Times New Roman"/>
          <w:szCs w:val="20"/>
          <w:lang w:val="en-US"/>
        </w:rPr>
        <w:t xml:space="preserve"> of the Argentine Supreme Court of Justice of </w:t>
      </w:r>
      <w:r w:rsidRPr="007B2402">
        <w:rPr>
          <w:rFonts w:eastAsia="Batang" w:cs="Times New Roman"/>
          <w:szCs w:val="20"/>
          <w:lang w:val="en-US"/>
        </w:rPr>
        <w:lastRenderedPageBreak/>
        <w:t>the Nation</w:t>
      </w:r>
      <w:r w:rsidR="00FE487D" w:rsidRPr="007B2402">
        <w:rPr>
          <w:rFonts w:eastAsia="Batang" w:cs="Times New Roman"/>
          <w:szCs w:val="20"/>
          <w:lang w:val="en-US"/>
        </w:rPr>
        <w:t>,</w:t>
      </w:r>
      <w:r w:rsidR="002950B0" w:rsidRPr="007B2402">
        <w:rPr>
          <w:rFonts w:eastAsia="Batang" w:cs="Times New Roman"/>
          <w:szCs w:val="20"/>
          <w:vertAlign w:val="superscript"/>
          <w:lang w:val="en-US"/>
        </w:rPr>
        <w:footnoteReference w:id="315"/>
      </w:r>
      <w:r w:rsidR="002950B0" w:rsidRPr="007B2402">
        <w:rPr>
          <w:rFonts w:eastAsia="Batang" w:cs="Times New Roman"/>
          <w:szCs w:val="20"/>
          <w:lang w:val="en-US"/>
        </w:rPr>
        <w:t xml:space="preserve"> </w:t>
      </w:r>
      <w:r w:rsidRPr="007B2402">
        <w:rPr>
          <w:rFonts w:eastAsia="Batang" w:cs="Times New Roman"/>
          <w:szCs w:val="20"/>
          <w:lang w:val="en-US"/>
        </w:rPr>
        <w:t>the Supreme Court of Justice</w:t>
      </w:r>
      <w:r w:rsidR="002950B0" w:rsidRPr="007B2402">
        <w:rPr>
          <w:rFonts w:eastAsia="Batang" w:cs="Times New Roman"/>
          <w:szCs w:val="20"/>
          <w:lang w:val="en-US"/>
        </w:rPr>
        <w:t xml:space="preserve"> </w:t>
      </w:r>
      <w:r w:rsidR="005D25AE" w:rsidRPr="007B2402">
        <w:rPr>
          <w:rFonts w:eastAsia="Batang" w:cs="Times New Roman"/>
          <w:szCs w:val="20"/>
          <w:lang w:val="en-US"/>
        </w:rPr>
        <w:t>of</w:t>
      </w:r>
      <w:r w:rsidR="002950B0" w:rsidRPr="007B2402">
        <w:rPr>
          <w:rFonts w:eastAsia="Batang" w:cs="Times New Roman"/>
          <w:szCs w:val="20"/>
          <w:lang w:val="en-US"/>
        </w:rPr>
        <w:t xml:space="preserve"> Chile</w:t>
      </w:r>
      <w:r w:rsidR="00FE487D" w:rsidRPr="007B2402">
        <w:rPr>
          <w:rFonts w:eastAsia="Batang" w:cs="Times New Roman"/>
          <w:szCs w:val="20"/>
          <w:lang w:val="en-US"/>
        </w:rPr>
        <w:t>,</w:t>
      </w:r>
      <w:r w:rsidR="002950B0" w:rsidRPr="007B2402">
        <w:rPr>
          <w:rFonts w:eastAsia="Batang" w:cs="Times New Roman"/>
          <w:szCs w:val="20"/>
          <w:vertAlign w:val="superscript"/>
          <w:lang w:val="en-US"/>
        </w:rPr>
        <w:footnoteReference w:id="316"/>
      </w:r>
      <w:r w:rsidRPr="007B2402">
        <w:rPr>
          <w:rFonts w:eastAsia="Batang" w:cs="Times New Roman"/>
          <w:szCs w:val="20"/>
          <w:lang w:val="en-US"/>
        </w:rPr>
        <w:t xml:space="preserve"> the </w:t>
      </w:r>
      <w:r w:rsidR="005D25DE" w:rsidRPr="007B2402">
        <w:rPr>
          <w:rFonts w:eastAsia="Batang" w:cs="Times New Roman"/>
          <w:szCs w:val="20"/>
          <w:lang w:val="en-US"/>
        </w:rPr>
        <w:t>Constitutional Court</w:t>
      </w:r>
      <w:r w:rsidR="00BC0617" w:rsidRPr="007B2402">
        <w:rPr>
          <w:rFonts w:eastAsia="Batang" w:cs="Times New Roman"/>
          <w:szCs w:val="20"/>
          <w:lang w:val="en-US"/>
        </w:rPr>
        <w:t xml:space="preserve"> </w:t>
      </w:r>
      <w:r w:rsidRPr="007B2402">
        <w:rPr>
          <w:rFonts w:eastAsia="Batang" w:cs="Times New Roman"/>
          <w:szCs w:val="20"/>
          <w:lang w:val="en-US"/>
        </w:rPr>
        <w:t>of</w:t>
      </w:r>
      <w:r w:rsidR="00BC0617" w:rsidRPr="007B2402">
        <w:rPr>
          <w:rFonts w:eastAsia="Batang" w:cs="Times New Roman"/>
          <w:szCs w:val="20"/>
          <w:lang w:val="en-US"/>
        </w:rPr>
        <w:t xml:space="preserve"> </w:t>
      </w:r>
      <w:r w:rsidR="00D05845" w:rsidRPr="007B2402">
        <w:rPr>
          <w:rFonts w:eastAsia="Batang" w:cs="Times New Roman"/>
          <w:szCs w:val="20"/>
          <w:lang w:val="en-US"/>
        </w:rPr>
        <w:t>Peru</w:t>
      </w:r>
      <w:r w:rsidR="00FE487D" w:rsidRPr="007B2402">
        <w:rPr>
          <w:rFonts w:eastAsia="Batang" w:cs="Times New Roman"/>
          <w:szCs w:val="20"/>
          <w:lang w:val="en-US"/>
        </w:rPr>
        <w:t>,</w:t>
      </w:r>
      <w:r w:rsidR="00BC0617" w:rsidRPr="007B2402">
        <w:rPr>
          <w:rFonts w:eastAsia="Batang" w:cs="Times New Roman"/>
          <w:szCs w:val="20"/>
          <w:vertAlign w:val="superscript"/>
          <w:lang w:val="en-US"/>
        </w:rPr>
        <w:footnoteReference w:id="317"/>
      </w:r>
      <w:r w:rsidRPr="007B2402">
        <w:rPr>
          <w:rFonts w:eastAsia="Batang" w:cs="Times New Roman"/>
          <w:szCs w:val="20"/>
          <w:lang w:val="en-US"/>
        </w:rPr>
        <w:t xml:space="preserve"> the</w:t>
      </w:r>
      <w:r w:rsidR="00BC0617" w:rsidRPr="007B2402">
        <w:rPr>
          <w:rFonts w:eastAsia="Batang" w:cs="Times New Roman"/>
          <w:szCs w:val="20"/>
          <w:lang w:val="en-US"/>
        </w:rPr>
        <w:t xml:space="preserve"> </w:t>
      </w:r>
      <w:r w:rsidRPr="007B2402">
        <w:rPr>
          <w:rFonts w:eastAsia="Batang" w:cs="Times New Roman"/>
          <w:szCs w:val="20"/>
          <w:lang w:val="en-US"/>
        </w:rPr>
        <w:t>Supreme Court of Justice</w:t>
      </w:r>
      <w:r w:rsidR="00BC0617" w:rsidRPr="007B2402">
        <w:rPr>
          <w:rFonts w:eastAsia="Batang" w:cs="Times New Roman"/>
          <w:szCs w:val="20"/>
          <w:lang w:val="en-US"/>
        </w:rPr>
        <w:t xml:space="preserve"> </w:t>
      </w:r>
      <w:r w:rsidRPr="007B2402">
        <w:rPr>
          <w:rFonts w:eastAsia="Batang" w:cs="Times New Roman"/>
          <w:szCs w:val="20"/>
          <w:lang w:val="en-US"/>
        </w:rPr>
        <w:t>of</w:t>
      </w:r>
      <w:r w:rsidR="00BC0617" w:rsidRPr="007B2402">
        <w:rPr>
          <w:rFonts w:eastAsia="Batang" w:cs="Times New Roman"/>
          <w:szCs w:val="20"/>
          <w:lang w:val="en-US"/>
        </w:rPr>
        <w:t xml:space="preserve"> Uruguay</w:t>
      </w:r>
      <w:r w:rsidR="00FE487D" w:rsidRPr="007B2402">
        <w:rPr>
          <w:rFonts w:eastAsia="Batang" w:cs="Times New Roman"/>
          <w:szCs w:val="20"/>
          <w:lang w:val="en-US"/>
        </w:rPr>
        <w:t>,</w:t>
      </w:r>
      <w:r w:rsidR="00BC0617" w:rsidRPr="007B2402">
        <w:rPr>
          <w:rFonts w:eastAsia="Batang" w:cs="Courier"/>
          <w:color w:val="000000"/>
          <w:sz w:val="18"/>
          <w:szCs w:val="18"/>
          <w:vertAlign w:val="superscript"/>
          <w:lang w:val="en-US"/>
        </w:rPr>
        <w:footnoteReference w:id="318"/>
      </w:r>
      <w:r w:rsidR="005B1590" w:rsidRPr="007B2402">
        <w:rPr>
          <w:rFonts w:eastAsia="Batang" w:cs="Times New Roman"/>
          <w:szCs w:val="20"/>
          <w:lang w:val="en-US"/>
        </w:rPr>
        <w:t xml:space="preserve"> </w:t>
      </w:r>
      <w:r w:rsidRPr="007B2402">
        <w:rPr>
          <w:rFonts w:eastAsia="Batang" w:cs="Times New Roman"/>
          <w:szCs w:val="20"/>
          <w:lang w:val="en-US"/>
        </w:rPr>
        <w:t xml:space="preserve">the </w:t>
      </w:r>
      <w:r w:rsidRPr="007B2402">
        <w:rPr>
          <w:rFonts w:eastAsia="Calibri" w:cs="Times New Roman"/>
          <w:szCs w:val="20"/>
          <w:lang w:val="en-US"/>
        </w:rPr>
        <w:t>Supreme Court of Justice</w:t>
      </w:r>
      <w:r w:rsidR="00BC0617" w:rsidRPr="007B2402">
        <w:rPr>
          <w:rFonts w:eastAsia="Calibri" w:cs="Times New Roman"/>
          <w:szCs w:val="20"/>
          <w:lang w:val="en-US"/>
        </w:rPr>
        <w:t xml:space="preserve"> </w:t>
      </w:r>
      <w:r w:rsidRPr="007B2402">
        <w:rPr>
          <w:rFonts w:eastAsia="Calibri" w:cs="Times New Roman"/>
          <w:szCs w:val="20"/>
          <w:lang w:val="en-US"/>
        </w:rPr>
        <w:t>of</w:t>
      </w:r>
      <w:r w:rsidR="00BC0617" w:rsidRPr="007B2402">
        <w:rPr>
          <w:rFonts w:eastAsia="Calibri" w:cs="Times New Roman"/>
          <w:szCs w:val="20"/>
          <w:lang w:val="en-US"/>
        </w:rPr>
        <w:t xml:space="preserve"> Honduras</w:t>
      </w:r>
      <w:r w:rsidR="00FE487D" w:rsidRPr="007B2402">
        <w:rPr>
          <w:rFonts w:eastAsia="Calibri" w:cs="Times New Roman"/>
          <w:szCs w:val="20"/>
          <w:lang w:val="en-US"/>
        </w:rPr>
        <w:t>,</w:t>
      </w:r>
      <w:r w:rsidR="00BC0617" w:rsidRPr="007B2402">
        <w:rPr>
          <w:rStyle w:val="Refdenotaalpie"/>
          <w:rFonts w:ascii="Verdana" w:eastAsia="Calibri" w:hAnsi="Verdana"/>
          <w:lang w:val="en-US"/>
        </w:rPr>
        <w:footnoteReference w:id="319"/>
      </w:r>
      <w:r w:rsidR="00BC0617" w:rsidRPr="007B2402">
        <w:rPr>
          <w:rFonts w:eastAsia="Calibri" w:cs="Times New Roman"/>
          <w:szCs w:val="20"/>
          <w:lang w:val="en-US"/>
        </w:rPr>
        <w:t xml:space="preserve"> </w:t>
      </w:r>
      <w:r w:rsidRPr="007B2402">
        <w:rPr>
          <w:rFonts w:eastAsia="Calibri" w:cs="Times New Roman"/>
          <w:szCs w:val="20"/>
          <w:lang w:val="en-US"/>
        </w:rPr>
        <w:t xml:space="preserve">the Constitutional Chamber </w:t>
      </w:r>
      <w:r w:rsidR="00AF4344" w:rsidRPr="007B2402">
        <w:rPr>
          <w:rFonts w:eastAsia="Calibri" w:cs="Times New Roman"/>
          <w:szCs w:val="20"/>
          <w:lang w:val="en-US"/>
        </w:rPr>
        <w:t xml:space="preserve">of the </w:t>
      </w:r>
      <w:r w:rsidRPr="007B2402">
        <w:rPr>
          <w:rFonts w:eastAsia="Calibri" w:cs="Times New Roman"/>
          <w:szCs w:val="20"/>
          <w:lang w:val="en-US"/>
        </w:rPr>
        <w:t>Supreme Court of Justice</w:t>
      </w:r>
      <w:r w:rsidR="00BC0617" w:rsidRPr="007B2402">
        <w:rPr>
          <w:rFonts w:eastAsia="Calibri" w:cs="Times New Roman"/>
          <w:szCs w:val="20"/>
          <w:lang w:val="en-US"/>
        </w:rPr>
        <w:t xml:space="preserve"> </w:t>
      </w:r>
      <w:r w:rsidRPr="007B2402">
        <w:rPr>
          <w:rFonts w:eastAsia="Calibri" w:cs="Times New Roman"/>
          <w:szCs w:val="20"/>
          <w:lang w:val="en-US"/>
        </w:rPr>
        <w:t>of</w:t>
      </w:r>
      <w:r w:rsidR="00BC0617" w:rsidRPr="007B2402">
        <w:rPr>
          <w:rFonts w:eastAsia="Calibri" w:cs="Times New Roman"/>
          <w:szCs w:val="20"/>
          <w:lang w:val="en-US"/>
        </w:rPr>
        <w:t xml:space="preserve"> El Salvador</w:t>
      </w:r>
      <w:r w:rsidRPr="007B2402">
        <w:rPr>
          <w:rFonts w:eastAsia="Calibri" w:cs="Times New Roman"/>
          <w:szCs w:val="20"/>
          <w:lang w:val="en-US"/>
        </w:rPr>
        <w:t>,</w:t>
      </w:r>
      <w:r w:rsidR="00BC0617" w:rsidRPr="007B2402">
        <w:rPr>
          <w:rFonts w:eastAsia="Calibri" w:cs="Calibri"/>
          <w:szCs w:val="20"/>
          <w:vertAlign w:val="superscript"/>
          <w:lang w:val="en-US"/>
        </w:rPr>
        <w:footnoteReference w:id="320"/>
      </w:r>
      <w:r w:rsidRPr="007B2402">
        <w:rPr>
          <w:rFonts w:eastAsia="Calibri" w:cs="Times New Roman"/>
          <w:szCs w:val="20"/>
          <w:lang w:val="en-US"/>
        </w:rPr>
        <w:t xml:space="preserve"> and the Constitutional Court</w:t>
      </w:r>
      <w:r w:rsidR="00BC0617" w:rsidRPr="007B2402">
        <w:rPr>
          <w:rFonts w:eastAsia="Batang" w:cs="Courier"/>
          <w:color w:val="000000"/>
          <w:szCs w:val="20"/>
          <w:vertAlign w:val="superscript"/>
          <w:lang w:val="en-US"/>
        </w:rPr>
        <w:footnoteReference w:id="321"/>
      </w:r>
      <w:r w:rsidR="005B1590" w:rsidRPr="007B2402">
        <w:rPr>
          <w:rFonts w:eastAsia="Batang" w:cs="Courier"/>
          <w:color w:val="000000"/>
          <w:szCs w:val="20"/>
          <w:lang w:val="en-US"/>
        </w:rPr>
        <w:t xml:space="preserve"> and</w:t>
      </w:r>
      <w:r w:rsidRPr="007B2402">
        <w:rPr>
          <w:rFonts w:eastAsia="Batang" w:cs="Courier"/>
          <w:color w:val="000000"/>
          <w:szCs w:val="20"/>
          <w:lang w:val="en-US"/>
        </w:rPr>
        <w:t xml:space="preserve"> the</w:t>
      </w:r>
      <w:r w:rsidR="005B1590" w:rsidRPr="007B2402">
        <w:rPr>
          <w:rFonts w:eastAsia="Batang" w:cs="Courier"/>
          <w:color w:val="000000"/>
          <w:szCs w:val="20"/>
          <w:lang w:val="en-US"/>
        </w:rPr>
        <w:t xml:space="preserve"> </w:t>
      </w:r>
      <w:r w:rsidRPr="007B2402">
        <w:rPr>
          <w:rFonts w:eastAsia="Batang" w:cs="Times New Roman"/>
          <w:szCs w:val="20"/>
          <w:lang w:val="en-US"/>
        </w:rPr>
        <w:t>Supreme Court of Justice</w:t>
      </w:r>
      <w:r w:rsidR="00BC0617" w:rsidRPr="007B2402">
        <w:rPr>
          <w:rFonts w:eastAsia="Batang" w:cs="Times New Roman"/>
          <w:szCs w:val="20"/>
          <w:lang w:val="en-US"/>
        </w:rPr>
        <w:t xml:space="preserve"> </w:t>
      </w:r>
      <w:r w:rsidRPr="007B2402">
        <w:rPr>
          <w:rFonts w:eastAsia="Batang" w:cs="Times New Roman"/>
          <w:szCs w:val="20"/>
          <w:lang w:val="en-US"/>
        </w:rPr>
        <w:t>of</w:t>
      </w:r>
      <w:r w:rsidR="00BC0617" w:rsidRPr="007B2402">
        <w:rPr>
          <w:rFonts w:eastAsia="Batang" w:cs="Times New Roman"/>
          <w:szCs w:val="20"/>
          <w:lang w:val="en-US"/>
        </w:rPr>
        <w:t xml:space="preserve"> Colombia</w:t>
      </w:r>
      <w:r w:rsidRPr="007B2402">
        <w:rPr>
          <w:rFonts w:eastAsia="Batang" w:cs="Times New Roman"/>
          <w:szCs w:val="20"/>
          <w:lang w:val="en-US"/>
        </w:rPr>
        <w:t>.</w:t>
      </w:r>
      <w:r w:rsidR="00BC0617" w:rsidRPr="007B2402">
        <w:rPr>
          <w:rFonts w:eastAsia="Batang" w:cs="Tahoma"/>
          <w:szCs w:val="20"/>
          <w:vertAlign w:val="superscript"/>
          <w:lang w:val="en-US"/>
        </w:rPr>
        <w:footnoteReference w:id="322"/>
      </w:r>
      <w:r w:rsidR="00BC0617" w:rsidRPr="007B2402">
        <w:rPr>
          <w:rFonts w:eastAsia="Batang" w:cs="Tahoma"/>
          <w:szCs w:val="20"/>
          <w:lang w:val="en-US"/>
        </w:rPr>
        <w:t xml:space="preserve"> </w:t>
      </w:r>
      <w:r w:rsidR="000744A8" w:rsidRPr="007B2402">
        <w:rPr>
          <w:rFonts w:eastAsia="Batang" w:cs="Tahoma"/>
          <w:szCs w:val="20"/>
          <w:lang w:val="en-US"/>
        </w:rPr>
        <w:t xml:space="preserve"> </w:t>
      </w:r>
    </w:p>
    <w:p w14:paraId="184CA8B6" w14:textId="77777777" w:rsidR="000744A8" w:rsidRPr="007B2402" w:rsidRDefault="000744A8" w:rsidP="000744A8">
      <w:pPr>
        <w:tabs>
          <w:tab w:val="left" w:pos="0"/>
        </w:tabs>
        <w:spacing w:after="0" w:line="240" w:lineRule="auto"/>
        <w:ind w:right="-7"/>
        <w:jc w:val="both"/>
        <w:rPr>
          <w:rFonts w:eastAsia="Batang" w:cs="Times New Roman"/>
          <w:szCs w:val="20"/>
          <w:lang w:val="en-US"/>
        </w:rPr>
      </w:pPr>
    </w:p>
    <w:p w14:paraId="0FB6DD3E" w14:textId="403FDE27" w:rsidR="00ED548D" w:rsidRPr="007B2402" w:rsidRDefault="00ED548D" w:rsidP="00DB1F30">
      <w:pPr>
        <w:numPr>
          <w:ilvl w:val="0"/>
          <w:numId w:val="6"/>
        </w:numPr>
        <w:tabs>
          <w:tab w:val="left" w:pos="0"/>
        </w:tabs>
        <w:spacing w:after="0" w:line="240" w:lineRule="auto"/>
        <w:ind w:right="-7"/>
        <w:jc w:val="both"/>
        <w:rPr>
          <w:rFonts w:eastAsia="Batang" w:cs="Times New Roman"/>
          <w:szCs w:val="20"/>
          <w:lang w:val="en-US"/>
        </w:rPr>
      </w:pPr>
      <w:r w:rsidRPr="007B2402">
        <w:rPr>
          <w:rFonts w:eastAsia="Batang" w:cs="Times-Roman"/>
          <w:szCs w:val="20"/>
          <w:lang w:val="en-US" w:bidi="en-US"/>
        </w:rPr>
        <w:t>As revealed by the preceding paragraphs, all the international</w:t>
      </w:r>
      <w:r w:rsidR="00FE487D" w:rsidRPr="007B2402">
        <w:rPr>
          <w:rFonts w:eastAsia="Batang" w:cs="Times-Roman"/>
          <w:szCs w:val="20"/>
          <w:lang w:val="en-US" w:bidi="en-US"/>
        </w:rPr>
        <w:t xml:space="preserve"> human rights</w:t>
      </w:r>
      <w:r w:rsidRPr="007B2402">
        <w:rPr>
          <w:rFonts w:eastAsia="Batang" w:cs="Times-Roman"/>
          <w:szCs w:val="20"/>
          <w:lang w:val="en-US" w:bidi="en-US"/>
        </w:rPr>
        <w:t xml:space="preserve"> bodies and various national </w:t>
      </w:r>
      <w:r w:rsidR="00FE487D" w:rsidRPr="007B2402">
        <w:rPr>
          <w:rFonts w:eastAsia="Batang" w:cs="Times-Roman"/>
          <w:szCs w:val="20"/>
          <w:lang w:val="en-US" w:bidi="en-US"/>
        </w:rPr>
        <w:t xml:space="preserve">high </w:t>
      </w:r>
      <w:r w:rsidRPr="007B2402">
        <w:rPr>
          <w:rFonts w:eastAsia="Batang" w:cs="Times-Roman"/>
          <w:szCs w:val="20"/>
          <w:lang w:val="en-US" w:bidi="en-US"/>
        </w:rPr>
        <w:t>courts of the region that have had occasion to rule on the scope of amnesty laws in relation to gross human rights violations and the incompatibility of such laws with the international obligations of the States that enact them have concluded that these laws violate the international obligation of the State</w:t>
      </w:r>
      <w:r w:rsidR="00FE487D" w:rsidRPr="007B2402">
        <w:rPr>
          <w:rFonts w:eastAsia="Batang" w:cs="Times-Roman"/>
          <w:szCs w:val="20"/>
          <w:lang w:val="en-US" w:bidi="en-US"/>
        </w:rPr>
        <w:t>s</w:t>
      </w:r>
      <w:r w:rsidRPr="007B2402">
        <w:rPr>
          <w:rFonts w:eastAsia="Batang" w:cs="Times-Roman"/>
          <w:szCs w:val="20"/>
          <w:lang w:val="en-US" w:bidi="en-US"/>
        </w:rPr>
        <w:t xml:space="preserve"> to investigate and punish such violations.</w:t>
      </w:r>
    </w:p>
    <w:p w14:paraId="6E6098A9" w14:textId="77777777" w:rsidR="000744A8" w:rsidRPr="007B2402" w:rsidRDefault="000744A8" w:rsidP="000744A8">
      <w:pPr>
        <w:spacing w:after="0" w:line="240" w:lineRule="auto"/>
        <w:jc w:val="both"/>
        <w:rPr>
          <w:rFonts w:eastAsia="Batang" w:cs="Times-Roman"/>
          <w:szCs w:val="20"/>
          <w:lang w:val="en-US" w:bidi="en-US"/>
        </w:rPr>
      </w:pPr>
    </w:p>
    <w:p w14:paraId="0ACD8083" w14:textId="7490BE0E" w:rsidR="000744A8" w:rsidRPr="007B2402" w:rsidRDefault="00AF4344" w:rsidP="00ED548D">
      <w:pPr>
        <w:numPr>
          <w:ilvl w:val="0"/>
          <w:numId w:val="6"/>
        </w:numPr>
        <w:tabs>
          <w:tab w:val="left" w:pos="0"/>
        </w:tabs>
        <w:spacing w:after="0" w:line="240" w:lineRule="auto"/>
        <w:ind w:right="-7"/>
        <w:jc w:val="both"/>
        <w:rPr>
          <w:rFonts w:eastAsia="Batang" w:cs="Times New Roman"/>
          <w:szCs w:val="20"/>
          <w:lang w:val="en-US"/>
        </w:rPr>
      </w:pPr>
      <w:r w:rsidRPr="007B2402">
        <w:rPr>
          <w:rFonts w:eastAsia="Batang" w:cs="Times-Roman"/>
          <w:szCs w:val="20"/>
          <w:lang w:val="en-US" w:bidi="en-US"/>
        </w:rPr>
        <w:t>The Inter-American Court</w:t>
      </w:r>
      <w:r w:rsidR="00147696" w:rsidRPr="007B2402">
        <w:rPr>
          <w:rFonts w:eastAsia="Batang" w:cs="Times-Roman"/>
          <w:szCs w:val="20"/>
          <w:lang w:val="en-US" w:bidi="en-US"/>
        </w:rPr>
        <w:t xml:space="preserve"> </w:t>
      </w:r>
      <w:r w:rsidR="000744A8" w:rsidRPr="007B2402">
        <w:rPr>
          <w:rFonts w:eastAsia="Batang" w:cs="Times-Roman"/>
          <w:szCs w:val="20"/>
          <w:lang w:val="en-US" w:bidi="en-US"/>
        </w:rPr>
        <w:t>ha</w:t>
      </w:r>
      <w:r w:rsidR="00ED548D" w:rsidRPr="007B2402">
        <w:rPr>
          <w:rFonts w:eastAsia="Batang" w:cs="Times-Roman"/>
          <w:szCs w:val="20"/>
          <w:lang w:val="en-US" w:bidi="en-US"/>
        </w:rPr>
        <w:t>s established that “</w:t>
      </w:r>
      <w:r w:rsidR="00D8349B" w:rsidRPr="007B2402">
        <w:rPr>
          <w:rFonts w:eastAsia="Batang" w:cs="Times-Roman"/>
          <w:szCs w:val="20"/>
          <w:lang w:val="en-US" w:bidi="en-US"/>
        </w:rPr>
        <w:t xml:space="preserve">amnesty provisions, statutory limitations, and the establishment of exclusions of responsibility that are intended to prevent the investigation and punishment of those responsible for serious violations of human rights, </w:t>
      </w:r>
      <w:r w:rsidR="00DF1102" w:rsidRPr="007B2402">
        <w:rPr>
          <w:rFonts w:eastAsia="Batang" w:cs="Times-Roman"/>
          <w:szCs w:val="20"/>
          <w:lang w:val="en-US" w:bidi="en-US"/>
        </w:rPr>
        <w:t>such</w:t>
      </w:r>
      <w:r w:rsidR="00D8349B" w:rsidRPr="007B2402">
        <w:rPr>
          <w:rFonts w:eastAsia="Batang" w:cs="Times-Roman"/>
          <w:szCs w:val="20"/>
          <w:lang w:val="en-US" w:bidi="en-US"/>
        </w:rPr>
        <w:t xml:space="preserve"> as torture, summary, extrajudicial or arbitrary executions, and enforced disappearance are not admissible, and are all prohibited because they contravene non-derogable rights recognized by international human rights law.</w:t>
      </w:r>
      <w:r w:rsidR="000744A8" w:rsidRPr="007B2402">
        <w:rPr>
          <w:rFonts w:eastAsia="Batang" w:cs="Times-Roman"/>
          <w:szCs w:val="20"/>
          <w:lang w:val="en-US" w:bidi="en-US"/>
        </w:rPr>
        <w:t>”</w:t>
      </w:r>
      <w:r w:rsidR="00BC0617" w:rsidRPr="007B2402">
        <w:rPr>
          <w:rFonts w:eastAsia="Batang" w:cs="Times-Roman"/>
          <w:szCs w:val="20"/>
          <w:vertAlign w:val="superscript"/>
          <w:lang w:val="en-US" w:bidi="en-US"/>
        </w:rPr>
        <w:footnoteReference w:id="323"/>
      </w:r>
    </w:p>
    <w:p w14:paraId="08C7D179" w14:textId="77777777" w:rsidR="000744A8" w:rsidRPr="007B2402" w:rsidRDefault="000744A8" w:rsidP="000744A8">
      <w:pPr>
        <w:spacing w:after="0" w:line="240" w:lineRule="auto"/>
        <w:jc w:val="both"/>
        <w:rPr>
          <w:rFonts w:eastAsia="Batang" w:cs="Arial"/>
          <w:szCs w:val="20"/>
          <w:lang w:val="en-US"/>
        </w:rPr>
      </w:pPr>
    </w:p>
    <w:p w14:paraId="62838978" w14:textId="3C9E6322" w:rsidR="000744A8" w:rsidRPr="007B2402" w:rsidRDefault="00D8349B" w:rsidP="000744A8">
      <w:pPr>
        <w:numPr>
          <w:ilvl w:val="0"/>
          <w:numId w:val="6"/>
        </w:numPr>
        <w:tabs>
          <w:tab w:val="left" w:pos="0"/>
        </w:tabs>
        <w:spacing w:after="0" w:line="240" w:lineRule="auto"/>
        <w:ind w:right="-7"/>
        <w:jc w:val="both"/>
        <w:rPr>
          <w:rFonts w:eastAsia="Batang" w:cs="Times New Roman"/>
          <w:szCs w:val="20"/>
          <w:lang w:val="en-US"/>
        </w:rPr>
      </w:pPr>
      <w:r w:rsidRPr="007B2402">
        <w:rPr>
          <w:rFonts w:eastAsia="Batang" w:cs="Arial"/>
          <w:szCs w:val="20"/>
          <w:lang w:val="en-US"/>
        </w:rPr>
        <w:t xml:space="preserve">In this regard, in cases of </w:t>
      </w:r>
      <w:r w:rsidR="00FE487D" w:rsidRPr="007B2402">
        <w:rPr>
          <w:rFonts w:eastAsia="Batang" w:cs="Arial"/>
          <w:szCs w:val="20"/>
          <w:lang w:val="en-US"/>
        </w:rPr>
        <w:t>serious</w:t>
      </w:r>
      <w:r w:rsidRPr="007B2402">
        <w:rPr>
          <w:rFonts w:eastAsia="Batang" w:cs="Arial"/>
          <w:szCs w:val="20"/>
          <w:lang w:val="en-US"/>
        </w:rPr>
        <w:t xml:space="preserve"> violations of human rights, </w:t>
      </w:r>
      <w:r w:rsidR="001F4368" w:rsidRPr="007B2402">
        <w:rPr>
          <w:rFonts w:eastAsia="Batang" w:cs="Arial"/>
          <w:szCs w:val="20"/>
          <w:lang w:val="en-US"/>
        </w:rPr>
        <w:t xml:space="preserve">amnesty laws </w:t>
      </w:r>
      <w:r w:rsidRPr="007B2402">
        <w:rPr>
          <w:rFonts w:eastAsia="Batang" w:cs="Arial"/>
          <w:szCs w:val="20"/>
          <w:lang w:val="en-US"/>
        </w:rPr>
        <w:t xml:space="preserve">are </w:t>
      </w:r>
      <w:r w:rsidR="001F4368" w:rsidRPr="007B2402">
        <w:rPr>
          <w:rFonts w:eastAsia="Batang" w:cs="Arial"/>
          <w:szCs w:val="20"/>
          <w:lang w:val="en-US"/>
        </w:rPr>
        <w:t>clear</w:t>
      </w:r>
      <w:r w:rsidRPr="007B2402">
        <w:rPr>
          <w:rFonts w:eastAsia="Batang" w:cs="Arial"/>
          <w:szCs w:val="20"/>
          <w:lang w:val="en-US"/>
        </w:rPr>
        <w:t xml:space="preserve">ly incompatible with the letter and spirit of the Pact of San José, because they </w:t>
      </w:r>
      <w:r w:rsidR="001F4368" w:rsidRPr="007B2402">
        <w:rPr>
          <w:rFonts w:eastAsia="Batang" w:cs="Arial"/>
          <w:szCs w:val="20"/>
          <w:lang w:val="en-US"/>
        </w:rPr>
        <w:t>contravene</w:t>
      </w:r>
      <w:r w:rsidRPr="007B2402">
        <w:rPr>
          <w:rFonts w:eastAsia="Batang" w:cs="Arial"/>
          <w:szCs w:val="20"/>
          <w:lang w:val="en-US"/>
        </w:rPr>
        <w:t xml:space="preserve"> the provisions of its </w:t>
      </w:r>
      <w:r w:rsidR="00A65E06" w:rsidRPr="007B2402">
        <w:rPr>
          <w:rFonts w:eastAsia="Batang" w:cs="Arial"/>
          <w:szCs w:val="20"/>
          <w:lang w:val="en-US"/>
        </w:rPr>
        <w:t>Article</w:t>
      </w:r>
      <w:r w:rsidR="000744A8" w:rsidRPr="007B2402">
        <w:rPr>
          <w:rFonts w:eastAsia="Batang" w:cs="Arial"/>
          <w:szCs w:val="20"/>
          <w:lang w:val="en-US"/>
        </w:rPr>
        <w:t xml:space="preserve">s </w:t>
      </w:r>
      <w:r w:rsidR="00375567" w:rsidRPr="007B2402">
        <w:rPr>
          <w:rFonts w:eastAsia="Batang" w:cs="Arial"/>
          <w:szCs w:val="20"/>
          <w:lang w:val="en-US"/>
        </w:rPr>
        <w:t>1(1) and 2</w:t>
      </w:r>
      <w:r w:rsidR="000744A8" w:rsidRPr="007B2402">
        <w:rPr>
          <w:rFonts w:eastAsia="Batang" w:cs="Arial"/>
          <w:szCs w:val="20"/>
          <w:lang w:val="en-US"/>
        </w:rPr>
        <w:t xml:space="preserve">, </w:t>
      </w:r>
      <w:r w:rsidRPr="007B2402">
        <w:rPr>
          <w:rFonts w:eastAsia="Batang" w:cs="Arial"/>
          <w:szCs w:val="20"/>
          <w:lang w:val="en-US"/>
        </w:rPr>
        <w:t xml:space="preserve">by preventing the investigation and punishment of those responsible for </w:t>
      </w:r>
      <w:r w:rsidR="001F4368" w:rsidRPr="007B2402">
        <w:rPr>
          <w:rFonts w:eastAsia="Batang" w:cs="Arial"/>
          <w:szCs w:val="20"/>
          <w:lang w:val="en-US"/>
        </w:rPr>
        <w:t>such serious</w:t>
      </w:r>
      <w:r w:rsidRPr="007B2402">
        <w:rPr>
          <w:rFonts w:eastAsia="Batang" w:cs="Arial"/>
          <w:szCs w:val="20"/>
          <w:lang w:val="en-US"/>
        </w:rPr>
        <w:t xml:space="preserve"> human rights violations and, consequently, the </w:t>
      </w:r>
      <w:r w:rsidR="001F4368" w:rsidRPr="007B2402">
        <w:rPr>
          <w:rFonts w:eastAsia="Batang" w:cs="Arial"/>
          <w:szCs w:val="20"/>
          <w:lang w:val="en-US"/>
        </w:rPr>
        <w:t>a</w:t>
      </w:r>
      <w:r w:rsidRPr="007B2402">
        <w:rPr>
          <w:rFonts w:eastAsia="Batang" w:cs="Arial"/>
          <w:szCs w:val="20"/>
          <w:lang w:val="en-US"/>
        </w:rPr>
        <w:t>ccess of the victims and their next of kin to the truth of what happened and to the corresponding reparations</w:t>
      </w:r>
      <w:r w:rsidR="001F4368" w:rsidRPr="007B2402">
        <w:rPr>
          <w:rFonts w:eastAsia="Batang" w:cs="Arial"/>
          <w:szCs w:val="20"/>
          <w:lang w:val="en-US"/>
        </w:rPr>
        <w:t>.</w:t>
      </w:r>
      <w:r w:rsidR="000744A8" w:rsidRPr="007B2402">
        <w:rPr>
          <w:rFonts w:eastAsia="Batang" w:cs="Arial"/>
          <w:szCs w:val="20"/>
          <w:lang w:val="en-US"/>
        </w:rPr>
        <w:t xml:space="preserve"> </w:t>
      </w:r>
      <w:r w:rsidR="001F4368" w:rsidRPr="007B2402">
        <w:rPr>
          <w:rFonts w:eastAsia="Batang" w:cs="Arial"/>
          <w:szCs w:val="20"/>
          <w:lang w:val="en-US"/>
        </w:rPr>
        <w:t>T</w:t>
      </w:r>
      <w:r w:rsidRPr="007B2402">
        <w:rPr>
          <w:rFonts w:eastAsia="Batang" w:cs="Arial"/>
          <w:szCs w:val="20"/>
          <w:lang w:val="en-US"/>
        </w:rPr>
        <w:t>hus</w:t>
      </w:r>
      <w:r w:rsidR="001F4368" w:rsidRPr="007B2402">
        <w:rPr>
          <w:rFonts w:eastAsia="Batang" w:cs="Arial"/>
          <w:szCs w:val="20"/>
          <w:lang w:val="en-US"/>
        </w:rPr>
        <w:t xml:space="preserve">, they </w:t>
      </w:r>
      <w:r w:rsidRPr="007B2402">
        <w:rPr>
          <w:rFonts w:eastAsia="Batang" w:cs="Arial"/>
          <w:szCs w:val="20"/>
          <w:lang w:val="en-US"/>
        </w:rPr>
        <w:t xml:space="preserve">obstruct the full, prompt and effective reign of justice in the pertinent cases and, to the contrary, </w:t>
      </w:r>
      <w:r w:rsidR="001F4368" w:rsidRPr="007B2402">
        <w:rPr>
          <w:rFonts w:eastAsia="Batang" w:cs="Arial"/>
          <w:szCs w:val="20"/>
          <w:lang w:val="en-US"/>
        </w:rPr>
        <w:t xml:space="preserve">they </w:t>
      </w:r>
      <w:r w:rsidRPr="007B2402">
        <w:rPr>
          <w:rFonts w:eastAsia="Batang" w:cs="Arial"/>
          <w:szCs w:val="20"/>
          <w:lang w:val="en-US"/>
        </w:rPr>
        <w:t>promot</w:t>
      </w:r>
      <w:r w:rsidR="001F4368" w:rsidRPr="007B2402">
        <w:rPr>
          <w:rFonts w:eastAsia="Batang" w:cs="Arial"/>
          <w:szCs w:val="20"/>
          <w:lang w:val="en-US"/>
        </w:rPr>
        <w:t>e</w:t>
      </w:r>
      <w:r w:rsidRPr="007B2402">
        <w:rPr>
          <w:rFonts w:eastAsia="Batang" w:cs="Arial"/>
          <w:szCs w:val="20"/>
          <w:lang w:val="en-US"/>
        </w:rPr>
        <w:t xml:space="preserve"> impunity and arbitrariness </w:t>
      </w:r>
      <w:r w:rsidR="001F4368" w:rsidRPr="007B2402">
        <w:rPr>
          <w:rFonts w:eastAsia="Batang" w:cs="Arial"/>
          <w:szCs w:val="20"/>
          <w:lang w:val="en-US"/>
        </w:rPr>
        <w:t>as well as</w:t>
      </w:r>
      <w:r w:rsidRPr="007B2402">
        <w:rPr>
          <w:rFonts w:eastAsia="Batang" w:cs="Arial"/>
          <w:szCs w:val="20"/>
          <w:lang w:val="en-US"/>
        </w:rPr>
        <w:t xml:space="preserve"> </w:t>
      </w:r>
      <w:r w:rsidR="001F4368" w:rsidRPr="007B2402">
        <w:rPr>
          <w:rFonts w:eastAsia="Batang" w:cs="Arial"/>
          <w:szCs w:val="20"/>
          <w:lang w:val="en-US"/>
        </w:rPr>
        <w:t>grave</w:t>
      </w:r>
      <w:r w:rsidRPr="007B2402">
        <w:rPr>
          <w:rFonts w:eastAsia="Batang" w:cs="Arial"/>
          <w:szCs w:val="20"/>
          <w:lang w:val="en-US"/>
        </w:rPr>
        <w:t>ly affect</w:t>
      </w:r>
      <w:r w:rsidR="001F4368" w:rsidRPr="007B2402">
        <w:rPr>
          <w:rFonts w:eastAsia="Batang" w:cs="Arial"/>
          <w:szCs w:val="20"/>
          <w:lang w:val="en-US"/>
        </w:rPr>
        <w:t>ing</w:t>
      </w:r>
      <w:r w:rsidRPr="007B2402">
        <w:rPr>
          <w:rFonts w:eastAsia="Batang" w:cs="Arial"/>
          <w:szCs w:val="20"/>
          <w:lang w:val="en-US"/>
        </w:rPr>
        <w:t xml:space="preserve"> the rule of law. It is for these reasons that it has been declared that, in light of international law, </w:t>
      </w:r>
      <w:r w:rsidR="001F4368" w:rsidRPr="007B2402">
        <w:rPr>
          <w:rFonts w:eastAsia="Batang" w:cs="Arial"/>
          <w:szCs w:val="20"/>
          <w:lang w:val="en-US"/>
        </w:rPr>
        <w:t>such laws</w:t>
      </w:r>
      <w:r w:rsidRPr="007B2402">
        <w:rPr>
          <w:rFonts w:eastAsia="Batang" w:cs="Arial"/>
          <w:szCs w:val="20"/>
          <w:lang w:val="en-US"/>
        </w:rPr>
        <w:t xml:space="preserve"> lack legal force</w:t>
      </w:r>
      <w:r w:rsidR="000744A8" w:rsidRPr="007B2402">
        <w:rPr>
          <w:rFonts w:eastAsia="Batang" w:cs="Arial"/>
          <w:szCs w:val="20"/>
          <w:lang w:val="en-US"/>
        </w:rPr>
        <w:t>.</w:t>
      </w:r>
    </w:p>
    <w:p w14:paraId="6B3DA346" w14:textId="1246BA3E" w:rsidR="000744A8" w:rsidRPr="007B2402" w:rsidRDefault="001045BC" w:rsidP="00DB1F30">
      <w:pPr>
        <w:numPr>
          <w:ilvl w:val="0"/>
          <w:numId w:val="6"/>
        </w:numPr>
        <w:tabs>
          <w:tab w:val="left" w:pos="0"/>
        </w:tabs>
        <w:spacing w:after="0" w:line="240" w:lineRule="auto"/>
        <w:ind w:right="-7"/>
        <w:jc w:val="both"/>
        <w:rPr>
          <w:rFonts w:eastAsia="Batang" w:cs="Times New Roman"/>
          <w:szCs w:val="20"/>
          <w:lang w:val="en-US"/>
        </w:rPr>
      </w:pPr>
      <w:r w:rsidRPr="007B2402">
        <w:rPr>
          <w:rFonts w:eastAsia="Batang" w:cs="Times-Roman"/>
          <w:szCs w:val="20"/>
          <w:lang w:val="en-US" w:bidi="en-US"/>
        </w:rPr>
        <w:lastRenderedPageBreak/>
        <w:t>I</w:t>
      </w:r>
      <w:r w:rsidR="000744A8" w:rsidRPr="007B2402">
        <w:rPr>
          <w:rFonts w:eastAsia="Batang" w:cs="Times-Roman"/>
          <w:szCs w:val="20"/>
          <w:lang w:val="en-US" w:bidi="en-US"/>
        </w:rPr>
        <w:t xml:space="preserve">n </w:t>
      </w:r>
      <w:r w:rsidRPr="007B2402">
        <w:rPr>
          <w:rFonts w:eastAsia="Batang" w:cs="Times-Roman"/>
          <w:szCs w:val="20"/>
          <w:lang w:val="en-US" w:bidi="en-US"/>
        </w:rPr>
        <w:t>particular</w:t>
      </w:r>
      <w:r w:rsidR="000744A8" w:rsidRPr="007B2402">
        <w:rPr>
          <w:rFonts w:eastAsia="Batang" w:cs="Times-Roman"/>
          <w:szCs w:val="20"/>
          <w:lang w:val="en-US" w:bidi="en-US"/>
        </w:rPr>
        <w:t xml:space="preserve">, </w:t>
      </w:r>
      <w:r w:rsidRPr="007B2402">
        <w:rPr>
          <w:rFonts w:eastAsia="Batang" w:cs="Times-Roman"/>
          <w:szCs w:val="20"/>
          <w:lang w:val="en-US" w:bidi="en-US"/>
        </w:rPr>
        <w:t xml:space="preserve">amnesty laws </w:t>
      </w:r>
      <w:r w:rsidR="0062581E" w:rsidRPr="007B2402">
        <w:rPr>
          <w:rFonts w:eastAsia="Batang" w:cs="Times-Roman"/>
          <w:szCs w:val="20"/>
          <w:lang w:val="en-US" w:bidi="en-US"/>
        </w:rPr>
        <w:t>violate</w:t>
      </w:r>
      <w:r w:rsidRPr="007B2402">
        <w:rPr>
          <w:rFonts w:eastAsia="Batang" w:cs="Times-Roman"/>
          <w:szCs w:val="20"/>
          <w:lang w:val="en-US" w:bidi="en-US"/>
        </w:rPr>
        <w:t xml:space="preserve"> the State’s international obligation to investigate and punish </w:t>
      </w:r>
      <w:r w:rsidR="0062581E" w:rsidRPr="007B2402">
        <w:rPr>
          <w:rFonts w:eastAsia="Batang" w:cs="Times-Roman"/>
          <w:szCs w:val="20"/>
          <w:lang w:val="en-US" w:bidi="en-US"/>
        </w:rPr>
        <w:t>serious</w:t>
      </w:r>
      <w:r w:rsidRPr="007B2402">
        <w:rPr>
          <w:rFonts w:eastAsia="Batang" w:cs="Times-Roman"/>
          <w:szCs w:val="20"/>
          <w:lang w:val="en-US" w:bidi="en-US"/>
        </w:rPr>
        <w:t xml:space="preserve"> human rights violations by preventing the victims’ next of kin from being heard by a judge, in accordance with the provisions of </w:t>
      </w:r>
      <w:r w:rsidR="00AF4344" w:rsidRPr="007B2402">
        <w:rPr>
          <w:rFonts w:eastAsia="Batang" w:cs="Times-Roman"/>
          <w:szCs w:val="20"/>
          <w:lang w:val="en-US" w:bidi="en-US"/>
        </w:rPr>
        <w:t>Article</w:t>
      </w:r>
      <w:r w:rsidR="000744A8" w:rsidRPr="007B2402">
        <w:rPr>
          <w:rFonts w:eastAsia="Batang" w:cs="Times-Roman"/>
          <w:szCs w:val="20"/>
          <w:lang w:val="en-US" w:bidi="en-US"/>
        </w:rPr>
        <w:t xml:space="preserve"> </w:t>
      </w:r>
      <w:r w:rsidR="00375567" w:rsidRPr="007B2402">
        <w:rPr>
          <w:rFonts w:eastAsia="Batang" w:cs="Times-Roman"/>
          <w:szCs w:val="20"/>
          <w:lang w:val="en-US" w:bidi="en-US"/>
        </w:rPr>
        <w:t>8(1)</w:t>
      </w:r>
      <w:r w:rsidR="00AF4344" w:rsidRPr="007B2402">
        <w:rPr>
          <w:rFonts w:eastAsia="Batang" w:cs="Times-Roman"/>
          <w:szCs w:val="20"/>
          <w:lang w:val="en-US" w:bidi="en-US"/>
        </w:rPr>
        <w:t xml:space="preserve"> of the American Convention</w:t>
      </w:r>
      <w:r w:rsidR="0062581E" w:rsidRPr="007B2402">
        <w:rPr>
          <w:rFonts w:eastAsia="Batang" w:cs="Times-Roman"/>
          <w:szCs w:val="20"/>
          <w:lang w:val="en-US" w:bidi="en-US"/>
        </w:rPr>
        <w:t>. In addition,</w:t>
      </w:r>
      <w:r w:rsidR="005B1590" w:rsidRPr="007B2402">
        <w:rPr>
          <w:rFonts w:eastAsia="Batang" w:cs="Times-Roman"/>
          <w:szCs w:val="20"/>
          <w:lang w:val="en-US" w:bidi="en-US"/>
        </w:rPr>
        <w:t xml:space="preserve"> </w:t>
      </w:r>
      <w:r w:rsidRPr="007B2402">
        <w:rPr>
          <w:rFonts w:eastAsia="Batang" w:cs="Times-Roman"/>
          <w:szCs w:val="20"/>
          <w:lang w:val="en-US" w:bidi="en-US"/>
        </w:rPr>
        <w:t xml:space="preserve">they violate the right to </w:t>
      </w:r>
      <w:r w:rsidR="008B5281" w:rsidRPr="007B2402">
        <w:rPr>
          <w:rFonts w:eastAsia="Batang" w:cs="Times-Roman"/>
          <w:szCs w:val="20"/>
          <w:lang w:val="en-US" w:bidi="en-US"/>
        </w:rPr>
        <w:t>judicial protection</w:t>
      </w:r>
      <w:r w:rsidR="000744A8" w:rsidRPr="007B2402">
        <w:rPr>
          <w:rFonts w:eastAsia="Batang" w:cs="Times-Roman"/>
          <w:szCs w:val="20"/>
          <w:lang w:val="en-US" w:bidi="en-US"/>
        </w:rPr>
        <w:t xml:space="preserve"> </w:t>
      </w:r>
      <w:r w:rsidRPr="007B2402">
        <w:rPr>
          <w:rFonts w:eastAsia="Batang" w:cs="Times-Roman"/>
          <w:szCs w:val="20"/>
          <w:lang w:val="en-US" w:bidi="en-US"/>
        </w:rPr>
        <w:t xml:space="preserve">established in </w:t>
      </w:r>
      <w:r w:rsidR="00AF4344" w:rsidRPr="007B2402">
        <w:rPr>
          <w:rFonts w:eastAsia="Batang" w:cs="Times-Roman"/>
          <w:szCs w:val="20"/>
          <w:lang w:val="en-US" w:bidi="en-US"/>
        </w:rPr>
        <w:t>Article</w:t>
      </w:r>
      <w:r w:rsidR="000744A8" w:rsidRPr="007B2402">
        <w:rPr>
          <w:rFonts w:eastAsia="Batang" w:cs="Times-Roman"/>
          <w:szCs w:val="20"/>
          <w:lang w:val="en-US" w:bidi="en-US"/>
        </w:rPr>
        <w:t xml:space="preserve"> 25 </w:t>
      </w:r>
      <w:r w:rsidR="00375567" w:rsidRPr="007B2402">
        <w:rPr>
          <w:rFonts w:eastAsia="Batang" w:cs="Times-Roman"/>
          <w:szCs w:val="20"/>
          <w:lang w:val="en-US" w:bidi="en-US"/>
        </w:rPr>
        <w:t>of this instrument</w:t>
      </w:r>
      <w:r w:rsidR="000744A8" w:rsidRPr="007B2402">
        <w:rPr>
          <w:rFonts w:eastAsia="Batang" w:cs="Times-Roman"/>
          <w:szCs w:val="20"/>
          <w:lang w:val="en-US" w:bidi="en-US"/>
        </w:rPr>
        <w:t xml:space="preserve"> precis</w:t>
      </w:r>
      <w:r w:rsidRPr="007B2402">
        <w:rPr>
          <w:rFonts w:eastAsia="Batang" w:cs="Times-Roman"/>
          <w:szCs w:val="20"/>
          <w:lang w:val="en-US" w:bidi="en-US"/>
        </w:rPr>
        <w:t xml:space="preserve">ely due to the failure to investigate, pursue, capture, prosecute and punish the perpetrators of </w:t>
      </w:r>
      <w:r w:rsidR="0062581E" w:rsidRPr="007B2402">
        <w:rPr>
          <w:rFonts w:eastAsia="Batang" w:cs="Times-Roman"/>
          <w:szCs w:val="20"/>
          <w:lang w:val="en-US" w:bidi="en-US"/>
        </w:rPr>
        <w:t>such</w:t>
      </w:r>
      <w:r w:rsidRPr="007B2402">
        <w:rPr>
          <w:rFonts w:eastAsia="Batang" w:cs="Times-Roman"/>
          <w:szCs w:val="20"/>
          <w:lang w:val="en-US" w:bidi="en-US"/>
        </w:rPr>
        <w:t xml:space="preserve"> acts, which results in non-compliance with </w:t>
      </w:r>
      <w:r w:rsidR="00AF4344" w:rsidRPr="007B2402">
        <w:rPr>
          <w:rFonts w:eastAsia="Batang" w:cs="Times-Roman"/>
          <w:szCs w:val="20"/>
          <w:lang w:val="en-US" w:bidi="en-US"/>
        </w:rPr>
        <w:t>Article</w:t>
      </w:r>
      <w:r w:rsidR="000744A8" w:rsidRPr="007B2402">
        <w:rPr>
          <w:rFonts w:eastAsia="Batang" w:cs="Times-Roman"/>
          <w:szCs w:val="20"/>
          <w:lang w:val="en-US" w:bidi="en-US"/>
        </w:rPr>
        <w:t xml:space="preserve"> </w:t>
      </w:r>
      <w:r w:rsidR="00375567" w:rsidRPr="007B2402">
        <w:rPr>
          <w:rFonts w:eastAsia="Batang" w:cs="Times-Roman"/>
          <w:szCs w:val="20"/>
          <w:lang w:val="en-US" w:bidi="en-US"/>
        </w:rPr>
        <w:t>1(1)</w:t>
      </w:r>
      <w:r w:rsidR="00AF4344" w:rsidRPr="007B2402">
        <w:rPr>
          <w:rFonts w:eastAsia="Batang" w:cs="Times-Roman"/>
          <w:szCs w:val="20"/>
          <w:lang w:val="en-US" w:bidi="en-US"/>
        </w:rPr>
        <w:t xml:space="preserve"> of the Convention</w:t>
      </w:r>
      <w:r w:rsidR="000744A8" w:rsidRPr="007B2402">
        <w:rPr>
          <w:rFonts w:eastAsia="Batang" w:cs="Times-Roman"/>
          <w:szCs w:val="20"/>
          <w:lang w:val="en-US" w:bidi="en-US"/>
        </w:rPr>
        <w:t xml:space="preserve">. </w:t>
      </w:r>
    </w:p>
    <w:p w14:paraId="36AD96BD" w14:textId="77777777" w:rsidR="000744A8" w:rsidRPr="007B2402" w:rsidRDefault="000744A8" w:rsidP="000744A8">
      <w:pPr>
        <w:spacing w:after="0" w:line="240" w:lineRule="auto"/>
        <w:jc w:val="both"/>
        <w:rPr>
          <w:rFonts w:eastAsia="Times New Roman" w:cs="Times New Roman"/>
          <w:szCs w:val="20"/>
          <w:lang w:val="en-US"/>
        </w:rPr>
      </w:pPr>
    </w:p>
    <w:p w14:paraId="3C7C9020" w14:textId="71A0F9A6" w:rsidR="000744A8" w:rsidRPr="007B2402" w:rsidRDefault="001045BC" w:rsidP="001045BC">
      <w:pPr>
        <w:numPr>
          <w:ilvl w:val="0"/>
          <w:numId w:val="6"/>
        </w:numPr>
        <w:tabs>
          <w:tab w:val="left" w:pos="0"/>
        </w:tabs>
        <w:spacing w:after="0" w:line="240" w:lineRule="auto"/>
        <w:ind w:right="-7"/>
        <w:jc w:val="both"/>
        <w:rPr>
          <w:rFonts w:eastAsia="Batang" w:cs="Times New Roman"/>
          <w:szCs w:val="20"/>
          <w:lang w:val="en-US"/>
        </w:rPr>
      </w:pPr>
      <w:r w:rsidRPr="007B2402">
        <w:rPr>
          <w:rFonts w:eastAsia="Times New Roman" w:cs="Times New Roman"/>
          <w:szCs w:val="20"/>
          <w:lang w:val="en-US"/>
        </w:rPr>
        <w:t xml:space="preserve">In light of the general obligations established in </w:t>
      </w:r>
      <w:r w:rsidR="00AF4344" w:rsidRPr="007B2402">
        <w:rPr>
          <w:rFonts w:eastAsia="Times New Roman" w:cs="Times-Roman"/>
          <w:szCs w:val="20"/>
          <w:lang w:val="en-US" w:bidi="en-US"/>
        </w:rPr>
        <w:t>Articles</w:t>
      </w:r>
      <w:r w:rsidR="000744A8" w:rsidRPr="007B2402">
        <w:rPr>
          <w:rFonts w:eastAsia="Times New Roman" w:cs="Times-Roman"/>
          <w:szCs w:val="20"/>
          <w:lang w:val="en-US" w:bidi="en-US"/>
        </w:rPr>
        <w:t xml:space="preserve"> </w:t>
      </w:r>
      <w:r w:rsidR="00375567" w:rsidRPr="007B2402">
        <w:rPr>
          <w:rFonts w:eastAsia="Times New Roman" w:cs="Times-Roman"/>
          <w:szCs w:val="20"/>
          <w:lang w:val="en-US" w:bidi="en-US"/>
        </w:rPr>
        <w:t>1(1) and 2</w:t>
      </w:r>
      <w:r w:rsidR="00AF4344" w:rsidRPr="007B2402">
        <w:rPr>
          <w:rFonts w:eastAsia="Times New Roman" w:cs="Times-Roman"/>
          <w:szCs w:val="20"/>
          <w:lang w:val="en-US" w:bidi="en-US"/>
        </w:rPr>
        <w:t xml:space="preserve"> of the American Convention</w:t>
      </w:r>
      <w:r w:rsidR="000744A8" w:rsidRPr="007B2402">
        <w:rPr>
          <w:rFonts w:eastAsia="Times New Roman" w:cs="Times-Roman"/>
          <w:szCs w:val="20"/>
          <w:lang w:val="en-US" w:bidi="en-US"/>
        </w:rPr>
        <w:t xml:space="preserve">, </w:t>
      </w:r>
      <w:r w:rsidRPr="007B2402">
        <w:rPr>
          <w:rFonts w:eastAsia="Times New Roman" w:cs="Times-Roman"/>
          <w:szCs w:val="20"/>
          <w:lang w:val="en-US" w:bidi="en-US"/>
        </w:rPr>
        <w:t xml:space="preserve">the States Parties have the obligation to take every possible measure to ensure that no one is denied </w:t>
      </w:r>
      <w:r w:rsidR="008B5281" w:rsidRPr="007B2402">
        <w:rPr>
          <w:rFonts w:eastAsia="Times New Roman" w:cs="Times-Roman"/>
          <w:szCs w:val="20"/>
          <w:lang w:val="en-US" w:bidi="en-US"/>
        </w:rPr>
        <w:t>judicial protection</w:t>
      </w:r>
      <w:r w:rsidR="005B1590" w:rsidRPr="007B2402">
        <w:rPr>
          <w:rFonts w:eastAsia="Times New Roman" w:cs="Times-Roman"/>
          <w:szCs w:val="20"/>
          <w:lang w:val="en-US" w:bidi="en-US"/>
        </w:rPr>
        <w:t xml:space="preserve"> and </w:t>
      </w:r>
      <w:r w:rsidRPr="007B2402">
        <w:rPr>
          <w:rFonts w:eastAsia="Times New Roman" w:cs="Times-Roman"/>
          <w:szCs w:val="20"/>
          <w:lang w:val="en-US" w:bidi="en-US"/>
        </w:rPr>
        <w:t xml:space="preserve">the exercise of the right to a simple and effective remedy </w:t>
      </w:r>
      <w:r w:rsidR="00221E16" w:rsidRPr="007B2402">
        <w:rPr>
          <w:rFonts w:eastAsia="Times New Roman" w:cs="Times-Roman"/>
          <w:szCs w:val="20"/>
          <w:lang w:val="en-US" w:bidi="en-US"/>
        </w:rPr>
        <w:t>in the term of</w:t>
      </w:r>
      <w:r w:rsidR="000744A8" w:rsidRPr="007B2402">
        <w:rPr>
          <w:rFonts w:eastAsia="Times New Roman" w:cs="Times-Roman"/>
          <w:szCs w:val="20"/>
          <w:lang w:val="en-US" w:bidi="en-US"/>
        </w:rPr>
        <w:t xml:space="preserve"> </w:t>
      </w:r>
      <w:r w:rsidR="00AF4344" w:rsidRPr="007B2402">
        <w:rPr>
          <w:rFonts w:eastAsia="Times New Roman" w:cs="Times-Roman"/>
          <w:szCs w:val="20"/>
          <w:lang w:val="en-US" w:bidi="en-US"/>
        </w:rPr>
        <w:t>Articles</w:t>
      </w:r>
      <w:r w:rsidR="000744A8" w:rsidRPr="007B2402">
        <w:rPr>
          <w:rFonts w:eastAsia="Times New Roman" w:cs="Times-Roman"/>
          <w:szCs w:val="20"/>
          <w:lang w:val="en-US" w:bidi="en-US"/>
        </w:rPr>
        <w:t xml:space="preserve"> 8</w:t>
      </w:r>
      <w:r w:rsidR="005B1590" w:rsidRPr="007B2402">
        <w:rPr>
          <w:rFonts w:eastAsia="Times New Roman" w:cs="Times-Roman"/>
          <w:szCs w:val="20"/>
          <w:lang w:val="en-US" w:bidi="en-US"/>
        </w:rPr>
        <w:t xml:space="preserve"> and </w:t>
      </w:r>
      <w:r w:rsidR="000744A8" w:rsidRPr="007B2402">
        <w:rPr>
          <w:rFonts w:eastAsia="Times New Roman" w:cs="Times-Roman"/>
          <w:szCs w:val="20"/>
          <w:lang w:val="en-US" w:bidi="en-US"/>
        </w:rPr>
        <w:t>25</w:t>
      </w:r>
      <w:r w:rsidR="00AF4344" w:rsidRPr="007B2402">
        <w:rPr>
          <w:rFonts w:eastAsia="Times New Roman" w:cs="Times-Roman"/>
          <w:szCs w:val="20"/>
          <w:lang w:val="en-US" w:bidi="en-US"/>
        </w:rPr>
        <w:t xml:space="preserve"> of the Convention</w:t>
      </w:r>
      <w:r w:rsidR="0062581E" w:rsidRPr="007B2402">
        <w:rPr>
          <w:rFonts w:eastAsia="Times New Roman" w:cs="Times-Roman"/>
          <w:szCs w:val="20"/>
          <w:lang w:val="en-US" w:bidi="en-US"/>
        </w:rPr>
        <w:t>. Moreover</w:t>
      </w:r>
      <w:r w:rsidR="000744A8" w:rsidRPr="007B2402">
        <w:rPr>
          <w:rFonts w:eastAsia="Times New Roman" w:cs="Times-Roman"/>
          <w:szCs w:val="20"/>
          <w:lang w:val="en-US" w:bidi="en-US"/>
        </w:rPr>
        <w:t>,</w:t>
      </w:r>
      <w:r w:rsidRPr="007B2402">
        <w:rPr>
          <w:rFonts w:eastAsia="Times New Roman" w:cs="Times-Roman"/>
          <w:szCs w:val="20"/>
          <w:lang w:val="en-US" w:bidi="en-US"/>
        </w:rPr>
        <w:t xml:space="preserve"> once it has ratified</w:t>
      </w:r>
      <w:r w:rsidR="000744A8" w:rsidRPr="007B2402">
        <w:rPr>
          <w:rFonts w:eastAsia="Times New Roman" w:cs="Times-Roman"/>
          <w:szCs w:val="20"/>
          <w:lang w:val="en-US" w:bidi="en-US"/>
        </w:rPr>
        <w:t xml:space="preserve"> </w:t>
      </w:r>
      <w:r w:rsidR="00AF4344" w:rsidRPr="007B2402">
        <w:rPr>
          <w:rFonts w:eastAsia="Times New Roman" w:cs="Times-Roman"/>
          <w:szCs w:val="20"/>
          <w:lang w:val="en-US" w:bidi="en-US"/>
        </w:rPr>
        <w:t>the American Convention</w:t>
      </w:r>
      <w:r w:rsidRPr="007B2402">
        <w:rPr>
          <w:rFonts w:eastAsia="Times New Roman" w:cs="Times-Roman"/>
          <w:szCs w:val="20"/>
          <w:lang w:val="en-US" w:bidi="en-US"/>
        </w:rPr>
        <w:t>, pursuant to its Article 2, the State must take all necessary measures to derogate any legal provisions that could contravene the Convention, such as those that prevent the investigation of serious human rights violations, because these leave the victims defenseless</w:t>
      </w:r>
      <w:r w:rsidR="00E122C1" w:rsidRPr="007B2402">
        <w:rPr>
          <w:rFonts w:eastAsia="Times New Roman" w:cs="Times-Roman"/>
          <w:szCs w:val="20"/>
          <w:lang w:val="en-US" w:bidi="en-US"/>
        </w:rPr>
        <w:t xml:space="preserve"> and result in the perpetuation of impunity; furthermore, they prevent the victims and their next of kin from knowing the truth</w:t>
      </w:r>
      <w:r w:rsidR="000744A8" w:rsidRPr="007B2402">
        <w:rPr>
          <w:rFonts w:eastAsia="Times New Roman" w:cs="Times New Roman"/>
          <w:szCs w:val="20"/>
          <w:lang w:val="en-US"/>
        </w:rPr>
        <w:t xml:space="preserve">. </w:t>
      </w:r>
    </w:p>
    <w:p w14:paraId="686248B9" w14:textId="77777777" w:rsidR="000744A8" w:rsidRPr="007B2402" w:rsidRDefault="000744A8" w:rsidP="000744A8">
      <w:pPr>
        <w:spacing w:after="0" w:line="240" w:lineRule="auto"/>
        <w:jc w:val="both"/>
        <w:rPr>
          <w:rFonts w:eastAsia="Calibri" w:cs="Times New Roman"/>
          <w:szCs w:val="20"/>
          <w:lang w:val="en-US"/>
        </w:rPr>
      </w:pPr>
    </w:p>
    <w:p w14:paraId="1D8CDF50" w14:textId="5467B71C" w:rsidR="000744A8" w:rsidRPr="007B2402" w:rsidRDefault="00E122C1" w:rsidP="00E122C1">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 xml:space="preserve">That said, it is evident that, </w:t>
      </w:r>
      <w:r w:rsidR="0062581E" w:rsidRPr="007B2402">
        <w:rPr>
          <w:rFonts w:eastAsia="Calibri" w:cs="Times New Roman"/>
          <w:szCs w:val="20"/>
          <w:lang w:val="en-US"/>
        </w:rPr>
        <w:t xml:space="preserve">from the moment it was </w:t>
      </w:r>
      <w:r w:rsidRPr="007B2402">
        <w:rPr>
          <w:rFonts w:eastAsia="Calibri" w:cs="Times New Roman"/>
          <w:szCs w:val="20"/>
          <w:lang w:val="en-US"/>
        </w:rPr>
        <w:t>promulgat</w:t>
      </w:r>
      <w:r w:rsidR="0062581E" w:rsidRPr="007B2402">
        <w:rPr>
          <w:rFonts w:eastAsia="Calibri" w:cs="Times New Roman"/>
          <w:szCs w:val="20"/>
          <w:lang w:val="en-US"/>
        </w:rPr>
        <w:t>ed</w:t>
      </w:r>
      <w:r w:rsidRPr="007B2402">
        <w:rPr>
          <w:rFonts w:eastAsia="Calibri" w:cs="Times New Roman"/>
          <w:szCs w:val="20"/>
          <w:lang w:val="en-US"/>
        </w:rPr>
        <w:t xml:space="preserve">, the Brazilian Amnesty Law referred to crimes committed in a situation where there was no non-international armed conflict, and it has no legal force because it prevents the investigation and punishment of </w:t>
      </w:r>
      <w:r w:rsidR="0062581E" w:rsidRPr="007B2402">
        <w:rPr>
          <w:rFonts w:eastAsia="Calibri" w:cs="Times New Roman"/>
          <w:szCs w:val="20"/>
          <w:lang w:val="en-US"/>
        </w:rPr>
        <w:t>serious</w:t>
      </w:r>
      <w:r w:rsidRPr="007B2402">
        <w:rPr>
          <w:rFonts w:eastAsia="Calibri" w:cs="Times New Roman"/>
          <w:szCs w:val="20"/>
          <w:lang w:val="en-US"/>
        </w:rPr>
        <w:t xml:space="preserve"> violations of human rights and represents an obstacle for the investigation of the fact</w:t>
      </w:r>
      <w:r w:rsidR="0062581E" w:rsidRPr="007B2402">
        <w:rPr>
          <w:rFonts w:eastAsia="Calibri" w:cs="Times New Roman"/>
          <w:szCs w:val="20"/>
          <w:lang w:val="en-US"/>
        </w:rPr>
        <w:t>s</w:t>
      </w:r>
      <w:r w:rsidRPr="007B2402">
        <w:rPr>
          <w:rFonts w:eastAsia="Calibri" w:cs="Times New Roman"/>
          <w:szCs w:val="20"/>
          <w:lang w:val="en-US"/>
        </w:rPr>
        <w:t xml:space="preserve"> of this case and the punishment of those responsible. </w:t>
      </w:r>
      <w:r w:rsidR="00895393" w:rsidRPr="007B2402">
        <w:rPr>
          <w:rFonts w:eastAsia="Calibri" w:cs="Times New Roman"/>
          <w:szCs w:val="20"/>
          <w:lang w:val="en-US"/>
        </w:rPr>
        <w:t>T</w:t>
      </w:r>
      <w:r w:rsidRPr="007B2402">
        <w:rPr>
          <w:rFonts w:eastAsia="Calibri" w:cs="Times New Roman"/>
          <w:szCs w:val="20"/>
          <w:lang w:val="en-US"/>
        </w:rPr>
        <w:t>he Court considers that the said law cannot have legal force</w:t>
      </w:r>
      <w:r w:rsidR="00895393" w:rsidRPr="007B2402">
        <w:rPr>
          <w:rFonts w:eastAsia="Calibri" w:cs="Times New Roman"/>
          <w:szCs w:val="20"/>
          <w:lang w:val="en-US"/>
        </w:rPr>
        <w:t xml:space="preserve"> in this case, </w:t>
      </w:r>
      <w:r w:rsidRPr="007B2402">
        <w:rPr>
          <w:rFonts w:eastAsia="Calibri" w:cs="Times New Roman"/>
          <w:szCs w:val="20"/>
          <w:lang w:val="en-US"/>
        </w:rPr>
        <w:t xml:space="preserve"> and its application by the domestic courts cannot be considered valid. In 1992, when the American Convention was in full force for Brazil, the judges who intervened in the application for </w:t>
      </w:r>
      <w:r w:rsidRPr="007B2402">
        <w:rPr>
          <w:rFonts w:eastAsia="Calibri" w:cs="Times New Roman"/>
          <w:i/>
          <w:szCs w:val="20"/>
          <w:lang w:val="en-US"/>
        </w:rPr>
        <w:t>habeas corpus</w:t>
      </w:r>
      <w:r w:rsidRPr="007B2402">
        <w:rPr>
          <w:rFonts w:eastAsia="Calibri" w:cs="Times New Roman"/>
          <w:szCs w:val="20"/>
          <w:lang w:val="en-US"/>
        </w:rPr>
        <w:t xml:space="preserve"> should have </w:t>
      </w:r>
      <w:r w:rsidR="00895393" w:rsidRPr="007B2402">
        <w:rPr>
          <w:rFonts w:eastAsia="Calibri" w:cs="Times New Roman"/>
          <w:szCs w:val="20"/>
          <w:lang w:val="en-US"/>
        </w:rPr>
        <w:t>conducted</w:t>
      </w:r>
      <w:r w:rsidRPr="007B2402">
        <w:rPr>
          <w:rFonts w:eastAsia="Calibri" w:cs="Times New Roman"/>
          <w:szCs w:val="20"/>
          <w:lang w:val="en-US"/>
        </w:rPr>
        <w:t xml:space="preserve"> a “control of conventionality” </w:t>
      </w:r>
      <w:r w:rsidR="000744A8" w:rsidRPr="007B2402">
        <w:rPr>
          <w:rFonts w:eastAsia="Calibri" w:cs="Times New Roman"/>
          <w:i/>
          <w:szCs w:val="20"/>
          <w:lang w:val="en-US"/>
        </w:rPr>
        <w:t xml:space="preserve">ex officio </w:t>
      </w:r>
      <w:r w:rsidRPr="007B2402">
        <w:rPr>
          <w:rFonts w:eastAsia="Calibri" w:cs="Times New Roman"/>
          <w:szCs w:val="20"/>
          <w:lang w:val="en-US"/>
        </w:rPr>
        <w:t>between domestic law</w:t>
      </w:r>
      <w:r w:rsidR="000744A8" w:rsidRPr="007B2402">
        <w:rPr>
          <w:rFonts w:eastAsia="Calibri" w:cs="Times New Roman"/>
          <w:szCs w:val="20"/>
          <w:lang w:val="en-US"/>
        </w:rPr>
        <w:t xml:space="preserve"> </w:t>
      </w:r>
      <w:r w:rsidR="005B1590" w:rsidRPr="007B2402">
        <w:rPr>
          <w:rFonts w:eastAsia="Calibri" w:cs="Times New Roman"/>
          <w:szCs w:val="20"/>
          <w:lang w:val="en-US"/>
        </w:rPr>
        <w:t xml:space="preserve">and </w:t>
      </w:r>
      <w:r w:rsidR="00AF4344" w:rsidRPr="007B2402">
        <w:rPr>
          <w:rFonts w:eastAsia="Calibri" w:cs="Times New Roman"/>
          <w:szCs w:val="20"/>
          <w:lang w:val="en-US"/>
        </w:rPr>
        <w:t>the American Convention</w:t>
      </w:r>
      <w:r w:rsidR="00895393" w:rsidRPr="007B2402">
        <w:rPr>
          <w:rFonts w:eastAsia="Calibri" w:cs="Times New Roman"/>
          <w:szCs w:val="20"/>
          <w:lang w:val="en-US"/>
        </w:rPr>
        <w:t>;</w:t>
      </w:r>
      <w:r w:rsidR="000744A8" w:rsidRPr="007B2402">
        <w:rPr>
          <w:rFonts w:eastAsia="Calibri" w:cs="Times New Roman"/>
          <w:szCs w:val="20"/>
          <w:lang w:val="en-US"/>
        </w:rPr>
        <w:t xml:space="preserve"> evident</w:t>
      </w:r>
      <w:r w:rsidRPr="007B2402">
        <w:rPr>
          <w:rFonts w:eastAsia="Calibri" w:cs="Times New Roman"/>
          <w:szCs w:val="20"/>
          <w:lang w:val="en-US"/>
        </w:rPr>
        <w:t xml:space="preserve">ly </w:t>
      </w:r>
      <w:r w:rsidR="00546CBA" w:rsidRPr="007B2402">
        <w:rPr>
          <w:rFonts w:eastAsia="Calibri" w:cs="Times New Roman"/>
          <w:szCs w:val="20"/>
          <w:lang w:val="en-US"/>
        </w:rPr>
        <w:t xml:space="preserve">in accordance with </w:t>
      </w:r>
      <w:r w:rsidRPr="007B2402">
        <w:rPr>
          <w:rFonts w:eastAsia="Calibri" w:cs="Times New Roman"/>
          <w:szCs w:val="20"/>
          <w:lang w:val="en-US"/>
        </w:rPr>
        <w:t>their respective</w:t>
      </w:r>
      <w:r w:rsidR="00546CBA" w:rsidRPr="007B2402">
        <w:rPr>
          <w:rFonts w:eastAsia="Calibri" w:cs="Times New Roman"/>
          <w:szCs w:val="20"/>
          <w:lang w:val="en-US"/>
        </w:rPr>
        <w:t xml:space="preserve"> competence and the corresponding procedural rules. And these considerations apply to the case</w:t>
      </w:r>
      <w:r w:rsidRPr="007B2402">
        <w:rPr>
          <w:rFonts w:eastAsia="Calibri" w:cs="Times New Roman"/>
          <w:szCs w:val="20"/>
          <w:lang w:val="en-US"/>
        </w:rPr>
        <w:t xml:space="preserve"> </w:t>
      </w:r>
      <w:r w:rsidR="00546CBA" w:rsidRPr="007B2402">
        <w:rPr>
          <w:rFonts w:eastAsia="Calibri" w:cs="Times New Roman"/>
          <w:i/>
          <w:szCs w:val="20"/>
          <w:lang w:val="en-US"/>
        </w:rPr>
        <w:t>sub judice</w:t>
      </w:r>
      <w:r w:rsidR="00546CBA" w:rsidRPr="007B2402">
        <w:rPr>
          <w:rFonts w:eastAsia="Calibri" w:cs="Times New Roman"/>
          <w:szCs w:val="20"/>
          <w:lang w:val="en-US"/>
        </w:rPr>
        <w:t xml:space="preserve"> even more clearly since the conducts involved reached the threshold of </w:t>
      </w:r>
      <w:r w:rsidR="00844CE7" w:rsidRPr="007B2402">
        <w:rPr>
          <w:rFonts w:eastAsia="Calibri" w:cs="Times New Roman"/>
          <w:szCs w:val="20"/>
          <w:lang w:val="en-US"/>
        </w:rPr>
        <w:t>crimes against humanity</w:t>
      </w:r>
      <w:r w:rsidR="000744A8" w:rsidRPr="007B2402">
        <w:rPr>
          <w:rFonts w:eastAsia="Calibri" w:cs="Times New Roman"/>
          <w:szCs w:val="20"/>
          <w:lang w:val="en-US"/>
        </w:rPr>
        <w:t xml:space="preserve">. </w:t>
      </w:r>
    </w:p>
    <w:p w14:paraId="405FCE70" w14:textId="77777777" w:rsidR="001A25C1" w:rsidRPr="007B2402" w:rsidRDefault="001A25C1" w:rsidP="001A25C1">
      <w:pPr>
        <w:pStyle w:val="Prrafodelista"/>
        <w:rPr>
          <w:rFonts w:eastAsia="Calibri" w:cs="Times New Roman"/>
          <w:szCs w:val="20"/>
          <w:lang w:val="en-US"/>
        </w:rPr>
      </w:pPr>
    </w:p>
    <w:p w14:paraId="367F7861" w14:textId="2E0E6425" w:rsidR="001A25C1" w:rsidRPr="007B2402" w:rsidRDefault="001A25C1" w:rsidP="00546CBA">
      <w:pPr>
        <w:numPr>
          <w:ilvl w:val="0"/>
          <w:numId w:val="6"/>
        </w:numPr>
        <w:tabs>
          <w:tab w:val="left" w:pos="0"/>
        </w:tabs>
        <w:spacing w:after="0" w:line="240" w:lineRule="auto"/>
        <w:ind w:right="-7"/>
        <w:jc w:val="both"/>
        <w:rPr>
          <w:rFonts w:eastAsia="Calibri" w:cs="Times New Roman"/>
          <w:szCs w:val="20"/>
          <w:lang w:val="en-US"/>
        </w:rPr>
      </w:pPr>
      <w:r w:rsidRPr="007B2402">
        <w:rPr>
          <w:rFonts w:eastAsia="Calibri" w:cs="Times New Roman"/>
          <w:szCs w:val="20"/>
          <w:lang w:val="en-US"/>
        </w:rPr>
        <w:t>Final</w:t>
      </w:r>
      <w:r w:rsidR="00546CBA" w:rsidRPr="007B2402">
        <w:rPr>
          <w:rFonts w:eastAsia="Calibri" w:cs="Times New Roman"/>
          <w:szCs w:val="20"/>
          <w:lang w:val="en-US"/>
        </w:rPr>
        <w:t>ly</w:t>
      </w:r>
      <w:r w:rsidRPr="007B2402">
        <w:rPr>
          <w:rFonts w:eastAsia="Calibri" w:cs="Times New Roman"/>
          <w:szCs w:val="20"/>
          <w:lang w:val="en-US"/>
        </w:rPr>
        <w:t xml:space="preserve">, </w:t>
      </w:r>
      <w:r w:rsidR="00AF4344" w:rsidRPr="007B2402">
        <w:rPr>
          <w:rFonts w:eastAsia="Calibri" w:cs="Times New Roman"/>
          <w:szCs w:val="20"/>
          <w:lang w:val="en-US"/>
        </w:rPr>
        <w:t>the Court</w:t>
      </w:r>
      <w:r w:rsidRPr="007B2402">
        <w:rPr>
          <w:rFonts w:eastAsia="Calibri" w:cs="Times New Roman"/>
          <w:szCs w:val="20"/>
          <w:lang w:val="en-US"/>
        </w:rPr>
        <w:t xml:space="preserve"> </w:t>
      </w:r>
      <w:r w:rsidR="00546CBA" w:rsidRPr="007B2402">
        <w:rPr>
          <w:rFonts w:eastAsia="Calibri" w:cs="Times New Roman"/>
          <w:szCs w:val="20"/>
          <w:lang w:val="en-US"/>
        </w:rPr>
        <w:t xml:space="preserve">shares the opinion </w:t>
      </w:r>
      <w:r w:rsidR="005B1590" w:rsidRPr="007B2402">
        <w:rPr>
          <w:rFonts w:eastAsia="Calibri" w:cs="Times New Roman"/>
          <w:szCs w:val="20"/>
          <w:lang w:val="en-US"/>
        </w:rPr>
        <w:t xml:space="preserve">of the </w:t>
      </w:r>
      <w:r w:rsidR="004E026D" w:rsidRPr="007B2402">
        <w:rPr>
          <w:rFonts w:eastAsia="Calibri" w:cs="Times New Roman"/>
          <w:szCs w:val="20"/>
          <w:lang w:val="en-US"/>
        </w:rPr>
        <w:t>International Law Commission</w:t>
      </w:r>
      <w:r w:rsidRPr="007B2402">
        <w:rPr>
          <w:rFonts w:eastAsia="Calibri" w:cs="Times New Roman"/>
          <w:szCs w:val="20"/>
          <w:lang w:val="en-US"/>
        </w:rPr>
        <w:t xml:space="preserve"> </w:t>
      </w:r>
      <w:r w:rsidR="00546CBA" w:rsidRPr="007B2402">
        <w:rPr>
          <w:rFonts w:eastAsia="Calibri" w:cs="Times New Roman"/>
          <w:szCs w:val="20"/>
          <w:lang w:val="en-US"/>
        </w:rPr>
        <w:t>that an amnesty adopted by a State would not prevent prosecution by another State with concurr</w:t>
      </w:r>
      <w:r w:rsidR="00BE7B85" w:rsidRPr="007B2402">
        <w:rPr>
          <w:rFonts w:eastAsia="Calibri" w:cs="Times New Roman"/>
          <w:szCs w:val="20"/>
          <w:lang w:val="en-US"/>
        </w:rPr>
        <w:t>ent</w:t>
      </w:r>
      <w:r w:rsidR="00546CBA" w:rsidRPr="007B2402">
        <w:rPr>
          <w:rFonts w:eastAsia="Calibri" w:cs="Times New Roman"/>
          <w:szCs w:val="20"/>
          <w:lang w:val="en-US"/>
        </w:rPr>
        <w:t xml:space="preserve"> competence to try the crime.</w:t>
      </w:r>
      <w:r w:rsidR="00BC0617" w:rsidRPr="007B2402">
        <w:rPr>
          <w:rFonts w:eastAsia="Calibri" w:cs="Times New Roman"/>
          <w:szCs w:val="20"/>
          <w:vertAlign w:val="superscript"/>
          <w:lang w:val="en-US"/>
        </w:rPr>
        <w:footnoteReference w:id="324"/>
      </w:r>
      <w:r w:rsidRPr="007B2402">
        <w:rPr>
          <w:rFonts w:eastAsia="Calibri" w:cs="Times New Roman"/>
          <w:szCs w:val="20"/>
          <w:lang w:val="en-US"/>
        </w:rPr>
        <w:t xml:space="preserve"> </w:t>
      </w:r>
      <w:r w:rsidR="00546CBA" w:rsidRPr="007B2402">
        <w:rPr>
          <w:rFonts w:eastAsia="Calibri" w:cs="Times New Roman"/>
          <w:szCs w:val="20"/>
          <w:lang w:val="en-US"/>
        </w:rPr>
        <w:t>I</w:t>
      </w:r>
      <w:r w:rsidRPr="007B2402">
        <w:rPr>
          <w:rFonts w:eastAsia="Calibri" w:cs="Times New Roman"/>
          <w:szCs w:val="20"/>
          <w:lang w:val="en-US"/>
        </w:rPr>
        <w:t xml:space="preserve">n </w:t>
      </w:r>
      <w:r w:rsidR="00AF4344" w:rsidRPr="007B2402">
        <w:rPr>
          <w:rFonts w:eastAsia="Calibri" w:cs="Times New Roman"/>
          <w:szCs w:val="20"/>
          <w:lang w:val="en-US"/>
        </w:rPr>
        <w:t>the State</w:t>
      </w:r>
      <w:r w:rsidRPr="007B2402">
        <w:rPr>
          <w:rFonts w:eastAsia="Calibri" w:cs="Times New Roman"/>
          <w:szCs w:val="20"/>
          <w:lang w:val="en-US"/>
        </w:rPr>
        <w:t xml:space="preserve"> </w:t>
      </w:r>
      <w:r w:rsidR="00546CBA" w:rsidRPr="007B2402">
        <w:rPr>
          <w:rFonts w:eastAsia="Calibri" w:cs="Times New Roman"/>
          <w:szCs w:val="20"/>
          <w:lang w:val="en-US"/>
        </w:rPr>
        <w:t xml:space="preserve">that granted the amnesty, its validity would have to be examined, </w:t>
      </w:r>
      <w:r w:rsidR="00895393" w:rsidRPr="007B2402">
        <w:rPr>
          <w:rFonts w:eastAsia="Calibri" w:cs="Times New Roman"/>
          <w:i/>
          <w:iCs/>
          <w:szCs w:val="20"/>
          <w:lang w:val="en-US"/>
        </w:rPr>
        <w:t>inter alia</w:t>
      </w:r>
      <w:r w:rsidR="00546CBA" w:rsidRPr="007B2402">
        <w:rPr>
          <w:rFonts w:eastAsia="Calibri" w:cs="Times New Roman"/>
          <w:i/>
          <w:iCs/>
          <w:szCs w:val="20"/>
          <w:lang w:val="en-US"/>
        </w:rPr>
        <w:t>,</w:t>
      </w:r>
      <w:r w:rsidR="00546CBA" w:rsidRPr="007B2402">
        <w:rPr>
          <w:rFonts w:eastAsia="Calibri" w:cs="Times New Roman"/>
          <w:szCs w:val="20"/>
          <w:lang w:val="en-US"/>
        </w:rPr>
        <w:t xml:space="preserve"> in light of </w:t>
      </w:r>
      <w:r w:rsidR="00895393" w:rsidRPr="007B2402">
        <w:rPr>
          <w:rFonts w:eastAsia="Calibri" w:cs="Times New Roman"/>
          <w:szCs w:val="20"/>
          <w:lang w:val="en-US"/>
        </w:rPr>
        <w:t>that State’s</w:t>
      </w:r>
      <w:r w:rsidR="00546CBA" w:rsidRPr="007B2402">
        <w:rPr>
          <w:rFonts w:eastAsia="Calibri" w:cs="Times New Roman"/>
          <w:szCs w:val="20"/>
          <w:lang w:val="en-US"/>
        </w:rPr>
        <w:t xml:space="preserve"> obligations under the principles of general international law mentioned in this judgment and, specifically, the obligations contracted when ratifying </w:t>
      </w:r>
      <w:r w:rsidR="00AF4344" w:rsidRPr="007B2402">
        <w:rPr>
          <w:rFonts w:eastAsia="Calibri" w:cs="Times New Roman"/>
          <w:szCs w:val="20"/>
          <w:lang w:val="en-US"/>
        </w:rPr>
        <w:t>the American Convention on Human Rights</w:t>
      </w:r>
      <w:r w:rsidR="005B1590" w:rsidRPr="007B2402">
        <w:rPr>
          <w:rFonts w:eastAsia="Calibri" w:cs="Times New Roman"/>
          <w:szCs w:val="20"/>
          <w:lang w:val="en-US"/>
        </w:rPr>
        <w:t xml:space="preserve"> and</w:t>
      </w:r>
      <w:r w:rsidR="00546CBA" w:rsidRPr="007B2402">
        <w:rPr>
          <w:rFonts w:eastAsia="Calibri" w:cs="Times New Roman"/>
          <w:szCs w:val="20"/>
          <w:lang w:val="en-US"/>
        </w:rPr>
        <w:t xml:space="preserve"> sovereignly accepting the contentious jurisdiction of this Court.</w:t>
      </w:r>
      <w:r w:rsidRPr="007B2402">
        <w:rPr>
          <w:rFonts w:eastAsia="Calibri" w:cs="Times New Roman"/>
          <w:szCs w:val="20"/>
          <w:lang w:val="en-US"/>
        </w:rPr>
        <w:t xml:space="preserve"> </w:t>
      </w:r>
    </w:p>
    <w:p w14:paraId="5339E4F9" w14:textId="77777777" w:rsidR="001A25C1" w:rsidRPr="007B2402" w:rsidRDefault="001A25C1" w:rsidP="001A25C1">
      <w:pPr>
        <w:spacing w:after="0" w:line="240" w:lineRule="auto"/>
        <w:jc w:val="both"/>
        <w:rPr>
          <w:rFonts w:eastAsia="Calibri" w:cs="Times New Roman"/>
          <w:szCs w:val="20"/>
          <w:lang w:val="en-US"/>
        </w:rPr>
      </w:pPr>
    </w:p>
    <w:p w14:paraId="6F120616" w14:textId="696CFA0E" w:rsidR="001A25C1" w:rsidRPr="007B2402" w:rsidRDefault="00546CBA" w:rsidP="001A25C1">
      <w:pPr>
        <w:numPr>
          <w:ilvl w:val="0"/>
          <w:numId w:val="6"/>
        </w:numPr>
        <w:tabs>
          <w:tab w:val="left" w:pos="0"/>
        </w:tabs>
        <w:spacing w:after="0" w:line="240" w:lineRule="auto"/>
        <w:ind w:right="-7"/>
        <w:jc w:val="both"/>
        <w:rPr>
          <w:rFonts w:eastAsia="Calibri" w:cs="Times New Roman"/>
          <w:szCs w:val="20"/>
          <w:lang w:val="en-US"/>
        </w:rPr>
      </w:pPr>
      <w:r w:rsidRPr="007B2402">
        <w:rPr>
          <w:rFonts w:eastAsia="Calibri" w:cs="Times New Roman"/>
          <w:szCs w:val="20"/>
          <w:lang w:val="en-US"/>
        </w:rPr>
        <w:t xml:space="preserve">Accordingly, the Court finds that, in situations that involve </w:t>
      </w:r>
      <w:r w:rsidR="00955D71" w:rsidRPr="007B2402">
        <w:rPr>
          <w:rFonts w:eastAsia="Calibri" w:cs="Times New Roman"/>
          <w:szCs w:val="20"/>
          <w:lang w:val="en-US"/>
        </w:rPr>
        <w:t>crimes under international</w:t>
      </w:r>
      <w:r w:rsidRPr="007B2402">
        <w:rPr>
          <w:rFonts w:eastAsia="Calibri" w:cs="Times New Roman"/>
          <w:szCs w:val="20"/>
          <w:lang w:val="en-US"/>
        </w:rPr>
        <w:t xml:space="preserve"> law or </w:t>
      </w:r>
      <w:r w:rsidR="00844CE7" w:rsidRPr="007B2402">
        <w:rPr>
          <w:rFonts w:eastAsia="Calibri" w:cs="Times New Roman"/>
          <w:szCs w:val="20"/>
          <w:lang w:val="en-US"/>
        </w:rPr>
        <w:t>crimes against humanity</w:t>
      </w:r>
      <w:r w:rsidR="001A25C1" w:rsidRPr="007B2402">
        <w:rPr>
          <w:rFonts w:eastAsia="Calibri" w:cs="Times New Roman"/>
          <w:szCs w:val="20"/>
          <w:lang w:val="en-US"/>
        </w:rPr>
        <w:t xml:space="preserve">, </w:t>
      </w:r>
      <w:r w:rsidRPr="007B2402">
        <w:rPr>
          <w:rFonts w:eastAsia="Calibri" w:cs="Times New Roman"/>
          <w:szCs w:val="20"/>
          <w:lang w:val="en-US"/>
        </w:rPr>
        <w:t>State</w:t>
      </w:r>
      <w:r w:rsidR="00895393" w:rsidRPr="007B2402">
        <w:rPr>
          <w:rFonts w:eastAsia="Calibri" w:cs="Times New Roman"/>
          <w:szCs w:val="20"/>
          <w:lang w:val="en-US"/>
        </w:rPr>
        <w:t>s</w:t>
      </w:r>
      <w:r w:rsidRPr="007B2402">
        <w:rPr>
          <w:rFonts w:eastAsia="Calibri" w:cs="Times New Roman"/>
          <w:szCs w:val="20"/>
          <w:lang w:val="en-US"/>
        </w:rPr>
        <w:t xml:space="preserve"> are authorized to use the principle of</w:t>
      </w:r>
      <w:r w:rsidR="001A25C1" w:rsidRPr="007B2402">
        <w:rPr>
          <w:rFonts w:eastAsia="Calibri" w:cs="Times New Roman"/>
          <w:szCs w:val="20"/>
          <w:lang w:val="en-US"/>
        </w:rPr>
        <w:t xml:space="preserve"> </w:t>
      </w:r>
      <w:r w:rsidR="00316673" w:rsidRPr="007B2402">
        <w:rPr>
          <w:rFonts w:eastAsia="Calibri" w:cs="Times New Roman"/>
          <w:szCs w:val="20"/>
          <w:lang w:val="en-US"/>
        </w:rPr>
        <w:t>universal jurisdiction</w:t>
      </w:r>
      <w:r w:rsidR="001A25C1" w:rsidRPr="007B2402">
        <w:rPr>
          <w:rFonts w:eastAsia="Calibri" w:cs="Times New Roman"/>
          <w:szCs w:val="20"/>
          <w:lang w:val="en-US"/>
        </w:rPr>
        <w:t xml:space="preserve"> </w:t>
      </w:r>
      <w:r w:rsidRPr="007B2402">
        <w:rPr>
          <w:rFonts w:eastAsia="Calibri" w:cs="Times New Roman"/>
          <w:szCs w:val="20"/>
          <w:lang w:val="en-US"/>
        </w:rPr>
        <w:t>in order to comply with the obligation to investigate, prosecute and punish those responsible and with the obligations towards the victims and other persons</w:t>
      </w:r>
      <w:r w:rsidR="001A25C1" w:rsidRPr="007B2402">
        <w:rPr>
          <w:rFonts w:eastAsia="Calibri" w:cs="Times New Roman"/>
          <w:szCs w:val="20"/>
          <w:lang w:val="en-US"/>
        </w:rPr>
        <w:t>.</w:t>
      </w:r>
    </w:p>
    <w:p w14:paraId="21806DD5" w14:textId="77777777" w:rsidR="000744A8" w:rsidRPr="007B2402" w:rsidRDefault="000744A8" w:rsidP="000744A8">
      <w:pPr>
        <w:spacing w:after="0" w:line="240" w:lineRule="auto"/>
        <w:jc w:val="both"/>
        <w:rPr>
          <w:rFonts w:eastAsia="Calibri" w:cs="Times New Roman"/>
          <w:szCs w:val="20"/>
          <w:lang w:val="en-US"/>
        </w:rPr>
      </w:pPr>
    </w:p>
    <w:p w14:paraId="57025753" w14:textId="466FE596" w:rsidR="000744A8" w:rsidRPr="007B2402" w:rsidRDefault="00FA38CA" w:rsidP="005B2A1C">
      <w:pPr>
        <w:pStyle w:val="Prrafodelista"/>
        <w:numPr>
          <w:ilvl w:val="0"/>
          <w:numId w:val="44"/>
        </w:numPr>
        <w:outlineLvl w:val="3"/>
        <w:rPr>
          <w:rFonts w:eastAsia="Calibri" w:cs="Times New Roman"/>
          <w:i/>
          <w:szCs w:val="20"/>
          <w:lang w:val="en-US"/>
        </w:rPr>
      </w:pPr>
      <w:r w:rsidRPr="007B2402">
        <w:rPr>
          <w:rFonts w:eastAsia="Calibri" w:cs="Times New Roman"/>
          <w:i/>
          <w:szCs w:val="20"/>
          <w:lang w:val="en-US"/>
        </w:rPr>
        <w:t>Universal</w:t>
      </w:r>
      <w:r w:rsidR="00D8349B" w:rsidRPr="007B2402">
        <w:rPr>
          <w:rFonts w:eastAsia="Calibri" w:cs="Times New Roman"/>
          <w:i/>
          <w:szCs w:val="20"/>
          <w:lang w:val="en-US"/>
        </w:rPr>
        <w:t xml:space="preserve"> jurisdiction</w:t>
      </w:r>
    </w:p>
    <w:p w14:paraId="0FDCE7EB" w14:textId="77777777" w:rsidR="000744A8" w:rsidRPr="007B2402" w:rsidRDefault="000744A8" w:rsidP="00B64ECE">
      <w:pPr>
        <w:pStyle w:val="Textocomentario"/>
        <w:rPr>
          <w:rFonts w:eastAsia="Calibri" w:cs="Times New Roman"/>
          <w:noProof w:val="0"/>
          <w:lang w:val="en-US"/>
        </w:rPr>
      </w:pPr>
    </w:p>
    <w:p w14:paraId="28B9D0E7" w14:textId="26988A44" w:rsidR="000744A8" w:rsidRPr="007B2402" w:rsidRDefault="00546CBA" w:rsidP="00D72FF8">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The obligation to establish and implement the system of justice in cases of human rights violations falls, fundamentally, to the State where the</w:t>
      </w:r>
      <w:r w:rsidR="00105F93" w:rsidRPr="007B2402">
        <w:rPr>
          <w:rFonts w:eastAsia="Calibri" w:cs="Times New Roman"/>
          <w:szCs w:val="20"/>
          <w:lang w:val="en-US"/>
        </w:rPr>
        <w:t xml:space="preserve"> violations</w:t>
      </w:r>
      <w:r w:rsidRPr="007B2402">
        <w:rPr>
          <w:rFonts w:eastAsia="Calibri" w:cs="Times New Roman"/>
          <w:szCs w:val="20"/>
          <w:lang w:val="en-US"/>
        </w:rPr>
        <w:t xml:space="preserve"> occur. In the case of </w:t>
      </w:r>
      <w:r w:rsidR="00810476" w:rsidRPr="007B2402">
        <w:rPr>
          <w:rFonts w:eastAsia="Calibri" w:cs="Times New Roman"/>
          <w:szCs w:val="20"/>
          <w:lang w:val="en-US"/>
        </w:rPr>
        <w:t>crimes against humanity</w:t>
      </w:r>
      <w:r w:rsidR="000744A8" w:rsidRPr="007B2402">
        <w:rPr>
          <w:rFonts w:eastAsia="Calibri" w:cs="Times New Roman"/>
          <w:szCs w:val="20"/>
          <w:lang w:val="en-US"/>
        </w:rPr>
        <w:t xml:space="preserve">, </w:t>
      </w:r>
      <w:r w:rsidRPr="007B2402">
        <w:rPr>
          <w:rFonts w:eastAsia="Calibri" w:cs="Times New Roman"/>
          <w:szCs w:val="20"/>
          <w:lang w:val="en-US"/>
        </w:rPr>
        <w:t xml:space="preserve">this obligation remains </w:t>
      </w:r>
      <w:r w:rsidR="00DF1102" w:rsidRPr="007B2402">
        <w:rPr>
          <w:rFonts w:eastAsia="Calibri" w:cs="Times New Roman"/>
          <w:szCs w:val="20"/>
          <w:lang w:val="en-US"/>
        </w:rPr>
        <w:t>unchanged</w:t>
      </w:r>
      <w:r w:rsidRPr="007B2402">
        <w:rPr>
          <w:rFonts w:eastAsia="Calibri" w:cs="Times New Roman"/>
          <w:szCs w:val="20"/>
          <w:lang w:val="en-US"/>
        </w:rPr>
        <w:t xml:space="preserve">, because the responsibility to be accountable to society for such conducts belongs, above all, to the responsible State. However, </w:t>
      </w:r>
      <w:r w:rsidR="00D72FF8" w:rsidRPr="007B2402">
        <w:rPr>
          <w:rFonts w:eastAsia="Calibri" w:cs="Times New Roman"/>
          <w:szCs w:val="20"/>
          <w:lang w:val="en-US"/>
        </w:rPr>
        <w:t>based on the nature and gravity of</w:t>
      </w:r>
      <w:r w:rsidR="000744A8" w:rsidRPr="007B2402">
        <w:rPr>
          <w:rFonts w:eastAsia="Calibri" w:cs="Times New Roman"/>
          <w:szCs w:val="20"/>
          <w:lang w:val="en-US"/>
        </w:rPr>
        <w:t xml:space="preserve"> </w:t>
      </w:r>
      <w:r w:rsidR="00810476" w:rsidRPr="007B2402">
        <w:rPr>
          <w:rFonts w:eastAsia="Calibri" w:cs="Times New Roman"/>
          <w:szCs w:val="20"/>
          <w:lang w:val="en-US"/>
        </w:rPr>
        <w:t>crimes against humanity</w:t>
      </w:r>
      <w:r w:rsidR="000744A8" w:rsidRPr="007B2402">
        <w:rPr>
          <w:rFonts w:eastAsia="Calibri" w:cs="Times New Roman"/>
          <w:szCs w:val="20"/>
          <w:lang w:val="en-US"/>
        </w:rPr>
        <w:t xml:space="preserve">, </w:t>
      </w:r>
      <w:r w:rsidR="00D72FF8" w:rsidRPr="007B2402">
        <w:rPr>
          <w:rFonts w:eastAsia="Calibri" w:cs="Times New Roman"/>
          <w:szCs w:val="20"/>
          <w:lang w:val="en-US"/>
        </w:rPr>
        <w:t xml:space="preserve">this obligation transcends the </w:t>
      </w:r>
      <w:r w:rsidR="00D72FF8" w:rsidRPr="007B2402">
        <w:rPr>
          <w:rFonts w:eastAsia="Calibri" w:cs="Times New Roman"/>
          <w:szCs w:val="20"/>
          <w:lang w:val="en-US"/>
        </w:rPr>
        <w:lastRenderedPageBreak/>
        <w:t xml:space="preserve">territory of the State where the facts occurred. This is because such “inhuman acts, owing to their magnitude and gravity, exceed the limits of what is considered tolerable by the international community, which must necessarily demand that they be punished. Crimes </w:t>
      </w:r>
      <w:r w:rsidR="00844CE7" w:rsidRPr="007B2402">
        <w:rPr>
          <w:rFonts w:eastAsia="Calibri" w:cs="Times New Roman"/>
          <w:szCs w:val="20"/>
          <w:lang w:val="en-US"/>
        </w:rPr>
        <w:t>against humanity</w:t>
      </w:r>
      <w:r w:rsidR="000744A8" w:rsidRPr="007B2402">
        <w:rPr>
          <w:rFonts w:eastAsia="Calibri" w:cs="Times New Roman"/>
          <w:szCs w:val="20"/>
          <w:lang w:val="en-US"/>
        </w:rPr>
        <w:t xml:space="preserve"> </w:t>
      </w:r>
      <w:r w:rsidR="00D72FF8" w:rsidRPr="007B2402">
        <w:rPr>
          <w:rFonts w:eastAsia="Calibri" w:cs="Times New Roman"/>
          <w:szCs w:val="20"/>
          <w:lang w:val="en-US"/>
        </w:rPr>
        <w:t>also transcend the individual, because when the individual is attacked, all humanity is attacked and rejected.</w:t>
      </w:r>
      <w:r w:rsidR="000744A8" w:rsidRPr="007B2402">
        <w:rPr>
          <w:rFonts w:eastAsia="Calibri" w:cs="Times New Roman"/>
          <w:szCs w:val="20"/>
          <w:lang w:val="en-US"/>
        </w:rPr>
        <w:t>”</w:t>
      </w:r>
      <w:r w:rsidR="00226DB8" w:rsidRPr="007B2402">
        <w:rPr>
          <w:rFonts w:eastAsia="Calibri" w:cs="Times New Roman"/>
          <w:szCs w:val="20"/>
          <w:vertAlign w:val="superscript"/>
          <w:lang w:val="en-US"/>
        </w:rPr>
        <w:footnoteReference w:id="325"/>
      </w:r>
    </w:p>
    <w:p w14:paraId="7B900009" w14:textId="77777777" w:rsidR="000744A8" w:rsidRPr="007B2402" w:rsidRDefault="000744A8" w:rsidP="000744A8">
      <w:pPr>
        <w:spacing w:after="0" w:line="240" w:lineRule="auto"/>
        <w:jc w:val="both"/>
        <w:rPr>
          <w:rFonts w:eastAsia="Calibri" w:cs="Times New Roman"/>
          <w:szCs w:val="20"/>
          <w:lang w:val="en-US"/>
        </w:rPr>
      </w:pPr>
    </w:p>
    <w:p w14:paraId="5E5E5C78" w14:textId="62BF4C5D" w:rsidR="000744A8" w:rsidRPr="007B2402" w:rsidRDefault="00D72FF8" w:rsidP="003506E3">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I</w:t>
      </w:r>
      <w:r w:rsidR="000744A8" w:rsidRPr="007B2402">
        <w:rPr>
          <w:rFonts w:eastAsia="Calibri" w:cs="Times New Roman"/>
          <w:szCs w:val="20"/>
          <w:lang w:val="en-US"/>
        </w:rPr>
        <w:t xml:space="preserve">n </w:t>
      </w:r>
      <w:r w:rsidR="00226DB8" w:rsidRPr="007B2402">
        <w:rPr>
          <w:rFonts w:eastAsia="Calibri" w:cs="Times New Roman"/>
          <w:szCs w:val="20"/>
          <w:lang w:val="en-US"/>
        </w:rPr>
        <w:t>1927</w:t>
      </w:r>
      <w:r w:rsidRPr="007B2402">
        <w:rPr>
          <w:rFonts w:eastAsia="Calibri" w:cs="Times New Roman"/>
          <w:szCs w:val="20"/>
          <w:lang w:val="en-US"/>
        </w:rPr>
        <w:t>,</w:t>
      </w:r>
      <w:r w:rsidR="00226DB8" w:rsidRPr="007B2402">
        <w:rPr>
          <w:rFonts w:eastAsia="Calibri" w:cs="Times New Roman"/>
          <w:szCs w:val="20"/>
          <w:lang w:val="en-US"/>
        </w:rPr>
        <w:t xml:space="preserve"> </w:t>
      </w:r>
      <w:r w:rsidR="00AF4344" w:rsidRPr="007B2402">
        <w:rPr>
          <w:rFonts w:eastAsia="Calibri" w:cs="Times New Roman"/>
          <w:szCs w:val="20"/>
          <w:lang w:val="en-US"/>
        </w:rPr>
        <w:t xml:space="preserve">the </w:t>
      </w:r>
      <w:r w:rsidRPr="007B2402">
        <w:rPr>
          <w:rFonts w:eastAsia="Calibri" w:cs="Times New Roman"/>
          <w:szCs w:val="20"/>
          <w:lang w:val="en-US"/>
        </w:rPr>
        <w:t xml:space="preserve">Permanent </w:t>
      </w:r>
      <w:r w:rsidR="00AF4344" w:rsidRPr="007B2402">
        <w:rPr>
          <w:rFonts w:eastAsia="Calibri" w:cs="Times New Roman"/>
          <w:szCs w:val="20"/>
          <w:lang w:val="en-US"/>
        </w:rPr>
        <w:t>Court</w:t>
      </w:r>
      <w:r w:rsidR="00226DB8" w:rsidRPr="007B2402">
        <w:rPr>
          <w:rFonts w:eastAsia="Calibri" w:cs="Times New Roman"/>
          <w:szCs w:val="20"/>
          <w:lang w:val="en-US"/>
        </w:rPr>
        <w:t xml:space="preserve"> </w:t>
      </w:r>
      <w:r w:rsidRPr="007B2402">
        <w:rPr>
          <w:rFonts w:eastAsia="Calibri" w:cs="Times New Roman"/>
          <w:szCs w:val="20"/>
          <w:lang w:val="en-US"/>
        </w:rPr>
        <w:t>of International Justice indicated that though “</w:t>
      </w:r>
      <w:r w:rsidRPr="007B2402">
        <w:rPr>
          <w:lang w:val="en-US"/>
        </w:rPr>
        <w:t>the principle of the territorial character of criminal law is fundamental, it is equally true that all or nearly all these systems of law extend their action to offences committed outside the territory of the State which adopts them, and they do so in ways which vary from State to State. The territoriality of criminal law, therefore, is not an absolute principle of international law and by no means coincides with territorial sovereignty.</w:t>
      </w:r>
      <w:r w:rsidR="00226DB8" w:rsidRPr="007B2402">
        <w:rPr>
          <w:rFonts w:eastAsia="Calibri" w:cs="Times New Roman"/>
          <w:szCs w:val="20"/>
          <w:lang w:val="en-US"/>
        </w:rPr>
        <w:t>”</w:t>
      </w:r>
      <w:r w:rsidR="00226DB8" w:rsidRPr="007B2402">
        <w:rPr>
          <w:rFonts w:eastAsia="Calibri" w:cs="Times New Roman"/>
          <w:szCs w:val="20"/>
          <w:vertAlign w:val="superscript"/>
          <w:lang w:val="en-US"/>
        </w:rPr>
        <w:footnoteReference w:id="326"/>
      </w:r>
      <w:r w:rsidR="003506E3" w:rsidRPr="007B2402">
        <w:rPr>
          <w:rFonts w:eastAsia="Calibri" w:cs="Times New Roman"/>
          <w:szCs w:val="20"/>
          <w:lang w:val="en-US"/>
        </w:rPr>
        <w:t xml:space="preserve"> Therefore, in cases of international crimes </w:t>
      </w:r>
      <w:r w:rsidR="00226DB8" w:rsidRPr="007B2402">
        <w:rPr>
          <w:rFonts w:eastAsia="Calibri" w:cs="Times New Roman"/>
          <w:szCs w:val="20"/>
          <w:lang w:val="en-US"/>
        </w:rPr>
        <w:t xml:space="preserve"> (</w:t>
      </w:r>
      <w:r w:rsidR="003506E3" w:rsidRPr="007B2402">
        <w:rPr>
          <w:rFonts w:eastAsia="Calibri" w:cs="Times New Roman"/>
          <w:szCs w:val="20"/>
          <w:lang w:val="en-US"/>
        </w:rPr>
        <w:t>such as</w:t>
      </w:r>
      <w:r w:rsidR="00226DB8" w:rsidRPr="007B2402">
        <w:rPr>
          <w:rFonts w:eastAsia="Calibri" w:cs="Times New Roman"/>
          <w:szCs w:val="20"/>
          <w:lang w:val="en-US"/>
        </w:rPr>
        <w:t xml:space="preserve"> </w:t>
      </w:r>
      <w:r w:rsidR="00810476" w:rsidRPr="007B2402">
        <w:rPr>
          <w:rFonts w:eastAsia="Calibri" w:cs="Times New Roman"/>
          <w:szCs w:val="20"/>
          <w:lang w:val="en-US"/>
        </w:rPr>
        <w:t>crimes against humanity</w:t>
      </w:r>
      <w:r w:rsidR="00226DB8" w:rsidRPr="007B2402">
        <w:rPr>
          <w:rFonts w:eastAsia="Calibri" w:cs="Times New Roman"/>
          <w:szCs w:val="20"/>
          <w:lang w:val="en-US"/>
        </w:rPr>
        <w:t xml:space="preserve">) </w:t>
      </w:r>
      <w:r w:rsidR="003506E3" w:rsidRPr="007B2402">
        <w:rPr>
          <w:rFonts w:eastAsia="Calibri" w:cs="Times New Roman"/>
          <w:szCs w:val="20"/>
          <w:lang w:val="en-US"/>
        </w:rPr>
        <w:t xml:space="preserve">a presumption exists in favor of the extraterritorial criminal jurisdiction, and it would be for the State to prove the existence of the rule prohibiting this. In addition, the sixth paragraph of the Preamble to </w:t>
      </w:r>
      <w:r w:rsidR="003B752F" w:rsidRPr="007B2402">
        <w:rPr>
          <w:rFonts w:eastAsia="Calibri" w:cs="Times New Roman"/>
          <w:szCs w:val="20"/>
          <w:lang w:val="en-US"/>
        </w:rPr>
        <w:t>the Rome Statute</w:t>
      </w:r>
      <w:r w:rsidR="00226DB8" w:rsidRPr="007B2402">
        <w:rPr>
          <w:rFonts w:eastAsia="Calibri" w:cs="Times New Roman"/>
          <w:szCs w:val="20"/>
          <w:lang w:val="en-US"/>
        </w:rPr>
        <w:t xml:space="preserve"> </w:t>
      </w:r>
      <w:r w:rsidR="003506E3" w:rsidRPr="007B2402">
        <w:rPr>
          <w:rFonts w:eastAsia="Calibri" w:cs="Times New Roman"/>
          <w:szCs w:val="20"/>
          <w:lang w:val="en-US"/>
        </w:rPr>
        <w:t>recalls</w:t>
      </w:r>
      <w:r w:rsidR="00226DB8" w:rsidRPr="007B2402">
        <w:rPr>
          <w:rFonts w:eastAsia="Calibri" w:cs="Times New Roman"/>
          <w:szCs w:val="20"/>
          <w:lang w:val="en-US"/>
        </w:rPr>
        <w:t xml:space="preserve"> “</w:t>
      </w:r>
      <w:r w:rsidR="003506E3" w:rsidRPr="007B2402">
        <w:rPr>
          <w:szCs w:val="20"/>
          <w:lang w:val="en-US"/>
        </w:rPr>
        <w:t>that it is the duty of every State to exercise its criminal jurisdiction over those responsible for international crimes</w:t>
      </w:r>
      <w:r w:rsidR="003506E3" w:rsidRPr="007B2402">
        <w:rPr>
          <w:rFonts w:eastAsia="Calibri" w:cs="Times New Roman"/>
          <w:szCs w:val="20"/>
          <w:lang w:val="en-US"/>
        </w:rPr>
        <w:t>.</w:t>
      </w:r>
      <w:r w:rsidR="00226DB8" w:rsidRPr="007B2402">
        <w:rPr>
          <w:rFonts w:eastAsia="Calibri" w:cs="Times New Roman"/>
          <w:szCs w:val="20"/>
          <w:lang w:val="en-US"/>
        </w:rPr>
        <w:t>”</w:t>
      </w:r>
      <w:r w:rsidR="00226DB8" w:rsidRPr="007B2402">
        <w:rPr>
          <w:rFonts w:eastAsia="Calibri" w:cs="Times New Roman"/>
          <w:szCs w:val="20"/>
          <w:vertAlign w:val="superscript"/>
          <w:lang w:val="en-US"/>
        </w:rPr>
        <w:footnoteReference w:id="327"/>
      </w:r>
      <w:r w:rsidR="00226DB8" w:rsidRPr="007B2402">
        <w:rPr>
          <w:rFonts w:eastAsia="Calibri" w:cs="Times New Roman"/>
          <w:szCs w:val="20"/>
          <w:lang w:val="en-US"/>
        </w:rPr>
        <w:t xml:space="preserve"> </w:t>
      </w:r>
      <w:r w:rsidR="00C811CA" w:rsidRPr="007B2402">
        <w:rPr>
          <w:rFonts w:eastAsia="Calibri" w:cs="Times New Roman"/>
          <w:szCs w:val="20"/>
          <w:lang w:val="en-US"/>
        </w:rPr>
        <w:t>According to</w:t>
      </w:r>
      <w:r w:rsidR="00226DB8" w:rsidRPr="007B2402">
        <w:rPr>
          <w:rFonts w:eastAsia="Calibri" w:cs="Times New Roman"/>
          <w:szCs w:val="20"/>
          <w:lang w:val="en-US"/>
        </w:rPr>
        <w:t xml:space="preserve"> </w:t>
      </w:r>
      <w:r w:rsidR="00AF4344" w:rsidRPr="007B2402">
        <w:rPr>
          <w:rFonts w:eastAsia="Calibri" w:cs="Times New Roman"/>
          <w:szCs w:val="20"/>
          <w:lang w:val="en-US"/>
        </w:rPr>
        <w:t xml:space="preserve">the </w:t>
      </w:r>
      <w:r w:rsidR="004E026D" w:rsidRPr="007B2402">
        <w:rPr>
          <w:rFonts w:eastAsia="Calibri" w:cs="Times New Roman"/>
          <w:szCs w:val="20"/>
          <w:lang w:val="en-US"/>
        </w:rPr>
        <w:t>International Law Commission</w:t>
      </w:r>
      <w:r w:rsidR="00226DB8" w:rsidRPr="007B2402">
        <w:rPr>
          <w:rFonts w:eastAsia="Calibri" w:cs="Times New Roman"/>
          <w:szCs w:val="20"/>
          <w:lang w:val="en-US"/>
        </w:rPr>
        <w:t xml:space="preserve">, </w:t>
      </w:r>
      <w:r w:rsidR="003506E3" w:rsidRPr="007B2402">
        <w:rPr>
          <w:rFonts w:eastAsia="Calibri" w:cs="Times New Roman"/>
          <w:szCs w:val="20"/>
          <w:lang w:val="en-US"/>
        </w:rPr>
        <w:t>“</w:t>
      </w:r>
      <w:r w:rsidR="00C811CA" w:rsidRPr="007B2402">
        <w:rPr>
          <w:rFonts w:eastAsia="Calibri" w:cs="Times New Roman"/>
          <w:szCs w:val="20"/>
          <w:lang w:val="en-US"/>
        </w:rPr>
        <w:t>any State may exercise its jurisdiction to prosecute</w:t>
      </w:r>
      <w:r w:rsidR="00226DB8" w:rsidRPr="007B2402">
        <w:rPr>
          <w:rFonts w:eastAsia="Calibri" w:cs="Times New Roman"/>
          <w:szCs w:val="20"/>
          <w:lang w:val="en-US"/>
        </w:rPr>
        <w:t xml:space="preserve"> </w:t>
      </w:r>
      <w:r w:rsidR="00810476" w:rsidRPr="007B2402">
        <w:rPr>
          <w:rFonts w:eastAsia="Calibri" w:cs="Times New Roman"/>
          <w:szCs w:val="20"/>
          <w:lang w:val="en-US"/>
        </w:rPr>
        <w:t>crimes against humanity</w:t>
      </w:r>
      <w:r w:rsidR="00226DB8" w:rsidRPr="007B2402">
        <w:rPr>
          <w:rFonts w:eastAsia="Calibri" w:cs="Times New Roman"/>
          <w:szCs w:val="20"/>
          <w:lang w:val="en-US"/>
        </w:rPr>
        <w:t>.</w:t>
      </w:r>
      <w:r w:rsidR="003506E3" w:rsidRPr="007B2402">
        <w:rPr>
          <w:rFonts w:eastAsia="Calibri" w:cs="Times New Roman"/>
          <w:szCs w:val="20"/>
          <w:lang w:val="en-US"/>
        </w:rPr>
        <w:t xml:space="preserve"> </w:t>
      </w:r>
      <w:r w:rsidR="00C811CA" w:rsidRPr="007B2402">
        <w:rPr>
          <w:rFonts w:eastAsia="Calibri" w:cs="Times New Roman"/>
          <w:szCs w:val="20"/>
          <w:lang w:val="en-US"/>
        </w:rPr>
        <w:t xml:space="preserve">States must ensure the effective prosecution of </w:t>
      </w:r>
      <w:r w:rsidR="00810476" w:rsidRPr="007B2402">
        <w:rPr>
          <w:rFonts w:eastAsia="Calibri" w:cs="Times New Roman"/>
          <w:szCs w:val="20"/>
          <w:lang w:val="en-US"/>
        </w:rPr>
        <w:t>crimes against humanity</w:t>
      </w:r>
      <w:r w:rsidR="00226DB8" w:rsidRPr="007B2402">
        <w:rPr>
          <w:rFonts w:eastAsia="Calibri" w:cs="Times New Roman"/>
          <w:szCs w:val="20"/>
          <w:lang w:val="en-US"/>
        </w:rPr>
        <w:t xml:space="preserve"> </w:t>
      </w:r>
      <w:r w:rsidR="00C811CA" w:rsidRPr="007B2402">
        <w:rPr>
          <w:rFonts w:eastAsia="Calibri" w:cs="Times New Roman"/>
          <w:szCs w:val="20"/>
          <w:lang w:val="en-US"/>
        </w:rPr>
        <w:t>by taking measures at the national level and facilitating international cooperation. That cooperation is also applicable as regards extradition and reciprocal legal assistance.</w:t>
      </w:r>
      <w:r w:rsidR="003506E3" w:rsidRPr="007B2402">
        <w:rPr>
          <w:rFonts w:eastAsia="Calibri" w:cs="Times New Roman"/>
          <w:szCs w:val="20"/>
          <w:lang w:val="en-US"/>
        </w:rPr>
        <w:t>”</w:t>
      </w:r>
      <w:r w:rsidR="00226DB8" w:rsidRPr="007B2402">
        <w:rPr>
          <w:rFonts w:eastAsia="Calibri" w:cs="Times New Roman"/>
          <w:szCs w:val="20"/>
          <w:vertAlign w:val="superscript"/>
          <w:lang w:val="en-US"/>
        </w:rPr>
        <w:footnoteReference w:id="328"/>
      </w:r>
      <w:r w:rsidR="00226DB8" w:rsidRPr="007B2402">
        <w:rPr>
          <w:rFonts w:eastAsia="Calibri" w:cs="Times New Roman"/>
          <w:szCs w:val="20"/>
          <w:lang w:val="en-US"/>
        </w:rPr>
        <w:t xml:space="preserve"> </w:t>
      </w:r>
      <w:r w:rsidR="003506E3" w:rsidRPr="007B2402">
        <w:rPr>
          <w:rFonts w:eastAsia="Calibri" w:cs="Times New Roman"/>
          <w:szCs w:val="20"/>
          <w:lang w:val="en-US"/>
        </w:rPr>
        <w:t>Meanwhile</w:t>
      </w:r>
      <w:r w:rsidR="00226DB8" w:rsidRPr="007B2402">
        <w:rPr>
          <w:rFonts w:eastAsia="Calibri" w:cs="Times New Roman"/>
          <w:szCs w:val="20"/>
          <w:lang w:val="en-US"/>
        </w:rPr>
        <w:t xml:space="preserve">, </w:t>
      </w:r>
      <w:r w:rsidR="00AF4344" w:rsidRPr="007B2402">
        <w:rPr>
          <w:rFonts w:eastAsia="Calibri" w:cs="Times New Roman"/>
          <w:szCs w:val="20"/>
          <w:lang w:val="en-US"/>
        </w:rPr>
        <w:t>the Inter-American Court</w:t>
      </w:r>
      <w:r w:rsidR="00226DB8" w:rsidRPr="007B2402">
        <w:rPr>
          <w:rFonts w:eastAsia="Calibri" w:cs="Times New Roman"/>
          <w:szCs w:val="20"/>
          <w:lang w:val="en-US"/>
        </w:rPr>
        <w:t xml:space="preserve"> ha</w:t>
      </w:r>
      <w:r w:rsidR="003506E3" w:rsidRPr="007B2402">
        <w:rPr>
          <w:rFonts w:eastAsia="Calibri" w:cs="Times New Roman"/>
          <w:szCs w:val="20"/>
          <w:lang w:val="en-US"/>
        </w:rPr>
        <w:t xml:space="preserve">s indicated that, “in contexts of systematic </w:t>
      </w:r>
      <w:r w:rsidR="00105F93" w:rsidRPr="007B2402">
        <w:rPr>
          <w:rFonts w:eastAsia="Calibri" w:cs="Times New Roman"/>
          <w:szCs w:val="20"/>
          <w:lang w:val="en-US"/>
        </w:rPr>
        <w:t>human rights violations</w:t>
      </w:r>
      <w:r w:rsidR="003506E3" w:rsidRPr="007B2402">
        <w:rPr>
          <w:rFonts w:eastAsia="Calibri" w:cs="Times New Roman"/>
          <w:szCs w:val="20"/>
          <w:lang w:val="en-US"/>
        </w:rPr>
        <w:t>, the n</w:t>
      </w:r>
      <w:r w:rsidR="003506E3" w:rsidRPr="007B2402">
        <w:rPr>
          <w:rFonts w:cs="Arial"/>
          <w:szCs w:val="20"/>
          <w:lang w:val="en-US"/>
        </w:rPr>
        <w:t xml:space="preserve">eed to eradicate impunity reveals itself to the international community as a duty of cooperation among </w:t>
      </w:r>
      <w:r w:rsidR="00105F93" w:rsidRPr="007B2402">
        <w:rPr>
          <w:rFonts w:cs="Arial"/>
          <w:szCs w:val="20"/>
          <w:lang w:val="en-US"/>
        </w:rPr>
        <w:t>S</w:t>
      </w:r>
      <w:r w:rsidR="003506E3" w:rsidRPr="007B2402">
        <w:rPr>
          <w:rFonts w:cs="Arial"/>
          <w:szCs w:val="20"/>
          <w:lang w:val="en-US"/>
        </w:rPr>
        <w:t xml:space="preserve">tates </w:t>
      </w:r>
      <w:r w:rsidR="00105F93" w:rsidRPr="007B2402">
        <w:rPr>
          <w:rFonts w:cs="Arial"/>
          <w:szCs w:val="20"/>
          <w:lang w:val="en-US"/>
        </w:rPr>
        <w:t>to this end</w:t>
      </w:r>
      <w:r w:rsidR="003506E3" w:rsidRPr="007B2402">
        <w:rPr>
          <w:rFonts w:eastAsia="Calibri" w:cs="Times New Roman"/>
          <w:szCs w:val="20"/>
          <w:lang w:val="en-US"/>
        </w:rPr>
        <w:t>.”</w:t>
      </w:r>
      <w:r w:rsidR="00226DB8" w:rsidRPr="007B2402">
        <w:rPr>
          <w:rFonts w:eastAsia="Calibri" w:cs="Times New Roman"/>
          <w:szCs w:val="20"/>
          <w:vertAlign w:val="superscript"/>
          <w:lang w:val="en-US"/>
        </w:rPr>
        <w:footnoteReference w:id="329"/>
      </w:r>
    </w:p>
    <w:p w14:paraId="650E4387" w14:textId="77777777" w:rsidR="000744A8" w:rsidRPr="007B2402" w:rsidRDefault="000744A8" w:rsidP="000744A8">
      <w:pPr>
        <w:spacing w:after="0" w:line="240" w:lineRule="auto"/>
        <w:jc w:val="both"/>
        <w:rPr>
          <w:rFonts w:eastAsia="Calibri" w:cs="Times New Roman"/>
          <w:szCs w:val="20"/>
          <w:lang w:val="en-US"/>
        </w:rPr>
      </w:pPr>
    </w:p>
    <w:p w14:paraId="6F418D5F" w14:textId="577F1C34" w:rsidR="000744A8" w:rsidRPr="007B2402" w:rsidRDefault="003506E3" w:rsidP="009D6B26">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The concept of</w:t>
      </w:r>
      <w:r w:rsidR="000744A8" w:rsidRPr="007B2402">
        <w:rPr>
          <w:rFonts w:eastAsia="Calibri" w:cs="Times New Roman"/>
          <w:szCs w:val="20"/>
          <w:lang w:val="en-US"/>
        </w:rPr>
        <w:t xml:space="preserve"> </w:t>
      </w:r>
      <w:r w:rsidR="00316673" w:rsidRPr="007B2402">
        <w:rPr>
          <w:rFonts w:eastAsia="Calibri" w:cs="Times New Roman"/>
          <w:szCs w:val="20"/>
          <w:lang w:val="en-US"/>
        </w:rPr>
        <w:t>universal jurisdiction</w:t>
      </w:r>
      <w:r w:rsidR="000744A8" w:rsidRPr="007B2402">
        <w:rPr>
          <w:rFonts w:eastAsia="Calibri" w:cs="Times New Roman"/>
          <w:szCs w:val="20"/>
          <w:lang w:val="en-US"/>
        </w:rPr>
        <w:t xml:space="preserve"> </w:t>
      </w:r>
      <w:r w:rsidRPr="007B2402">
        <w:rPr>
          <w:rFonts w:eastAsia="Calibri" w:cs="Times New Roman"/>
          <w:szCs w:val="20"/>
          <w:lang w:val="en-US"/>
        </w:rPr>
        <w:t xml:space="preserve">has been developed in recent decades and has been recognized by </w:t>
      </w:r>
      <w:r w:rsidR="00F83A42" w:rsidRPr="007B2402">
        <w:rPr>
          <w:rFonts w:eastAsia="Calibri" w:cs="Times New Roman"/>
          <w:szCs w:val="20"/>
          <w:lang w:val="en-US"/>
        </w:rPr>
        <w:t>diverse State</w:t>
      </w:r>
      <w:r w:rsidR="00105F93" w:rsidRPr="007B2402">
        <w:rPr>
          <w:rFonts w:eastAsia="Calibri" w:cs="Times New Roman"/>
          <w:szCs w:val="20"/>
          <w:lang w:val="en-US"/>
        </w:rPr>
        <w:t>s</w:t>
      </w:r>
      <w:r w:rsidR="00F83A42" w:rsidRPr="007B2402">
        <w:rPr>
          <w:rFonts w:eastAsia="Calibri" w:cs="Times New Roman"/>
          <w:szCs w:val="20"/>
          <w:lang w:val="en-US"/>
        </w:rPr>
        <w:t xml:space="preserve">, especially following the adoption of the </w:t>
      </w:r>
      <w:r w:rsidR="003B752F" w:rsidRPr="007B2402">
        <w:rPr>
          <w:rFonts w:eastAsia="Calibri" w:cs="Times New Roman"/>
          <w:szCs w:val="20"/>
          <w:lang w:val="en-US"/>
        </w:rPr>
        <w:t>Rome Statute of the International Criminal Court</w:t>
      </w:r>
      <w:r w:rsidR="000744A8" w:rsidRPr="007B2402">
        <w:rPr>
          <w:rFonts w:eastAsia="Calibri" w:cs="Times New Roman"/>
          <w:szCs w:val="20"/>
          <w:lang w:val="en-US"/>
        </w:rPr>
        <w:t xml:space="preserve">. </w:t>
      </w:r>
      <w:r w:rsidR="00F83A42" w:rsidRPr="007B2402">
        <w:rPr>
          <w:rFonts w:eastAsia="Calibri" w:cs="Times New Roman"/>
          <w:szCs w:val="20"/>
          <w:lang w:val="en-US"/>
        </w:rPr>
        <w:t xml:space="preserve">It may be said that, at the present time: (a) </w:t>
      </w:r>
      <w:r w:rsidR="00316673" w:rsidRPr="007B2402">
        <w:rPr>
          <w:rFonts w:eastAsia="Calibri" w:cs="Times New Roman"/>
          <w:szCs w:val="20"/>
          <w:lang w:val="en-US"/>
        </w:rPr>
        <w:t>the universal jurisdiction</w:t>
      </w:r>
      <w:r w:rsidR="000744A8" w:rsidRPr="007B2402">
        <w:rPr>
          <w:rFonts w:eastAsia="Calibri" w:cs="Times New Roman"/>
          <w:szCs w:val="20"/>
          <w:lang w:val="en-US"/>
        </w:rPr>
        <w:t xml:space="preserve"> </w:t>
      </w:r>
      <w:r w:rsidR="00F83A42" w:rsidRPr="007B2402">
        <w:rPr>
          <w:rFonts w:eastAsia="Calibri" w:cs="Times New Roman"/>
          <w:szCs w:val="20"/>
          <w:lang w:val="en-US"/>
        </w:rPr>
        <w:t>is an accepted customary norm, so that it does not have to be established in an in</w:t>
      </w:r>
      <w:r w:rsidR="00B37D55" w:rsidRPr="007B2402">
        <w:rPr>
          <w:rFonts w:eastAsia="Calibri" w:cs="Times New Roman"/>
          <w:szCs w:val="20"/>
          <w:lang w:val="en-US"/>
        </w:rPr>
        <w:t>t</w:t>
      </w:r>
      <w:r w:rsidR="00F83A42" w:rsidRPr="007B2402">
        <w:rPr>
          <w:rFonts w:eastAsia="Calibri" w:cs="Times New Roman"/>
          <w:szCs w:val="20"/>
          <w:lang w:val="en-US"/>
        </w:rPr>
        <w:t>ernational treaty;</w:t>
      </w:r>
      <w:r w:rsidR="00AF4504" w:rsidRPr="007B2402">
        <w:rPr>
          <w:rFonts w:eastAsia="Calibri" w:cs="Times New Roman"/>
          <w:szCs w:val="20"/>
          <w:vertAlign w:val="superscript"/>
          <w:lang w:val="en-US"/>
        </w:rPr>
        <w:footnoteReference w:id="330"/>
      </w:r>
      <w:r w:rsidR="000744A8" w:rsidRPr="007B2402">
        <w:rPr>
          <w:rFonts w:eastAsia="Calibri" w:cs="Times New Roman"/>
          <w:szCs w:val="20"/>
          <w:lang w:val="en-US"/>
        </w:rPr>
        <w:t xml:space="preserve"> </w:t>
      </w:r>
      <w:r w:rsidR="00F83A42" w:rsidRPr="007B2402">
        <w:rPr>
          <w:rFonts w:eastAsia="Calibri" w:cs="Times New Roman"/>
          <w:szCs w:val="20"/>
          <w:lang w:val="en-US"/>
        </w:rPr>
        <w:t>(</w:t>
      </w:r>
      <w:r w:rsidR="000744A8" w:rsidRPr="007B2402">
        <w:rPr>
          <w:rFonts w:eastAsia="Calibri" w:cs="Times New Roman"/>
          <w:szCs w:val="20"/>
          <w:lang w:val="en-US"/>
        </w:rPr>
        <w:t xml:space="preserve">b) </w:t>
      </w:r>
      <w:r w:rsidR="00A47DBD" w:rsidRPr="007B2402">
        <w:rPr>
          <w:rFonts w:eastAsia="Calibri" w:cs="Times New Roman"/>
          <w:szCs w:val="20"/>
          <w:lang w:val="en-US"/>
        </w:rPr>
        <w:t xml:space="preserve">it may be exercised with regard to the international crimes </w:t>
      </w:r>
      <w:r w:rsidR="00A47DBD" w:rsidRPr="007B2402">
        <w:rPr>
          <w:rFonts w:eastAsia="Calibri" w:cs="Times New Roman"/>
          <w:szCs w:val="20"/>
          <w:lang w:val="en-US"/>
        </w:rPr>
        <w:lastRenderedPageBreak/>
        <w:t>identified in international law as pertaining to international law, such as genocide</w:t>
      </w:r>
      <w:r w:rsidR="000744A8" w:rsidRPr="007B2402">
        <w:rPr>
          <w:rFonts w:eastAsia="Calibri" w:cs="Times New Roman"/>
          <w:szCs w:val="20"/>
          <w:lang w:val="en-US"/>
        </w:rPr>
        <w:t xml:space="preserve">, </w:t>
      </w:r>
      <w:r w:rsidR="00810476" w:rsidRPr="007B2402">
        <w:rPr>
          <w:rFonts w:eastAsia="Calibri" w:cs="Times New Roman"/>
          <w:szCs w:val="20"/>
          <w:lang w:val="en-US"/>
        </w:rPr>
        <w:t>crimes against humanity</w:t>
      </w:r>
      <w:r w:rsidR="005B1590" w:rsidRPr="007B2402">
        <w:rPr>
          <w:rFonts w:eastAsia="Calibri" w:cs="Times New Roman"/>
          <w:szCs w:val="20"/>
          <w:lang w:val="en-US"/>
        </w:rPr>
        <w:t xml:space="preserve"> and </w:t>
      </w:r>
      <w:r w:rsidR="00A47DBD" w:rsidRPr="007B2402">
        <w:rPr>
          <w:rFonts w:eastAsia="Calibri" w:cs="Times New Roman"/>
          <w:szCs w:val="20"/>
          <w:lang w:val="en-US"/>
        </w:rPr>
        <w:t>war crimes;</w:t>
      </w:r>
      <w:r w:rsidR="00AF4504" w:rsidRPr="007B2402">
        <w:rPr>
          <w:rFonts w:eastAsia="Calibri" w:cs="Times New Roman"/>
          <w:szCs w:val="20"/>
          <w:vertAlign w:val="superscript"/>
          <w:lang w:val="en-US"/>
        </w:rPr>
        <w:footnoteReference w:id="331"/>
      </w:r>
      <w:r w:rsidR="00AF4504" w:rsidRPr="007B2402">
        <w:rPr>
          <w:rFonts w:eastAsia="Calibri" w:cs="Times New Roman"/>
          <w:szCs w:val="20"/>
          <w:lang w:val="en-US"/>
        </w:rPr>
        <w:t xml:space="preserve"> </w:t>
      </w:r>
      <w:r w:rsidR="00A47DBD" w:rsidRPr="007B2402">
        <w:rPr>
          <w:rFonts w:eastAsia="Calibri" w:cs="Times New Roman"/>
          <w:szCs w:val="20"/>
          <w:lang w:val="en-US"/>
        </w:rPr>
        <w:t>(</w:t>
      </w:r>
      <w:r w:rsidR="00AF4504" w:rsidRPr="007B2402">
        <w:rPr>
          <w:rFonts w:eastAsia="Calibri" w:cs="Times New Roman"/>
          <w:szCs w:val="20"/>
          <w:lang w:val="en-US"/>
        </w:rPr>
        <w:t xml:space="preserve">c) </w:t>
      </w:r>
      <w:r w:rsidR="00A47DBD" w:rsidRPr="007B2402">
        <w:rPr>
          <w:rFonts w:eastAsia="Calibri" w:cs="Times New Roman"/>
          <w:szCs w:val="20"/>
          <w:lang w:val="en-US"/>
        </w:rPr>
        <w:t>it is based</w:t>
      </w:r>
      <w:r w:rsidR="00ED7B00" w:rsidRPr="007B2402">
        <w:rPr>
          <w:rFonts w:eastAsia="Calibri" w:cs="Times New Roman"/>
          <w:szCs w:val="20"/>
          <w:lang w:val="en-US"/>
        </w:rPr>
        <w:t xml:space="preserve"> solely on</w:t>
      </w:r>
      <w:r w:rsidR="00A47DBD" w:rsidRPr="007B2402">
        <w:rPr>
          <w:rFonts w:eastAsia="Calibri" w:cs="Times New Roman"/>
          <w:szCs w:val="20"/>
          <w:lang w:val="en-US"/>
        </w:rPr>
        <w:t xml:space="preserve"> the nature of the crime</w:t>
      </w:r>
      <w:r w:rsidR="00ED7B00" w:rsidRPr="007B2402">
        <w:rPr>
          <w:rFonts w:eastAsia="Calibri" w:cs="Times New Roman"/>
          <w:szCs w:val="20"/>
          <w:lang w:val="en-US"/>
        </w:rPr>
        <w:t xml:space="preserve"> without regard to </w:t>
      </w:r>
      <w:r w:rsidR="00A47DBD" w:rsidRPr="007B2402">
        <w:rPr>
          <w:rFonts w:eastAsia="Calibri" w:cs="Times New Roman"/>
          <w:szCs w:val="20"/>
          <w:lang w:val="en-US"/>
        </w:rPr>
        <w:t xml:space="preserve">where </w:t>
      </w:r>
      <w:r w:rsidR="00ED7B00" w:rsidRPr="007B2402">
        <w:rPr>
          <w:rFonts w:eastAsia="Calibri" w:cs="Times New Roman"/>
          <w:szCs w:val="20"/>
          <w:lang w:val="en-US"/>
        </w:rPr>
        <w:t>the crime</w:t>
      </w:r>
      <w:r w:rsidR="00A47DBD" w:rsidRPr="007B2402">
        <w:rPr>
          <w:rFonts w:eastAsia="Calibri" w:cs="Times New Roman"/>
          <w:szCs w:val="20"/>
          <w:lang w:val="en-US"/>
        </w:rPr>
        <w:t xml:space="preserve"> was committed</w:t>
      </w:r>
      <w:r w:rsidR="00ED7B00" w:rsidRPr="007B2402">
        <w:rPr>
          <w:rFonts w:eastAsia="Calibri" w:cs="Times New Roman"/>
          <w:szCs w:val="20"/>
          <w:lang w:val="en-US"/>
        </w:rPr>
        <w:t>,</w:t>
      </w:r>
      <w:r w:rsidR="00A47DBD" w:rsidRPr="007B2402">
        <w:rPr>
          <w:rFonts w:eastAsia="Calibri" w:cs="Times New Roman"/>
          <w:szCs w:val="20"/>
          <w:lang w:val="en-US"/>
        </w:rPr>
        <w:t xml:space="preserve"> </w:t>
      </w:r>
      <w:r w:rsidR="00341BAC" w:rsidRPr="007B2402">
        <w:rPr>
          <w:rFonts w:eastAsia="Calibri" w:cs="Times New Roman"/>
          <w:szCs w:val="20"/>
          <w:lang w:val="en-US"/>
        </w:rPr>
        <w:t xml:space="preserve">or </w:t>
      </w:r>
      <w:r w:rsidR="00A47DBD" w:rsidRPr="007B2402">
        <w:rPr>
          <w:rFonts w:eastAsia="Calibri" w:cs="Times New Roman"/>
          <w:szCs w:val="20"/>
          <w:lang w:val="en-US"/>
        </w:rPr>
        <w:t>the nationality of the perpetrator or</w:t>
      </w:r>
      <w:r w:rsidR="00ED7B00" w:rsidRPr="007B2402">
        <w:rPr>
          <w:rFonts w:eastAsia="Calibri" w:cs="Times New Roman"/>
          <w:szCs w:val="20"/>
          <w:lang w:val="en-US"/>
        </w:rPr>
        <w:t xml:space="preserve"> </w:t>
      </w:r>
      <w:r w:rsidR="00A47DBD" w:rsidRPr="007B2402">
        <w:rPr>
          <w:rFonts w:eastAsia="Calibri" w:cs="Times New Roman"/>
          <w:szCs w:val="20"/>
          <w:lang w:val="en-US"/>
        </w:rPr>
        <w:t>the victim,</w:t>
      </w:r>
      <w:r w:rsidR="00AF4504" w:rsidRPr="007B2402">
        <w:rPr>
          <w:rFonts w:eastAsia="Calibri" w:cs="Times New Roman"/>
          <w:szCs w:val="20"/>
          <w:vertAlign w:val="superscript"/>
          <w:lang w:val="en-US"/>
        </w:rPr>
        <w:footnoteReference w:id="332"/>
      </w:r>
      <w:r w:rsidR="005B1590" w:rsidRPr="007B2402">
        <w:rPr>
          <w:rFonts w:eastAsia="Calibri" w:cs="Times New Roman"/>
          <w:szCs w:val="20"/>
          <w:lang w:val="en-US"/>
        </w:rPr>
        <w:t xml:space="preserve"> and </w:t>
      </w:r>
      <w:r w:rsidR="00A47DBD" w:rsidRPr="007B2402">
        <w:rPr>
          <w:rFonts w:eastAsia="Calibri" w:cs="Times New Roman"/>
          <w:szCs w:val="20"/>
          <w:lang w:val="en-US"/>
        </w:rPr>
        <w:t>(</w:t>
      </w:r>
      <w:r w:rsidR="000744A8" w:rsidRPr="007B2402">
        <w:rPr>
          <w:rFonts w:eastAsia="Calibri" w:cs="Times New Roman"/>
          <w:szCs w:val="20"/>
          <w:lang w:val="en-US"/>
        </w:rPr>
        <w:t xml:space="preserve">d) </w:t>
      </w:r>
      <w:r w:rsidR="00A47DBD" w:rsidRPr="007B2402">
        <w:rPr>
          <w:rFonts w:eastAsia="Calibri" w:cs="Times New Roman"/>
          <w:szCs w:val="20"/>
          <w:lang w:val="en-US"/>
        </w:rPr>
        <w:t>it is of a complementary nature to other jurisdictions.</w:t>
      </w:r>
      <w:r w:rsidR="00AF4504" w:rsidRPr="007B2402">
        <w:rPr>
          <w:rFonts w:eastAsia="Calibri" w:cs="Times New Roman"/>
          <w:szCs w:val="20"/>
          <w:vertAlign w:val="superscript"/>
          <w:lang w:val="en-US"/>
        </w:rPr>
        <w:footnoteReference w:id="333"/>
      </w:r>
    </w:p>
    <w:p w14:paraId="40D974F7" w14:textId="77777777" w:rsidR="000744A8" w:rsidRPr="007B2402" w:rsidRDefault="000744A8" w:rsidP="000744A8">
      <w:pPr>
        <w:spacing w:after="0" w:line="240" w:lineRule="auto"/>
        <w:jc w:val="both"/>
        <w:rPr>
          <w:rFonts w:eastAsia="Calibri" w:cs="Times New Roman"/>
          <w:szCs w:val="20"/>
          <w:lang w:val="en-US"/>
        </w:rPr>
      </w:pPr>
    </w:p>
    <w:p w14:paraId="71690085" w14:textId="72B65E99" w:rsidR="000744A8" w:rsidRPr="007B2402" w:rsidRDefault="00B0142C" w:rsidP="00B0142C">
      <w:pPr>
        <w:numPr>
          <w:ilvl w:val="0"/>
          <w:numId w:val="6"/>
        </w:numPr>
        <w:spacing w:after="0" w:line="240" w:lineRule="auto"/>
        <w:jc w:val="both"/>
        <w:rPr>
          <w:rFonts w:eastAsia="Calibri" w:cs="Times New Roman"/>
          <w:b/>
          <w:szCs w:val="20"/>
          <w:lang w:val="en-US"/>
        </w:rPr>
      </w:pPr>
      <w:r w:rsidRPr="007B2402">
        <w:rPr>
          <w:rFonts w:eastAsia="Calibri" w:cs="Times New Roman"/>
          <w:szCs w:val="20"/>
          <w:lang w:val="en-US"/>
        </w:rPr>
        <w:t>In the</w:t>
      </w:r>
      <w:r w:rsidR="000744A8" w:rsidRPr="007B2402">
        <w:rPr>
          <w:rFonts w:eastAsia="Calibri" w:cs="Times New Roman"/>
          <w:szCs w:val="20"/>
          <w:lang w:val="en-US"/>
        </w:rPr>
        <w:t xml:space="preserve"> Furundzija</w:t>
      </w:r>
      <w:r w:rsidRPr="007B2402">
        <w:rPr>
          <w:rFonts w:eastAsia="Calibri" w:cs="Times New Roman"/>
          <w:szCs w:val="20"/>
          <w:lang w:val="en-US"/>
        </w:rPr>
        <w:t xml:space="preserve"> case,</w:t>
      </w:r>
      <w:r w:rsidR="000744A8" w:rsidRPr="007B2402">
        <w:rPr>
          <w:rFonts w:eastAsia="Calibri" w:cs="Times New Roman"/>
          <w:szCs w:val="20"/>
          <w:lang w:val="en-US"/>
        </w:rPr>
        <w:t xml:space="preserve"> </w:t>
      </w:r>
      <w:r w:rsidRPr="007B2402">
        <w:rPr>
          <w:rFonts w:eastAsia="Calibri" w:cs="Times New Roman"/>
          <w:szCs w:val="20"/>
          <w:lang w:val="en-US"/>
        </w:rPr>
        <w:t>the</w:t>
      </w:r>
      <w:r w:rsidR="000744A8" w:rsidRPr="007B2402">
        <w:rPr>
          <w:rFonts w:eastAsia="Calibri" w:cs="Times New Roman"/>
          <w:szCs w:val="20"/>
          <w:lang w:val="en-US"/>
        </w:rPr>
        <w:t xml:space="preserve"> </w:t>
      </w:r>
      <w:r w:rsidR="00347287" w:rsidRPr="007B2402">
        <w:rPr>
          <w:rFonts w:eastAsia="Calibri" w:cs="Times New Roman"/>
          <w:szCs w:val="20"/>
          <w:lang w:val="en-US"/>
        </w:rPr>
        <w:t>ICTY</w:t>
      </w:r>
      <w:r w:rsidR="000744A8" w:rsidRPr="007B2402">
        <w:rPr>
          <w:rFonts w:eastAsia="Calibri" w:cs="Times New Roman"/>
          <w:szCs w:val="20"/>
          <w:lang w:val="en-US"/>
        </w:rPr>
        <w:t xml:space="preserve"> </w:t>
      </w:r>
      <w:r w:rsidRPr="007B2402">
        <w:rPr>
          <w:rFonts w:eastAsia="Calibri" w:cs="Times New Roman"/>
          <w:szCs w:val="20"/>
          <w:lang w:val="en-US"/>
        </w:rPr>
        <w:t>asserted that</w:t>
      </w:r>
      <w:r w:rsidR="000744A8" w:rsidRPr="007B2402">
        <w:rPr>
          <w:rFonts w:eastAsia="Calibri" w:cs="Times New Roman"/>
          <w:szCs w:val="20"/>
          <w:lang w:val="en-US"/>
        </w:rPr>
        <w:t xml:space="preserve"> “</w:t>
      </w:r>
      <w:r w:rsidRPr="007B2402">
        <w:rPr>
          <w:rFonts w:cs="Arial"/>
          <w:szCs w:val="20"/>
          <w:lang w:val="en-US"/>
        </w:rPr>
        <w:t xml:space="preserve">at the individual level, that is, that of criminal liability, it would seem that one of the consequences of the </w:t>
      </w:r>
      <w:r w:rsidRPr="007B2402">
        <w:rPr>
          <w:rFonts w:cs="Arial"/>
          <w:i/>
          <w:iCs/>
          <w:szCs w:val="20"/>
          <w:lang w:val="en-US"/>
        </w:rPr>
        <w:t>jus cogens</w:t>
      </w:r>
      <w:r w:rsidRPr="007B2402">
        <w:rPr>
          <w:rFonts w:cs="Arial"/>
          <w:szCs w:val="20"/>
          <w:lang w:val="en-US"/>
        </w:rPr>
        <w:t xml:space="preserve"> character bestowed by the international community upon the prohibition of torture is that every State is entitled to investigate, prosecute and punish or extradite individuals accused of torture, who are present in a territory under its jurisdiction.</w:t>
      </w:r>
      <w:r w:rsidR="00AF4504" w:rsidRPr="007B2402">
        <w:rPr>
          <w:rFonts w:eastAsia="Calibri" w:cs="Times New Roman"/>
          <w:szCs w:val="20"/>
          <w:lang w:val="en-US"/>
        </w:rPr>
        <w:t>”</w:t>
      </w:r>
      <w:r w:rsidR="00AF4504" w:rsidRPr="007B2402">
        <w:rPr>
          <w:rStyle w:val="Refdenotaalpie"/>
          <w:rFonts w:ascii="Verdana" w:eastAsia="Calibri" w:hAnsi="Verdana"/>
          <w:lang w:val="en-US"/>
        </w:rPr>
        <w:footnoteReference w:id="334"/>
      </w:r>
      <w:r w:rsidRPr="007B2402">
        <w:rPr>
          <w:rFonts w:eastAsia="Calibri" w:cs="Times New Roman"/>
          <w:szCs w:val="20"/>
          <w:lang w:val="en-US"/>
        </w:rPr>
        <w:t xml:space="preserve"> In other words, at the present stage of international law, States are entitled to </w:t>
      </w:r>
      <w:r w:rsidR="00341BAC" w:rsidRPr="007B2402">
        <w:rPr>
          <w:rFonts w:eastAsia="Calibri" w:cs="Times New Roman"/>
          <w:szCs w:val="20"/>
          <w:lang w:val="en-US"/>
        </w:rPr>
        <w:t>use</w:t>
      </w:r>
      <w:r w:rsidRPr="007B2402">
        <w:rPr>
          <w:rFonts w:eastAsia="Calibri" w:cs="Times New Roman"/>
          <w:szCs w:val="20"/>
          <w:lang w:val="en-US"/>
        </w:rPr>
        <w:t xml:space="preserve"> this principle</w:t>
      </w:r>
      <w:r w:rsidR="00341BAC" w:rsidRPr="007B2402">
        <w:rPr>
          <w:rFonts w:eastAsia="Calibri" w:cs="Times New Roman"/>
          <w:szCs w:val="20"/>
          <w:lang w:val="en-US"/>
        </w:rPr>
        <w:t xml:space="preserve"> as grounds for</w:t>
      </w:r>
      <w:r w:rsidRPr="007B2402">
        <w:rPr>
          <w:rFonts w:eastAsia="Calibri" w:cs="Times New Roman"/>
          <w:szCs w:val="20"/>
          <w:lang w:val="en-US"/>
        </w:rPr>
        <w:t xml:space="preserve"> the competence of their judges in relation to </w:t>
      </w:r>
      <w:r w:rsidR="007035C4" w:rsidRPr="007B2402">
        <w:rPr>
          <w:rFonts w:eastAsia="Calibri" w:cs="Times New Roman"/>
          <w:szCs w:val="20"/>
          <w:lang w:val="en-US"/>
        </w:rPr>
        <w:t>such</w:t>
      </w:r>
      <w:r w:rsidRPr="007B2402">
        <w:rPr>
          <w:rFonts w:eastAsia="Calibri" w:cs="Times New Roman"/>
          <w:szCs w:val="20"/>
          <w:lang w:val="en-US"/>
        </w:rPr>
        <w:t xml:space="preserve"> crimes when those allegedly responsible are present in their territory. If they do so, and to what extent, will depend on their policies in this regard, determined, </w:t>
      </w:r>
      <w:r w:rsidRPr="007B2402">
        <w:rPr>
          <w:rFonts w:eastAsia="Calibri" w:cs="Times New Roman"/>
          <w:i/>
          <w:szCs w:val="20"/>
          <w:lang w:val="en-US"/>
        </w:rPr>
        <w:t>inter alia</w:t>
      </w:r>
      <w:r w:rsidRPr="007B2402">
        <w:rPr>
          <w:rFonts w:eastAsia="Calibri" w:cs="Times New Roman"/>
          <w:szCs w:val="20"/>
          <w:lang w:val="en-US"/>
        </w:rPr>
        <w:t xml:space="preserve">, by the relevance they give to the protection of human rights and the impact that the prosecution of the crimes </w:t>
      </w:r>
      <w:r w:rsidR="007035C4" w:rsidRPr="007B2402">
        <w:rPr>
          <w:rFonts w:eastAsia="Calibri" w:cs="Times New Roman"/>
          <w:szCs w:val="20"/>
          <w:lang w:val="en-US"/>
        </w:rPr>
        <w:t>based on</w:t>
      </w:r>
      <w:r w:rsidRPr="007B2402">
        <w:rPr>
          <w:rFonts w:eastAsia="Calibri" w:cs="Times New Roman"/>
          <w:szCs w:val="20"/>
          <w:lang w:val="en-US"/>
        </w:rPr>
        <w:t xml:space="preserve"> the principle of universality may have on their foreign policy objectives.</w:t>
      </w:r>
      <w:r w:rsidR="00AF4504" w:rsidRPr="007B2402">
        <w:rPr>
          <w:rFonts w:eastAsia="Calibri" w:cs="Times New Roman"/>
          <w:szCs w:val="20"/>
          <w:vertAlign w:val="superscript"/>
          <w:lang w:val="en-US"/>
        </w:rPr>
        <w:footnoteReference w:id="335"/>
      </w:r>
      <w:r w:rsidR="000744A8" w:rsidRPr="007B2402">
        <w:rPr>
          <w:rFonts w:eastAsia="Calibri" w:cs="Times New Roman"/>
          <w:szCs w:val="20"/>
          <w:lang w:val="en-US"/>
        </w:rPr>
        <w:t xml:space="preserve"> </w:t>
      </w:r>
    </w:p>
    <w:p w14:paraId="6445D185" w14:textId="77777777" w:rsidR="000744A8" w:rsidRPr="007B2402" w:rsidRDefault="000744A8" w:rsidP="000744A8">
      <w:pPr>
        <w:spacing w:after="0" w:line="240" w:lineRule="auto"/>
        <w:ind w:left="360"/>
        <w:jc w:val="both"/>
        <w:rPr>
          <w:rFonts w:eastAsia="Calibri" w:cs="Times New Roman"/>
          <w:szCs w:val="20"/>
          <w:lang w:val="en-US"/>
        </w:rPr>
      </w:pPr>
    </w:p>
    <w:p w14:paraId="6583C809" w14:textId="5553B053" w:rsidR="000744A8" w:rsidRPr="007B2402" w:rsidRDefault="00801240"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Since</w:t>
      </w:r>
      <w:r w:rsidR="001A06AA" w:rsidRPr="007B2402">
        <w:rPr>
          <w:rFonts w:eastAsia="Calibri" w:cs="Times New Roman"/>
          <w:szCs w:val="20"/>
          <w:lang w:val="en-US"/>
        </w:rPr>
        <w:t xml:space="preserve"> 1945</w:t>
      </w:r>
      <w:r w:rsidR="00BE7B85" w:rsidRPr="007B2402">
        <w:rPr>
          <w:rFonts w:eastAsia="Calibri" w:cs="Times New Roman"/>
          <w:szCs w:val="20"/>
          <w:lang w:val="en-US"/>
        </w:rPr>
        <w:t>,</w:t>
      </w:r>
      <w:r w:rsidR="001A06AA" w:rsidRPr="007B2402">
        <w:rPr>
          <w:rFonts w:eastAsia="Calibri" w:cs="Times New Roman"/>
          <w:szCs w:val="20"/>
          <w:lang w:val="en-US"/>
        </w:rPr>
        <w:t xml:space="preserve"> </w:t>
      </w:r>
      <w:r w:rsidRPr="007B2402">
        <w:rPr>
          <w:rFonts w:eastAsia="Calibri" w:cs="Times New Roman"/>
          <w:szCs w:val="20"/>
          <w:lang w:val="en-US"/>
        </w:rPr>
        <w:t xml:space="preserve">several countries have </w:t>
      </w:r>
      <w:r w:rsidR="00BE7B85" w:rsidRPr="007B2402">
        <w:rPr>
          <w:rFonts w:eastAsia="Calibri" w:cs="Times New Roman"/>
          <w:szCs w:val="20"/>
          <w:lang w:val="en-US"/>
        </w:rPr>
        <w:t>prosecuted</w:t>
      </w:r>
      <w:r w:rsidR="001A06AA" w:rsidRPr="007B2402">
        <w:rPr>
          <w:rFonts w:eastAsia="Calibri" w:cs="Times New Roman"/>
          <w:szCs w:val="20"/>
          <w:lang w:val="en-US"/>
        </w:rPr>
        <w:t xml:space="preserve"> </w:t>
      </w:r>
      <w:r w:rsidR="00844CE7" w:rsidRPr="007B2402">
        <w:rPr>
          <w:rFonts w:eastAsia="Calibri" w:cs="Times New Roman"/>
          <w:szCs w:val="20"/>
          <w:lang w:val="en-US"/>
        </w:rPr>
        <w:t>crimes against humanity</w:t>
      </w:r>
      <w:r w:rsidR="001A06AA" w:rsidRPr="007B2402">
        <w:rPr>
          <w:rFonts w:eastAsia="Calibri" w:cs="Times New Roman"/>
          <w:szCs w:val="20"/>
          <w:lang w:val="en-US"/>
        </w:rPr>
        <w:t xml:space="preserve"> </w:t>
      </w:r>
      <w:r w:rsidRPr="007B2402">
        <w:rPr>
          <w:rFonts w:eastAsia="Calibri" w:cs="Times New Roman"/>
          <w:szCs w:val="20"/>
          <w:lang w:val="en-US"/>
        </w:rPr>
        <w:t>i</w:t>
      </w:r>
      <w:r w:rsidR="001A06AA" w:rsidRPr="007B2402">
        <w:rPr>
          <w:rFonts w:eastAsia="Calibri" w:cs="Times New Roman"/>
          <w:szCs w:val="20"/>
          <w:lang w:val="en-US"/>
        </w:rPr>
        <w:t>n</w:t>
      </w:r>
      <w:r w:rsidRPr="007B2402">
        <w:rPr>
          <w:rFonts w:eastAsia="Calibri" w:cs="Times New Roman"/>
          <w:szCs w:val="20"/>
          <w:lang w:val="en-US"/>
        </w:rPr>
        <w:t xml:space="preserve"> application of the principle of universal jurisdiction.</w:t>
      </w:r>
      <w:r w:rsidR="00AF4504" w:rsidRPr="007B2402">
        <w:rPr>
          <w:rStyle w:val="Refdenotaalpie"/>
          <w:rFonts w:ascii="Verdana" w:eastAsia="Calibri" w:hAnsi="Verdana"/>
          <w:lang w:val="en-US"/>
        </w:rPr>
        <w:footnoteReference w:id="336"/>
      </w:r>
      <w:r w:rsidR="001A06AA" w:rsidRPr="007B2402">
        <w:rPr>
          <w:rFonts w:eastAsia="Calibri" w:cs="Times New Roman"/>
          <w:szCs w:val="20"/>
          <w:lang w:val="en-US"/>
        </w:rPr>
        <w:t xml:space="preserve"> </w:t>
      </w:r>
      <w:r w:rsidRPr="007B2402">
        <w:rPr>
          <w:rFonts w:eastAsia="Calibri" w:cs="Times New Roman"/>
          <w:szCs w:val="20"/>
          <w:lang w:val="en-US"/>
        </w:rPr>
        <w:t>For example, the Spanish</w:t>
      </w:r>
      <w:r w:rsidR="000744A8" w:rsidRPr="007B2402">
        <w:rPr>
          <w:rFonts w:eastAsia="Calibri" w:cs="Times New Roman"/>
          <w:szCs w:val="20"/>
          <w:lang w:val="en-US"/>
        </w:rPr>
        <w:t xml:space="preserve"> </w:t>
      </w:r>
      <w:r w:rsidR="005D25DE" w:rsidRPr="007B2402">
        <w:rPr>
          <w:rFonts w:eastAsia="Calibri" w:cs="Times New Roman"/>
          <w:szCs w:val="20"/>
          <w:lang w:val="en-US"/>
        </w:rPr>
        <w:t>Constitutional Court</w:t>
      </w:r>
      <w:r w:rsidR="000744A8" w:rsidRPr="007B2402">
        <w:rPr>
          <w:rFonts w:eastAsia="Calibri" w:cs="Times New Roman"/>
          <w:szCs w:val="20"/>
          <w:lang w:val="en-US"/>
        </w:rPr>
        <w:t xml:space="preserve"> establ</w:t>
      </w:r>
      <w:r w:rsidRPr="007B2402">
        <w:rPr>
          <w:rFonts w:eastAsia="Calibri" w:cs="Times New Roman"/>
          <w:szCs w:val="20"/>
          <w:lang w:val="en-US"/>
        </w:rPr>
        <w:t>ished that the principle of universal jurisdiction</w:t>
      </w:r>
      <w:r w:rsidR="000744A8" w:rsidRPr="007B2402">
        <w:rPr>
          <w:rFonts w:eastAsia="Calibri" w:cs="Times New Roman"/>
          <w:szCs w:val="20"/>
          <w:lang w:val="en-US"/>
        </w:rPr>
        <w:t xml:space="preserve"> (</w:t>
      </w:r>
      <w:r w:rsidRPr="007B2402">
        <w:rPr>
          <w:rFonts w:eastAsia="Calibri" w:cs="Times New Roman"/>
          <w:szCs w:val="20"/>
          <w:lang w:val="en-US"/>
        </w:rPr>
        <w:t>in relation to genocide</w:t>
      </w:r>
      <w:r w:rsidR="000744A8" w:rsidRPr="007B2402">
        <w:rPr>
          <w:rFonts w:eastAsia="Calibri" w:cs="Times New Roman"/>
          <w:szCs w:val="20"/>
          <w:lang w:val="en-US"/>
        </w:rPr>
        <w:t xml:space="preserve">) </w:t>
      </w:r>
      <w:r w:rsidR="003C5008" w:rsidRPr="007B2402">
        <w:rPr>
          <w:rFonts w:eastAsia="Calibri" w:cs="Times New Roman"/>
          <w:szCs w:val="20"/>
          <w:lang w:val="en-US"/>
        </w:rPr>
        <w:t>form</w:t>
      </w:r>
      <w:r w:rsidR="00B0142C" w:rsidRPr="007B2402">
        <w:rPr>
          <w:rFonts w:eastAsia="Calibri" w:cs="Times New Roman"/>
          <w:szCs w:val="20"/>
          <w:lang w:val="en-US"/>
        </w:rPr>
        <w:t>s part of international law and the general obligations of States</w:t>
      </w:r>
      <w:r w:rsidR="00316673" w:rsidRPr="007B2402">
        <w:rPr>
          <w:rFonts w:eastAsia="Calibri" w:cs="Times New Roman"/>
          <w:szCs w:val="20"/>
          <w:lang w:val="en-US"/>
        </w:rPr>
        <w:t>.</w:t>
      </w:r>
      <w:r w:rsidR="009C00CD" w:rsidRPr="007B2402">
        <w:rPr>
          <w:rFonts w:eastAsia="Calibri" w:cs="Times New Roman"/>
          <w:szCs w:val="20"/>
          <w:vertAlign w:val="superscript"/>
          <w:lang w:val="en-US"/>
        </w:rPr>
        <w:footnoteReference w:id="337"/>
      </w:r>
      <w:r w:rsidR="009C00CD" w:rsidRPr="007B2402">
        <w:rPr>
          <w:rFonts w:eastAsia="Calibri" w:cs="Times New Roman"/>
          <w:szCs w:val="20"/>
          <w:lang w:val="en-US"/>
        </w:rPr>
        <w:t xml:space="preserve"> </w:t>
      </w:r>
      <w:r w:rsidR="00316673" w:rsidRPr="007B2402">
        <w:rPr>
          <w:rFonts w:eastAsia="Calibri" w:cs="Times New Roman"/>
          <w:szCs w:val="20"/>
          <w:lang w:val="en-US"/>
        </w:rPr>
        <w:t xml:space="preserve">In the same way, the Spanish </w:t>
      </w:r>
      <w:r w:rsidR="00316673" w:rsidRPr="007B2402">
        <w:rPr>
          <w:i/>
          <w:iCs/>
          <w:szCs w:val="16"/>
          <w:lang w:val="en-US"/>
        </w:rPr>
        <w:t>Audiencia Nacional</w:t>
      </w:r>
      <w:r w:rsidR="00316673" w:rsidRPr="007B2402">
        <w:rPr>
          <w:rFonts w:eastAsia="Calibri" w:cs="Times New Roman"/>
          <w:szCs w:val="20"/>
          <w:lang w:val="en-US"/>
        </w:rPr>
        <w:t xml:space="preserve"> has admitted for processing complaints relating to crimes of genocide, terrorism and torture committed in </w:t>
      </w:r>
      <w:r w:rsidR="009C00CD" w:rsidRPr="007B2402">
        <w:rPr>
          <w:rFonts w:eastAsia="Calibri" w:cs="Times New Roman"/>
          <w:szCs w:val="20"/>
          <w:lang w:val="en-US"/>
        </w:rPr>
        <w:t xml:space="preserve">Guatemala </w:t>
      </w:r>
      <w:r w:rsidR="00316673" w:rsidRPr="007B2402">
        <w:rPr>
          <w:rFonts w:eastAsia="Calibri" w:cs="Times New Roman"/>
          <w:szCs w:val="20"/>
          <w:lang w:val="en-US"/>
        </w:rPr>
        <w:t>between</w:t>
      </w:r>
      <w:r w:rsidR="009C00CD" w:rsidRPr="007B2402">
        <w:rPr>
          <w:rFonts w:eastAsia="Calibri" w:cs="Times New Roman"/>
          <w:szCs w:val="20"/>
          <w:lang w:val="en-US"/>
        </w:rPr>
        <w:t xml:space="preserve"> 1978</w:t>
      </w:r>
      <w:r w:rsidR="005B1590" w:rsidRPr="007B2402">
        <w:rPr>
          <w:rFonts w:eastAsia="Calibri" w:cs="Times New Roman"/>
          <w:szCs w:val="20"/>
          <w:lang w:val="en-US"/>
        </w:rPr>
        <w:t xml:space="preserve"> and </w:t>
      </w:r>
      <w:r w:rsidR="009C00CD" w:rsidRPr="007B2402">
        <w:rPr>
          <w:rFonts w:eastAsia="Calibri" w:cs="Times New Roman"/>
          <w:szCs w:val="20"/>
          <w:lang w:val="en-US"/>
        </w:rPr>
        <w:t>1986</w:t>
      </w:r>
      <w:r w:rsidR="005B1590" w:rsidRPr="007B2402">
        <w:rPr>
          <w:rFonts w:eastAsia="Calibri" w:cs="Times New Roman"/>
          <w:szCs w:val="20"/>
          <w:lang w:val="en-US"/>
        </w:rPr>
        <w:t xml:space="preserve"> and </w:t>
      </w:r>
      <w:r w:rsidR="00316673" w:rsidRPr="007B2402">
        <w:rPr>
          <w:rFonts w:eastAsia="Calibri" w:cs="Times New Roman"/>
          <w:szCs w:val="20"/>
          <w:lang w:val="en-US"/>
        </w:rPr>
        <w:t xml:space="preserve">also complaints of presumed genocide in </w:t>
      </w:r>
      <w:r w:rsidR="009C00CD" w:rsidRPr="007B2402">
        <w:rPr>
          <w:rFonts w:eastAsia="Calibri" w:cs="Times New Roman"/>
          <w:szCs w:val="20"/>
          <w:lang w:val="en-US"/>
        </w:rPr>
        <w:t xml:space="preserve">Tibet, </w:t>
      </w:r>
      <w:r w:rsidR="00316673" w:rsidRPr="007B2402">
        <w:rPr>
          <w:rFonts w:eastAsia="Calibri" w:cs="Times New Roman"/>
          <w:szCs w:val="20"/>
          <w:lang w:val="en-US"/>
        </w:rPr>
        <w:t>even though it subsequently closed these cases.</w:t>
      </w:r>
      <w:r w:rsidR="009C00CD" w:rsidRPr="007B2402">
        <w:rPr>
          <w:rFonts w:eastAsia="Calibri" w:cs="Times New Roman"/>
          <w:szCs w:val="20"/>
          <w:vertAlign w:val="superscript"/>
          <w:lang w:val="en-US"/>
        </w:rPr>
        <w:footnoteReference w:id="338"/>
      </w:r>
      <w:r w:rsidR="009C00CD" w:rsidRPr="007B2402">
        <w:rPr>
          <w:rFonts w:eastAsia="Calibri" w:cs="Times New Roman"/>
          <w:szCs w:val="20"/>
          <w:lang w:val="en-US"/>
        </w:rPr>
        <w:t xml:space="preserve"> A</w:t>
      </w:r>
      <w:r w:rsidR="00316673" w:rsidRPr="007B2402">
        <w:rPr>
          <w:rFonts w:eastAsia="Calibri" w:cs="Times New Roman"/>
          <w:szCs w:val="20"/>
          <w:lang w:val="en-US"/>
        </w:rPr>
        <w:t>lso</w:t>
      </w:r>
      <w:r w:rsidR="009C00CD" w:rsidRPr="007B2402">
        <w:rPr>
          <w:rFonts w:eastAsia="Calibri" w:cs="Times New Roman"/>
          <w:szCs w:val="20"/>
          <w:lang w:val="en-US"/>
        </w:rPr>
        <w:t xml:space="preserve">, </w:t>
      </w:r>
      <w:r w:rsidR="00316673" w:rsidRPr="007B2402">
        <w:rPr>
          <w:rFonts w:eastAsia="Calibri" w:cs="Times New Roman"/>
          <w:szCs w:val="20"/>
          <w:lang w:val="en-US"/>
        </w:rPr>
        <w:t>in the case</w:t>
      </w:r>
      <w:r w:rsidR="00D05845" w:rsidRPr="007B2402">
        <w:rPr>
          <w:rFonts w:eastAsia="Calibri" w:cs="Times New Roman"/>
          <w:szCs w:val="20"/>
          <w:lang w:val="en-US"/>
        </w:rPr>
        <w:t xml:space="preserve"> of</w:t>
      </w:r>
      <w:r w:rsidR="009C00CD" w:rsidRPr="007B2402">
        <w:rPr>
          <w:rFonts w:eastAsia="Calibri" w:cs="Times New Roman"/>
          <w:szCs w:val="20"/>
          <w:lang w:val="en-US"/>
        </w:rPr>
        <w:t xml:space="preserve"> Scilingo, </w:t>
      </w:r>
      <w:r w:rsidR="00316673" w:rsidRPr="007B2402">
        <w:rPr>
          <w:rFonts w:eastAsia="Calibri" w:cs="Times New Roman"/>
          <w:szCs w:val="20"/>
          <w:lang w:val="en-US"/>
        </w:rPr>
        <w:t>the Spanish</w:t>
      </w:r>
      <w:r w:rsidR="009C00CD" w:rsidRPr="007B2402">
        <w:rPr>
          <w:rFonts w:eastAsia="Calibri" w:cs="Times New Roman"/>
          <w:szCs w:val="20"/>
          <w:lang w:val="en-US"/>
        </w:rPr>
        <w:t xml:space="preserve"> </w:t>
      </w:r>
      <w:r w:rsidR="00316673" w:rsidRPr="007B2402">
        <w:rPr>
          <w:i/>
          <w:iCs/>
          <w:szCs w:val="16"/>
          <w:lang w:val="en-US"/>
        </w:rPr>
        <w:t>Audiencia Nacional</w:t>
      </w:r>
      <w:r w:rsidR="00316673" w:rsidRPr="007B2402">
        <w:rPr>
          <w:rFonts w:eastAsia="Calibri" w:cs="Times New Roman"/>
          <w:szCs w:val="20"/>
          <w:lang w:val="en-US"/>
        </w:rPr>
        <w:t xml:space="preserve"> in</w:t>
      </w:r>
      <w:r w:rsidR="00451BC1" w:rsidRPr="007B2402">
        <w:rPr>
          <w:rFonts w:eastAsia="Calibri" w:cs="Times New Roman"/>
          <w:szCs w:val="20"/>
          <w:lang w:val="en-US"/>
        </w:rPr>
        <w:t>voked</w:t>
      </w:r>
      <w:r w:rsidR="00316673" w:rsidRPr="007B2402">
        <w:rPr>
          <w:rFonts w:eastAsia="Calibri" w:cs="Times New Roman"/>
          <w:szCs w:val="20"/>
          <w:lang w:val="en-US"/>
        </w:rPr>
        <w:t xml:space="preserve"> the application of the universal </w:t>
      </w:r>
      <w:r w:rsidR="00316673" w:rsidRPr="007B2402">
        <w:rPr>
          <w:rFonts w:eastAsia="Calibri" w:cs="Times New Roman"/>
          <w:szCs w:val="20"/>
          <w:lang w:val="en-US"/>
        </w:rPr>
        <w:lastRenderedPageBreak/>
        <w:t>jurisdiction</w:t>
      </w:r>
      <w:r w:rsidR="009C00CD" w:rsidRPr="007B2402">
        <w:rPr>
          <w:rFonts w:eastAsia="Calibri" w:cs="Times New Roman"/>
          <w:szCs w:val="20"/>
          <w:lang w:val="en-US"/>
        </w:rPr>
        <w:t xml:space="preserve"> </w:t>
      </w:r>
      <w:r w:rsidR="00316673" w:rsidRPr="007B2402">
        <w:rPr>
          <w:rFonts w:eastAsia="Calibri" w:cs="Times New Roman"/>
          <w:szCs w:val="20"/>
          <w:lang w:val="en-US"/>
        </w:rPr>
        <w:t>for</w:t>
      </w:r>
      <w:r w:rsidR="009C00CD" w:rsidRPr="007B2402">
        <w:rPr>
          <w:rFonts w:eastAsia="Calibri" w:cs="Times New Roman"/>
          <w:szCs w:val="20"/>
          <w:lang w:val="en-US"/>
        </w:rPr>
        <w:t xml:space="preserve"> </w:t>
      </w:r>
      <w:r w:rsidR="00844CE7" w:rsidRPr="007B2402">
        <w:rPr>
          <w:rFonts w:eastAsia="Calibri" w:cs="Times New Roman"/>
          <w:szCs w:val="20"/>
          <w:lang w:val="en-US"/>
        </w:rPr>
        <w:t>crimes against humanity</w:t>
      </w:r>
      <w:r w:rsidR="009C00CD" w:rsidRPr="007B2402">
        <w:rPr>
          <w:rFonts w:eastAsia="Calibri" w:cs="Times New Roman"/>
          <w:szCs w:val="20"/>
          <w:lang w:val="en-US"/>
        </w:rPr>
        <w:t xml:space="preserve"> </w:t>
      </w:r>
      <w:r w:rsidR="00E37F52" w:rsidRPr="007B2402">
        <w:rPr>
          <w:rFonts w:eastAsia="Calibri" w:cs="Times New Roman"/>
          <w:szCs w:val="20"/>
          <w:lang w:val="en-US"/>
        </w:rPr>
        <w:t>with regard to an Argentine citizen.</w:t>
      </w:r>
      <w:r w:rsidR="009C00CD" w:rsidRPr="007B2402">
        <w:rPr>
          <w:rFonts w:eastAsia="Calibri" w:cs="Times New Roman"/>
          <w:sz w:val="18"/>
          <w:szCs w:val="18"/>
          <w:vertAlign w:val="superscript"/>
          <w:lang w:val="en-US"/>
        </w:rPr>
        <w:footnoteReference w:id="339"/>
      </w:r>
      <w:r w:rsidR="009C00CD" w:rsidRPr="007B2402">
        <w:rPr>
          <w:rFonts w:eastAsia="Calibri" w:cs="Times New Roman"/>
          <w:szCs w:val="20"/>
          <w:lang w:val="en-US"/>
        </w:rPr>
        <w:t xml:space="preserve"> </w:t>
      </w:r>
      <w:r w:rsidR="00E37F52" w:rsidRPr="007B2402">
        <w:rPr>
          <w:rFonts w:eastAsia="Calibri" w:cs="Times New Roman"/>
          <w:szCs w:val="20"/>
          <w:lang w:val="en-US"/>
        </w:rPr>
        <w:t>I</w:t>
      </w:r>
      <w:r w:rsidR="009C00CD" w:rsidRPr="007B2402">
        <w:rPr>
          <w:rFonts w:eastAsia="Calibri" w:cs="Times New Roman"/>
          <w:szCs w:val="20"/>
          <w:lang w:val="en-US"/>
        </w:rPr>
        <w:t>n Franc</w:t>
      </w:r>
      <w:r w:rsidR="00E37F52" w:rsidRPr="007B2402">
        <w:rPr>
          <w:rFonts w:eastAsia="Calibri" w:cs="Times New Roman"/>
          <w:szCs w:val="20"/>
          <w:lang w:val="en-US"/>
        </w:rPr>
        <w:t>e,</w:t>
      </w:r>
      <w:r w:rsidR="009C00CD" w:rsidRPr="007B2402">
        <w:rPr>
          <w:rStyle w:val="Refdenotaalpie"/>
          <w:rFonts w:ascii="Verdana" w:eastAsia="Calibri" w:hAnsi="Verdana"/>
          <w:lang w:val="en-US"/>
        </w:rPr>
        <w:footnoteReference w:id="340"/>
      </w:r>
      <w:r w:rsidR="009C00CD" w:rsidRPr="007B2402">
        <w:rPr>
          <w:rFonts w:eastAsia="Calibri" w:cs="Times New Roman"/>
          <w:szCs w:val="20"/>
          <w:lang w:val="en-US"/>
        </w:rPr>
        <w:t xml:space="preserve"> Ital</w:t>
      </w:r>
      <w:r w:rsidR="00E37F52" w:rsidRPr="007B2402">
        <w:rPr>
          <w:rFonts w:eastAsia="Calibri" w:cs="Times New Roman"/>
          <w:szCs w:val="20"/>
          <w:lang w:val="en-US"/>
        </w:rPr>
        <w:t>y</w:t>
      </w:r>
      <w:r w:rsidR="009C00CD" w:rsidRPr="007B2402">
        <w:rPr>
          <w:rStyle w:val="Refdenotaalpie"/>
          <w:rFonts w:ascii="Verdana" w:eastAsia="Calibri" w:hAnsi="Verdana"/>
          <w:lang w:val="en-US"/>
        </w:rPr>
        <w:footnoteReference w:id="341"/>
      </w:r>
      <w:r w:rsidR="005B1590" w:rsidRPr="007B2402">
        <w:rPr>
          <w:rFonts w:eastAsia="Calibri" w:cs="Times New Roman"/>
          <w:szCs w:val="20"/>
          <w:lang w:val="en-US"/>
        </w:rPr>
        <w:t xml:space="preserve"> and </w:t>
      </w:r>
      <w:r w:rsidR="00E37F52" w:rsidRPr="007B2402">
        <w:rPr>
          <w:rFonts w:eastAsia="Calibri" w:cs="Times New Roman"/>
          <w:szCs w:val="20"/>
          <w:lang w:val="en-US"/>
        </w:rPr>
        <w:t>Germany</w:t>
      </w:r>
      <w:r w:rsidR="009C00CD" w:rsidRPr="007B2402">
        <w:rPr>
          <w:rStyle w:val="Refdenotaalpie"/>
          <w:rFonts w:ascii="Verdana" w:eastAsia="Calibri" w:hAnsi="Verdana"/>
          <w:lang w:val="en-US"/>
        </w:rPr>
        <w:footnoteReference w:id="342"/>
      </w:r>
      <w:r w:rsidR="00E37F52" w:rsidRPr="007B2402">
        <w:rPr>
          <w:rFonts w:eastAsia="Calibri" w:cs="Times New Roman"/>
          <w:szCs w:val="20"/>
          <w:lang w:val="en-US"/>
        </w:rPr>
        <w:t xml:space="preserve"> cases involving </w:t>
      </w:r>
      <w:r w:rsidR="00844CE7" w:rsidRPr="007B2402">
        <w:rPr>
          <w:rFonts w:eastAsia="Calibri" w:cs="Times New Roman"/>
          <w:szCs w:val="20"/>
          <w:lang w:val="en-US"/>
        </w:rPr>
        <w:t>crimes against humanity</w:t>
      </w:r>
      <w:r w:rsidR="00E37F52" w:rsidRPr="007B2402">
        <w:rPr>
          <w:rFonts w:eastAsia="Calibri" w:cs="Times New Roman"/>
          <w:szCs w:val="20"/>
          <w:lang w:val="en-US"/>
        </w:rPr>
        <w:t xml:space="preserve"> were </w:t>
      </w:r>
      <w:r w:rsidR="00316673" w:rsidRPr="007B2402">
        <w:rPr>
          <w:rFonts w:eastAsia="Calibri" w:cs="Times New Roman"/>
          <w:szCs w:val="20"/>
          <w:lang w:val="en-US"/>
        </w:rPr>
        <w:t>filed</w:t>
      </w:r>
      <w:r w:rsidR="00E37F52" w:rsidRPr="007B2402">
        <w:rPr>
          <w:rFonts w:eastAsia="Calibri" w:cs="Times New Roman"/>
          <w:szCs w:val="20"/>
          <w:lang w:val="en-US"/>
        </w:rPr>
        <w:t xml:space="preserve"> and concluded</w:t>
      </w:r>
      <w:r w:rsidR="009C00CD" w:rsidRPr="007B2402">
        <w:rPr>
          <w:rFonts w:eastAsia="Calibri" w:cs="Times New Roman"/>
          <w:szCs w:val="20"/>
          <w:lang w:val="en-US"/>
        </w:rPr>
        <w:t>.</w:t>
      </w:r>
      <w:r w:rsidR="000744A8" w:rsidRPr="007B2402">
        <w:rPr>
          <w:rFonts w:eastAsia="Calibri" w:cs="Times New Roman"/>
          <w:szCs w:val="20"/>
          <w:lang w:val="en-US"/>
        </w:rPr>
        <w:t xml:space="preserve"> </w:t>
      </w:r>
    </w:p>
    <w:p w14:paraId="0B9DF09E" w14:textId="77777777" w:rsidR="000744A8" w:rsidRPr="007B2402" w:rsidRDefault="000744A8" w:rsidP="000744A8">
      <w:pPr>
        <w:spacing w:after="0" w:line="240" w:lineRule="auto"/>
        <w:jc w:val="both"/>
        <w:rPr>
          <w:rFonts w:eastAsia="Calibri" w:cs="Times New Roman"/>
          <w:szCs w:val="20"/>
          <w:lang w:val="en-US"/>
        </w:rPr>
      </w:pPr>
    </w:p>
    <w:p w14:paraId="45248DBA" w14:textId="015A316E" w:rsidR="000744A8" w:rsidRPr="007B2402" w:rsidRDefault="00316673" w:rsidP="00A103D1">
      <w:pPr>
        <w:pStyle w:val="Textocomentario"/>
        <w:numPr>
          <w:ilvl w:val="0"/>
          <w:numId w:val="6"/>
        </w:numPr>
        <w:rPr>
          <w:rFonts w:eastAsia="Calibri" w:cs="Times New Roman"/>
          <w:noProof w:val="0"/>
          <w:lang w:val="en-US"/>
        </w:rPr>
      </w:pPr>
      <w:r w:rsidRPr="007B2402">
        <w:rPr>
          <w:rFonts w:eastAsia="Calibri" w:cs="Times New Roman"/>
          <w:noProof w:val="0"/>
          <w:lang w:val="en-US"/>
        </w:rPr>
        <w:lastRenderedPageBreak/>
        <w:t xml:space="preserve">In the Americas, courts of </w:t>
      </w:r>
      <w:r w:rsidR="00CA49F9" w:rsidRPr="007B2402">
        <w:rPr>
          <w:rFonts w:eastAsia="Calibri" w:cs="Times New Roman"/>
          <w:noProof w:val="0"/>
          <w:lang w:val="en-US"/>
        </w:rPr>
        <w:t>Mexico</w:t>
      </w:r>
      <w:r w:rsidRPr="007B2402">
        <w:rPr>
          <w:rFonts w:eastAsia="Calibri" w:cs="Times New Roman"/>
          <w:noProof w:val="0"/>
          <w:lang w:val="en-US"/>
        </w:rPr>
        <w:t>,</w:t>
      </w:r>
      <w:r w:rsidR="009C00CD" w:rsidRPr="007B2402">
        <w:rPr>
          <w:rStyle w:val="Refdenotaalpie"/>
          <w:rFonts w:ascii="Verdana" w:eastAsia="Calibri" w:hAnsi="Verdana"/>
          <w:noProof w:val="0"/>
          <w:lang w:val="en-US"/>
        </w:rPr>
        <w:footnoteReference w:id="343"/>
      </w:r>
      <w:r w:rsidR="009C00CD" w:rsidRPr="007B2402">
        <w:rPr>
          <w:rFonts w:eastAsia="Calibri" w:cs="Times New Roman"/>
          <w:noProof w:val="0"/>
          <w:lang w:val="en-US"/>
        </w:rPr>
        <w:t xml:space="preserve"> Argentina</w:t>
      </w:r>
      <w:r w:rsidRPr="007B2402">
        <w:rPr>
          <w:rFonts w:eastAsia="Calibri" w:cs="Times New Roman"/>
          <w:noProof w:val="0"/>
          <w:lang w:val="en-US"/>
        </w:rPr>
        <w:t>,</w:t>
      </w:r>
      <w:r w:rsidR="009C00CD" w:rsidRPr="007B2402">
        <w:rPr>
          <w:rStyle w:val="Refdenotaalpie"/>
          <w:rFonts w:ascii="Verdana" w:eastAsia="Calibri" w:hAnsi="Verdana"/>
          <w:noProof w:val="0"/>
          <w:lang w:val="en-US"/>
        </w:rPr>
        <w:footnoteReference w:id="344"/>
      </w:r>
      <w:r w:rsidRPr="007B2402">
        <w:rPr>
          <w:rFonts w:eastAsia="Calibri" w:cs="Times New Roman"/>
          <w:noProof w:val="0"/>
          <w:lang w:val="en-US"/>
        </w:rPr>
        <w:t xml:space="preserve"> United States of America</w:t>
      </w:r>
      <w:r w:rsidR="009C00CD" w:rsidRPr="007B2402">
        <w:rPr>
          <w:rStyle w:val="Refdenotaalpie"/>
          <w:rFonts w:ascii="Verdana" w:eastAsia="Calibri" w:hAnsi="Verdana"/>
          <w:noProof w:val="0"/>
          <w:lang w:val="en-US"/>
        </w:rPr>
        <w:footnoteReference w:id="345"/>
      </w:r>
      <w:r w:rsidR="005B1590" w:rsidRPr="007B2402">
        <w:rPr>
          <w:rFonts w:eastAsia="Calibri" w:cs="Times New Roman"/>
          <w:noProof w:val="0"/>
          <w:lang w:val="en-US"/>
        </w:rPr>
        <w:t xml:space="preserve"> and </w:t>
      </w:r>
      <w:r w:rsidR="009C00CD" w:rsidRPr="007B2402">
        <w:rPr>
          <w:rFonts w:eastAsia="Calibri" w:cs="Times New Roman"/>
          <w:noProof w:val="0"/>
          <w:lang w:val="en-US"/>
        </w:rPr>
        <w:t>Canad</w:t>
      </w:r>
      <w:r w:rsidRPr="007B2402">
        <w:rPr>
          <w:rFonts w:eastAsia="Calibri" w:cs="Times New Roman"/>
          <w:noProof w:val="0"/>
          <w:lang w:val="en-US"/>
        </w:rPr>
        <w:t>a</w:t>
      </w:r>
      <w:r w:rsidR="009C00CD" w:rsidRPr="007B2402">
        <w:rPr>
          <w:rStyle w:val="Refdenotaalpie"/>
          <w:rFonts w:ascii="Verdana" w:eastAsia="Calibri" w:hAnsi="Verdana"/>
          <w:noProof w:val="0"/>
          <w:lang w:val="en-US"/>
        </w:rPr>
        <w:footnoteReference w:id="346"/>
      </w:r>
      <w:r w:rsidR="009C00CD" w:rsidRPr="007B2402">
        <w:rPr>
          <w:rFonts w:eastAsia="Calibri" w:cs="Times New Roman"/>
          <w:noProof w:val="0"/>
          <w:lang w:val="en-US"/>
        </w:rPr>
        <w:t xml:space="preserve"> </w:t>
      </w:r>
      <w:r w:rsidRPr="007B2402">
        <w:rPr>
          <w:rFonts w:eastAsia="Calibri" w:cs="Times New Roman"/>
          <w:noProof w:val="0"/>
          <w:lang w:val="en-US"/>
        </w:rPr>
        <w:t xml:space="preserve">have ruled on this matter, and corroborated its application in the criminal sphere. In addition, domestic laws of </w:t>
      </w:r>
      <w:r w:rsidR="009C00CD" w:rsidRPr="007B2402">
        <w:rPr>
          <w:rFonts w:eastAsia="Calibri" w:cs="Times New Roman"/>
          <w:noProof w:val="0"/>
          <w:lang w:val="en-US"/>
        </w:rPr>
        <w:t>Bolivia</w:t>
      </w:r>
      <w:r w:rsidRPr="007B2402">
        <w:rPr>
          <w:rFonts w:eastAsia="Calibri" w:cs="Times New Roman"/>
          <w:noProof w:val="0"/>
          <w:lang w:val="en-US"/>
        </w:rPr>
        <w:t>,</w:t>
      </w:r>
      <w:r w:rsidR="009C00CD" w:rsidRPr="007B2402">
        <w:rPr>
          <w:rStyle w:val="Refdenotaalpie"/>
          <w:rFonts w:ascii="Verdana" w:eastAsia="Calibri" w:hAnsi="Verdana"/>
          <w:noProof w:val="0"/>
          <w:lang w:val="en-US"/>
        </w:rPr>
        <w:footnoteReference w:id="347"/>
      </w:r>
      <w:r w:rsidR="009C00CD" w:rsidRPr="007B2402">
        <w:rPr>
          <w:rFonts w:eastAsia="Calibri" w:cs="Times New Roman"/>
          <w:noProof w:val="0"/>
          <w:lang w:val="en-US"/>
        </w:rPr>
        <w:t xml:space="preserve"> Ecuador</w:t>
      </w:r>
      <w:r w:rsidRPr="007B2402">
        <w:rPr>
          <w:rFonts w:eastAsia="Calibri" w:cs="Times New Roman"/>
          <w:noProof w:val="0"/>
          <w:lang w:val="en-US"/>
        </w:rPr>
        <w:t>,</w:t>
      </w:r>
      <w:r w:rsidR="009C00CD" w:rsidRPr="007B2402">
        <w:rPr>
          <w:rStyle w:val="Refdenotaalpie"/>
          <w:rFonts w:ascii="Verdana" w:eastAsia="Calibri" w:hAnsi="Verdana"/>
          <w:noProof w:val="0"/>
          <w:lang w:val="en-US"/>
        </w:rPr>
        <w:footnoteReference w:id="348"/>
      </w:r>
      <w:r w:rsidR="009C00CD" w:rsidRPr="007B2402">
        <w:rPr>
          <w:rFonts w:eastAsia="Calibri" w:cs="Times New Roman"/>
          <w:noProof w:val="0"/>
          <w:lang w:val="en-US"/>
        </w:rPr>
        <w:t xml:space="preserve"> El Salvador</w:t>
      </w:r>
      <w:r w:rsidR="009C00CD" w:rsidRPr="007B2402">
        <w:rPr>
          <w:rStyle w:val="Refdenotaalpie"/>
          <w:rFonts w:ascii="Verdana" w:eastAsia="Calibri" w:hAnsi="Verdana"/>
          <w:noProof w:val="0"/>
          <w:lang w:val="en-US"/>
        </w:rPr>
        <w:footnoteReference w:id="349"/>
      </w:r>
      <w:r w:rsidR="005B1590" w:rsidRPr="007B2402">
        <w:rPr>
          <w:rFonts w:eastAsia="Calibri" w:cs="Times New Roman"/>
          <w:noProof w:val="0"/>
          <w:lang w:val="en-US"/>
        </w:rPr>
        <w:t xml:space="preserve"> and </w:t>
      </w:r>
      <w:r w:rsidR="009C00CD" w:rsidRPr="007B2402">
        <w:rPr>
          <w:rFonts w:eastAsia="Calibri" w:cs="Times New Roman"/>
          <w:noProof w:val="0"/>
          <w:lang w:val="en-US"/>
        </w:rPr>
        <w:t>Panam</w:t>
      </w:r>
      <w:r w:rsidRPr="007B2402">
        <w:rPr>
          <w:rFonts w:eastAsia="Calibri" w:cs="Times New Roman"/>
          <w:noProof w:val="0"/>
          <w:lang w:val="en-US"/>
        </w:rPr>
        <w:t>a</w:t>
      </w:r>
      <w:r w:rsidR="009C00CD" w:rsidRPr="007B2402">
        <w:rPr>
          <w:rStyle w:val="Refdenotaalpie"/>
          <w:rFonts w:ascii="Verdana" w:eastAsia="Calibri" w:hAnsi="Verdana"/>
          <w:noProof w:val="0"/>
          <w:lang w:val="en-US"/>
        </w:rPr>
        <w:footnoteReference w:id="350"/>
      </w:r>
      <w:r w:rsidRPr="007B2402">
        <w:rPr>
          <w:rFonts w:eastAsia="Calibri" w:cs="Times New Roman"/>
          <w:noProof w:val="0"/>
          <w:lang w:val="en-US"/>
        </w:rPr>
        <w:t xml:space="preserve"> and the Argentine Constitution</w:t>
      </w:r>
      <w:r w:rsidR="009C00CD" w:rsidRPr="007B2402">
        <w:rPr>
          <w:rStyle w:val="Refdenotaalpie"/>
          <w:rFonts w:ascii="Verdana" w:eastAsia="Calibri" w:hAnsi="Verdana"/>
          <w:noProof w:val="0"/>
          <w:lang w:val="en-US"/>
        </w:rPr>
        <w:footnoteReference w:id="351"/>
      </w:r>
      <w:r w:rsidR="009C00CD" w:rsidRPr="007B2402">
        <w:rPr>
          <w:rFonts w:eastAsia="Calibri" w:cs="Times New Roman"/>
          <w:noProof w:val="0"/>
          <w:lang w:val="en-US"/>
        </w:rPr>
        <w:t xml:space="preserve"> ha</w:t>
      </w:r>
      <w:r w:rsidRPr="007B2402">
        <w:rPr>
          <w:rFonts w:eastAsia="Calibri" w:cs="Times New Roman"/>
          <w:noProof w:val="0"/>
          <w:lang w:val="en-US"/>
        </w:rPr>
        <w:t>ve recognized that principle.</w:t>
      </w:r>
    </w:p>
    <w:p w14:paraId="265DF87B" w14:textId="77777777" w:rsidR="000744A8" w:rsidRPr="007B2402" w:rsidRDefault="000744A8" w:rsidP="00FB6B38">
      <w:pPr>
        <w:pStyle w:val="Textocomentario"/>
        <w:rPr>
          <w:rFonts w:eastAsia="Calibri" w:cs="Times New Roman"/>
          <w:noProof w:val="0"/>
          <w:lang w:val="en-US"/>
        </w:rPr>
      </w:pPr>
    </w:p>
    <w:p w14:paraId="7E124D56" w14:textId="5C6DC102" w:rsidR="000744A8" w:rsidRPr="007B2402" w:rsidRDefault="00AF4344" w:rsidP="002D5C12">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Brazil</w:t>
      </w:r>
      <w:r w:rsidR="000744A8" w:rsidRPr="007B2402">
        <w:rPr>
          <w:rFonts w:eastAsia="Calibri" w:cs="Times New Roman"/>
          <w:szCs w:val="20"/>
          <w:lang w:val="en-US"/>
        </w:rPr>
        <w:t xml:space="preserve">, </w:t>
      </w:r>
      <w:r w:rsidR="00FB1A85" w:rsidRPr="007B2402">
        <w:rPr>
          <w:rFonts w:eastAsia="Calibri" w:cs="Times New Roman"/>
          <w:szCs w:val="20"/>
          <w:lang w:val="en-US"/>
        </w:rPr>
        <w:t xml:space="preserve">for its part, indicated that it </w:t>
      </w:r>
      <w:r w:rsidR="00510B29" w:rsidRPr="007B2402">
        <w:rPr>
          <w:rFonts w:eastAsia="Calibri" w:cs="Times New Roman"/>
          <w:szCs w:val="20"/>
          <w:lang w:val="en-US"/>
        </w:rPr>
        <w:t>was</w:t>
      </w:r>
      <w:r w:rsidR="00FB1A85" w:rsidRPr="007B2402">
        <w:rPr>
          <w:rFonts w:eastAsia="Calibri" w:cs="Times New Roman"/>
          <w:szCs w:val="20"/>
          <w:lang w:val="en-US"/>
        </w:rPr>
        <w:t xml:space="preserve"> in favor of </w:t>
      </w:r>
      <w:r w:rsidR="00316673" w:rsidRPr="007B2402">
        <w:rPr>
          <w:rFonts w:eastAsia="Calibri" w:cs="Times New Roman"/>
          <w:szCs w:val="20"/>
          <w:lang w:val="en-US"/>
        </w:rPr>
        <w:t>universal jurisdiction</w:t>
      </w:r>
      <w:r w:rsidR="000744A8" w:rsidRPr="007B2402">
        <w:rPr>
          <w:rFonts w:eastAsia="Calibri" w:cs="Times New Roman"/>
          <w:szCs w:val="20"/>
          <w:lang w:val="en-US"/>
        </w:rPr>
        <w:t xml:space="preserve"> </w:t>
      </w:r>
      <w:r w:rsidR="00316673" w:rsidRPr="007B2402">
        <w:rPr>
          <w:rFonts w:eastAsia="Calibri" w:cs="Times New Roman"/>
          <w:szCs w:val="20"/>
          <w:lang w:val="en-US"/>
        </w:rPr>
        <w:t>before the</w:t>
      </w:r>
      <w:r w:rsidR="000744A8" w:rsidRPr="007B2402">
        <w:rPr>
          <w:rFonts w:eastAsia="Calibri" w:cs="Times New Roman"/>
          <w:szCs w:val="20"/>
          <w:lang w:val="en-US"/>
        </w:rPr>
        <w:t xml:space="preserve"> </w:t>
      </w:r>
      <w:r w:rsidR="00AB475D" w:rsidRPr="007B2402">
        <w:rPr>
          <w:rFonts w:eastAsia="Calibri" w:cs="Times New Roman"/>
          <w:szCs w:val="20"/>
          <w:lang w:val="en-US"/>
        </w:rPr>
        <w:t>United Nations</w:t>
      </w:r>
      <w:r w:rsidR="00316673" w:rsidRPr="007B2402">
        <w:rPr>
          <w:rFonts w:eastAsia="Calibri" w:cs="Times New Roman"/>
          <w:szCs w:val="20"/>
          <w:lang w:val="en-US"/>
        </w:rPr>
        <w:t xml:space="preserve"> General Assembly</w:t>
      </w:r>
      <w:r w:rsidR="000744A8" w:rsidRPr="007B2402">
        <w:rPr>
          <w:rFonts w:eastAsia="Calibri" w:cs="Times New Roman"/>
          <w:szCs w:val="20"/>
          <w:lang w:val="en-US"/>
        </w:rPr>
        <w:t xml:space="preserve">. </w:t>
      </w:r>
      <w:r w:rsidR="000422CC" w:rsidRPr="007B2402">
        <w:rPr>
          <w:rFonts w:eastAsia="Calibri" w:cs="Times New Roman"/>
          <w:szCs w:val="20"/>
          <w:lang w:val="en-US"/>
        </w:rPr>
        <w:t>According to</w:t>
      </w:r>
      <w:r w:rsidR="000744A8" w:rsidRPr="007B2402">
        <w:rPr>
          <w:rFonts w:eastAsia="Calibri" w:cs="Times New Roman"/>
          <w:szCs w:val="20"/>
          <w:lang w:val="en-US"/>
        </w:rPr>
        <w:t xml:space="preserve"> </w:t>
      </w:r>
      <w:r w:rsidRPr="007B2402">
        <w:rPr>
          <w:rFonts w:eastAsia="Calibri" w:cs="Times New Roman"/>
          <w:szCs w:val="20"/>
          <w:lang w:val="en-US"/>
        </w:rPr>
        <w:t>Brazil</w:t>
      </w:r>
      <w:r w:rsidR="000744A8" w:rsidRPr="007B2402">
        <w:rPr>
          <w:rFonts w:eastAsia="Calibri" w:cs="Times New Roman"/>
          <w:szCs w:val="20"/>
          <w:lang w:val="en-US"/>
        </w:rPr>
        <w:t>, “</w:t>
      </w:r>
      <w:r w:rsidR="002F0987" w:rsidRPr="007B2402">
        <w:rPr>
          <w:rFonts w:eastAsia="Calibri" w:cs="Times New Roman"/>
          <w:szCs w:val="20"/>
          <w:lang w:val="en-US"/>
        </w:rPr>
        <w:t xml:space="preserve">the </w:t>
      </w:r>
      <w:r w:rsidR="002D5C12" w:rsidRPr="007B2402">
        <w:rPr>
          <w:rFonts w:eastAsia="Calibri" w:cs="Times New Roman"/>
          <w:szCs w:val="20"/>
          <w:lang w:val="en-US"/>
        </w:rPr>
        <w:t>aim</w:t>
      </w:r>
      <w:r w:rsidR="002F0987" w:rsidRPr="007B2402">
        <w:rPr>
          <w:rFonts w:eastAsia="Calibri" w:cs="Times New Roman"/>
          <w:szCs w:val="20"/>
          <w:lang w:val="en-US"/>
        </w:rPr>
        <w:t xml:space="preserve"> of</w:t>
      </w:r>
      <w:r w:rsidR="00316673" w:rsidRPr="007B2402">
        <w:rPr>
          <w:rFonts w:eastAsia="Calibri" w:cs="Times New Roman"/>
          <w:szCs w:val="20"/>
          <w:lang w:val="en-US"/>
        </w:rPr>
        <w:t xml:space="preserve"> universal jurisdiction</w:t>
      </w:r>
      <w:r w:rsidR="002D5C12" w:rsidRPr="007B2402">
        <w:rPr>
          <w:rFonts w:eastAsia="Calibri" w:cs="Times New Roman"/>
          <w:szCs w:val="20"/>
          <w:lang w:val="en-US"/>
        </w:rPr>
        <w:t xml:space="preserve"> </w:t>
      </w:r>
      <w:r w:rsidR="002D5C12" w:rsidRPr="007B2402">
        <w:rPr>
          <w:rFonts w:cs="Arial"/>
          <w:szCs w:val="20"/>
          <w:lang w:val="en-US"/>
        </w:rPr>
        <w:t>was to deny impunity to individuals responsible for serious crimes defined by international law which, by their gravity, shocked the conscience of all humanity and violated peremptory norms of international law. As a basis for jurisdiction, it was of an exceptional nature compared with the more consolidated principles of territoriality and nationality</w:t>
      </w:r>
      <w:r w:rsidR="000422CC" w:rsidRPr="007B2402">
        <w:rPr>
          <w:rFonts w:cs="Arial"/>
          <w:szCs w:val="20"/>
          <w:lang w:val="en-US"/>
        </w:rPr>
        <w:t xml:space="preserve">. Although the exercise of </w:t>
      </w:r>
      <w:r w:rsidR="000422CC" w:rsidRPr="007B2402">
        <w:rPr>
          <w:rFonts w:cs="Arial"/>
          <w:szCs w:val="20"/>
          <w:lang w:val="en-US"/>
        </w:rPr>
        <w:lastRenderedPageBreak/>
        <w:t>jurisdiction was primarily the responsibility of the State concerned in accordance with the principle of the sovereign equality of States, combating impunity for the most serious crimes was an obligation set out in numerous international treaties. Universal jurisdiction should be exercised only in full compliance with international law; it should be subsidiary to domestic jurisdiction and limited to specific crimes; and it must not be exercised arbitrarily or in order to fulfil interests other than those of justice</w:t>
      </w:r>
      <w:r w:rsidR="00E34E28" w:rsidRPr="007B2402">
        <w:rPr>
          <w:rFonts w:eastAsia="Calibri" w:cs="Times New Roman"/>
          <w:szCs w:val="20"/>
          <w:lang w:val="en-US"/>
        </w:rPr>
        <w:t>.</w:t>
      </w:r>
      <w:r w:rsidR="000744A8" w:rsidRPr="007B2402">
        <w:rPr>
          <w:rFonts w:eastAsia="Calibri" w:cs="Times New Roman"/>
          <w:szCs w:val="20"/>
          <w:lang w:val="en-US"/>
        </w:rPr>
        <w:t>”</w:t>
      </w:r>
      <w:r w:rsidR="009C00CD" w:rsidRPr="007B2402">
        <w:rPr>
          <w:rFonts w:eastAsia="Calibri" w:cs="Times New Roman"/>
          <w:szCs w:val="20"/>
          <w:vertAlign w:val="superscript"/>
          <w:lang w:val="en-US"/>
        </w:rPr>
        <w:footnoteReference w:id="352"/>
      </w:r>
      <w:r w:rsidR="00B02AAB" w:rsidRPr="007B2402">
        <w:rPr>
          <w:rFonts w:eastAsia="Calibri" w:cs="Times New Roman"/>
          <w:szCs w:val="20"/>
          <w:lang w:val="en-US"/>
        </w:rPr>
        <w:t xml:space="preserve"> </w:t>
      </w:r>
    </w:p>
    <w:p w14:paraId="32195A0D" w14:textId="77777777" w:rsidR="000744A8" w:rsidRPr="007B2402" w:rsidRDefault="000744A8" w:rsidP="000744A8">
      <w:pPr>
        <w:spacing w:after="0" w:line="240" w:lineRule="auto"/>
        <w:jc w:val="both"/>
        <w:rPr>
          <w:rFonts w:eastAsia="Calibri" w:cs="Times New Roman"/>
          <w:szCs w:val="20"/>
          <w:lang w:val="en-US"/>
        </w:rPr>
      </w:pPr>
    </w:p>
    <w:p w14:paraId="3BECDF3B" w14:textId="2848812C" w:rsidR="00E25AF5" w:rsidRPr="007B2402" w:rsidRDefault="0035342B" w:rsidP="009A4C38">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Bearing in mind the</w:t>
      </w:r>
      <w:r w:rsidR="005B03EC" w:rsidRPr="007B2402">
        <w:rPr>
          <w:rFonts w:eastAsia="Calibri" w:cs="Times New Roman"/>
          <w:szCs w:val="20"/>
          <w:lang w:val="en-US"/>
        </w:rPr>
        <w:t xml:space="preserve"> aforementioned</w:t>
      </w:r>
      <w:r w:rsidRPr="007B2402">
        <w:rPr>
          <w:rFonts w:eastAsia="Calibri" w:cs="Times New Roman"/>
          <w:szCs w:val="20"/>
          <w:lang w:val="en-US"/>
        </w:rPr>
        <w:t xml:space="preserve"> precedents, </w:t>
      </w:r>
      <w:r w:rsidR="00AF4344" w:rsidRPr="007B2402">
        <w:rPr>
          <w:rFonts w:eastAsia="Calibri" w:cs="Times New Roman"/>
          <w:szCs w:val="20"/>
          <w:lang w:val="en-US"/>
        </w:rPr>
        <w:t>the Inter-American Court</w:t>
      </w:r>
      <w:r w:rsidR="004D46C4" w:rsidRPr="007B2402">
        <w:rPr>
          <w:rFonts w:eastAsia="Calibri" w:cs="Times New Roman"/>
          <w:szCs w:val="20"/>
          <w:lang w:val="en-US"/>
        </w:rPr>
        <w:t xml:space="preserve"> consider</w:t>
      </w:r>
      <w:r w:rsidRPr="007B2402">
        <w:rPr>
          <w:rFonts w:eastAsia="Calibri" w:cs="Times New Roman"/>
          <w:szCs w:val="20"/>
          <w:lang w:val="en-US"/>
        </w:rPr>
        <w:t xml:space="preserve">s that </w:t>
      </w:r>
      <w:r w:rsidR="009A4C38" w:rsidRPr="007B2402">
        <w:rPr>
          <w:rFonts w:eastAsia="Calibri" w:cs="Times New Roman"/>
          <w:szCs w:val="20"/>
          <w:lang w:val="en-US"/>
        </w:rPr>
        <w:t>when</w:t>
      </w:r>
      <w:r w:rsidRPr="007B2402">
        <w:rPr>
          <w:rFonts w:eastAsia="Calibri" w:cs="Times New Roman"/>
          <w:szCs w:val="20"/>
          <w:lang w:val="en-US"/>
        </w:rPr>
        <w:t xml:space="preserve"> </w:t>
      </w:r>
      <w:r w:rsidR="00844CE7" w:rsidRPr="007B2402">
        <w:rPr>
          <w:rFonts w:eastAsia="Calibri" w:cs="Times New Roman"/>
          <w:szCs w:val="20"/>
          <w:lang w:val="en-US"/>
        </w:rPr>
        <w:t>crimes against humanity</w:t>
      </w:r>
      <w:r w:rsidR="009A4C38" w:rsidRPr="007B2402">
        <w:rPr>
          <w:rFonts w:eastAsia="Calibri" w:cs="Times New Roman"/>
          <w:szCs w:val="20"/>
          <w:lang w:val="en-US"/>
        </w:rPr>
        <w:t xml:space="preserve"> are perpetrated, the community of States is entitled to apply the </w:t>
      </w:r>
      <w:r w:rsidR="00316673" w:rsidRPr="007B2402">
        <w:rPr>
          <w:rFonts w:eastAsia="Calibri" w:cs="Times New Roman"/>
          <w:szCs w:val="20"/>
          <w:lang w:val="en-US"/>
        </w:rPr>
        <w:t>universal jurisdiction</w:t>
      </w:r>
      <w:r w:rsidR="004D46C4" w:rsidRPr="007B2402">
        <w:rPr>
          <w:rFonts w:eastAsia="Calibri" w:cs="Times New Roman"/>
          <w:szCs w:val="20"/>
          <w:lang w:val="en-US"/>
        </w:rPr>
        <w:t xml:space="preserve"> </w:t>
      </w:r>
      <w:r w:rsidR="009A4C38" w:rsidRPr="007B2402">
        <w:rPr>
          <w:rFonts w:eastAsia="Calibri" w:cs="Times New Roman"/>
          <w:szCs w:val="20"/>
          <w:lang w:val="en-US"/>
        </w:rPr>
        <w:t xml:space="preserve">in order to </w:t>
      </w:r>
      <w:r w:rsidR="005B03EC" w:rsidRPr="007B2402">
        <w:rPr>
          <w:rFonts w:eastAsia="Calibri" w:cs="Times New Roman"/>
          <w:szCs w:val="20"/>
          <w:lang w:val="en-US"/>
        </w:rPr>
        <w:t>ensure the effectiveness of</w:t>
      </w:r>
      <w:r w:rsidR="009A4C38" w:rsidRPr="007B2402">
        <w:rPr>
          <w:rFonts w:eastAsia="Calibri" w:cs="Times New Roman"/>
          <w:szCs w:val="20"/>
          <w:lang w:val="en-US"/>
        </w:rPr>
        <w:t xml:space="preserve"> the absolute prohibition of these crimes established in international law. Nevertheless, the Court also recognizes that, at the current stage of development of international law, the use of</w:t>
      </w:r>
      <w:r w:rsidR="00316673" w:rsidRPr="007B2402">
        <w:rPr>
          <w:rFonts w:eastAsia="Calibri" w:cs="Times New Roman"/>
          <w:szCs w:val="20"/>
          <w:lang w:val="en-US"/>
        </w:rPr>
        <w:t xml:space="preserve"> universal jurisdiction</w:t>
      </w:r>
      <w:r w:rsidR="000744A8" w:rsidRPr="007B2402">
        <w:rPr>
          <w:rFonts w:eastAsia="Calibri" w:cs="Times New Roman"/>
          <w:szCs w:val="20"/>
          <w:lang w:val="en-US"/>
        </w:rPr>
        <w:t xml:space="preserve"> </w:t>
      </w:r>
      <w:r w:rsidR="009A4C38" w:rsidRPr="007B2402">
        <w:rPr>
          <w:rFonts w:eastAsia="Calibri" w:cs="Times New Roman"/>
          <w:szCs w:val="20"/>
          <w:lang w:val="en-US"/>
        </w:rPr>
        <w:t>is based on a criterion of political, criminal and procedural reasonableness and not on a hierarchical arrangement, because the jurisdiction of the territory where the crime was committed is always preferable.</w:t>
      </w:r>
    </w:p>
    <w:p w14:paraId="1DFCFF35" w14:textId="77777777" w:rsidR="00E25AF5" w:rsidRPr="007B2402" w:rsidRDefault="00E25AF5" w:rsidP="00E25AF5">
      <w:pPr>
        <w:pStyle w:val="Prrafodelista"/>
        <w:rPr>
          <w:rFonts w:eastAsia="Calibri" w:cs="Times New Roman"/>
          <w:szCs w:val="20"/>
          <w:lang w:val="en-US"/>
        </w:rPr>
      </w:pPr>
    </w:p>
    <w:p w14:paraId="502ADC87" w14:textId="0D0AAD59" w:rsidR="005B47E5" w:rsidRPr="007B2402" w:rsidRDefault="009A4C38" w:rsidP="009A4C38">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 xml:space="preserve">In this regard, when considering </w:t>
      </w:r>
      <w:r w:rsidR="005B03EC" w:rsidRPr="007B2402">
        <w:rPr>
          <w:rFonts w:eastAsia="Calibri" w:cs="Times New Roman"/>
          <w:szCs w:val="20"/>
          <w:lang w:val="en-US"/>
        </w:rPr>
        <w:t>whether to</w:t>
      </w:r>
      <w:r w:rsidRPr="007B2402">
        <w:rPr>
          <w:rFonts w:eastAsia="Calibri" w:cs="Times New Roman"/>
          <w:szCs w:val="20"/>
          <w:lang w:val="en-US"/>
        </w:rPr>
        <w:t xml:space="preserve"> exercise </w:t>
      </w:r>
      <w:r w:rsidR="005B03EC" w:rsidRPr="007B2402">
        <w:rPr>
          <w:rFonts w:eastAsia="Calibri" w:cs="Times New Roman"/>
          <w:szCs w:val="20"/>
          <w:lang w:val="en-US"/>
        </w:rPr>
        <w:t>the</w:t>
      </w:r>
      <w:r w:rsidRPr="007B2402">
        <w:rPr>
          <w:rFonts w:eastAsia="Calibri" w:cs="Times New Roman"/>
          <w:szCs w:val="20"/>
          <w:lang w:val="en-US"/>
        </w:rPr>
        <w:t xml:space="preserve"> universal jurisdiction to investigate, prosecute and punish perpetrators of crimes such as those in this case, </w:t>
      </w:r>
      <w:r w:rsidR="005B03EC" w:rsidRPr="007B2402">
        <w:rPr>
          <w:rFonts w:eastAsia="Calibri" w:cs="Times New Roman"/>
          <w:szCs w:val="20"/>
          <w:lang w:val="en-US"/>
        </w:rPr>
        <w:t>States</w:t>
      </w:r>
      <w:r w:rsidRPr="007B2402">
        <w:rPr>
          <w:rFonts w:eastAsia="Calibri" w:cs="Times New Roman"/>
          <w:szCs w:val="20"/>
          <w:lang w:val="en-US"/>
        </w:rPr>
        <w:t xml:space="preserve"> must comply with certain requirements of customary</w:t>
      </w:r>
      <w:r w:rsidR="000744A8" w:rsidRPr="007B2402">
        <w:rPr>
          <w:rFonts w:eastAsia="Calibri" w:cs="Times New Roman"/>
          <w:szCs w:val="20"/>
          <w:lang w:val="en-US"/>
        </w:rPr>
        <w:t xml:space="preserve"> </w:t>
      </w:r>
      <w:r w:rsidR="002F0987" w:rsidRPr="007B2402">
        <w:rPr>
          <w:rFonts w:eastAsia="Calibri" w:cs="Times New Roman"/>
          <w:szCs w:val="20"/>
          <w:lang w:val="en-US"/>
        </w:rPr>
        <w:t>international law</w:t>
      </w:r>
      <w:r w:rsidR="000744A8" w:rsidRPr="007B2402">
        <w:rPr>
          <w:rFonts w:eastAsia="Calibri" w:cs="Times New Roman"/>
          <w:szCs w:val="20"/>
          <w:lang w:val="en-US"/>
        </w:rPr>
        <w:t xml:space="preserve">: </w:t>
      </w:r>
      <w:r w:rsidRPr="007B2402">
        <w:rPr>
          <w:rFonts w:eastAsia="Calibri" w:cs="Times New Roman"/>
          <w:szCs w:val="20"/>
          <w:lang w:val="en-US"/>
        </w:rPr>
        <w:t>(</w:t>
      </w:r>
      <w:r w:rsidR="000744A8" w:rsidRPr="007B2402">
        <w:rPr>
          <w:rFonts w:eastAsia="Calibri" w:cs="Times New Roman"/>
          <w:szCs w:val="20"/>
          <w:lang w:val="en-US"/>
        </w:rPr>
        <w:t xml:space="preserve">i) </w:t>
      </w:r>
      <w:r w:rsidRPr="007B2402">
        <w:rPr>
          <w:rFonts w:eastAsia="Calibri" w:cs="Times New Roman"/>
          <w:szCs w:val="20"/>
          <w:lang w:val="en-US"/>
        </w:rPr>
        <w:t xml:space="preserve">that the crime to be prosecuted is a crime </w:t>
      </w:r>
      <w:r w:rsidR="005B03EC" w:rsidRPr="007B2402">
        <w:rPr>
          <w:rFonts w:eastAsia="Calibri" w:cs="Times New Roman"/>
          <w:szCs w:val="20"/>
          <w:lang w:val="en-US"/>
        </w:rPr>
        <w:t>under</w:t>
      </w:r>
      <w:r w:rsidRPr="007B2402">
        <w:rPr>
          <w:rFonts w:eastAsia="Calibri" w:cs="Times New Roman"/>
          <w:szCs w:val="20"/>
          <w:lang w:val="en-US"/>
        </w:rPr>
        <w:t xml:space="preserve"> </w:t>
      </w:r>
      <w:r w:rsidR="002F0987" w:rsidRPr="007B2402">
        <w:rPr>
          <w:rFonts w:eastAsia="Calibri" w:cs="Times New Roman"/>
          <w:szCs w:val="20"/>
          <w:lang w:val="en-US"/>
        </w:rPr>
        <w:t>international law</w:t>
      </w:r>
      <w:r w:rsidR="000744A8" w:rsidRPr="007B2402">
        <w:rPr>
          <w:rFonts w:eastAsia="Calibri" w:cs="Times New Roman"/>
          <w:szCs w:val="20"/>
          <w:lang w:val="en-US"/>
        </w:rPr>
        <w:t xml:space="preserve"> (</w:t>
      </w:r>
      <w:r w:rsidRPr="007B2402">
        <w:rPr>
          <w:rFonts w:eastAsia="Calibri" w:cs="Times New Roman"/>
          <w:szCs w:val="20"/>
          <w:lang w:val="en-US"/>
        </w:rPr>
        <w:t>war crimes</w:t>
      </w:r>
      <w:r w:rsidR="000744A8" w:rsidRPr="007B2402">
        <w:rPr>
          <w:rFonts w:eastAsia="Calibri" w:cs="Times New Roman"/>
          <w:szCs w:val="20"/>
          <w:lang w:val="en-US"/>
        </w:rPr>
        <w:t xml:space="preserve">, </w:t>
      </w:r>
      <w:r w:rsidR="00844CE7" w:rsidRPr="007B2402">
        <w:rPr>
          <w:rFonts w:eastAsia="Calibri" w:cs="Times New Roman"/>
          <w:szCs w:val="20"/>
          <w:lang w:val="en-US"/>
        </w:rPr>
        <w:t>crimes against humanity</w:t>
      </w:r>
      <w:r w:rsidR="000744A8" w:rsidRPr="007B2402">
        <w:rPr>
          <w:rFonts w:eastAsia="Calibri" w:cs="Times New Roman"/>
          <w:szCs w:val="20"/>
          <w:lang w:val="en-US"/>
        </w:rPr>
        <w:t xml:space="preserve">, </w:t>
      </w:r>
      <w:r w:rsidRPr="007B2402">
        <w:rPr>
          <w:rFonts w:eastAsia="Calibri" w:cs="Times New Roman"/>
          <w:szCs w:val="20"/>
          <w:lang w:val="en-US"/>
        </w:rPr>
        <w:t>crimes against peace</w:t>
      </w:r>
      <w:r w:rsidR="000744A8" w:rsidRPr="007B2402">
        <w:rPr>
          <w:rFonts w:eastAsia="Calibri" w:cs="Times New Roman"/>
          <w:szCs w:val="20"/>
          <w:lang w:val="en-US"/>
        </w:rPr>
        <w:t xml:space="preserve">, </w:t>
      </w:r>
      <w:r w:rsidRPr="007B2402">
        <w:rPr>
          <w:rFonts w:eastAsia="Calibri" w:cs="Times New Roman"/>
          <w:szCs w:val="20"/>
          <w:lang w:val="en-US"/>
        </w:rPr>
        <w:t>slavery</w:t>
      </w:r>
      <w:r w:rsidR="000744A8" w:rsidRPr="007B2402">
        <w:rPr>
          <w:rFonts w:eastAsia="Calibri" w:cs="Times New Roman"/>
          <w:szCs w:val="20"/>
          <w:lang w:val="en-US"/>
        </w:rPr>
        <w:t xml:space="preserve">, </w:t>
      </w:r>
      <w:r w:rsidRPr="007B2402">
        <w:rPr>
          <w:rFonts w:eastAsia="Calibri" w:cs="Times New Roman"/>
          <w:szCs w:val="20"/>
          <w:lang w:val="en-US"/>
        </w:rPr>
        <w:t>genocide</w:t>
      </w:r>
      <w:r w:rsidR="000744A8" w:rsidRPr="007B2402">
        <w:rPr>
          <w:rFonts w:eastAsia="Calibri" w:cs="Times New Roman"/>
          <w:szCs w:val="20"/>
          <w:lang w:val="en-US"/>
        </w:rPr>
        <w:t xml:space="preserve">), </w:t>
      </w:r>
      <w:r w:rsidR="00696950" w:rsidRPr="007B2402">
        <w:rPr>
          <w:rFonts w:eastAsia="Calibri" w:cs="Times New Roman"/>
          <w:szCs w:val="20"/>
          <w:lang w:val="en-US"/>
        </w:rPr>
        <w:t>o</w:t>
      </w:r>
      <w:r w:rsidRPr="007B2402">
        <w:rPr>
          <w:rFonts w:eastAsia="Calibri" w:cs="Times New Roman"/>
          <w:szCs w:val="20"/>
          <w:lang w:val="en-US"/>
        </w:rPr>
        <w:t>r</w:t>
      </w:r>
      <w:r w:rsidR="000744A8" w:rsidRPr="007B2402">
        <w:rPr>
          <w:rFonts w:eastAsia="Calibri" w:cs="Times New Roman"/>
          <w:szCs w:val="20"/>
          <w:lang w:val="en-US"/>
        </w:rPr>
        <w:t xml:space="preserve"> </w:t>
      </w:r>
      <w:r w:rsidRPr="007B2402">
        <w:rPr>
          <w:rFonts w:eastAsia="Calibri" w:cs="Times New Roman"/>
          <w:szCs w:val="20"/>
          <w:lang w:val="en-US"/>
        </w:rPr>
        <w:t>torture</w:t>
      </w:r>
      <w:r w:rsidR="000744A8" w:rsidRPr="007B2402">
        <w:rPr>
          <w:rFonts w:eastAsia="Calibri" w:cs="Times New Roman"/>
          <w:szCs w:val="20"/>
          <w:lang w:val="en-US"/>
        </w:rPr>
        <w:t xml:space="preserve">; </w:t>
      </w:r>
      <w:r w:rsidRPr="007B2402">
        <w:rPr>
          <w:rFonts w:eastAsia="Calibri" w:cs="Times New Roman"/>
          <w:szCs w:val="20"/>
          <w:lang w:val="en-US"/>
        </w:rPr>
        <w:t>(</w:t>
      </w:r>
      <w:r w:rsidR="000744A8" w:rsidRPr="007B2402">
        <w:rPr>
          <w:rFonts w:eastAsia="Calibri" w:cs="Times New Roman"/>
          <w:szCs w:val="20"/>
          <w:lang w:val="en-US"/>
        </w:rPr>
        <w:t xml:space="preserve">ii) </w:t>
      </w:r>
      <w:r w:rsidR="00AF4344" w:rsidRPr="007B2402">
        <w:rPr>
          <w:rFonts w:eastAsia="Calibri" w:cs="Times New Roman"/>
          <w:szCs w:val="20"/>
          <w:lang w:val="en-US"/>
        </w:rPr>
        <w:t>t</w:t>
      </w:r>
      <w:r w:rsidRPr="007B2402">
        <w:rPr>
          <w:rFonts w:eastAsia="Calibri" w:cs="Times New Roman"/>
          <w:szCs w:val="20"/>
          <w:lang w:val="en-US"/>
        </w:rPr>
        <w:t>hat t</w:t>
      </w:r>
      <w:r w:rsidR="00AF4344" w:rsidRPr="007B2402">
        <w:rPr>
          <w:rFonts w:eastAsia="Calibri" w:cs="Times New Roman"/>
          <w:szCs w:val="20"/>
          <w:lang w:val="en-US"/>
        </w:rPr>
        <w:t>he State</w:t>
      </w:r>
      <w:r w:rsidR="000744A8" w:rsidRPr="007B2402">
        <w:rPr>
          <w:rFonts w:eastAsia="Calibri" w:cs="Times New Roman"/>
          <w:szCs w:val="20"/>
          <w:lang w:val="en-US"/>
        </w:rPr>
        <w:t xml:space="preserve"> </w:t>
      </w:r>
      <w:r w:rsidRPr="007B2402">
        <w:rPr>
          <w:rFonts w:eastAsia="Calibri" w:cs="Times New Roman"/>
          <w:szCs w:val="20"/>
          <w:lang w:val="en-US"/>
        </w:rPr>
        <w:t>in which the crime was committed has not proved that it has made an effort in the judicial sphere to punish those responsible, or its domestic law</w:t>
      </w:r>
      <w:r w:rsidR="005B03EC" w:rsidRPr="007B2402">
        <w:rPr>
          <w:rFonts w:eastAsia="Calibri" w:cs="Times New Roman"/>
          <w:szCs w:val="20"/>
          <w:lang w:val="en-US"/>
        </w:rPr>
        <w:t>s</w:t>
      </w:r>
      <w:r w:rsidRPr="007B2402">
        <w:rPr>
          <w:rFonts w:eastAsia="Calibri" w:cs="Times New Roman"/>
          <w:szCs w:val="20"/>
          <w:lang w:val="en-US"/>
        </w:rPr>
        <w:t xml:space="preserve"> prevent the initiation of such efforts owing to the application of devices that exclude responsibility, and (iii) that it should not be exercised in </w:t>
      </w:r>
      <w:r w:rsidR="00DF1102" w:rsidRPr="007B2402">
        <w:rPr>
          <w:rFonts w:eastAsia="Calibri" w:cs="Times New Roman"/>
          <w:szCs w:val="20"/>
          <w:lang w:val="en-US"/>
        </w:rPr>
        <w:t>an</w:t>
      </w:r>
      <w:r w:rsidRPr="007B2402">
        <w:rPr>
          <w:rFonts w:eastAsia="Calibri" w:cs="Times New Roman"/>
          <w:szCs w:val="20"/>
          <w:lang w:val="en-US"/>
        </w:rPr>
        <w:t xml:space="preserve"> arbitrary manner or to satisfy interests other than </w:t>
      </w:r>
      <w:r w:rsidR="005B03EC" w:rsidRPr="007B2402">
        <w:rPr>
          <w:rFonts w:eastAsia="Calibri" w:cs="Times New Roman"/>
          <w:szCs w:val="20"/>
          <w:lang w:val="en-US"/>
        </w:rPr>
        <w:t>those of</w:t>
      </w:r>
      <w:r w:rsidRPr="007B2402">
        <w:rPr>
          <w:rFonts w:eastAsia="Calibri" w:cs="Times New Roman"/>
          <w:szCs w:val="20"/>
          <w:lang w:val="en-US"/>
        </w:rPr>
        <w:t xml:space="preserve"> justice, in particular, for political purposes</w:t>
      </w:r>
      <w:r w:rsidR="000744A8" w:rsidRPr="007B2402">
        <w:rPr>
          <w:rFonts w:eastAsia="Calibri" w:cs="Times New Roman"/>
          <w:szCs w:val="20"/>
          <w:lang w:val="en-US"/>
        </w:rPr>
        <w:t xml:space="preserve">. </w:t>
      </w:r>
    </w:p>
    <w:p w14:paraId="175B0BE6" w14:textId="77777777" w:rsidR="005B47E5" w:rsidRPr="007B2402" w:rsidRDefault="005B47E5" w:rsidP="005B47E5">
      <w:pPr>
        <w:pStyle w:val="Prrafodelista"/>
        <w:rPr>
          <w:rFonts w:eastAsia="Calibri" w:cs="Times New Roman"/>
          <w:i/>
          <w:szCs w:val="20"/>
          <w:lang w:val="en-US"/>
        </w:rPr>
      </w:pPr>
    </w:p>
    <w:p w14:paraId="1AE43CC4" w14:textId="50B17987" w:rsidR="000744A8" w:rsidRPr="007B2402" w:rsidRDefault="009A4C38" w:rsidP="005B2A1C">
      <w:pPr>
        <w:pStyle w:val="Prrafodelista"/>
        <w:numPr>
          <w:ilvl w:val="0"/>
          <w:numId w:val="44"/>
        </w:numPr>
        <w:outlineLvl w:val="3"/>
        <w:rPr>
          <w:rFonts w:eastAsia="Calibri"/>
          <w:i/>
          <w:szCs w:val="20"/>
          <w:lang w:val="en-US"/>
        </w:rPr>
      </w:pPr>
      <w:r w:rsidRPr="007B2402">
        <w:rPr>
          <w:rFonts w:eastAsia="Calibri" w:cs="Times New Roman"/>
          <w:i/>
          <w:szCs w:val="20"/>
          <w:lang w:val="en-US"/>
        </w:rPr>
        <w:t>Predictability</w:t>
      </w:r>
      <w:r w:rsidR="000744A8" w:rsidRPr="007B2402">
        <w:rPr>
          <w:rFonts w:eastAsia="Calibri"/>
          <w:i/>
          <w:szCs w:val="20"/>
          <w:lang w:val="en-US"/>
        </w:rPr>
        <w:t>/</w:t>
      </w:r>
      <w:r w:rsidRPr="007B2402">
        <w:rPr>
          <w:rFonts w:eastAsia="Calibri"/>
          <w:i/>
          <w:szCs w:val="20"/>
          <w:lang w:val="en-US"/>
        </w:rPr>
        <w:t>principle of legality</w:t>
      </w:r>
    </w:p>
    <w:p w14:paraId="40FBE63F" w14:textId="77777777" w:rsidR="000744A8" w:rsidRPr="007B2402" w:rsidRDefault="000744A8" w:rsidP="000744A8">
      <w:pPr>
        <w:spacing w:after="0" w:line="240" w:lineRule="auto"/>
        <w:jc w:val="both"/>
        <w:rPr>
          <w:rFonts w:eastAsia="Calibri" w:cs="Times New Roman"/>
          <w:szCs w:val="20"/>
          <w:lang w:val="en-US"/>
        </w:rPr>
      </w:pPr>
    </w:p>
    <w:p w14:paraId="62F44CDE" w14:textId="4C0267E5" w:rsidR="00B73BDF" w:rsidRPr="007B2402" w:rsidRDefault="00AF4344" w:rsidP="00B73BDF">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The Court</w:t>
      </w:r>
      <w:r w:rsidR="000744A8" w:rsidRPr="007B2402">
        <w:rPr>
          <w:rFonts w:eastAsia="Calibri" w:cs="Times New Roman"/>
          <w:szCs w:val="20"/>
          <w:lang w:val="en-US"/>
        </w:rPr>
        <w:t xml:space="preserve"> </w:t>
      </w:r>
      <w:r w:rsidR="00B73BDF" w:rsidRPr="007B2402">
        <w:rPr>
          <w:rFonts w:eastAsia="Calibri" w:cs="Times New Roman"/>
          <w:szCs w:val="20"/>
          <w:lang w:val="en-US"/>
        </w:rPr>
        <w:t>bears in mind that the laws of Brazil</w:t>
      </w:r>
      <w:r w:rsidR="005B03EC" w:rsidRPr="007B2402">
        <w:rPr>
          <w:rFonts w:eastAsia="Calibri" w:cs="Times New Roman"/>
          <w:szCs w:val="20"/>
          <w:lang w:val="en-US"/>
        </w:rPr>
        <w:t>,</w:t>
      </w:r>
      <w:r w:rsidR="00B73BDF" w:rsidRPr="007B2402">
        <w:rPr>
          <w:rFonts w:eastAsia="Calibri" w:cs="Times New Roman"/>
          <w:szCs w:val="20"/>
          <w:lang w:val="en-US"/>
        </w:rPr>
        <w:t xml:space="preserve"> and their interpretation by the relevant branch of the judicial system</w:t>
      </w:r>
      <w:r w:rsidR="005B03EC" w:rsidRPr="007B2402">
        <w:rPr>
          <w:rFonts w:eastAsia="Calibri" w:cs="Times New Roman"/>
          <w:szCs w:val="20"/>
          <w:lang w:val="en-US"/>
        </w:rPr>
        <w:t>,</w:t>
      </w:r>
      <w:r w:rsidR="00B73BDF" w:rsidRPr="007B2402">
        <w:rPr>
          <w:rFonts w:eastAsia="Calibri" w:cs="Times New Roman"/>
          <w:szCs w:val="20"/>
          <w:lang w:val="en-US"/>
        </w:rPr>
        <w:t xml:space="preserve"> </w:t>
      </w:r>
      <w:r w:rsidR="005B03EC" w:rsidRPr="007B2402">
        <w:rPr>
          <w:rFonts w:eastAsia="Calibri" w:cs="Times New Roman"/>
          <w:szCs w:val="20"/>
          <w:lang w:val="en-US"/>
        </w:rPr>
        <w:t>understand that</w:t>
      </w:r>
      <w:r w:rsidR="00B73BDF" w:rsidRPr="007B2402">
        <w:rPr>
          <w:rFonts w:eastAsia="Calibri" w:cs="Times New Roman"/>
          <w:szCs w:val="20"/>
          <w:lang w:val="en-US"/>
        </w:rPr>
        <w:t xml:space="preserve"> the absence of </w:t>
      </w:r>
      <w:r w:rsidR="005B03EC" w:rsidRPr="007B2402">
        <w:rPr>
          <w:rFonts w:eastAsia="Calibri" w:cs="Times New Roman"/>
          <w:szCs w:val="20"/>
          <w:lang w:val="en-US"/>
        </w:rPr>
        <w:t>their</w:t>
      </w:r>
      <w:r w:rsidR="00B73BDF" w:rsidRPr="007B2402">
        <w:rPr>
          <w:rFonts w:eastAsia="Calibri" w:cs="Times New Roman"/>
          <w:szCs w:val="20"/>
          <w:lang w:val="en-US"/>
        </w:rPr>
        <w:t xml:space="preserve"> express definition in the law </w:t>
      </w:r>
      <w:r w:rsidR="005B03EC" w:rsidRPr="007B2402">
        <w:rPr>
          <w:rFonts w:eastAsia="Calibri" w:cs="Times New Roman"/>
          <w:szCs w:val="20"/>
          <w:lang w:val="en-US"/>
        </w:rPr>
        <w:t>i</w:t>
      </w:r>
      <w:r w:rsidR="00B73BDF" w:rsidRPr="007B2402">
        <w:rPr>
          <w:rFonts w:eastAsia="Calibri" w:cs="Times New Roman"/>
          <w:szCs w:val="20"/>
          <w:lang w:val="en-US"/>
        </w:rPr>
        <w:t>s an insurmountable obstacle for the investigation and punishment of the acts that originated this case.</w:t>
      </w:r>
      <w:r w:rsidR="000744A8" w:rsidRPr="007B2402">
        <w:rPr>
          <w:rFonts w:eastAsia="Calibri" w:cs="Times New Roman"/>
          <w:szCs w:val="20"/>
          <w:vertAlign w:val="superscript"/>
          <w:lang w:val="en-US"/>
        </w:rPr>
        <w:footnoteReference w:id="353"/>
      </w:r>
      <w:r w:rsidR="000744A8" w:rsidRPr="007B2402">
        <w:rPr>
          <w:rFonts w:eastAsia="Calibri" w:cs="Times New Roman"/>
          <w:szCs w:val="20"/>
          <w:lang w:val="en-US"/>
        </w:rPr>
        <w:t xml:space="preserve"> </w:t>
      </w:r>
      <w:r w:rsidR="00B73BDF" w:rsidRPr="007B2402">
        <w:rPr>
          <w:rFonts w:eastAsia="Calibri" w:cs="Times New Roman"/>
          <w:szCs w:val="20"/>
          <w:lang w:val="en-US"/>
        </w:rPr>
        <w:t>Nevertheless, the Court is examining this contentious case from the standpoint of international law and i</w:t>
      </w:r>
      <w:r w:rsidR="005B03EC" w:rsidRPr="007B2402">
        <w:rPr>
          <w:rFonts w:eastAsia="Calibri" w:cs="Times New Roman"/>
          <w:szCs w:val="20"/>
          <w:lang w:val="en-US"/>
        </w:rPr>
        <w:t>t</w:t>
      </w:r>
      <w:r w:rsidR="00B73BDF" w:rsidRPr="007B2402">
        <w:rPr>
          <w:rFonts w:eastAsia="Calibri" w:cs="Times New Roman"/>
          <w:szCs w:val="20"/>
          <w:lang w:val="en-US"/>
        </w:rPr>
        <w:t>s peremptory norms in situations that involve the most serious State crimes that violate non-derogable rights recognized by international human rights law. The Court notes that this case does not refer to an ordinary murder or an isolated act of torture, but to the torture and murder of a person in the custody of the State, as part of a plan established by the most senior State authorities to eliminate the opponents of the dictatorship. This policy was not only extremely violent, but was also evident in the cover-up practice</w:t>
      </w:r>
      <w:r w:rsidR="005B03EC" w:rsidRPr="007B2402">
        <w:rPr>
          <w:rFonts w:eastAsia="Calibri" w:cs="Times New Roman"/>
          <w:szCs w:val="20"/>
          <w:lang w:val="en-US"/>
        </w:rPr>
        <w:t>d</w:t>
      </w:r>
      <w:r w:rsidR="00B73BDF" w:rsidRPr="007B2402">
        <w:rPr>
          <w:rFonts w:eastAsia="Calibri" w:cs="Times New Roman"/>
          <w:szCs w:val="20"/>
          <w:lang w:val="en-US"/>
        </w:rPr>
        <w:t xml:space="preserve"> by medical officers, experts, prosecutors and judges, among others, who ensured </w:t>
      </w:r>
      <w:r w:rsidR="005B03EC" w:rsidRPr="007B2402">
        <w:rPr>
          <w:rFonts w:eastAsia="Calibri" w:cs="Times New Roman"/>
          <w:szCs w:val="20"/>
          <w:lang w:val="en-US"/>
        </w:rPr>
        <w:t>its imp</w:t>
      </w:r>
      <w:r w:rsidR="00B73BDF" w:rsidRPr="007B2402">
        <w:rPr>
          <w:rFonts w:eastAsia="Calibri" w:cs="Times New Roman"/>
          <w:szCs w:val="20"/>
          <w:lang w:val="en-US"/>
        </w:rPr>
        <w:t>unity.</w:t>
      </w:r>
    </w:p>
    <w:p w14:paraId="5A96A072" w14:textId="77777777" w:rsidR="000744A8" w:rsidRPr="007B2402" w:rsidRDefault="000744A8" w:rsidP="000744A8">
      <w:pPr>
        <w:spacing w:after="0" w:line="240" w:lineRule="auto"/>
        <w:jc w:val="both"/>
        <w:rPr>
          <w:rFonts w:eastAsia="Calibri" w:cs="Times New Roman"/>
          <w:szCs w:val="20"/>
          <w:lang w:val="en-US"/>
        </w:rPr>
      </w:pPr>
    </w:p>
    <w:p w14:paraId="5F96297A" w14:textId="582071D8" w:rsidR="00052AEA" w:rsidRPr="007B2402" w:rsidRDefault="00B73BDF" w:rsidP="000422CC">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To counter the argument of legal</w:t>
      </w:r>
      <w:r w:rsidR="002D5C12" w:rsidRPr="007B2402">
        <w:rPr>
          <w:rFonts w:eastAsia="Calibri" w:cs="Times New Roman"/>
          <w:szCs w:val="20"/>
          <w:lang w:val="en-US"/>
        </w:rPr>
        <w:t xml:space="preserve"> </w:t>
      </w:r>
      <w:r w:rsidRPr="007B2402">
        <w:rPr>
          <w:rFonts w:eastAsia="Calibri" w:cs="Times New Roman"/>
          <w:szCs w:val="20"/>
          <w:lang w:val="en-US"/>
        </w:rPr>
        <w:t xml:space="preserve">uncertainty owing to the application of </w:t>
      </w:r>
      <w:r w:rsidR="002F0987" w:rsidRPr="007B2402">
        <w:rPr>
          <w:rFonts w:eastAsia="Calibri" w:cs="Times New Roman"/>
          <w:szCs w:val="20"/>
          <w:lang w:val="en-US"/>
        </w:rPr>
        <w:t>international law</w:t>
      </w:r>
      <w:r w:rsidR="000744A8" w:rsidRPr="007B2402">
        <w:rPr>
          <w:rFonts w:eastAsia="Calibri" w:cs="Times New Roman"/>
          <w:szCs w:val="20"/>
          <w:lang w:val="en-US"/>
        </w:rPr>
        <w:t xml:space="preserve"> </w:t>
      </w:r>
      <w:r w:rsidRPr="007B2402">
        <w:rPr>
          <w:rFonts w:eastAsia="Calibri" w:cs="Times New Roman"/>
          <w:szCs w:val="20"/>
          <w:lang w:val="en-US"/>
        </w:rPr>
        <w:t>wit</w:t>
      </w:r>
      <w:r w:rsidR="002D5C12" w:rsidRPr="007B2402">
        <w:rPr>
          <w:rFonts w:eastAsia="Calibri" w:cs="Times New Roman"/>
          <w:szCs w:val="20"/>
          <w:lang w:val="en-US"/>
        </w:rPr>
        <w:t>h</w:t>
      </w:r>
      <w:r w:rsidRPr="007B2402">
        <w:rPr>
          <w:rFonts w:eastAsia="Calibri" w:cs="Times New Roman"/>
          <w:szCs w:val="20"/>
          <w:lang w:val="en-US"/>
        </w:rPr>
        <w:t xml:space="preserve">out a corresponding domestic norm validating the former, it should be indicated that all the acts committed against </w:t>
      </w:r>
      <w:r w:rsidR="000744A8" w:rsidRPr="007B2402">
        <w:rPr>
          <w:rFonts w:eastAsia="Calibri" w:cs="Times New Roman"/>
          <w:szCs w:val="20"/>
          <w:lang w:val="en-US"/>
        </w:rPr>
        <w:t>Vladimir Herzog</w:t>
      </w:r>
      <w:r w:rsidRPr="007B2402">
        <w:rPr>
          <w:rFonts w:eastAsia="Calibri" w:cs="Times New Roman"/>
          <w:szCs w:val="20"/>
          <w:lang w:val="en-US"/>
        </w:rPr>
        <w:t xml:space="preserve"> were already prohibited </w:t>
      </w:r>
      <w:r w:rsidR="00BA6693" w:rsidRPr="007B2402">
        <w:rPr>
          <w:rFonts w:eastAsia="Calibri" w:cs="Times New Roman"/>
          <w:szCs w:val="20"/>
          <w:lang w:val="en-US"/>
        </w:rPr>
        <w:t>by</w:t>
      </w:r>
      <w:r w:rsidRPr="007B2402">
        <w:rPr>
          <w:rFonts w:eastAsia="Calibri" w:cs="Times New Roman"/>
          <w:szCs w:val="20"/>
          <w:lang w:val="en-US"/>
        </w:rPr>
        <w:t xml:space="preserve"> the laws of Brazil. </w:t>
      </w:r>
      <w:r w:rsidRPr="007B2402">
        <w:rPr>
          <w:rFonts w:eastAsia="Calibri" w:cs="Times New Roman"/>
          <w:szCs w:val="20"/>
          <w:lang w:val="en-US"/>
        </w:rPr>
        <w:lastRenderedPageBreak/>
        <w:t xml:space="preserve">Torture was prohibited in the 1940 Penal Code, because that code, in force at the time of the facts </w:t>
      </w:r>
      <w:r w:rsidR="002D5C12" w:rsidRPr="007B2402">
        <w:rPr>
          <w:rFonts w:eastAsia="Calibri" w:cs="Times New Roman"/>
          <w:szCs w:val="20"/>
          <w:lang w:val="en-US"/>
        </w:rPr>
        <w:t>defined</w:t>
      </w:r>
      <w:r w:rsidRPr="007B2402">
        <w:rPr>
          <w:rFonts w:eastAsia="Calibri" w:cs="Times New Roman"/>
          <w:szCs w:val="20"/>
          <w:lang w:val="en-US"/>
        </w:rPr>
        <w:t xml:space="preserve">, </w:t>
      </w:r>
      <w:r w:rsidR="00BA6693" w:rsidRPr="007B2402">
        <w:rPr>
          <w:rFonts w:eastAsia="Calibri" w:cs="Times New Roman"/>
          <w:i/>
          <w:iCs/>
          <w:szCs w:val="20"/>
          <w:lang w:val="en-US"/>
        </w:rPr>
        <w:t>inter alia</w:t>
      </w:r>
      <w:r w:rsidRPr="007B2402">
        <w:rPr>
          <w:rFonts w:eastAsia="Calibri" w:cs="Times New Roman"/>
          <w:szCs w:val="20"/>
          <w:lang w:val="en-US"/>
        </w:rPr>
        <w:t xml:space="preserve">, the following </w:t>
      </w:r>
      <w:r w:rsidR="002D5C12" w:rsidRPr="007B2402">
        <w:rPr>
          <w:rFonts w:eastAsia="Calibri" w:cs="Times New Roman"/>
          <w:szCs w:val="20"/>
          <w:lang w:val="en-US"/>
        </w:rPr>
        <w:t>crimes that were committed in this case: Bodily injuries;</w:t>
      </w:r>
      <w:r w:rsidR="000744A8" w:rsidRPr="007B2402">
        <w:rPr>
          <w:rFonts w:eastAsia="Calibri" w:cs="Times New Roman"/>
          <w:szCs w:val="20"/>
          <w:vertAlign w:val="superscript"/>
          <w:lang w:val="en-US"/>
        </w:rPr>
        <w:footnoteReference w:id="354"/>
      </w:r>
      <w:r w:rsidR="000744A8" w:rsidRPr="007B2402">
        <w:rPr>
          <w:rFonts w:eastAsia="Calibri" w:cs="Times New Roman"/>
          <w:szCs w:val="20"/>
          <w:lang w:val="en-US"/>
        </w:rPr>
        <w:t xml:space="preserve"> </w:t>
      </w:r>
      <w:r w:rsidR="000422CC" w:rsidRPr="007B2402">
        <w:rPr>
          <w:rFonts w:eastAsia="Calibri" w:cs="Times New Roman"/>
          <w:szCs w:val="20"/>
          <w:lang w:val="en-US"/>
        </w:rPr>
        <w:t>Danger to the life or health of another person;</w:t>
      </w:r>
      <w:r w:rsidR="000744A8" w:rsidRPr="007B2402">
        <w:rPr>
          <w:rFonts w:eastAsia="Calibri" w:cs="Times New Roman"/>
          <w:szCs w:val="20"/>
          <w:vertAlign w:val="superscript"/>
          <w:lang w:val="en-US"/>
        </w:rPr>
        <w:footnoteReference w:id="355"/>
      </w:r>
      <w:r w:rsidR="000422CC" w:rsidRPr="007B2402">
        <w:rPr>
          <w:rFonts w:eastAsia="Calibri" w:cs="Times New Roman"/>
          <w:szCs w:val="20"/>
          <w:lang w:val="en-US"/>
        </w:rPr>
        <w:t xml:space="preserve"> Failure to offer assistance;</w:t>
      </w:r>
      <w:r w:rsidR="000744A8" w:rsidRPr="007B2402">
        <w:rPr>
          <w:rFonts w:eastAsia="Calibri" w:cs="Times New Roman"/>
          <w:szCs w:val="20"/>
          <w:vertAlign w:val="superscript"/>
          <w:lang w:val="en-US"/>
        </w:rPr>
        <w:footnoteReference w:id="356"/>
      </w:r>
      <w:r w:rsidR="00F83F1F" w:rsidRPr="007B2402">
        <w:rPr>
          <w:rFonts w:eastAsia="Calibri" w:cs="Times New Roman"/>
          <w:szCs w:val="20"/>
          <w:lang w:val="en-US"/>
        </w:rPr>
        <w:t xml:space="preserve"> </w:t>
      </w:r>
      <w:r w:rsidR="000422CC" w:rsidRPr="007B2402">
        <w:rPr>
          <w:rFonts w:eastAsia="Calibri" w:cs="Times New Roman"/>
          <w:szCs w:val="20"/>
          <w:lang w:val="en-US"/>
        </w:rPr>
        <w:t>Ill-treatment</w:t>
      </w:r>
      <w:r w:rsidR="000744A8" w:rsidRPr="007B2402">
        <w:rPr>
          <w:rFonts w:eastAsia="Calibri" w:cs="Times New Roman"/>
          <w:szCs w:val="20"/>
          <w:vertAlign w:val="superscript"/>
          <w:lang w:val="en-US"/>
        </w:rPr>
        <w:footnoteReference w:id="357"/>
      </w:r>
      <w:r w:rsidR="005B1590" w:rsidRPr="007B2402">
        <w:rPr>
          <w:rFonts w:eastAsia="Calibri" w:cs="Times New Roman"/>
          <w:szCs w:val="20"/>
          <w:lang w:val="en-US"/>
        </w:rPr>
        <w:t xml:space="preserve"> and </w:t>
      </w:r>
      <w:r w:rsidR="000422CC" w:rsidRPr="007B2402">
        <w:rPr>
          <w:rFonts w:eastAsia="Calibri" w:cs="Times New Roman"/>
          <w:szCs w:val="20"/>
          <w:lang w:val="en-US"/>
        </w:rPr>
        <w:t>Murder.</w:t>
      </w:r>
      <w:r w:rsidR="00F83F1F" w:rsidRPr="007B2402">
        <w:rPr>
          <w:rStyle w:val="Refdenotaalpie"/>
          <w:rFonts w:ascii="Verdana" w:eastAsia="Calibri" w:hAnsi="Verdana"/>
          <w:lang w:val="en-US"/>
        </w:rPr>
        <w:footnoteReference w:id="358"/>
      </w:r>
      <w:r w:rsidR="000422CC" w:rsidRPr="007B2402">
        <w:rPr>
          <w:rFonts w:eastAsia="Calibri" w:cs="Times New Roman"/>
          <w:szCs w:val="20"/>
          <w:lang w:val="en-US"/>
        </w:rPr>
        <w:t xml:space="preserve"> In addition,  torture was considered an aggravating circumstance in other crimes established in this Penal Code </w:t>
      </w:r>
      <w:r w:rsidR="000744A8" w:rsidRPr="007B2402">
        <w:rPr>
          <w:rFonts w:eastAsia="Calibri" w:cs="Times New Roman"/>
          <w:szCs w:val="20"/>
          <w:lang w:val="en-US"/>
        </w:rPr>
        <w:t>(</w:t>
      </w:r>
      <w:r w:rsidR="000422CC" w:rsidRPr="007B2402">
        <w:rPr>
          <w:rFonts w:eastAsia="Calibri" w:cs="Times New Roman"/>
          <w:szCs w:val="20"/>
          <w:lang w:val="en-US"/>
        </w:rPr>
        <w:t>a</w:t>
      </w:r>
      <w:r w:rsidR="00A65E06" w:rsidRPr="007B2402">
        <w:rPr>
          <w:rFonts w:eastAsia="Calibri" w:cs="Times New Roman"/>
          <w:szCs w:val="20"/>
          <w:lang w:val="en-US"/>
        </w:rPr>
        <w:t>rticle</w:t>
      </w:r>
      <w:r w:rsidR="000744A8" w:rsidRPr="007B2402">
        <w:rPr>
          <w:rFonts w:eastAsia="Calibri" w:cs="Times New Roman"/>
          <w:szCs w:val="20"/>
          <w:lang w:val="en-US"/>
        </w:rPr>
        <w:t xml:space="preserve"> 61</w:t>
      </w:r>
      <w:r w:rsidR="00DF4187" w:rsidRPr="007B2402">
        <w:rPr>
          <w:rFonts w:eastAsia="Calibri" w:cs="Times New Roman"/>
          <w:szCs w:val="20"/>
          <w:lang w:val="en-US"/>
        </w:rPr>
        <w:t>(</w:t>
      </w:r>
      <w:r w:rsidR="000744A8" w:rsidRPr="007B2402">
        <w:rPr>
          <w:rFonts w:eastAsia="Calibri" w:cs="Times New Roman"/>
          <w:szCs w:val="20"/>
          <w:lang w:val="en-US"/>
        </w:rPr>
        <w:t>II</w:t>
      </w:r>
      <w:r w:rsidR="00DF4187" w:rsidRPr="007B2402">
        <w:rPr>
          <w:rFonts w:eastAsia="Calibri" w:cs="Times New Roman"/>
          <w:szCs w:val="20"/>
          <w:lang w:val="en-US"/>
        </w:rPr>
        <w:t>)(</w:t>
      </w:r>
      <w:r w:rsidR="000744A8" w:rsidRPr="007B2402">
        <w:rPr>
          <w:rFonts w:eastAsia="Calibri" w:cs="Times New Roman"/>
          <w:szCs w:val="20"/>
          <w:lang w:val="en-US"/>
        </w:rPr>
        <w:t>d)</w:t>
      </w:r>
      <w:r w:rsidR="00DF4187" w:rsidRPr="007B2402">
        <w:rPr>
          <w:rFonts w:eastAsia="Calibri" w:cs="Times New Roman"/>
          <w:szCs w:val="20"/>
          <w:lang w:val="en-US"/>
        </w:rPr>
        <w:t>).</w:t>
      </w:r>
      <w:r w:rsidR="00E25AF5" w:rsidRPr="007B2402">
        <w:rPr>
          <w:rStyle w:val="Refdenotaalpie"/>
          <w:rFonts w:ascii="Verdana" w:eastAsia="Calibri" w:hAnsi="Verdana"/>
          <w:lang w:val="en-US"/>
        </w:rPr>
        <w:footnoteReference w:id="359"/>
      </w:r>
      <w:r w:rsidR="000744A8" w:rsidRPr="007B2402">
        <w:rPr>
          <w:rFonts w:eastAsia="Calibri" w:cs="Times New Roman"/>
          <w:szCs w:val="20"/>
          <w:lang w:val="en-US"/>
        </w:rPr>
        <w:t xml:space="preserve"> </w:t>
      </w:r>
      <w:r w:rsidR="000422CC" w:rsidRPr="007B2402">
        <w:rPr>
          <w:rFonts w:eastAsia="Calibri" w:cs="Times New Roman"/>
          <w:szCs w:val="20"/>
          <w:lang w:val="en-US"/>
        </w:rPr>
        <w:t xml:space="preserve">Also, these definitions of criminal offenses formed part of the national legal conscience, as revealed by the provisions of all </w:t>
      </w:r>
      <w:r w:rsidR="00D212D8" w:rsidRPr="007B2402">
        <w:rPr>
          <w:rFonts w:eastAsia="Calibri" w:cs="Times New Roman"/>
          <w:szCs w:val="20"/>
          <w:lang w:val="en-US"/>
        </w:rPr>
        <w:t>Brazil’s</w:t>
      </w:r>
      <w:r w:rsidR="000422CC" w:rsidRPr="007B2402">
        <w:rPr>
          <w:rFonts w:eastAsia="Calibri" w:cs="Times New Roman"/>
          <w:szCs w:val="20"/>
          <w:lang w:val="en-US"/>
        </w:rPr>
        <w:t xml:space="preserve"> codes since its independence: </w:t>
      </w:r>
      <w:r w:rsidR="00052AEA" w:rsidRPr="007B2402">
        <w:rPr>
          <w:rFonts w:eastAsia="Calibri" w:cs="Times New Roman"/>
          <w:iCs/>
          <w:szCs w:val="20"/>
          <w:lang w:val="en-US"/>
        </w:rPr>
        <w:t>C</w:t>
      </w:r>
      <w:r w:rsidR="00DF4187" w:rsidRPr="007B2402">
        <w:rPr>
          <w:rFonts w:eastAsia="Calibri" w:cs="Times New Roman"/>
          <w:iCs/>
          <w:szCs w:val="20"/>
          <w:lang w:val="en-US"/>
        </w:rPr>
        <w:t>riminal Code of the Empire of Brazil</w:t>
      </w:r>
      <w:r w:rsidR="00052AEA" w:rsidRPr="007B2402">
        <w:rPr>
          <w:rFonts w:eastAsia="Calibri" w:cs="Times New Roman"/>
          <w:iCs/>
          <w:szCs w:val="20"/>
          <w:lang w:val="en-US"/>
        </w:rPr>
        <w:t>,</w:t>
      </w:r>
      <w:r w:rsidR="00052AEA" w:rsidRPr="007B2402">
        <w:rPr>
          <w:rFonts w:eastAsia="Calibri" w:cs="Times New Roman"/>
          <w:szCs w:val="20"/>
          <w:lang w:val="en-US"/>
        </w:rPr>
        <w:t xml:space="preserve"> </w:t>
      </w:r>
      <w:r w:rsidR="00DF4187" w:rsidRPr="007B2402">
        <w:rPr>
          <w:rFonts w:eastAsia="Calibri" w:cs="Times New Roman"/>
          <w:szCs w:val="20"/>
          <w:lang w:val="en-US"/>
        </w:rPr>
        <w:t>a</w:t>
      </w:r>
      <w:r w:rsidR="00A65E06" w:rsidRPr="007B2402">
        <w:rPr>
          <w:rFonts w:eastAsia="Calibri" w:cs="Times New Roman"/>
          <w:szCs w:val="20"/>
          <w:lang w:val="en-US"/>
        </w:rPr>
        <w:t>rticle</w:t>
      </w:r>
      <w:r w:rsidR="00052AEA" w:rsidRPr="007B2402">
        <w:rPr>
          <w:rFonts w:eastAsia="Calibri" w:cs="Times New Roman"/>
          <w:szCs w:val="20"/>
          <w:lang w:val="en-US"/>
        </w:rPr>
        <w:t xml:space="preserve"> 192</w:t>
      </w:r>
      <w:r w:rsidR="002857F4" w:rsidRPr="007B2402">
        <w:rPr>
          <w:rFonts w:eastAsia="Calibri" w:cs="Times New Roman"/>
          <w:szCs w:val="20"/>
          <w:lang w:val="en-US"/>
        </w:rPr>
        <w:t>,</w:t>
      </w:r>
      <w:r w:rsidR="00052AEA" w:rsidRPr="007B2402">
        <w:rPr>
          <w:rFonts w:eastAsia="Calibri" w:cs="Times New Roman"/>
          <w:szCs w:val="20"/>
          <w:lang w:val="en-US"/>
        </w:rPr>
        <w:t xml:space="preserve"> </w:t>
      </w:r>
      <w:r w:rsidR="00DF4187" w:rsidRPr="007B2402">
        <w:rPr>
          <w:rFonts w:eastAsia="Calibri" w:cs="Times New Roman"/>
          <w:szCs w:val="20"/>
          <w:lang w:val="en-US"/>
        </w:rPr>
        <w:t xml:space="preserve">in relation to the general </w:t>
      </w:r>
      <w:r w:rsidR="00052AEA" w:rsidRPr="007B2402">
        <w:rPr>
          <w:rFonts w:eastAsia="Calibri" w:cs="Times New Roman"/>
          <w:szCs w:val="20"/>
          <w:lang w:val="en-US"/>
        </w:rPr>
        <w:t>ag</w:t>
      </w:r>
      <w:r w:rsidR="000422CC" w:rsidRPr="007B2402">
        <w:rPr>
          <w:rFonts w:eastAsia="Calibri" w:cs="Times New Roman"/>
          <w:szCs w:val="20"/>
          <w:lang w:val="en-US"/>
        </w:rPr>
        <w:t xml:space="preserve">gravating factors </w:t>
      </w:r>
      <w:r w:rsidR="006E2CFF" w:rsidRPr="007B2402">
        <w:rPr>
          <w:rFonts w:eastAsia="Calibri" w:cs="Times New Roman"/>
          <w:szCs w:val="20"/>
          <w:lang w:val="en-US"/>
        </w:rPr>
        <w:t xml:space="preserve">of </w:t>
      </w:r>
      <w:r w:rsidR="000422CC" w:rsidRPr="007B2402">
        <w:rPr>
          <w:rFonts w:eastAsia="Calibri" w:cs="Times New Roman"/>
          <w:szCs w:val="20"/>
          <w:lang w:val="en-US"/>
        </w:rPr>
        <w:t>a</w:t>
      </w:r>
      <w:r w:rsidR="006E2CFF" w:rsidRPr="007B2402">
        <w:rPr>
          <w:rFonts w:eastAsia="Calibri" w:cs="Times New Roman"/>
          <w:szCs w:val="20"/>
          <w:lang w:val="en-US"/>
        </w:rPr>
        <w:t>rticle</w:t>
      </w:r>
      <w:r w:rsidR="00052AEA" w:rsidRPr="007B2402">
        <w:rPr>
          <w:rFonts w:eastAsia="Calibri" w:cs="Times New Roman"/>
          <w:szCs w:val="20"/>
          <w:lang w:val="en-US"/>
        </w:rPr>
        <w:t xml:space="preserve"> 16, sec</w:t>
      </w:r>
      <w:r w:rsidR="00DF4187" w:rsidRPr="007B2402">
        <w:rPr>
          <w:rFonts w:eastAsia="Calibri" w:cs="Times New Roman"/>
          <w:szCs w:val="20"/>
          <w:lang w:val="en-US"/>
        </w:rPr>
        <w:t>tion</w:t>
      </w:r>
      <w:r w:rsidR="00052AEA" w:rsidRPr="007B2402">
        <w:rPr>
          <w:rFonts w:eastAsia="Calibri" w:cs="Times New Roman"/>
          <w:szCs w:val="20"/>
          <w:lang w:val="en-US"/>
        </w:rPr>
        <w:t xml:space="preserve"> I, </w:t>
      </w:r>
      <w:r w:rsidR="00DF4187" w:rsidRPr="007B2402">
        <w:rPr>
          <w:rFonts w:eastAsia="Calibri" w:cs="Times New Roman"/>
          <w:szCs w:val="20"/>
          <w:lang w:val="en-US"/>
        </w:rPr>
        <w:t>paragraph</w:t>
      </w:r>
      <w:r w:rsidR="00052AEA" w:rsidRPr="007B2402">
        <w:rPr>
          <w:rFonts w:eastAsia="Calibri" w:cs="Times New Roman"/>
          <w:szCs w:val="20"/>
          <w:lang w:val="en-US"/>
        </w:rPr>
        <w:t xml:space="preserve"> 6,</w:t>
      </w:r>
      <w:r w:rsidR="005B1590" w:rsidRPr="007B2402">
        <w:rPr>
          <w:rFonts w:eastAsia="Calibri" w:cs="Times New Roman"/>
          <w:szCs w:val="20"/>
          <w:lang w:val="en-US"/>
        </w:rPr>
        <w:t xml:space="preserve"> and </w:t>
      </w:r>
      <w:r w:rsidR="00DF4187" w:rsidRPr="007B2402">
        <w:rPr>
          <w:rFonts w:eastAsia="Calibri" w:cs="Times New Roman"/>
          <w:szCs w:val="20"/>
          <w:lang w:val="en-US"/>
        </w:rPr>
        <w:t>a</w:t>
      </w:r>
      <w:r w:rsidR="00A65E06" w:rsidRPr="007B2402">
        <w:rPr>
          <w:rFonts w:eastAsia="Calibri" w:cs="Times New Roman"/>
          <w:szCs w:val="20"/>
          <w:lang w:val="en-US"/>
        </w:rPr>
        <w:t>rticle</w:t>
      </w:r>
      <w:r w:rsidR="002857F4" w:rsidRPr="007B2402">
        <w:rPr>
          <w:rFonts w:eastAsia="Calibri" w:cs="Times New Roman"/>
          <w:szCs w:val="20"/>
          <w:lang w:val="en-US"/>
        </w:rPr>
        <w:t xml:space="preserve"> </w:t>
      </w:r>
      <w:r w:rsidR="00052AEA" w:rsidRPr="007B2402">
        <w:rPr>
          <w:rFonts w:eastAsia="Calibri" w:cs="Times New Roman"/>
          <w:szCs w:val="20"/>
          <w:lang w:val="en-US"/>
        </w:rPr>
        <w:t>17,</w:t>
      </w:r>
      <w:r w:rsidR="002857F4" w:rsidRPr="007B2402">
        <w:rPr>
          <w:rFonts w:eastAsia="Calibri" w:cs="Times New Roman"/>
          <w:szCs w:val="20"/>
          <w:lang w:val="en-US"/>
        </w:rPr>
        <w:t xml:space="preserve"> </w:t>
      </w:r>
      <w:r w:rsidR="00DF4187" w:rsidRPr="007B2402">
        <w:rPr>
          <w:rFonts w:eastAsia="Calibri" w:cs="Times New Roman"/>
          <w:szCs w:val="20"/>
          <w:lang w:val="en-US"/>
        </w:rPr>
        <w:t>paragraphs</w:t>
      </w:r>
      <w:r w:rsidR="00052AEA" w:rsidRPr="007B2402">
        <w:rPr>
          <w:rFonts w:eastAsia="Calibri" w:cs="Times New Roman"/>
          <w:szCs w:val="20"/>
          <w:lang w:val="en-US"/>
        </w:rPr>
        <w:t xml:space="preserve"> 2, 3</w:t>
      </w:r>
      <w:r w:rsidR="005B1590" w:rsidRPr="007B2402">
        <w:rPr>
          <w:rFonts w:eastAsia="Calibri" w:cs="Times New Roman"/>
          <w:szCs w:val="20"/>
          <w:lang w:val="en-US"/>
        </w:rPr>
        <w:t xml:space="preserve"> and </w:t>
      </w:r>
      <w:r w:rsidR="00052AEA" w:rsidRPr="007B2402">
        <w:rPr>
          <w:rFonts w:eastAsia="Calibri" w:cs="Times New Roman"/>
          <w:szCs w:val="20"/>
          <w:lang w:val="en-US"/>
        </w:rPr>
        <w:t>4</w:t>
      </w:r>
      <w:r w:rsidR="00DF4187" w:rsidRPr="007B2402">
        <w:rPr>
          <w:rFonts w:eastAsia="Calibri" w:cs="Times New Roman"/>
          <w:szCs w:val="20"/>
          <w:lang w:val="en-US"/>
        </w:rPr>
        <w:t>;</w:t>
      </w:r>
      <w:r w:rsidR="003D4DEF" w:rsidRPr="007B2402">
        <w:rPr>
          <w:rStyle w:val="Refdenotaalpie"/>
          <w:rFonts w:ascii="Verdana" w:eastAsia="Calibri" w:hAnsi="Verdana"/>
          <w:lang w:val="en-US"/>
        </w:rPr>
        <w:footnoteReference w:id="360"/>
      </w:r>
      <w:r w:rsidR="00052AEA" w:rsidRPr="007B2402">
        <w:rPr>
          <w:rFonts w:eastAsia="Calibri" w:cs="Times New Roman"/>
          <w:szCs w:val="20"/>
          <w:lang w:val="en-US"/>
        </w:rPr>
        <w:t xml:space="preserve"> </w:t>
      </w:r>
      <w:r w:rsidR="00DF4187" w:rsidRPr="007B2402">
        <w:rPr>
          <w:rFonts w:eastAsia="Calibri" w:cs="Times New Roman"/>
          <w:iCs/>
          <w:szCs w:val="20"/>
          <w:lang w:val="en-US"/>
        </w:rPr>
        <w:t>Republican Code</w:t>
      </w:r>
      <w:r w:rsidR="00052AEA" w:rsidRPr="007B2402">
        <w:rPr>
          <w:rFonts w:eastAsia="Calibri" w:cs="Times New Roman"/>
          <w:iCs/>
          <w:szCs w:val="20"/>
          <w:lang w:val="en-US"/>
        </w:rPr>
        <w:t>,</w:t>
      </w:r>
      <w:r w:rsidR="00052AEA" w:rsidRPr="007B2402">
        <w:rPr>
          <w:rFonts w:eastAsia="Calibri" w:cs="Times New Roman"/>
          <w:szCs w:val="20"/>
          <w:lang w:val="en-US"/>
        </w:rPr>
        <w:t xml:space="preserve"> </w:t>
      </w:r>
      <w:r w:rsidR="00DF4187" w:rsidRPr="007B2402">
        <w:rPr>
          <w:rFonts w:eastAsia="Calibri" w:cs="Times New Roman"/>
          <w:szCs w:val="20"/>
          <w:lang w:val="en-US"/>
        </w:rPr>
        <w:t>a</w:t>
      </w:r>
      <w:r w:rsidR="00A65E06" w:rsidRPr="007B2402">
        <w:rPr>
          <w:rFonts w:eastAsia="Calibri" w:cs="Times New Roman"/>
          <w:szCs w:val="20"/>
          <w:lang w:val="en-US"/>
        </w:rPr>
        <w:t>rticle</w:t>
      </w:r>
      <w:r w:rsidR="00052AEA" w:rsidRPr="007B2402">
        <w:rPr>
          <w:rFonts w:eastAsia="Calibri" w:cs="Times New Roman"/>
          <w:szCs w:val="20"/>
          <w:lang w:val="en-US"/>
        </w:rPr>
        <w:t xml:space="preserve"> 294</w:t>
      </w:r>
      <w:r w:rsidR="003D4DEF" w:rsidRPr="007B2402">
        <w:rPr>
          <w:rFonts w:eastAsia="Calibri" w:cs="Times New Roman"/>
          <w:szCs w:val="20"/>
          <w:lang w:val="en-US"/>
        </w:rPr>
        <w:t>,</w:t>
      </w:r>
      <w:r w:rsidR="00052AEA" w:rsidRPr="007B2402">
        <w:rPr>
          <w:rFonts w:eastAsia="Calibri" w:cs="Times New Roman"/>
          <w:szCs w:val="20"/>
          <w:lang w:val="en-US"/>
        </w:rPr>
        <w:t xml:space="preserve"> </w:t>
      </w:r>
      <w:r w:rsidR="00BF1A22" w:rsidRPr="007B2402">
        <w:rPr>
          <w:rFonts w:eastAsia="Calibri" w:cs="Times New Roman"/>
          <w:szCs w:val="20"/>
          <w:lang w:val="en-US"/>
        </w:rPr>
        <w:t xml:space="preserve">in relation to </w:t>
      </w:r>
      <w:r w:rsidR="00DF4187" w:rsidRPr="007B2402">
        <w:rPr>
          <w:rFonts w:eastAsia="Calibri" w:cs="Times New Roman"/>
          <w:szCs w:val="20"/>
          <w:lang w:val="en-US"/>
        </w:rPr>
        <w:t>a</w:t>
      </w:r>
      <w:r w:rsidR="00BF1A22" w:rsidRPr="007B2402">
        <w:rPr>
          <w:rFonts w:eastAsia="Calibri" w:cs="Times New Roman"/>
          <w:szCs w:val="20"/>
          <w:lang w:val="en-US"/>
        </w:rPr>
        <w:t>rticle</w:t>
      </w:r>
      <w:r w:rsidR="00052AEA" w:rsidRPr="007B2402">
        <w:rPr>
          <w:rFonts w:eastAsia="Calibri" w:cs="Times New Roman"/>
          <w:szCs w:val="20"/>
          <w:lang w:val="en-US"/>
        </w:rPr>
        <w:t xml:space="preserve"> 39, </w:t>
      </w:r>
      <w:r w:rsidR="00DF4187" w:rsidRPr="007B2402">
        <w:rPr>
          <w:rFonts w:eastAsia="Calibri" w:cs="Times New Roman"/>
          <w:szCs w:val="20"/>
          <w:lang w:val="en-US"/>
        </w:rPr>
        <w:t>paragraph</w:t>
      </w:r>
      <w:r w:rsidR="003D4DEF" w:rsidRPr="007B2402">
        <w:rPr>
          <w:rFonts w:eastAsia="Calibri" w:cs="Times New Roman"/>
          <w:szCs w:val="20"/>
          <w:lang w:val="en-US"/>
        </w:rPr>
        <w:t xml:space="preserve"> 5</w:t>
      </w:r>
      <w:r w:rsidR="00DF4187" w:rsidRPr="007B2402">
        <w:rPr>
          <w:rFonts w:eastAsia="Calibri" w:cs="Times New Roman"/>
          <w:szCs w:val="20"/>
          <w:lang w:val="en-US"/>
        </w:rPr>
        <w:t>,</w:t>
      </w:r>
      <w:r w:rsidR="005B1590" w:rsidRPr="007B2402">
        <w:rPr>
          <w:rFonts w:eastAsia="Calibri" w:cs="Times New Roman"/>
          <w:szCs w:val="20"/>
          <w:lang w:val="en-US"/>
        </w:rPr>
        <w:t xml:space="preserve"> and </w:t>
      </w:r>
      <w:r w:rsidR="000422CC" w:rsidRPr="007B2402">
        <w:rPr>
          <w:rFonts w:eastAsia="Calibri" w:cs="Times New Roman"/>
          <w:szCs w:val="20"/>
          <w:lang w:val="en-US"/>
        </w:rPr>
        <w:t>a</w:t>
      </w:r>
      <w:r w:rsidR="00A65E06" w:rsidRPr="007B2402">
        <w:rPr>
          <w:rFonts w:eastAsia="Calibri" w:cs="Times New Roman"/>
          <w:szCs w:val="20"/>
          <w:lang w:val="en-US"/>
        </w:rPr>
        <w:t>rticle</w:t>
      </w:r>
      <w:r w:rsidR="003D4DEF" w:rsidRPr="007B2402">
        <w:rPr>
          <w:rFonts w:eastAsia="Calibri" w:cs="Times New Roman"/>
          <w:szCs w:val="20"/>
          <w:lang w:val="en-US"/>
        </w:rPr>
        <w:t xml:space="preserve"> 41</w:t>
      </w:r>
      <w:r w:rsidR="002857F4" w:rsidRPr="007B2402">
        <w:rPr>
          <w:rFonts w:eastAsia="Calibri" w:cs="Times New Roman"/>
          <w:szCs w:val="20"/>
          <w:lang w:val="en-US"/>
        </w:rPr>
        <w:t>,</w:t>
      </w:r>
      <w:r w:rsidR="003D4DEF" w:rsidRPr="007B2402">
        <w:rPr>
          <w:rFonts w:eastAsia="Calibri" w:cs="Times New Roman"/>
          <w:szCs w:val="20"/>
          <w:lang w:val="en-US"/>
        </w:rPr>
        <w:t xml:space="preserve"> </w:t>
      </w:r>
      <w:r w:rsidR="00DF4187" w:rsidRPr="007B2402">
        <w:rPr>
          <w:rFonts w:eastAsia="Calibri" w:cs="Times New Roman"/>
          <w:szCs w:val="20"/>
          <w:lang w:val="en-US"/>
        </w:rPr>
        <w:t>paragraphs</w:t>
      </w:r>
      <w:r w:rsidR="003D4DEF" w:rsidRPr="007B2402">
        <w:rPr>
          <w:rFonts w:eastAsia="Calibri" w:cs="Times New Roman"/>
          <w:szCs w:val="20"/>
          <w:lang w:val="en-US"/>
        </w:rPr>
        <w:t xml:space="preserve"> 2</w:t>
      </w:r>
      <w:r w:rsidR="005B1590" w:rsidRPr="007B2402">
        <w:rPr>
          <w:rFonts w:eastAsia="Calibri" w:cs="Times New Roman"/>
          <w:szCs w:val="20"/>
          <w:lang w:val="en-US"/>
        </w:rPr>
        <w:t xml:space="preserve"> and </w:t>
      </w:r>
      <w:r w:rsidR="003D4DEF" w:rsidRPr="007B2402">
        <w:rPr>
          <w:rFonts w:eastAsia="Calibri" w:cs="Times New Roman"/>
          <w:szCs w:val="20"/>
          <w:lang w:val="en-US"/>
        </w:rPr>
        <w:t>3</w:t>
      </w:r>
      <w:r w:rsidR="00D212D8" w:rsidRPr="007B2402">
        <w:rPr>
          <w:rFonts w:eastAsia="Calibri" w:cs="Times New Roman"/>
          <w:szCs w:val="20"/>
          <w:lang w:val="en-US"/>
        </w:rPr>
        <w:t>.</w:t>
      </w:r>
      <w:r w:rsidR="003D4DEF" w:rsidRPr="007B2402">
        <w:rPr>
          <w:rStyle w:val="Refdenotaalpie"/>
          <w:rFonts w:ascii="Verdana" w:eastAsia="Calibri" w:hAnsi="Verdana"/>
          <w:lang w:val="en-US"/>
        </w:rPr>
        <w:footnoteReference w:id="361"/>
      </w:r>
    </w:p>
    <w:p w14:paraId="1EC21506" w14:textId="77777777" w:rsidR="00052AEA" w:rsidRPr="007B2402" w:rsidRDefault="00052AEA" w:rsidP="00052AEA">
      <w:pPr>
        <w:pStyle w:val="Prrafodelista"/>
        <w:rPr>
          <w:rFonts w:eastAsia="Calibri" w:cs="Times New Roman"/>
          <w:szCs w:val="20"/>
          <w:lang w:val="en-US"/>
        </w:rPr>
      </w:pPr>
    </w:p>
    <w:p w14:paraId="16AD49A5" w14:textId="28A8DC58" w:rsidR="000744A8" w:rsidRPr="007B2402" w:rsidRDefault="000422CC" w:rsidP="001540B5">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T</w:t>
      </w:r>
      <w:r w:rsidR="00AF4344" w:rsidRPr="007B2402">
        <w:rPr>
          <w:rFonts w:eastAsia="Calibri" w:cs="Times New Roman"/>
          <w:szCs w:val="20"/>
          <w:lang w:val="en-US"/>
        </w:rPr>
        <w:t>he Court</w:t>
      </w:r>
      <w:r w:rsidRPr="007B2402">
        <w:rPr>
          <w:rFonts w:eastAsia="Calibri" w:cs="Times New Roman"/>
          <w:szCs w:val="20"/>
          <w:lang w:val="en-US"/>
        </w:rPr>
        <w:t xml:space="preserve"> finds that it is totally unreasonable to suggest that the perpetrators of these crimes were not aware of the illegality of their actions and</w:t>
      </w:r>
      <w:r w:rsidR="001540B5" w:rsidRPr="007B2402">
        <w:rPr>
          <w:rFonts w:eastAsia="Calibri" w:cs="Times New Roman"/>
          <w:szCs w:val="20"/>
          <w:lang w:val="en-US"/>
        </w:rPr>
        <w:t xml:space="preserve"> that they could eventually be subject to the action of justice. No one can argue that they are unaware of the </w:t>
      </w:r>
      <w:r w:rsidR="008574E5" w:rsidRPr="007B2402">
        <w:rPr>
          <w:rFonts w:eastAsia="Calibri" w:cs="Times New Roman"/>
          <w:szCs w:val="20"/>
          <w:lang w:val="en-US"/>
        </w:rPr>
        <w:t>wrongfulness</w:t>
      </w:r>
      <w:r w:rsidR="001540B5" w:rsidRPr="007B2402">
        <w:rPr>
          <w:rFonts w:eastAsia="Calibri" w:cs="Times New Roman"/>
          <w:szCs w:val="20"/>
          <w:lang w:val="en-US"/>
        </w:rPr>
        <w:t xml:space="preserve"> of murder or aggravated murder and torture by pleading that they were unaware of its nature as a </w:t>
      </w:r>
      <w:r w:rsidR="00810476" w:rsidRPr="007B2402">
        <w:rPr>
          <w:rFonts w:eastAsia="Calibri" w:cs="Times New Roman"/>
          <w:szCs w:val="20"/>
          <w:lang w:val="en-US"/>
        </w:rPr>
        <w:t>crime against humanity</w:t>
      </w:r>
      <w:r w:rsidR="003D4DEF" w:rsidRPr="007B2402">
        <w:rPr>
          <w:rFonts w:eastAsia="Calibri" w:cs="Times New Roman"/>
          <w:szCs w:val="20"/>
          <w:lang w:val="en-US"/>
        </w:rPr>
        <w:t xml:space="preserve">, </w:t>
      </w:r>
      <w:r w:rsidR="001540B5" w:rsidRPr="007B2402">
        <w:rPr>
          <w:rFonts w:eastAsia="Calibri" w:cs="Times New Roman"/>
          <w:szCs w:val="20"/>
          <w:lang w:val="en-US"/>
        </w:rPr>
        <w:t xml:space="preserve">because the </w:t>
      </w:r>
      <w:r w:rsidR="008574E5" w:rsidRPr="007B2402">
        <w:rPr>
          <w:rFonts w:eastAsia="Calibri" w:cs="Times New Roman"/>
          <w:szCs w:val="20"/>
          <w:lang w:val="en-US"/>
        </w:rPr>
        <w:t>knowledge</w:t>
      </w:r>
      <w:r w:rsidR="001540B5" w:rsidRPr="007B2402">
        <w:rPr>
          <w:rFonts w:eastAsia="Calibri" w:cs="Times New Roman"/>
          <w:szCs w:val="20"/>
          <w:lang w:val="en-US"/>
        </w:rPr>
        <w:t xml:space="preserve"> of illegality that is sufficient to find someone guilty does not require this awareness, which only contributes to the imprescriptibility of the crime</w:t>
      </w:r>
      <w:r w:rsidR="008574E5" w:rsidRPr="007B2402">
        <w:rPr>
          <w:rFonts w:eastAsia="Calibri" w:cs="Times New Roman"/>
          <w:szCs w:val="20"/>
          <w:lang w:val="en-US"/>
        </w:rPr>
        <w:t>. G</w:t>
      </w:r>
      <w:r w:rsidR="001540B5" w:rsidRPr="007B2402">
        <w:rPr>
          <w:rFonts w:eastAsia="Calibri" w:cs="Times New Roman"/>
          <w:szCs w:val="20"/>
          <w:lang w:val="en-US"/>
        </w:rPr>
        <w:t>enerally</w:t>
      </w:r>
      <w:r w:rsidR="008574E5" w:rsidRPr="007B2402">
        <w:rPr>
          <w:rFonts w:eastAsia="Calibri" w:cs="Times New Roman"/>
          <w:szCs w:val="20"/>
          <w:lang w:val="en-US"/>
        </w:rPr>
        <w:t>, it is</w:t>
      </w:r>
      <w:r w:rsidR="001540B5" w:rsidRPr="007B2402">
        <w:rPr>
          <w:rFonts w:eastAsia="Calibri" w:cs="Times New Roman"/>
          <w:szCs w:val="20"/>
          <w:lang w:val="en-US"/>
        </w:rPr>
        <w:t xml:space="preserve"> sufficient that the agent is aware of the </w:t>
      </w:r>
      <w:r w:rsidR="00D212D8" w:rsidRPr="007B2402">
        <w:rPr>
          <w:rFonts w:eastAsia="Calibri" w:cs="Times New Roman"/>
          <w:szCs w:val="20"/>
          <w:lang w:val="en-US"/>
        </w:rPr>
        <w:t>unlawfulness</w:t>
      </w:r>
      <w:r w:rsidR="001540B5" w:rsidRPr="007B2402">
        <w:rPr>
          <w:rFonts w:eastAsia="Calibri" w:cs="Times New Roman"/>
          <w:szCs w:val="20"/>
          <w:lang w:val="en-US"/>
        </w:rPr>
        <w:t xml:space="preserve"> of his conduct, especially considering the restrictive provision concerning the relevance of a misunderstanding </w:t>
      </w:r>
      <w:r w:rsidR="008574E5" w:rsidRPr="007B2402">
        <w:rPr>
          <w:rFonts w:eastAsia="Calibri" w:cs="Times New Roman"/>
          <w:szCs w:val="20"/>
          <w:lang w:val="en-US"/>
        </w:rPr>
        <w:t xml:space="preserve">included in </w:t>
      </w:r>
      <w:r w:rsidR="006E2CFF" w:rsidRPr="007B2402">
        <w:rPr>
          <w:rFonts w:eastAsia="Calibri" w:cs="Times New Roman"/>
          <w:szCs w:val="20"/>
          <w:lang w:val="en-US"/>
        </w:rPr>
        <w:t>Article</w:t>
      </w:r>
      <w:r w:rsidR="003D4DEF" w:rsidRPr="007B2402">
        <w:rPr>
          <w:rFonts w:eastAsia="Calibri" w:cs="Times New Roman"/>
          <w:szCs w:val="20"/>
          <w:lang w:val="en-US"/>
        </w:rPr>
        <w:t xml:space="preserve"> 16 </w:t>
      </w:r>
      <w:r w:rsidR="00C50E81" w:rsidRPr="007B2402">
        <w:rPr>
          <w:rFonts w:eastAsia="Calibri" w:cs="Times New Roman"/>
          <w:szCs w:val="20"/>
          <w:lang w:val="en-US"/>
        </w:rPr>
        <w:t>of the Penal Code</w:t>
      </w:r>
      <w:r w:rsidR="003D4DEF" w:rsidRPr="007B2402">
        <w:rPr>
          <w:rFonts w:eastAsia="Calibri" w:cs="Times New Roman"/>
          <w:szCs w:val="20"/>
          <w:lang w:val="en-US"/>
        </w:rPr>
        <w:t xml:space="preserve"> </w:t>
      </w:r>
      <w:r w:rsidR="001540B5" w:rsidRPr="007B2402">
        <w:rPr>
          <w:rFonts w:eastAsia="Calibri" w:cs="Times New Roman"/>
          <w:szCs w:val="20"/>
          <w:lang w:val="en-US"/>
        </w:rPr>
        <w:t>in force at the time of the facts</w:t>
      </w:r>
      <w:r w:rsidR="008574E5" w:rsidRPr="007B2402">
        <w:rPr>
          <w:rFonts w:eastAsia="Calibri" w:cs="Times New Roman"/>
          <w:szCs w:val="20"/>
          <w:lang w:val="en-US"/>
        </w:rPr>
        <w:t>:</w:t>
      </w:r>
      <w:r w:rsidR="001540B5" w:rsidRPr="007B2402">
        <w:rPr>
          <w:rFonts w:eastAsia="Calibri" w:cs="Times New Roman"/>
          <w:szCs w:val="20"/>
          <w:lang w:val="en-US"/>
        </w:rPr>
        <w:t xml:space="preserve"> </w:t>
      </w:r>
      <w:r w:rsidR="008574E5" w:rsidRPr="007B2402">
        <w:rPr>
          <w:rFonts w:eastAsia="Calibri" w:cs="Times New Roman"/>
          <w:szCs w:val="20"/>
          <w:lang w:val="en-US"/>
        </w:rPr>
        <w:t>“[i]</w:t>
      </w:r>
      <w:r w:rsidR="001540B5" w:rsidRPr="007B2402">
        <w:rPr>
          <w:rFonts w:eastAsia="Calibri" w:cs="Times New Roman"/>
          <w:szCs w:val="20"/>
          <w:lang w:val="en-US"/>
        </w:rPr>
        <w:t>gnorance or misunderstanding of the law does not ex</w:t>
      </w:r>
      <w:r w:rsidR="008574E5" w:rsidRPr="007B2402">
        <w:rPr>
          <w:rFonts w:eastAsia="Calibri" w:cs="Times New Roman"/>
          <w:szCs w:val="20"/>
          <w:lang w:val="en-US"/>
        </w:rPr>
        <w:t>clude</w:t>
      </w:r>
      <w:r w:rsidR="001540B5" w:rsidRPr="007B2402">
        <w:rPr>
          <w:rFonts w:eastAsia="Calibri" w:cs="Times New Roman"/>
          <w:szCs w:val="20"/>
          <w:lang w:val="en-US"/>
        </w:rPr>
        <w:t xml:space="preserve"> </w:t>
      </w:r>
      <w:r w:rsidR="008574E5" w:rsidRPr="007B2402">
        <w:rPr>
          <w:rFonts w:eastAsia="Calibri" w:cs="Times New Roman"/>
          <w:szCs w:val="20"/>
          <w:lang w:val="en-US"/>
        </w:rPr>
        <w:t>the</w:t>
      </w:r>
      <w:r w:rsidR="001540B5" w:rsidRPr="007B2402">
        <w:rPr>
          <w:rFonts w:eastAsia="Calibri" w:cs="Times New Roman"/>
          <w:szCs w:val="20"/>
          <w:lang w:val="en-US"/>
        </w:rPr>
        <w:t xml:space="preserve"> punishment</w:t>
      </w:r>
      <w:r w:rsidR="006F1D1C" w:rsidRPr="007B2402">
        <w:rPr>
          <w:rFonts w:eastAsia="Calibri" w:cs="Times New Roman"/>
          <w:szCs w:val="20"/>
          <w:lang w:val="en-US"/>
        </w:rPr>
        <w:t>.</w:t>
      </w:r>
      <w:r w:rsidR="003D4DEF" w:rsidRPr="007B2402">
        <w:rPr>
          <w:rFonts w:eastAsia="Calibri" w:cs="Times New Roman"/>
          <w:szCs w:val="20"/>
          <w:lang w:val="en-US"/>
        </w:rPr>
        <w:t>”</w:t>
      </w:r>
    </w:p>
    <w:p w14:paraId="10EEF6D7" w14:textId="77777777" w:rsidR="000744A8" w:rsidRPr="007B2402" w:rsidRDefault="000744A8" w:rsidP="000744A8">
      <w:pPr>
        <w:spacing w:after="0" w:line="240" w:lineRule="auto"/>
        <w:jc w:val="both"/>
        <w:rPr>
          <w:rFonts w:eastAsia="Calibri" w:cs="Times New Roman"/>
          <w:szCs w:val="20"/>
          <w:lang w:val="en-US"/>
        </w:rPr>
      </w:pPr>
    </w:p>
    <w:p w14:paraId="3A805CEA" w14:textId="6C3C083C" w:rsidR="000744A8" w:rsidRPr="007B2402" w:rsidRDefault="00976592" w:rsidP="00976592">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lastRenderedPageBreak/>
        <w:t>Based on</w:t>
      </w:r>
      <w:r w:rsidR="000744A8" w:rsidRPr="007B2402">
        <w:rPr>
          <w:rFonts w:eastAsia="Calibri" w:cs="Times New Roman"/>
          <w:szCs w:val="20"/>
          <w:lang w:val="en-US"/>
        </w:rPr>
        <w:t xml:space="preserve"> </w:t>
      </w:r>
      <w:r w:rsidRPr="007B2402">
        <w:rPr>
          <w:rFonts w:eastAsia="Calibri" w:cs="Times New Roman"/>
          <w:szCs w:val="20"/>
          <w:lang w:val="en-US"/>
        </w:rPr>
        <w:t xml:space="preserve">the absolute prohibition of </w:t>
      </w:r>
      <w:r w:rsidR="00955D71" w:rsidRPr="007B2402">
        <w:rPr>
          <w:rFonts w:eastAsia="Calibri" w:cs="Times New Roman"/>
          <w:szCs w:val="20"/>
          <w:lang w:val="en-US"/>
        </w:rPr>
        <w:t>crimes under international</w:t>
      </w:r>
      <w:r w:rsidRPr="007B2402">
        <w:rPr>
          <w:rFonts w:eastAsia="Calibri" w:cs="Times New Roman"/>
          <w:szCs w:val="20"/>
          <w:lang w:val="en-US"/>
        </w:rPr>
        <w:t xml:space="preserve"> law and crimes against humanity, the Court agrees with expert witnesses Roth-Arriaza and Mendez that valid expectations of legal certainty were never created for the perpetrators of such conducts because the crimes were already prohibited by domestic and international law when they were committed. Furthermore, the </w:t>
      </w:r>
      <w:r w:rsidRPr="007B2402">
        <w:rPr>
          <w:rFonts w:eastAsia="Calibri" w:cs="Times New Roman"/>
          <w:i/>
          <w:iCs/>
          <w:szCs w:val="20"/>
          <w:lang w:val="en-US"/>
        </w:rPr>
        <w:t>pro reo</w:t>
      </w:r>
      <w:r w:rsidRPr="007B2402">
        <w:rPr>
          <w:rFonts w:eastAsia="Calibri" w:cs="Times New Roman"/>
          <w:szCs w:val="20"/>
          <w:lang w:val="en-US"/>
        </w:rPr>
        <w:t xml:space="preserve"> principle i</w:t>
      </w:r>
      <w:r w:rsidR="005F6D5A" w:rsidRPr="007B2402">
        <w:rPr>
          <w:rFonts w:eastAsia="Calibri" w:cs="Times New Roman"/>
          <w:szCs w:val="20"/>
          <w:lang w:val="en-US"/>
        </w:rPr>
        <w:t>s</w:t>
      </w:r>
      <w:r w:rsidRPr="007B2402">
        <w:rPr>
          <w:rFonts w:eastAsia="Calibri" w:cs="Times New Roman"/>
          <w:szCs w:val="20"/>
          <w:lang w:val="en-US"/>
        </w:rPr>
        <w:t xml:space="preserve"> not applicable or violated because there was never any legitimate expectation of amnesty or statutory limitations that would result in a legitimate expectation of finality.</w:t>
      </w:r>
      <w:r w:rsidR="00E25AF5" w:rsidRPr="007B2402">
        <w:rPr>
          <w:rFonts w:eastAsia="Calibri" w:cs="Times New Roman"/>
          <w:szCs w:val="20"/>
          <w:vertAlign w:val="superscript"/>
          <w:lang w:val="en-US"/>
        </w:rPr>
        <w:footnoteReference w:id="362"/>
      </w:r>
      <w:r w:rsidRPr="007B2402">
        <w:rPr>
          <w:rFonts w:eastAsia="Calibri" w:cs="Times New Roman"/>
          <w:szCs w:val="20"/>
          <w:lang w:val="en-US"/>
        </w:rPr>
        <w:t xml:space="preserve"> The only expectation that effectively existed was the operation of the system of concealment and protection of the security forces</w:t>
      </w:r>
      <w:r w:rsidR="005F6D5A" w:rsidRPr="007B2402">
        <w:rPr>
          <w:rFonts w:eastAsia="Calibri" w:cs="Times New Roman"/>
          <w:szCs w:val="20"/>
          <w:lang w:val="en-US"/>
        </w:rPr>
        <w:t>’ executioners</w:t>
      </w:r>
      <w:r w:rsidRPr="007B2402">
        <w:rPr>
          <w:rFonts w:eastAsia="Calibri" w:cs="Times New Roman"/>
          <w:szCs w:val="20"/>
          <w:lang w:val="en-US"/>
        </w:rPr>
        <w:t xml:space="preserve">. The Court cannot consider this expectation legitimate and sufficient to disregard a peremptory norm of </w:t>
      </w:r>
      <w:r w:rsidR="002F0987" w:rsidRPr="007B2402">
        <w:rPr>
          <w:rFonts w:eastAsia="Calibri" w:cs="Times New Roman"/>
          <w:szCs w:val="20"/>
          <w:lang w:val="en-US"/>
        </w:rPr>
        <w:t>international law</w:t>
      </w:r>
      <w:r w:rsidR="000744A8" w:rsidRPr="007B2402">
        <w:rPr>
          <w:rFonts w:eastAsia="Calibri" w:cs="Times New Roman"/>
          <w:szCs w:val="20"/>
          <w:lang w:val="en-US"/>
        </w:rPr>
        <w:t xml:space="preserve">. </w:t>
      </w:r>
    </w:p>
    <w:p w14:paraId="6979496F" w14:textId="77777777" w:rsidR="000744A8" w:rsidRPr="007B2402" w:rsidRDefault="000744A8" w:rsidP="000744A8">
      <w:pPr>
        <w:spacing w:after="0" w:line="240" w:lineRule="auto"/>
        <w:jc w:val="both"/>
        <w:rPr>
          <w:rFonts w:eastAsia="Calibri" w:cs="Times New Roman"/>
          <w:szCs w:val="20"/>
          <w:lang w:val="en-US"/>
        </w:rPr>
      </w:pPr>
    </w:p>
    <w:p w14:paraId="6D030BA7" w14:textId="285337A3" w:rsidR="000744A8" w:rsidRPr="007B2402" w:rsidRDefault="005F6D5A" w:rsidP="00976592">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In addition</w:t>
      </w:r>
      <w:r w:rsidR="00976592" w:rsidRPr="007B2402">
        <w:rPr>
          <w:rFonts w:eastAsia="Calibri" w:cs="Times New Roman"/>
          <w:szCs w:val="20"/>
          <w:lang w:val="en-US"/>
        </w:rPr>
        <w:t xml:space="preserve">, </w:t>
      </w:r>
      <w:r w:rsidR="00AF4344" w:rsidRPr="007B2402">
        <w:rPr>
          <w:rFonts w:eastAsia="Calibri" w:cs="Times New Roman"/>
          <w:szCs w:val="20"/>
          <w:lang w:val="en-US"/>
        </w:rPr>
        <w:t>the Court</w:t>
      </w:r>
      <w:r w:rsidR="000744A8" w:rsidRPr="007B2402">
        <w:rPr>
          <w:rFonts w:eastAsia="Calibri" w:cs="Times New Roman"/>
          <w:szCs w:val="20"/>
          <w:lang w:val="en-US"/>
        </w:rPr>
        <w:t xml:space="preserve"> reitera</w:t>
      </w:r>
      <w:r w:rsidR="00976592" w:rsidRPr="007B2402">
        <w:rPr>
          <w:rFonts w:eastAsia="Calibri" w:cs="Times New Roman"/>
          <w:szCs w:val="20"/>
          <w:lang w:val="en-US"/>
        </w:rPr>
        <w:t>tes that the alleged “failure to define</w:t>
      </w:r>
      <w:r w:rsidR="000744A8" w:rsidRPr="007B2402">
        <w:rPr>
          <w:rFonts w:eastAsia="Calibri" w:cs="Times New Roman"/>
          <w:szCs w:val="20"/>
          <w:lang w:val="en-US"/>
        </w:rPr>
        <w:t xml:space="preserve"> </w:t>
      </w:r>
      <w:r w:rsidR="00810476" w:rsidRPr="007B2402">
        <w:rPr>
          <w:rFonts w:eastAsia="Calibri" w:cs="Times New Roman"/>
          <w:szCs w:val="20"/>
          <w:lang w:val="en-US"/>
        </w:rPr>
        <w:t>crimes against humanity</w:t>
      </w:r>
      <w:r w:rsidR="000744A8" w:rsidRPr="007B2402">
        <w:rPr>
          <w:rFonts w:eastAsia="Calibri" w:cs="Times New Roman"/>
          <w:szCs w:val="20"/>
          <w:lang w:val="en-US"/>
        </w:rPr>
        <w:t xml:space="preserve">” </w:t>
      </w:r>
      <w:r w:rsidR="00976592" w:rsidRPr="007B2402">
        <w:rPr>
          <w:rFonts w:eastAsia="Calibri" w:cs="Times New Roman"/>
          <w:szCs w:val="20"/>
          <w:lang w:val="en-US"/>
        </w:rPr>
        <w:t xml:space="preserve">in domestic law has no impact on the obligation to investigate, prosecute and punish the perpetrators. This is because a crime against humanity is not a </w:t>
      </w:r>
      <w:r w:rsidR="00FA6BC9" w:rsidRPr="007B2402">
        <w:rPr>
          <w:rFonts w:eastAsia="Calibri" w:cs="Times New Roman"/>
          <w:szCs w:val="20"/>
          <w:lang w:val="en-US"/>
        </w:rPr>
        <w:t xml:space="preserve">criminal offense, as such, but rather a classification of criminal conducts that were already </w:t>
      </w:r>
      <w:r w:rsidRPr="007B2402">
        <w:rPr>
          <w:rFonts w:eastAsia="Calibri" w:cs="Times New Roman"/>
          <w:szCs w:val="20"/>
          <w:lang w:val="en-US"/>
        </w:rPr>
        <w:t>defined</w:t>
      </w:r>
      <w:r w:rsidR="00FA6BC9" w:rsidRPr="007B2402">
        <w:rPr>
          <w:rFonts w:eastAsia="Calibri" w:cs="Times New Roman"/>
          <w:szCs w:val="20"/>
          <w:lang w:val="en-US"/>
        </w:rPr>
        <w:t xml:space="preserve"> in all legal systems: torture (or its equivalent), and murder/homicide. The impact of classifying these conducts as a crime against humanity is to prevent the application of procedural devices that exclude responsibility </w:t>
      </w:r>
      <w:r w:rsidRPr="007B2402">
        <w:rPr>
          <w:rFonts w:eastAsia="Calibri" w:cs="Times New Roman"/>
          <w:szCs w:val="20"/>
          <w:lang w:val="en-US"/>
        </w:rPr>
        <w:t>owing to</w:t>
      </w:r>
      <w:r w:rsidR="00FA6BC9" w:rsidRPr="007B2402">
        <w:rPr>
          <w:rFonts w:eastAsia="Calibri" w:cs="Times New Roman"/>
          <w:szCs w:val="20"/>
          <w:lang w:val="en-US"/>
        </w:rPr>
        <w:t xml:space="preserve"> the </w:t>
      </w:r>
      <w:r w:rsidR="00FA6BC9" w:rsidRPr="007B2402">
        <w:rPr>
          <w:rFonts w:eastAsia="Calibri" w:cs="Times New Roman"/>
          <w:i/>
          <w:szCs w:val="20"/>
          <w:lang w:val="en-US"/>
        </w:rPr>
        <w:t xml:space="preserve">jus cogens </w:t>
      </w:r>
      <w:r w:rsidR="00FA6BC9" w:rsidRPr="007B2402">
        <w:rPr>
          <w:rFonts w:eastAsia="Calibri" w:cs="Times New Roman"/>
          <w:szCs w:val="20"/>
          <w:lang w:val="en-US"/>
        </w:rPr>
        <w:t>nature of the prohibition of such conducts. It is not a new offen</w:t>
      </w:r>
      <w:r w:rsidRPr="007B2402">
        <w:rPr>
          <w:rFonts w:eastAsia="Calibri" w:cs="Times New Roman"/>
          <w:szCs w:val="20"/>
          <w:lang w:val="en-US"/>
        </w:rPr>
        <w:t>s</w:t>
      </w:r>
      <w:r w:rsidR="00FA6BC9" w:rsidRPr="007B2402">
        <w:rPr>
          <w:rFonts w:eastAsia="Calibri" w:cs="Times New Roman"/>
          <w:szCs w:val="20"/>
          <w:lang w:val="en-US"/>
        </w:rPr>
        <w:t xml:space="preserve">e. Therefore, the Court finds that the position of the Brazilian Federal Public Prosecution Service was appropriate </w:t>
      </w:r>
      <w:r w:rsidR="005A769B" w:rsidRPr="007B2402">
        <w:rPr>
          <w:rFonts w:eastAsia="Calibri" w:cs="Times New Roman"/>
          <w:szCs w:val="20"/>
          <w:lang w:val="en-US"/>
        </w:rPr>
        <w:t>when indicating that there was a</w:t>
      </w:r>
      <w:r w:rsidR="00FA6BC9" w:rsidRPr="007B2402">
        <w:rPr>
          <w:rFonts w:eastAsia="Calibri" w:cs="Times New Roman"/>
          <w:szCs w:val="20"/>
          <w:lang w:val="en-US"/>
        </w:rPr>
        <w:t xml:space="preserve"> doubl</w:t>
      </w:r>
      <w:r w:rsidR="005A769B" w:rsidRPr="007B2402">
        <w:rPr>
          <w:rFonts w:eastAsia="Calibri" w:cs="Times New Roman"/>
          <w:szCs w:val="20"/>
          <w:lang w:val="en-US"/>
        </w:rPr>
        <w:t>e</w:t>
      </w:r>
      <w:r w:rsidR="00FA6BC9" w:rsidRPr="007B2402">
        <w:rPr>
          <w:rFonts w:eastAsia="Calibri" w:cs="Times New Roman"/>
          <w:szCs w:val="20"/>
          <w:lang w:val="en-US"/>
        </w:rPr>
        <w:t xml:space="preserve"> subsumption; that is, that the unlawful act </w:t>
      </w:r>
      <w:r w:rsidR="005A769B" w:rsidRPr="007B2402">
        <w:rPr>
          <w:rFonts w:eastAsia="Calibri" w:cs="Times New Roman"/>
          <w:szCs w:val="20"/>
          <w:lang w:val="en-US"/>
        </w:rPr>
        <w:t>should be</w:t>
      </w:r>
      <w:r w:rsidR="00FA6BC9" w:rsidRPr="007B2402">
        <w:rPr>
          <w:rFonts w:eastAsia="Calibri" w:cs="Times New Roman"/>
          <w:szCs w:val="20"/>
          <w:lang w:val="en-US"/>
        </w:rPr>
        <w:t xml:space="preserve"> established in both domestic law and international law. In the case of </w:t>
      </w:r>
      <w:r w:rsidR="00955D71" w:rsidRPr="007B2402">
        <w:rPr>
          <w:rFonts w:eastAsia="Calibri" w:cs="Times New Roman"/>
          <w:szCs w:val="20"/>
          <w:lang w:val="en-US"/>
        </w:rPr>
        <w:t>crimes under international</w:t>
      </w:r>
      <w:r w:rsidR="00FA6BC9" w:rsidRPr="007B2402">
        <w:rPr>
          <w:rFonts w:eastAsia="Calibri" w:cs="Times New Roman"/>
          <w:szCs w:val="20"/>
          <w:lang w:val="en-US"/>
        </w:rPr>
        <w:t xml:space="preserve"> law and crimes against humanity, the international element refers to the planned, massive or systematic nature of the attack on the civilian population. That second element, aris</w:t>
      </w:r>
      <w:r w:rsidR="005A769B" w:rsidRPr="007B2402">
        <w:rPr>
          <w:rFonts w:eastAsia="Calibri" w:cs="Times New Roman"/>
          <w:szCs w:val="20"/>
          <w:lang w:val="en-US"/>
        </w:rPr>
        <w:t>ing</w:t>
      </w:r>
      <w:r w:rsidR="00FA6BC9" w:rsidRPr="007B2402">
        <w:rPr>
          <w:rFonts w:eastAsia="Calibri" w:cs="Times New Roman"/>
          <w:szCs w:val="20"/>
          <w:lang w:val="en-US"/>
        </w:rPr>
        <w:t xml:space="preserve"> from international law, is what justifies the prohibition to apply </w:t>
      </w:r>
      <w:r w:rsidR="005A769B" w:rsidRPr="007B2402">
        <w:rPr>
          <w:rFonts w:eastAsia="Calibri" w:cs="Times New Roman"/>
          <w:szCs w:val="20"/>
          <w:lang w:val="en-US"/>
        </w:rPr>
        <w:t>devices</w:t>
      </w:r>
      <w:r w:rsidR="00FA6BC9" w:rsidRPr="007B2402">
        <w:rPr>
          <w:rFonts w:eastAsia="Calibri" w:cs="Times New Roman"/>
          <w:szCs w:val="20"/>
          <w:lang w:val="en-US"/>
        </w:rPr>
        <w:t xml:space="preserve"> that exclude responsibility</w:t>
      </w:r>
      <w:r w:rsidR="000744A8" w:rsidRPr="007B2402">
        <w:rPr>
          <w:rFonts w:eastAsia="Calibri" w:cs="Times New Roman"/>
          <w:szCs w:val="20"/>
          <w:lang w:val="en-US"/>
        </w:rPr>
        <w:t xml:space="preserve"> (</w:t>
      </w:r>
      <w:r w:rsidR="000744A8" w:rsidRPr="007B2402">
        <w:rPr>
          <w:rFonts w:eastAsia="Calibri" w:cs="Times New Roman"/>
          <w:i/>
          <w:szCs w:val="20"/>
          <w:lang w:val="en-US"/>
        </w:rPr>
        <w:t xml:space="preserve">supra </w:t>
      </w:r>
      <w:r w:rsidR="00892CA3" w:rsidRPr="007B2402">
        <w:rPr>
          <w:rFonts w:eastAsia="Calibri" w:cs="Times New Roman"/>
          <w:szCs w:val="20"/>
          <w:lang w:val="en-US"/>
        </w:rPr>
        <w:t>paras.</w:t>
      </w:r>
      <w:r w:rsidR="000744A8" w:rsidRPr="007B2402">
        <w:rPr>
          <w:rFonts w:eastAsia="Calibri" w:cs="Times New Roman"/>
          <w:szCs w:val="20"/>
          <w:lang w:val="en-US"/>
        </w:rPr>
        <w:t xml:space="preserve"> </w:t>
      </w:r>
      <w:r w:rsidR="00CC5A6A" w:rsidRPr="007B2402">
        <w:rPr>
          <w:rFonts w:eastAsia="Calibri" w:cs="Times New Roman"/>
          <w:szCs w:val="20"/>
          <w:lang w:val="en-US"/>
        </w:rPr>
        <w:t xml:space="preserve">229 </w:t>
      </w:r>
      <w:r w:rsidR="00DF4187" w:rsidRPr="007B2402">
        <w:rPr>
          <w:rFonts w:eastAsia="Calibri" w:cs="Times New Roman"/>
          <w:szCs w:val="20"/>
          <w:lang w:val="en-US"/>
        </w:rPr>
        <w:t>to</w:t>
      </w:r>
      <w:r w:rsidR="00CC5A6A" w:rsidRPr="007B2402">
        <w:rPr>
          <w:rFonts w:eastAsia="Calibri" w:cs="Times New Roman"/>
          <w:szCs w:val="20"/>
          <w:lang w:val="en-US"/>
        </w:rPr>
        <w:t xml:space="preserve"> 231</w:t>
      </w:r>
      <w:r w:rsidR="000744A8" w:rsidRPr="007B2402">
        <w:rPr>
          <w:rFonts w:eastAsia="Calibri" w:cs="Times New Roman"/>
          <w:szCs w:val="20"/>
          <w:lang w:val="en-US"/>
        </w:rPr>
        <w:t xml:space="preserve">). </w:t>
      </w:r>
    </w:p>
    <w:p w14:paraId="28E2E7D3" w14:textId="77777777" w:rsidR="000744A8" w:rsidRPr="007B2402" w:rsidRDefault="000744A8" w:rsidP="000744A8">
      <w:pPr>
        <w:spacing w:after="0" w:line="240" w:lineRule="auto"/>
        <w:jc w:val="both"/>
        <w:rPr>
          <w:rFonts w:eastAsia="Calibri" w:cs="Times New Roman"/>
          <w:szCs w:val="20"/>
          <w:lang w:val="en-US"/>
        </w:rPr>
      </w:pPr>
    </w:p>
    <w:p w14:paraId="0B84AD8D" w14:textId="1F544A20" w:rsidR="000744A8" w:rsidRPr="007B2402" w:rsidRDefault="00B520AC" w:rsidP="00C2286D">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The European Court of Human Rights</w:t>
      </w:r>
      <w:r w:rsidR="001B7521" w:rsidRPr="007B2402">
        <w:rPr>
          <w:rFonts w:eastAsia="Calibri" w:cs="Times New Roman"/>
          <w:szCs w:val="20"/>
          <w:lang w:val="en-US"/>
        </w:rPr>
        <w:t xml:space="preserve"> </w:t>
      </w:r>
      <w:r w:rsidR="00FA6BC9" w:rsidRPr="007B2402">
        <w:rPr>
          <w:rFonts w:eastAsia="Calibri" w:cs="Times New Roman"/>
          <w:szCs w:val="20"/>
          <w:lang w:val="en-US"/>
        </w:rPr>
        <w:t>has ruled similarly,</w:t>
      </w:r>
      <w:r w:rsidR="001B7521" w:rsidRPr="007B2402">
        <w:rPr>
          <w:rStyle w:val="Refdenotaalpie"/>
          <w:rFonts w:ascii="Verdana" w:eastAsia="Calibri" w:hAnsi="Verdana"/>
          <w:lang w:val="en-US"/>
        </w:rPr>
        <w:footnoteReference w:id="363"/>
      </w:r>
      <w:r w:rsidR="00FA6BC9" w:rsidRPr="007B2402">
        <w:rPr>
          <w:rFonts w:eastAsia="Calibri" w:cs="Times New Roman"/>
          <w:szCs w:val="20"/>
          <w:lang w:val="en-US"/>
        </w:rPr>
        <w:t xml:space="preserve"> asser</w:t>
      </w:r>
      <w:r w:rsidR="006E2890" w:rsidRPr="007B2402">
        <w:rPr>
          <w:rFonts w:eastAsia="Calibri" w:cs="Times New Roman"/>
          <w:szCs w:val="20"/>
          <w:lang w:val="en-US"/>
        </w:rPr>
        <w:t>t</w:t>
      </w:r>
      <w:r w:rsidR="00FA6BC9" w:rsidRPr="007B2402">
        <w:rPr>
          <w:rFonts w:eastAsia="Calibri" w:cs="Times New Roman"/>
          <w:szCs w:val="20"/>
          <w:lang w:val="en-US"/>
        </w:rPr>
        <w:t>ing that, taking into account the flagrantly il</w:t>
      </w:r>
      <w:r w:rsidR="006E2890" w:rsidRPr="007B2402">
        <w:rPr>
          <w:rFonts w:eastAsia="Calibri" w:cs="Times New Roman"/>
          <w:szCs w:val="20"/>
          <w:lang w:val="en-US"/>
        </w:rPr>
        <w:t>l</w:t>
      </w:r>
      <w:r w:rsidR="00FA6BC9" w:rsidRPr="007B2402">
        <w:rPr>
          <w:rFonts w:eastAsia="Calibri" w:cs="Times New Roman"/>
          <w:szCs w:val="20"/>
          <w:lang w:val="en-US"/>
        </w:rPr>
        <w:t>egal c</w:t>
      </w:r>
      <w:r w:rsidR="006E2890" w:rsidRPr="007B2402">
        <w:rPr>
          <w:rFonts w:eastAsia="Calibri" w:cs="Times New Roman"/>
          <w:szCs w:val="20"/>
          <w:lang w:val="en-US"/>
        </w:rPr>
        <w:t>hara</w:t>
      </w:r>
      <w:r w:rsidR="00FA6BC9" w:rsidRPr="007B2402">
        <w:rPr>
          <w:rFonts w:eastAsia="Calibri" w:cs="Times New Roman"/>
          <w:szCs w:val="20"/>
          <w:lang w:val="en-US"/>
        </w:rPr>
        <w:t xml:space="preserve">cter of </w:t>
      </w:r>
      <w:r w:rsidR="006E2890" w:rsidRPr="007B2402">
        <w:rPr>
          <w:rFonts w:eastAsia="Calibri" w:cs="Times New Roman"/>
          <w:szCs w:val="20"/>
          <w:lang w:val="en-US"/>
        </w:rPr>
        <w:t xml:space="preserve">the </w:t>
      </w:r>
      <w:r w:rsidR="00FA6BC9" w:rsidRPr="007B2402">
        <w:rPr>
          <w:rFonts w:eastAsia="Calibri" w:cs="Times New Roman"/>
          <w:szCs w:val="20"/>
          <w:lang w:val="en-US"/>
        </w:rPr>
        <w:t xml:space="preserve">ill-treatment and murders that occurred in </w:t>
      </w:r>
      <w:r w:rsidR="001B7521" w:rsidRPr="007B2402">
        <w:rPr>
          <w:rFonts w:eastAsia="Calibri" w:cs="Times New Roman"/>
          <w:szCs w:val="20"/>
          <w:lang w:val="en-US"/>
        </w:rPr>
        <w:t xml:space="preserve">1944, </w:t>
      </w:r>
      <w:r w:rsidR="006E2890" w:rsidRPr="007B2402">
        <w:rPr>
          <w:rFonts w:eastAsia="Calibri" w:cs="Times New Roman"/>
          <w:szCs w:val="20"/>
          <w:lang w:val="en-US"/>
        </w:rPr>
        <w:t xml:space="preserve">the applicant could have predicted that the contested acts could be classified as war crimes and that, regardless of whether the crime was defined in domestic law, it was not possible to ignore the unlawful nature of </w:t>
      </w:r>
      <w:r w:rsidR="00810476" w:rsidRPr="007B2402">
        <w:rPr>
          <w:rFonts w:eastAsia="Calibri" w:cs="Times New Roman"/>
          <w:szCs w:val="20"/>
          <w:lang w:val="en-US"/>
        </w:rPr>
        <w:t>crimes against humanity</w:t>
      </w:r>
      <w:r w:rsidR="006E2890" w:rsidRPr="007B2402">
        <w:rPr>
          <w:rFonts w:eastAsia="Calibri" w:cs="Times New Roman"/>
          <w:szCs w:val="20"/>
          <w:lang w:val="en-US"/>
        </w:rPr>
        <w:t>.</w:t>
      </w:r>
      <w:r w:rsidR="001B7521" w:rsidRPr="007B2402">
        <w:rPr>
          <w:rFonts w:eastAsia="Calibri" w:cs="Times New Roman"/>
          <w:szCs w:val="20"/>
          <w:vertAlign w:val="superscript"/>
          <w:lang w:val="en-US"/>
        </w:rPr>
        <w:footnoteReference w:id="364"/>
      </w:r>
      <w:r w:rsidR="001B7521" w:rsidRPr="007B2402">
        <w:rPr>
          <w:rFonts w:eastAsia="Calibri" w:cs="Times New Roman"/>
          <w:szCs w:val="20"/>
          <w:lang w:val="en-US"/>
        </w:rPr>
        <w:t xml:space="preserve"> </w:t>
      </w:r>
      <w:r w:rsidR="006E2890" w:rsidRPr="007B2402">
        <w:rPr>
          <w:rFonts w:eastAsia="Calibri" w:cs="Times New Roman"/>
          <w:szCs w:val="20"/>
          <w:lang w:val="en-US"/>
        </w:rPr>
        <w:t>The United Nations Human Rights Committee has also declared th</w:t>
      </w:r>
      <w:r w:rsidR="00EF4044" w:rsidRPr="007B2402">
        <w:rPr>
          <w:rFonts w:eastAsia="Calibri" w:cs="Times New Roman"/>
          <w:szCs w:val="20"/>
          <w:lang w:val="en-US"/>
        </w:rPr>
        <w:t>at “crimes against humanity are not subject to a statute of limitations.</w:t>
      </w:r>
      <w:r w:rsidR="001B7521" w:rsidRPr="007B2402">
        <w:rPr>
          <w:rFonts w:eastAsia="Calibri" w:cs="Times New Roman"/>
          <w:szCs w:val="20"/>
          <w:vertAlign w:val="superscript"/>
          <w:lang w:val="en-US"/>
        </w:rPr>
        <w:footnoteReference w:id="365"/>
      </w:r>
      <w:r w:rsidR="001B7521" w:rsidRPr="007B2402">
        <w:rPr>
          <w:rFonts w:eastAsia="Calibri" w:cs="Times New Roman"/>
          <w:szCs w:val="20"/>
          <w:lang w:val="en-US"/>
        </w:rPr>
        <w:t xml:space="preserve"> </w:t>
      </w:r>
      <w:r w:rsidR="00EF4044" w:rsidRPr="007B2402">
        <w:rPr>
          <w:rFonts w:eastAsia="Calibri" w:cs="Times New Roman"/>
          <w:szCs w:val="20"/>
          <w:lang w:val="en-US"/>
        </w:rPr>
        <w:t>Th</w:t>
      </w:r>
      <w:r w:rsidR="00494567" w:rsidRPr="007B2402">
        <w:rPr>
          <w:rFonts w:eastAsia="Calibri" w:cs="Times New Roman"/>
          <w:szCs w:val="20"/>
          <w:lang w:val="en-US"/>
        </w:rPr>
        <w:t>is</w:t>
      </w:r>
      <w:r w:rsidR="00EF4044" w:rsidRPr="007B2402">
        <w:rPr>
          <w:rFonts w:eastAsia="Calibri" w:cs="Times New Roman"/>
          <w:szCs w:val="20"/>
          <w:lang w:val="en-US"/>
        </w:rPr>
        <w:t xml:space="preserve"> same conclusion</w:t>
      </w:r>
      <w:r w:rsidR="00494567" w:rsidRPr="007B2402">
        <w:rPr>
          <w:rFonts w:eastAsia="Calibri" w:cs="Times New Roman"/>
          <w:szCs w:val="20"/>
          <w:lang w:val="en-US"/>
        </w:rPr>
        <w:t xml:space="preserve"> on crimes against humanity applies,</w:t>
      </w:r>
      <w:r w:rsidR="001B7521" w:rsidRPr="007B2402">
        <w:rPr>
          <w:rFonts w:eastAsia="Calibri" w:cs="Times New Roman"/>
          <w:szCs w:val="20"/>
          <w:lang w:val="en-US"/>
        </w:rPr>
        <w:t xml:space="preserve"> </w:t>
      </w:r>
      <w:r w:rsidR="001B7521" w:rsidRPr="007B2402">
        <w:rPr>
          <w:rFonts w:eastAsia="Calibri" w:cs="Times New Roman"/>
          <w:i/>
          <w:szCs w:val="20"/>
          <w:lang w:val="en-US"/>
        </w:rPr>
        <w:t>mutatis mutandi</w:t>
      </w:r>
      <w:r w:rsidR="001B7521" w:rsidRPr="007B2402">
        <w:rPr>
          <w:rFonts w:eastAsia="Calibri" w:cs="Times New Roman"/>
          <w:szCs w:val="20"/>
          <w:lang w:val="en-US"/>
        </w:rPr>
        <w:t xml:space="preserve">, </w:t>
      </w:r>
      <w:r w:rsidR="00494567" w:rsidRPr="007B2402">
        <w:rPr>
          <w:rFonts w:eastAsia="Calibri" w:cs="Times New Roman"/>
          <w:szCs w:val="20"/>
          <w:lang w:val="en-US"/>
        </w:rPr>
        <w:t xml:space="preserve">to </w:t>
      </w:r>
      <w:r w:rsidR="00EF4044" w:rsidRPr="007B2402">
        <w:rPr>
          <w:rFonts w:eastAsia="Calibri" w:cs="Times New Roman"/>
          <w:szCs w:val="20"/>
          <w:lang w:val="en-US"/>
        </w:rPr>
        <w:t xml:space="preserve">the acts perpetrated against </w:t>
      </w:r>
      <w:r w:rsidR="001B7521" w:rsidRPr="007B2402">
        <w:rPr>
          <w:rFonts w:eastAsia="Calibri" w:cs="Times New Roman"/>
          <w:szCs w:val="20"/>
          <w:lang w:val="en-US"/>
        </w:rPr>
        <w:t>Vladimir Herzog</w:t>
      </w:r>
      <w:r w:rsidR="00494567" w:rsidRPr="007B2402">
        <w:rPr>
          <w:rFonts w:eastAsia="Calibri" w:cs="Times New Roman"/>
          <w:szCs w:val="20"/>
          <w:lang w:val="en-US"/>
        </w:rPr>
        <w:t xml:space="preserve"> in view of their seriousness</w:t>
      </w:r>
      <w:r w:rsidR="005B1590" w:rsidRPr="007B2402">
        <w:rPr>
          <w:rFonts w:eastAsia="Calibri" w:cs="Times New Roman"/>
          <w:szCs w:val="20"/>
          <w:lang w:val="en-US"/>
        </w:rPr>
        <w:t xml:space="preserve"> and </w:t>
      </w:r>
      <w:r w:rsidR="00EF4044" w:rsidRPr="007B2402">
        <w:rPr>
          <w:rFonts w:eastAsia="Calibri" w:cs="Times New Roman"/>
          <w:szCs w:val="20"/>
          <w:lang w:val="en-US"/>
        </w:rPr>
        <w:t xml:space="preserve">the context in which they took place. </w:t>
      </w:r>
    </w:p>
    <w:p w14:paraId="65BD87F8" w14:textId="77777777" w:rsidR="00EF4044" w:rsidRPr="007B2402" w:rsidRDefault="00EF4044" w:rsidP="00EF4044">
      <w:pPr>
        <w:spacing w:after="0" w:line="240" w:lineRule="auto"/>
        <w:jc w:val="both"/>
        <w:rPr>
          <w:rFonts w:eastAsia="Calibri" w:cs="Times New Roman"/>
          <w:szCs w:val="20"/>
          <w:lang w:val="en-US"/>
        </w:rPr>
      </w:pPr>
    </w:p>
    <w:p w14:paraId="7C02C36D" w14:textId="5F801110" w:rsidR="000744A8" w:rsidRPr="007B2402" w:rsidRDefault="00EF4044" w:rsidP="00DB1F30">
      <w:pPr>
        <w:numPr>
          <w:ilvl w:val="0"/>
          <w:numId w:val="6"/>
        </w:numPr>
        <w:spacing w:after="0" w:line="240" w:lineRule="auto"/>
        <w:jc w:val="both"/>
        <w:rPr>
          <w:rFonts w:eastAsia="Calibri" w:cs="Times New Roman"/>
          <w:szCs w:val="20"/>
          <w:lang w:val="en-US"/>
        </w:rPr>
      </w:pPr>
      <w:r w:rsidRPr="007B2402">
        <w:rPr>
          <w:rFonts w:eastAsia="Calibri" w:cs="Times New Roman"/>
          <w:szCs w:val="20"/>
          <w:lang w:val="en-US"/>
        </w:rPr>
        <w:t xml:space="preserve">Based on the above, the Court finds that the State cannot argue the inexistence of domestic laws, or incompatibility with domestic law </w:t>
      </w:r>
      <w:r w:rsidR="00494567" w:rsidRPr="007B2402">
        <w:rPr>
          <w:rFonts w:eastAsia="Calibri" w:cs="Times New Roman"/>
          <w:szCs w:val="20"/>
          <w:lang w:val="en-US"/>
        </w:rPr>
        <w:t>in order</w:t>
      </w:r>
      <w:r w:rsidRPr="007B2402">
        <w:rPr>
          <w:rFonts w:eastAsia="Calibri" w:cs="Times New Roman"/>
          <w:szCs w:val="20"/>
          <w:lang w:val="en-US"/>
        </w:rPr>
        <w:t xml:space="preserve"> not</w:t>
      </w:r>
      <w:r w:rsidR="00494567" w:rsidRPr="007B2402">
        <w:rPr>
          <w:rFonts w:eastAsia="Calibri" w:cs="Times New Roman"/>
          <w:szCs w:val="20"/>
          <w:lang w:val="en-US"/>
        </w:rPr>
        <w:t xml:space="preserve"> to</w:t>
      </w:r>
      <w:r w:rsidRPr="007B2402">
        <w:rPr>
          <w:rFonts w:eastAsia="Calibri" w:cs="Times New Roman"/>
          <w:szCs w:val="20"/>
          <w:lang w:val="en-US"/>
        </w:rPr>
        <w:t xml:space="preserve"> comply with a peremptory and non-derogable international obligation. The Court considers that the State failed to guarantee an effective judicial remedy to investigate, prosecute and punish those responsible for the detention, torture and death of</w:t>
      </w:r>
      <w:r w:rsidR="000744A8" w:rsidRPr="007B2402">
        <w:rPr>
          <w:rFonts w:eastAsia="Calibri" w:cs="Times New Roman"/>
          <w:szCs w:val="20"/>
          <w:lang w:val="en-US"/>
        </w:rPr>
        <w:t xml:space="preserve"> Vladimir Herzog. </w:t>
      </w:r>
    </w:p>
    <w:p w14:paraId="11101833" w14:textId="77777777" w:rsidR="000744A8" w:rsidRPr="007B2402" w:rsidRDefault="000744A8" w:rsidP="000744A8">
      <w:pPr>
        <w:spacing w:after="0" w:line="240" w:lineRule="auto"/>
        <w:jc w:val="both"/>
        <w:rPr>
          <w:rFonts w:eastAsia="Calibri" w:cs="Times New Roman"/>
          <w:szCs w:val="20"/>
          <w:lang w:val="en-US"/>
        </w:rPr>
      </w:pPr>
    </w:p>
    <w:p w14:paraId="317D09B6" w14:textId="214B136C" w:rsidR="000744A8" w:rsidRPr="007B2402" w:rsidRDefault="000744A8" w:rsidP="00E668B8">
      <w:pPr>
        <w:pStyle w:val="Ttulo3"/>
        <w:rPr>
          <w:lang w:val="en-US"/>
        </w:rPr>
      </w:pPr>
      <w:bookmarkStart w:id="169" w:name="_Toc506984125"/>
      <w:r w:rsidRPr="007B2402">
        <w:rPr>
          <w:lang w:val="en-US"/>
        </w:rPr>
        <w:t xml:space="preserve">B.5. </w:t>
      </w:r>
      <w:r w:rsidR="00AB475D" w:rsidRPr="007B2402">
        <w:rPr>
          <w:lang w:val="en-US"/>
        </w:rPr>
        <w:t>Conclusion</w:t>
      </w:r>
      <w:bookmarkEnd w:id="169"/>
    </w:p>
    <w:p w14:paraId="24EA52E7" w14:textId="77777777" w:rsidR="000744A8" w:rsidRPr="007B2402" w:rsidRDefault="000744A8" w:rsidP="000744A8">
      <w:pPr>
        <w:spacing w:after="0" w:line="240" w:lineRule="auto"/>
        <w:ind w:left="1080"/>
        <w:jc w:val="both"/>
        <w:rPr>
          <w:rFonts w:eastAsia="Calibri" w:cs="Times New Roman"/>
          <w:szCs w:val="20"/>
          <w:lang w:val="en-US"/>
        </w:rPr>
      </w:pPr>
    </w:p>
    <w:p w14:paraId="4C7B1BD8" w14:textId="7C2B9616" w:rsidR="00DB1F30" w:rsidRPr="007B2402" w:rsidRDefault="00EF4044" w:rsidP="00F8191E">
      <w:pPr>
        <w:numPr>
          <w:ilvl w:val="0"/>
          <w:numId w:val="6"/>
        </w:numPr>
        <w:spacing w:after="0" w:line="240" w:lineRule="auto"/>
        <w:jc w:val="both"/>
        <w:rPr>
          <w:rFonts w:eastAsia="Calibri" w:cs="Times New Roman"/>
          <w:szCs w:val="20"/>
          <w:lang w:val="en-US"/>
        </w:rPr>
      </w:pPr>
      <w:r w:rsidRPr="007B2402">
        <w:rPr>
          <w:rFonts w:eastAsia="Times New Roman" w:cs="Times New Roman"/>
          <w:szCs w:val="20"/>
          <w:lang w:val="en-US" w:eastAsia="en-GB"/>
        </w:rPr>
        <w:lastRenderedPageBreak/>
        <w:t>In this case</w:t>
      </w:r>
      <w:r w:rsidR="000744A8" w:rsidRPr="007B2402">
        <w:rPr>
          <w:rFonts w:eastAsia="Times New Roman" w:cs="Times New Roman"/>
          <w:szCs w:val="20"/>
          <w:lang w:val="en-US" w:eastAsia="en-GB"/>
        </w:rPr>
        <w:t xml:space="preserve">, </w:t>
      </w:r>
      <w:r w:rsidR="00F8191E" w:rsidRPr="007B2402">
        <w:rPr>
          <w:rFonts w:eastAsia="Times New Roman" w:cs="Times New Roman"/>
          <w:szCs w:val="20"/>
          <w:lang w:val="en-US" w:eastAsia="en-GB"/>
        </w:rPr>
        <w:t>the Court concludes that the State’s jurisdictional authorities who closed the investigation in 2008 and 2009 failed to exercise control of conventionality. Also, in</w:t>
      </w:r>
      <w:r w:rsidR="00494567" w:rsidRPr="007B2402">
        <w:rPr>
          <w:rFonts w:eastAsia="Times New Roman" w:cs="Times New Roman"/>
          <w:szCs w:val="20"/>
          <w:lang w:val="en-US" w:eastAsia="en-GB"/>
        </w:rPr>
        <w:t xml:space="preserve"> </w:t>
      </w:r>
      <w:r w:rsidR="00F8191E" w:rsidRPr="007B2402">
        <w:rPr>
          <w:rFonts w:eastAsia="Times New Roman" w:cs="Times New Roman"/>
          <w:szCs w:val="20"/>
          <w:lang w:val="en-US" w:eastAsia="en-GB"/>
        </w:rPr>
        <w:t xml:space="preserve">2010, the decision </w:t>
      </w:r>
      <w:r w:rsidR="00A8458F" w:rsidRPr="007B2402">
        <w:rPr>
          <w:rFonts w:eastAsia="Times New Roman" w:cs="Times New Roman"/>
          <w:szCs w:val="20"/>
          <w:lang w:val="en-US" w:eastAsia="en-GB"/>
        </w:rPr>
        <w:t xml:space="preserve">of the </w:t>
      </w:r>
      <w:r w:rsidR="001D7281" w:rsidRPr="007B2402">
        <w:rPr>
          <w:rFonts w:eastAsia="Times New Roman" w:cs="Times New Roman"/>
          <w:szCs w:val="20"/>
          <w:lang w:val="en-US" w:eastAsia="en-GB"/>
        </w:rPr>
        <w:t>Federal Supreme Court</w:t>
      </w:r>
      <w:r w:rsidR="00F8191E" w:rsidRPr="007B2402">
        <w:rPr>
          <w:rFonts w:eastAsia="Times New Roman" w:cs="Times New Roman"/>
          <w:szCs w:val="20"/>
          <w:lang w:val="en-US" w:eastAsia="en-GB"/>
        </w:rPr>
        <w:t xml:space="preserve"> </w:t>
      </w:r>
      <w:r w:rsidR="000744A8" w:rsidRPr="007B2402">
        <w:rPr>
          <w:rFonts w:eastAsia="Times New Roman" w:cs="Times New Roman"/>
          <w:szCs w:val="20"/>
          <w:lang w:val="en-US" w:eastAsia="en-GB"/>
        </w:rPr>
        <w:t>confirm</w:t>
      </w:r>
      <w:r w:rsidR="00F8191E" w:rsidRPr="007B2402">
        <w:rPr>
          <w:rFonts w:eastAsia="Times New Roman" w:cs="Times New Roman"/>
          <w:szCs w:val="20"/>
          <w:lang w:val="en-US" w:eastAsia="en-GB"/>
        </w:rPr>
        <w:t>ed the validity of the</w:t>
      </w:r>
      <w:r w:rsidR="00494567" w:rsidRPr="007B2402">
        <w:rPr>
          <w:rFonts w:eastAsia="Times New Roman" w:cs="Times New Roman"/>
          <w:szCs w:val="20"/>
          <w:lang w:val="en-US" w:eastAsia="en-GB"/>
        </w:rPr>
        <w:t>ir</w:t>
      </w:r>
      <w:r w:rsidR="00F8191E" w:rsidRPr="007B2402">
        <w:rPr>
          <w:rFonts w:eastAsia="Times New Roman" w:cs="Times New Roman"/>
          <w:szCs w:val="20"/>
          <w:lang w:val="en-US" w:eastAsia="en-GB"/>
        </w:rPr>
        <w:t xml:space="preserve"> interpretation of the </w:t>
      </w:r>
      <w:r w:rsidR="000744A8" w:rsidRPr="007B2402">
        <w:rPr>
          <w:rFonts w:eastAsia="Times New Roman" w:cs="Times New Roman"/>
          <w:szCs w:val="20"/>
          <w:lang w:val="en-US" w:eastAsia="en-GB"/>
        </w:rPr>
        <w:t xml:space="preserve"> </w:t>
      </w:r>
      <w:r w:rsidR="00221E16" w:rsidRPr="007B2402">
        <w:rPr>
          <w:rFonts w:eastAsia="Times New Roman" w:cs="Times New Roman"/>
          <w:szCs w:val="20"/>
          <w:lang w:val="en-US" w:eastAsia="en-GB"/>
        </w:rPr>
        <w:t>Amnesty Law</w:t>
      </w:r>
      <w:r w:rsidR="000744A8" w:rsidRPr="007B2402">
        <w:rPr>
          <w:rFonts w:eastAsia="Times New Roman" w:cs="Times New Roman"/>
          <w:szCs w:val="20"/>
          <w:lang w:val="en-US" w:eastAsia="en-GB"/>
        </w:rPr>
        <w:t xml:space="preserve"> </w:t>
      </w:r>
      <w:r w:rsidR="00F8191E" w:rsidRPr="007B2402">
        <w:rPr>
          <w:rFonts w:eastAsia="Times New Roman" w:cs="Times New Roman"/>
          <w:szCs w:val="20"/>
          <w:lang w:val="en-US" w:eastAsia="en-GB"/>
        </w:rPr>
        <w:t xml:space="preserve">without considering Brazil’s international obligations derived from </w:t>
      </w:r>
      <w:r w:rsidR="002F0987" w:rsidRPr="007B2402">
        <w:rPr>
          <w:rFonts w:eastAsia="Times New Roman" w:cs="Times New Roman"/>
          <w:szCs w:val="20"/>
          <w:lang w:val="en-US" w:eastAsia="en-GB"/>
        </w:rPr>
        <w:t>international law</w:t>
      </w:r>
      <w:r w:rsidR="000744A8" w:rsidRPr="007B2402">
        <w:rPr>
          <w:rFonts w:eastAsia="Times New Roman" w:cs="Times New Roman"/>
          <w:szCs w:val="20"/>
          <w:lang w:val="en-US" w:eastAsia="en-GB"/>
        </w:rPr>
        <w:t>, particular</w:t>
      </w:r>
      <w:r w:rsidR="00F8191E" w:rsidRPr="007B2402">
        <w:rPr>
          <w:rFonts w:eastAsia="Times New Roman" w:cs="Times New Roman"/>
          <w:szCs w:val="20"/>
          <w:lang w:val="en-US" w:eastAsia="en-GB"/>
        </w:rPr>
        <w:t xml:space="preserve">ly those established in </w:t>
      </w:r>
      <w:r w:rsidR="00AF4344" w:rsidRPr="007B2402">
        <w:rPr>
          <w:rFonts w:eastAsia="Times New Roman" w:cs="Times New Roman"/>
          <w:szCs w:val="20"/>
          <w:lang w:val="en-US" w:eastAsia="en-GB"/>
        </w:rPr>
        <w:t>Articles</w:t>
      </w:r>
      <w:r w:rsidR="000744A8" w:rsidRPr="007B2402">
        <w:rPr>
          <w:rFonts w:eastAsia="Times New Roman" w:cs="Times New Roman"/>
          <w:szCs w:val="20"/>
          <w:lang w:val="en-US" w:eastAsia="en-GB"/>
        </w:rPr>
        <w:t xml:space="preserve"> 8</w:t>
      </w:r>
      <w:r w:rsidR="005B1590" w:rsidRPr="007B2402">
        <w:rPr>
          <w:rFonts w:eastAsia="Times New Roman" w:cs="Times New Roman"/>
          <w:szCs w:val="20"/>
          <w:lang w:val="en-US" w:eastAsia="en-GB"/>
        </w:rPr>
        <w:t xml:space="preserve"> and </w:t>
      </w:r>
      <w:r w:rsidR="000744A8" w:rsidRPr="007B2402">
        <w:rPr>
          <w:rFonts w:eastAsia="Times New Roman" w:cs="Times New Roman"/>
          <w:szCs w:val="20"/>
          <w:lang w:val="en-US" w:eastAsia="en-GB"/>
        </w:rPr>
        <w:t>25</w:t>
      </w:r>
      <w:r w:rsidR="00AF4344" w:rsidRPr="007B2402">
        <w:rPr>
          <w:rFonts w:eastAsia="Times New Roman" w:cs="Times New Roman"/>
          <w:szCs w:val="20"/>
          <w:lang w:val="en-US" w:eastAsia="en-GB"/>
        </w:rPr>
        <w:t xml:space="preserve"> of the American Convention</w:t>
      </w:r>
      <w:r w:rsidR="000744A8" w:rsidRPr="007B2402">
        <w:rPr>
          <w:rFonts w:eastAsia="Times New Roman" w:cs="Times New Roman"/>
          <w:szCs w:val="20"/>
          <w:lang w:val="en-US" w:eastAsia="en-GB"/>
        </w:rPr>
        <w:t xml:space="preserve">, </w:t>
      </w:r>
      <w:r w:rsidR="00BF1A22" w:rsidRPr="007B2402">
        <w:rPr>
          <w:rFonts w:eastAsia="Times New Roman" w:cs="Times New Roman"/>
          <w:szCs w:val="20"/>
          <w:lang w:val="en-US" w:eastAsia="en-GB"/>
        </w:rPr>
        <w:t>in relation to Article</w:t>
      </w:r>
      <w:r w:rsidR="00AF4344" w:rsidRPr="007B2402">
        <w:rPr>
          <w:rFonts w:eastAsia="Times New Roman" w:cs="Times New Roman"/>
          <w:szCs w:val="20"/>
          <w:lang w:val="en-US" w:eastAsia="en-GB"/>
        </w:rPr>
        <w:t>s</w:t>
      </w:r>
      <w:r w:rsidR="000744A8" w:rsidRPr="007B2402">
        <w:rPr>
          <w:rFonts w:eastAsia="Times New Roman" w:cs="Times New Roman"/>
          <w:szCs w:val="20"/>
          <w:lang w:val="en-US" w:eastAsia="en-GB"/>
        </w:rPr>
        <w:t xml:space="preserve"> </w:t>
      </w:r>
      <w:r w:rsidR="00375567" w:rsidRPr="007B2402">
        <w:rPr>
          <w:rFonts w:eastAsia="Times New Roman" w:cs="Times New Roman"/>
          <w:szCs w:val="20"/>
          <w:lang w:val="en-US" w:eastAsia="en-GB"/>
        </w:rPr>
        <w:t>1(1) and 2</w:t>
      </w:r>
      <w:r w:rsidR="000744A8" w:rsidRPr="007B2402">
        <w:rPr>
          <w:rFonts w:eastAsia="Times New Roman" w:cs="Times New Roman"/>
          <w:szCs w:val="20"/>
          <w:lang w:val="en-US" w:eastAsia="en-GB"/>
        </w:rPr>
        <w:t xml:space="preserve"> </w:t>
      </w:r>
      <w:r w:rsidR="00F8191E" w:rsidRPr="007B2402">
        <w:rPr>
          <w:rFonts w:eastAsia="Times New Roman" w:cs="Times New Roman"/>
          <w:szCs w:val="20"/>
          <w:lang w:val="en-US" w:eastAsia="en-GB"/>
        </w:rPr>
        <w:t>of this instrument. The Court finds it opportune to recall that the obligation to comply with international obligations</w:t>
      </w:r>
      <w:r w:rsidR="00494567" w:rsidRPr="007B2402">
        <w:rPr>
          <w:rFonts w:eastAsia="Times New Roman" w:cs="Times New Roman"/>
          <w:szCs w:val="20"/>
          <w:lang w:val="en-US" w:eastAsia="en-GB"/>
        </w:rPr>
        <w:t>,</w:t>
      </w:r>
      <w:r w:rsidR="00F8191E" w:rsidRPr="007B2402">
        <w:rPr>
          <w:rFonts w:eastAsia="Times New Roman" w:cs="Times New Roman"/>
          <w:szCs w:val="20"/>
          <w:lang w:val="en-US" w:eastAsia="en-GB"/>
        </w:rPr>
        <w:t xml:space="preserve"> voluntarily assumed</w:t>
      </w:r>
      <w:r w:rsidR="00494567" w:rsidRPr="007B2402">
        <w:rPr>
          <w:rFonts w:eastAsia="Times New Roman" w:cs="Times New Roman"/>
          <w:szCs w:val="20"/>
          <w:lang w:val="en-US" w:eastAsia="en-GB"/>
        </w:rPr>
        <w:t>,</w:t>
      </w:r>
      <w:r w:rsidR="00F8191E" w:rsidRPr="007B2402">
        <w:rPr>
          <w:rFonts w:eastAsia="Times New Roman" w:cs="Times New Roman"/>
          <w:szCs w:val="20"/>
          <w:lang w:val="en-US" w:eastAsia="en-GB"/>
        </w:rPr>
        <w:t xml:space="preserve"> corresponds to a basic principle of the law on the international responsibility of States, supported by </w:t>
      </w:r>
      <w:r w:rsidR="00F8191E" w:rsidRPr="007B2402">
        <w:rPr>
          <w:rFonts w:eastAsia="Calibri" w:cs="Times New Roman"/>
          <w:szCs w:val="20"/>
          <w:lang w:val="en-US"/>
        </w:rPr>
        <w:t xml:space="preserve">domestic and </w:t>
      </w:r>
      <w:r w:rsidR="00810476" w:rsidRPr="007B2402">
        <w:rPr>
          <w:rFonts w:eastAsia="Times New Roman" w:cs="Times New Roman"/>
          <w:szCs w:val="20"/>
          <w:lang w:val="en-US" w:eastAsia="en-GB"/>
        </w:rPr>
        <w:t>international jurisprudence</w:t>
      </w:r>
      <w:r w:rsidR="00F8191E" w:rsidRPr="007B2402">
        <w:rPr>
          <w:rFonts w:eastAsia="Times New Roman" w:cs="Times New Roman"/>
          <w:szCs w:val="20"/>
          <w:lang w:val="en-US" w:eastAsia="en-GB"/>
        </w:rPr>
        <w:t xml:space="preserve">, according to which States must abide by their international treaty-based obligations in good faith </w:t>
      </w:r>
      <w:r w:rsidR="000744A8" w:rsidRPr="007B2402">
        <w:rPr>
          <w:rFonts w:eastAsia="Times New Roman" w:cs="Times New Roman"/>
          <w:szCs w:val="20"/>
          <w:lang w:val="en-US" w:eastAsia="en-GB"/>
        </w:rPr>
        <w:t>(</w:t>
      </w:r>
      <w:r w:rsidR="000744A8" w:rsidRPr="007B2402">
        <w:rPr>
          <w:rFonts w:eastAsia="Times New Roman" w:cs="Times New Roman"/>
          <w:i/>
          <w:szCs w:val="20"/>
          <w:lang w:val="en-US" w:eastAsia="en-GB"/>
        </w:rPr>
        <w:t>pacta sunt servanda</w:t>
      </w:r>
      <w:r w:rsidR="000744A8" w:rsidRPr="007B2402">
        <w:rPr>
          <w:rFonts w:eastAsia="Times New Roman" w:cs="Times New Roman"/>
          <w:szCs w:val="20"/>
          <w:lang w:val="en-US" w:eastAsia="en-GB"/>
        </w:rPr>
        <w:t xml:space="preserve">). </w:t>
      </w:r>
      <w:r w:rsidR="00F8191E" w:rsidRPr="007B2402">
        <w:rPr>
          <w:rFonts w:eastAsia="Times New Roman" w:cs="Times New Roman"/>
          <w:szCs w:val="20"/>
          <w:lang w:val="en-US" w:eastAsia="en-GB"/>
        </w:rPr>
        <w:t xml:space="preserve">As this Court has already indicated and as established in </w:t>
      </w:r>
      <w:r w:rsidR="00AF4344" w:rsidRPr="007B2402">
        <w:rPr>
          <w:rFonts w:eastAsia="Times New Roman" w:cs="Times New Roman"/>
          <w:szCs w:val="20"/>
          <w:lang w:val="en-US" w:eastAsia="en-GB"/>
        </w:rPr>
        <w:t>Article</w:t>
      </w:r>
      <w:r w:rsidR="000744A8" w:rsidRPr="007B2402">
        <w:rPr>
          <w:rFonts w:eastAsia="Times New Roman" w:cs="Times New Roman"/>
          <w:szCs w:val="20"/>
          <w:lang w:val="en-US" w:eastAsia="en-GB"/>
        </w:rPr>
        <w:t xml:space="preserve"> 27</w:t>
      </w:r>
      <w:r w:rsidR="00AF4344" w:rsidRPr="007B2402">
        <w:rPr>
          <w:rFonts w:eastAsia="Times New Roman" w:cs="Times New Roman"/>
          <w:szCs w:val="20"/>
          <w:lang w:val="en-US" w:eastAsia="en-GB"/>
        </w:rPr>
        <w:t xml:space="preserve"> of the </w:t>
      </w:r>
      <w:r w:rsidR="00F8191E" w:rsidRPr="007B2402">
        <w:rPr>
          <w:rFonts w:eastAsia="Times New Roman" w:cs="Times New Roman"/>
          <w:szCs w:val="20"/>
          <w:lang w:val="en-US" w:eastAsia="en-GB"/>
        </w:rPr>
        <w:t xml:space="preserve">Vienna </w:t>
      </w:r>
      <w:r w:rsidR="00AF4344" w:rsidRPr="007B2402">
        <w:rPr>
          <w:rFonts w:eastAsia="Times New Roman" w:cs="Times New Roman"/>
          <w:szCs w:val="20"/>
          <w:lang w:val="en-US" w:eastAsia="en-GB"/>
        </w:rPr>
        <w:t>Convention</w:t>
      </w:r>
      <w:r w:rsidR="000744A8" w:rsidRPr="007B2402">
        <w:rPr>
          <w:rFonts w:eastAsia="Times New Roman" w:cs="Times New Roman"/>
          <w:szCs w:val="20"/>
          <w:lang w:val="en-US" w:eastAsia="en-GB"/>
        </w:rPr>
        <w:t xml:space="preserve"> </w:t>
      </w:r>
      <w:r w:rsidR="00F8191E" w:rsidRPr="007B2402">
        <w:rPr>
          <w:rFonts w:eastAsia="Times New Roman" w:cs="Times New Roman"/>
          <w:szCs w:val="20"/>
          <w:lang w:val="en-US" w:eastAsia="en-GB"/>
        </w:rPr>
        <w:t>on the Law of Treaties, States</w:t>
      </w:r>
      <w:r w:rsidR="00F8191E" w:rsidRPr="007B2402">
        <w:rPr>
          <w:rFonts w:cs="Times New Roman"/>
          <w:szCs w:val="20"/>
          <w:lang w:val="en-US"/>
        </w:rPr>
        <w:t xml:space="preserve"> “may not invoke the provisions of its internal law as justification for its failure to perform a treaty.” The treaty-based obligations of the States Parties </w:t>
      </w:r>
      <w:r w:rsidR="00494567" w:rsidRPr="007B2402">
        <w:rPr>
          <w:rFonts w:cs="Times New Roman"/>
          <w:szCs w:val="20"/>
          <w:lang w:val="en-US"/>
        </w:rPr>
        <w:t xml:space="preserve">are </w:t>
      </w:r>
      <w:r w:rsidR="00F8191E" w:rsidRPr="007B2402">
        <w:rPr>
          <w:rFonts w:cs="Times New Roman"/>
          <w:szCs w:val="20"/>
          <w:lang w:val="en-US"/>
        </w:rPr>
        <w:t>bind</w:t>
      </w:r>
      <w:r w:rsidR="00494567" w:rsidRPr="007B2402">
        <w:rPr>
          <w:rFonts w:cs="Times New Roman"/>
          <w:szCs w:val="20"/>
          <w:lang w:val="en-US"/>
        </w:rPr>
        <w:t>ing for</w:t>
      </w:r>
      <w:r w:rsidR="00F8191E" w:rsidRPr="007B2402">
        <w:rPr>
          <w:rFonts w:cs="Times New Roman"/>
          <w:szCs w:val="20"/>
          <w:lang w:val="en-US"/>
        </w:rPr>
        <w:t xml:space="preserve"> all their powers and organs, which must ensure compliance with the provisions of the Convention and their practical effects</w:t>
      </w:r>
      <w:r w:rsidR="000744A8" w:rsidRPr="007B2402">
        <w:rPr>
          <w:rFonts w:eastAsia="Times New Roman" w:cs="Times New Roman"/>
          <w:szCs w:val="20"/>
          <w:lang w:val="en-US" w:eastAsia="en-GB"/>
        </w:rPr>
        <w:t xml:space="preserve"> (</w:t>
      </w:r>
      <w:r w:rsidR="000744A8" w:rsidRPr="007B2402">
        <w:rPr>
          <w:rFonts w:eastAsia="Times New Roman" w:cs="Times New Roman"/>
          <w:i/>
          <w:szCs w:val="20"/>
          <w:lang w:val="en-US" w:eastAsia="en-GB"/>
        </w:rPr>
        <w:t>effet utile</w:t>
      </w:r>
      <w:r w:rsidR="000744A8" w:rsidRPr="007B2402">
        <w:rPr>
          <w:rFonts w:eastAsia="Times New Roman" w:cs="Times New Roman"/>
          <w:szCs w:val="20"/>
          <w:lang w:val="en-US" w:eastAsia="en-GB"/>
        </w:rPr>
        <w:t xml:space="preserve">) </w:t>
      </w:r>
      <w:r w:rsidR="00F8191E" w:rsidRPr="007B2402">
        <w:rPr>
          <w:rFonts w:eastAsia="Times New Roman" w:cs="Times New Roman"/>
          <w:szCs w:val="20"/>
          <w:lang w:val="en-US" w:eastAsia="en-GB"/>
        </w:rPr>
        <w:t>in the sphere of their domestic laws.</w:t>
      </w:r>
      <w:r w:rsidR="000744A8" w:rsidRPr="007B2402">
        <w:rPr>
          <w:rFonts w:eastAsia="Times New Roman" w:cs="Times New Roman"/>
          <w:szCs w:val="20"/>
          <w:vertAlign w:val="superscript"/>
          <w:lang w:val="en-US" w:eastAsia="en-GB"/>
        </w:rPr>
        <w:footnoteReference w:id="366"/>
      </w:r>
      <w:r w:rsidR="000744A8" w:rsidRPr="007B2402">
        <w:rPr>
          <w:rFonts w:eastAsia="Times New Roman" w:cs="Times New Roman"/>
          <w:szCs w:val="20"/>
          <w:lang w:val="en-US" w:eastAsia="en-GB"/>
        </w:rPr>
        <w:t xml:space="preserve"> </w:t>
      </w:r>
    </w:p>
    <w:p w14:paraId="29E80297" w14:textId="77777777" w:rsidR="00DB1F30" w:rsidRPr="007B2402" w:rsidRDefault="00DB1F30" w:rsidP="00DB1F30">
      <w:pPr>
        <w:spacing w:after="0" w:line="240" w:lineRule="auto"/>
        <w:jc w:val="both"/>
        <w:rPr>
          <w:rFonts w:eastAsia="Calibri" w:cs="Times New Roman"/>
          <w:szCs w:val="20"/>
          <w:lang w:val="en-US"/>
        </w:rPr>
      </w:pPr>
    </w:p>
    <w:p w14:paraId="44B81B85" w14:textId="1C316332" w:rsidR="00C9299F" w:rsidRPr="007B2402" w:rsidRDefault="00F8191E" w:rsidP="00F8191E">
      <w:pPr>
        <w:numPr>
          <w:ilvl w:val="0"/>
          <w:numId w:val="6"/>
        </w:numPr>
        <w:spacing w:after="0" w:line="240" w:lineRule="auto"/>
        <w:jc w:val="both"/>
        <w:rPr>
          <w:rFonts w:eastAsia="Calibri" w:cs="Times New Roman"/>
          <w:szCs w:val="20"/>
          <w:lang w:val="en-US"/>
        </w:rPr>
      </w:pPr>
      <w:r w:rsidRPr="007B2402">
        <w:rPr>
          <w:rFonts w:eastAsia="Calibri"/>
          <w:color w:val="000000"/>
          <w:szCs w:val="20"/>
          <w:lang w:val="en-US"/>
        </w:rPr>
        <w:t>Based on the foregoing considerations</w:t>
      </w:r>
      <w:r w:rsidR="000744A8" w:rsidRPr="007B2402">
        <w:rPr>
          <w:rFonts w:eastAsia="Calibri"/>
          <w:color w:val="000000"/>
          <w:szCs w:val="20"/>
          <w:lang w:val="en-US"/>
        </w:rPr>
        <w:t xml:space="preserve">, </w:t>
      </w:r>
      <w:r w:rsidR="00AF4344" w:rsidRPr="007B2402">
        <w:rPr>
          <w:rFonts w:eastAsia="Calibri"/>
          <w:color w:val="000000"/>
          <w:szCs w:val="20"/>
          <w:lang w:val="en-US"/>
        </w:rPr>
        <w:t>the Inter-American Court</w:t>
      </w:r>
      <w:r w:rsidR="000744A8" w:rsidRPr="007B2402">
        <w:rPr>
          <w:rFonts w:eastAsia="Calibri"/>
          <w:color w:val="000000"/>
          <w:szCs w:val="20"/>
          <w:lang w:val="en-US"/>
        </w:rPr>
        <w:t xml:space="preserve"> conclu</w:t>
      </w:r>
      <w:r w:rsidRPr="007B2402">
        <w:rPr>
          <w:rFonts w:eastAsia="Calibri"/>
          <w:color w:val="000000"/>
          <w:szCs w:val="20"/>
          <w:lang w:val="en-US"/>
        </w:rPr>
        <w:t xml:space="preserve">des that, owing to the failure to investigate, and also prosecute and punish those responsible for </w:t>
      </w:r>
      <w:r w:rsidR="008B5281" w:rsidRPr="007B2402">
        <w:rPr>
          <w:rFonts w:eastAsia="Calibri"/>
          <w:color w:val="000000"/>
          <w:szCs w:val="20"/>
          <w:lang w:val="en-US"/>
        </w:rPr>
        <w:t xml:space="preserve">the torture and murder of Vladimir Herzog </w:t>
      </w:r>
      <w:r w:rsidRPr="007B2402">
        <w:rPr>
          <w:rFonts w:eastAsia="Calibri"/>
          <w:color w:val="000000"/>
          <w:szCs w:val="20"/>
          <w:lang w:val="en-US"/>
        </w:rPr>
        <w:t xml:space="preserve">committed in a widespread and systematic context of attacks on the civilian population, </w:t>
      </w:r>
      <w:r w:rsidR="00AF4344" w:rsidRPr="007B2402">
        <w:rPr>
          <w:rFonts w:eastAsia="Calibri"/>
          <w:color w:val="000000"/>
          <w:szCs w:val="20"/>
          <w:lang w:val="en-US"/>
        </w:rPr>
        <w:t>Brazil</w:t>
      </w:r>
      <w:r w:rsidR="000744A8" w:rsidRPr="007B2402">
        <w:rPr>
          <w:rFonts w:eastAsia="Calibri"/>
          <w:color w:val="000000"/>
          <w:szCs w:val="20"/>
          <w:lang w:val="en-US"/>
        </w:rPr>
        <w:t xml:space="preserve"> </w:t>
      </w:r>
      <w:r w:rsidRPr="007B2402">
        <w:rPr>
          <w:rFonts w:eastAsia="Calibri"/>
          <w:color w:val="000000"/>
          <w:szCs w:val="20"/>
          <w:lang w:val="en-US"/>
        </w:rPr>
        <w:t>violated the rights to</w:t>
      </w:r>
      <w:r w:rsidR="000744A8" w:rsidRPr="007B2402">
        <w:rPr>
          <w:rFonts w:eastAsia="Calibri"/>
          <w:color w:val="000000"/>
          <w:szCs w:val="20"/>
          <w:lang w:val="en-US"/>
        </w:rPr>
        <w:t xml:space="preserve"> </w:t>
      </w:r>
      <w:r w:rsidR="008B5281" w:rsidRPr="007B2402">
        <w:rPr>
          <w:rFonts w:eastAsia="Calibri"/>
          <w:color w:val="000000"/>
          <w:szCs w:val="20"/>
          <w:lang w:val="en-US"/>
        </w:rPr>
        <w:t xml:space="preserve">judicial </w:t>
      </w:r>
      <w:r w:rsidRPr="007B2402">
        <w:rPr>
          <w:rFonts w:eastAsia="Calibri"/>
          <w:color w:val="000000"/>
          <w:szCs w:val="20"/>
          <w:lang w:val="en-US"/>
        </w:rPr>
        <w:t>guarantees</w:t>
      </w:r>
      <w:r w:rsidR="005B1590" w:rsidRPr="007B2402">
        <w:rPr>
          <w:rFonts w:eastAsia="Calibri"/>
          <w:color w:val="000000"/>
          <w:szCs w:val="20"/>
          <w:lang w:val="en-US"/>
        </w:rPr>
        <w:t xml:space="preserve"> and</w:t>
      </w:r>
      <w:r w:rsidR="000744A8" w:rsidRPr="007B2402">
        <w:rPr>
          <w:rFonts w:eastAsia="Calibri"/>
          <w:color w:val="000000"/>
          <w:szCs w:val="20"/>
          <w:lang w:val="en-US"/>
        </w:rPr>
        <w:t xml:space="preserve"> </w:t>
      </w:r>
      <w:r w:rsidR="008B5281" w:rsidRPr="007B2402">
        <w:rPr>
          <w:rFonts w:eastAsia="Calibri"/>
          <w:color w:val="000000"/>
          <w:szCs w:val="20"/>
          <w:lang w:val="en-US"/>
        </w:rPr>
        <w:t>judicial protection</w:t>
      </w:r>
      <w:r w:rsidRPr="007B2402">
        <w:rPr>
          <w:rFonts w:eastAsia="Calibri"/>
          <w:color w:val="000000"/>
          <w:szCs w:val="20"/>
          <w:lang w:val="en-US"/>
        </w:rPr>
        <w:t xml:space="preserve"> established in </w:t>
      </w:r>
      <w:r w:rsidR="00AF4344" w:rsidRPr="007B2402">
        <w:rPr>
          <w:rFonts w:eastAsia="Calibri"/>
          <w:color w:val="000000"/>
          <w:szCs w:val="20"/>
          <w:lang w:val="en-US"/>
        </w:rPr>
        <w:t>Articles</w:t>
      </w:r>
      <w:r w:rsidR="000744A8" w:rsidRPr="007B2402">
        <w:rPr>
          <w:rFonts w:eastAsia="Calibri"/>
          <w:color w:val="000000"/>
          <w:szCs w:val="20"/>
          <w:lang w:val="en-US"/>
        </w:rPr>
        <w:t xml:space="preserve"> </w:t>
      </w:r>
      <w:r w:rsidR="00375567" w:rsidRPr="007B2402">
        <w:rPr>
          <w:rFonts w:eastAsia="Calibri"/>
          <w:color w:val="000000"/>
          <w:szCs w:val="20"/>
          <w:lang w:val="en-US"/>
        </w:rPr>
        <w:t>8(1)</w:t>
      </w:r>
      <w:r w:rsidR="005B1590" w:rsidRPr="007B2402">
        <w:rPr>
          <w:rFonts w:eastAsia="Calibri"/>
          <w:color w:val="000000"/>
          <w:szCs w:val="20"/>
          <w:lang w:val="en-US"/>
        </w:rPr>
        <w:t xml:space="preserve"> and </w:t>
      </w:r>
      <w:r w:rsidR="000744A8" w:rsidRPr="007B2402">
        <w:rPr>
          <w:rFonts w:eastAsia="Calibri"/>
          <w:color w:val="000000"/>
          <w:szCs w:val="20"/>
          <w:lang w:val="en-US"/>
        </w:rPr>
        <w:t>2</w:t>
      </w:r>
      <w:r w:rsidR="00375567" w:rsidRPr="007B2402">
        <w:rPr>
          <w:rFonts w:eastAsia="Calibri"/>
          <w:color w:val="000000"/>
          <w:szCs w:val="20"/>
          <w:lang w:val="en-US"/>
        </w:rPr>
        <w:t>5(1)</w:t>
      </w:r>
      <w:r w:rsidR="00AF4344" w:rsidRPr="007B2402">
        <w:rPr>
          <w:rFonts w:eastAsia="Calibri"/>
          <w:color w:val="000000"/>
          <w:szCs w:val="20"/>
          <w:lang w:val="en-US"/>
        </w:rPr>
        <w:t xml:space="preserve"> of the American Convention</w:t>
      </w:r>
      <w:r w:rsidR="000744A8" w:rsidRPr="007B2402">
        <w:rPr>
          <w:rFonts w:eastAsia="Calibri"/>
          <w:color w:val="000000"/>
          <w:szCs w:val="20"/>
          <w:lang w:val="en-US"/>
        </w:rPr>
        <w:t xml:space="preserve">, </w:t>
      </w:r>
      <w:r w:rsidR="00BF1A22" w:rsidRPr="007B2402">
        <w:rPr>
          <w:rFonts w:eastAsia="Calibri"/>
          <w:color w:val="000000"/>
          <w:szCs w:val="20"/>
          <w:lang w:val="en-US"/>
        </w:rPr>
        <w:t>in relation to Article</w:t>
      </w:r>
      <w:r w:rsidR="00AF4344" w:rsidRPr="007B2402">
        <w:rPr>
          <w:rFonts w:eastAsia="Calibri"/>
          <w:color w:val="000000"/>
          <w:szCs w:val="20"/>
          <w:lang w:val="en-US"/>
        </w:rPr>
        <w:t>s</w:t>
      </w:r>
      <w:r w:rsidR="000744A8" w:rsidRPr="007B2402">
        <w:rPr>
          <w:rFonts w:eastAsia="Calibri"/>
          <w:color w:val="000000"/>
          <w:szCs w:val="20"/>
          <w:lang w:val="en-US"/>
        </w:rPr>
        <w:t xml:space="preserve"> </w:t>
      </w:r>
      <w:r w:rsidR="00375567" w:rsidRPr="007B2402">
        <w:rPr>
          <w:rFonts w:eastAsia="Calibri"/>
          <w:color w:val="000000"/>
          <w:szCs w:val="20"/>
          <w:lang w:val="en-US"/>
        </w:rPr>
        <w:t>1(1) and 2</w:t>
      </w:r>
      <w:r w:rsidR="000744A8" w:rsidRPr="007B2402">
        <w:rPr>
          <w:rFonts w:eastAsia="Calibri"/>
          <w:color w:val="000000"/>
          <w:szCs w:val="20"/>
          <w:lang w:val="en-US"/>
        </w:rPr>
        <w:t xml:space="preserve"> </w:t>
      </w:r>
      <w:r w:rsidRPr="007B2402">
        <w:rPr>
          <w:rFonts w:eastAsia="Calibri"/>
          <w:color w:val="000000"/>
          <w:szCs w:val="20"/>
          <w:lang w:val="en-US"/>
        </w:rPr>
        <w:t>of this instrument</w:t>
      </w:r>
      <w:r w:rsidR="000744A8" w:rsidRPr="007B2402">
        <w:rPr>
          <w:rFonts w:eastAsia="Calibri"/>
          <w:color w:val="000000"/>
          <w:szCs w:val="20"/>
          <w:lang w:val="en-US"/>
        </w:rPr>
        <w:t>,</w:t>
      </w:r>
      <w:r w:rsidR="005B1590" w:rsidRPr="007B2402">
        <w:rPr>
          <w:rFonts w:eastAsia="Calibri"/>
          <w:color w:val="000000"/>
          <w:szCs w:val="20"/>
          <w:lang w:val="en-US"/>
        </w:rPr>
        <w:t xml:space="preserve"> and </w:t>
      </w:r>
      <w:r w:rsidR="00BF1A22" w:rsidRPr="007B2402">
        <w:rPr>
          <w:rFonts w:eastAsia="Calibri"/>
          <w:color w:val="000000"/>
          <w:szCs w:val="20"/>
          <w:lang w:val="en-US"/>
        </w:rPr>
        <w:t>in relation to Article</w:t>
      </w:r>
      <w:r w:rsidR="00AF4344" w:rsidRPr="007B2402">
        <w:rPr>
          <w:rFonts w:eastAsia="Calibri"/>
          <w:color w:val="000000"/>
          <w:szCs w:val="20"/>
          <w:lang w:val="en-US"/>
        </w:rPr>
        <w:t>s</w:t>
      </w:r>
      <w:r w:rsidR="000744A8" w:rsidRPr="007B2402">
        <w:rPr>
          <w:rFonts w:eastAsia="Calibri"/>
          <w:color w:val="000000"/>
          <w:szCs w:val="20"/>
          <w:lang w:val="en-US"/>
        </w:rPr>
        <w:t xml:space="preserve"> 1, 6</w:t>
      </w:r>
      <w:r w:rsidR="005B1590" w:rsidRPr="007B2402">
        <w:rPr>
          <w:rFonts w:eastAsia="Calibri"/>
          <w:color w:val="000000"/>
          <w:szCs w:val="20"/>
          <w:lang w:val="en-US"/>
        </w:rPr>
        <w:t xml:space="preserve"> and </w:t>
      </w:r>
      <w:r w:rsidR="000744A8" w:rsidRPr="007B2402">
        <w:rPr>
          <w:rFonts w:eastAsia="Calibri"/>
          <w:color w:val="000000"/>
          <w:szCs w:val="20"/>
          <w:lang w:val="en-US"/>
        </w:rPr>
        <w:t>8</w:t>
      </w:r>
      <w:r w:rsidR="00AF4344" w:rsidRPr="007B2402">
        <w:rPr>
          <w:rFonts w:eastAsia="Calibri"/>
          <w:color w:val="000000"/>
          <w:szCs w:val="20"/>
          <w:lang w:val="en-US"/>
        </w:rPr>
        <w:t xml:space="preserve"> of the </w:t>
      </w:r>
      <w:r w:rsidR="00375567" w:rsidRPr="007B2402">
        <w:rPr>
          <w:rFonts w:eastAsia="Calibri"/>
          <w:color w:val="000000"/>
          <w:szCs w:val="20"/>
          <w:lang w:val="en-US"/>
        </w:rPr>
        <w:t>Inter-American Convention to Prevent and Punish Torture</w:t>
      </w:r>
      <w:r w:rsidR="000744A8" w:rsidRPr="007B2402">
        <w:rPr>
          <w:rFonts w:eastAsia="Calibri"/>
          <w:color w:val="000000"/>
          <w:szCs w:val="20"/>
          <w:lang w:val="en-US"/>
        </w:rPr>
        <w:t xml:space="preserve">, </w:t>
      </w:r>
      <w:r w:rsidR="00F44471" w:rsidRPr="007B2402">
        <w:rPr>
          <w:rFonts w:eastAsia="Calibri"/>
          <w:color w:val="000000"/>
          <w:szCs w:val="20"/>
          <w:lang w:val="en-US"/>
        </w:rPr>
        <w:t>to the detriment of</w:t>
      </w:r>
      <w:r w:rsidR="000744A8" w:rsidRPr="007B2402">
        <w:rPr>
          <w:rFonts w:eastAsia="Calibri"/>
          <w:color w:val="000000"/>
          <w:szCs w:val="20"/>
          <w:lang w:val="en-US"/>
        </w:rPr>
        <w:t xml:space="preserve"> </w:t>
      </w:r>
      <w:r w:rsidR="00CC3AD8" w:rsidRPr="007B2402">
        <w:rPr>
          <w:rFonts w:eastAsia="Calibri"/>
          <w:color w:val="000000"/>
          <w:szCs w:val="20"/>
          <w:lang w:val="en-US"/>
        </w:rPr>
        <w:t>Z</w:t>
      </w:r>
      <w:r w:rsidR="000744A8" w:rsidRPr="007B2402">
        <w:rPr>
          <w:rFonts w:eastAsia="Calibri"/>
          <w:color w:val="000000"/>
          <w:szCs w:val="20"/>
          <w:lang w:val="en-US"/>
        </w:rPr>
        <w:t xml:space="preserve">ora, Clarice, André </w:t>
      </w:r>
      <w:r w:rsidR="00F44471" w:rsidRPr="007B2402">
        <w:rPr>
          <w:rFonts w:eastAsia="Calibri"/>
          <w:color w:val="000000"/>
          <w:szCs w:val="20"/>
          <w:lang w:val="en-US"/>
        </w:rPr>
        <w:t>and</w:t>
      </w:r>
      <w:r w:rsidR="000744A8" w:rsidRPr="007B2402">
        <w:rPr>
          <w:rFonts w:eastAsia="Calibri"/>
          <w:color w:val="000000"/>
          <w:szCs w:val="20"/>
          <w:lang w:val="en-US"/>
        </w:rPr>
        <w:t xml:space="preserve"> Ivo Herzog. </w:t>
      </w:r>
      <w:r w:rsidR="00F44471" w:rsidRPr="007B2402">
        <w:rPr>
          <w:rFonts w:eastAsia="Calibri"/>
          <w:color w:val="000000"/>
          <w:szCs w:val="20"/>
          <w:lang w:val="en-US"/>
        </w:rPr>
        <w:t>In addition</w:t>
      </w:r>
      <w:r w:rsidR="000744A8" w:rsidRPr="007B2402">
        <w:rPr>
          <w:rFonts w:eastAsia="Calibri"/>
          <w:color w:val="000000"/>
          <w:szCs w:val="20"/>
          <w:lang w:val="en-US"/>
        </w:rPr>
        <w:t xml:space="preserve">, </w:t>
      </w:r>
      <w:r w:rsidR="00AF4344" w:rsidRPr="007B2402">
        <w:rPr>
          <w:rFonts w:eastAsia="Calibri"/>
          <w:color w:val="000000"/>
          <w:szCs w:val="20"/>
          <w:lang w:val="en-US"/>
        </w:rPr>
        <w:t>the Court</w:t>
      </w:r>
      <w:r w:rsidR="000744A8" w:rsidRPr="007B2402">
        <w:rPr>
          <w:rFonts w:eastAsia="Calibri"/>
          <w:color w:val="000000"/>
          <w:szCs w:val="20"/>
          <w:lang w:val="en-US"/>
        </w:rPr>
        <w:t xml:space="preserve"> conclu</w:t>
      </w:r>
      <w:r w:rsidR="00F44471" w:rsidRPr="007B2402">
        <w:rPr>
          <w:rFonts w:eastAsia="Calibri"/>
          <w:color w:val="000000"/>
          <w:szCs w:val="20"/>
          <w:lang w:val="en-US"/>
        </w:rPr>
        <w:t>des that</w:t>
      </w:r>
      <w:r w:rsidR="000744A8" w:rsidRPr="007B2402">
        <w:rPr>
          <w:rFonts w:eastAsia="Calibri"/>
          <w:color w:val="000000"/>
          <w:szCs w:val="20"/>
          <w:lang w:val="en-US"/>
        </w:rPr>
        <w:t xml:space="preserve"> </w:t>
      </w:r>
      <w:r w:rsidR="00AF4344" w:rsidRPr="007B2402">
        <w:rPr>
          <w:rFonts w:eastAsia="Calibri"/>
          <w:color w:val="000000"/>
          <w:szCs w:val="20"/>
          <w:lang w:val="en-US"/>
        </w:rPr>
        <w:t>Brazil</w:t>
      </w:r>
      <w:r w:rsidR="00494567" w:rsidRPr="007B2402">
        <w:rPr>
          <w:rFonts w:eastAsia="Calibri"/>
          <w:color w:val="000000"/>
          <w:szCs w:val="20"/>
          <w:lang w:val="en-US"/>
        </w:rPr>
        <w:t xml:space="preserve"> has</w:t>
      </w:r>
      <w:r w:rsidR="00F44471" w:rsidRPr="007B2402">
        <w:rPr>
          <w:rFonts w:eastAsia="Calibri"/>
          <w:color w:val="000000"/>
          <w:szCs w:val="20"/>
          <w:lang w:val="en-US"/>
        </w:rPr>
        <w:t xml:space="preserve"> failed to comply with its obligation to adapt its domestic laws to </w:t>
      </w:r>
      <w:r w:rsidR="00AF4344" w:rsidRPr="007B2402">
        <w:rPr>
          <w:rFonts w:eastAsia="Calibri"/>
          <w:color w:val="000000"/>
          <w:szCs w:val="20"/>
          <w:lang w:val="en-US"/>
        </w:rPr>
        <w:t>the Convention</w:t>
      </w:r>
      <w:r w:rsidR="000744A8" w:rsidRPr="007B2402">
        <w:rPr>
          <w:rFonts w:eastAsia="Calibri"/>
          <w:color w:val="000000"/>
          <w:szCs w:val="20"/>
          <w:lang w:val="en-US"/>
        </w:rPr>
        <w:t xml:space="preserve">, </w:t>
      </w:r>
      <w:r w:rsidR="00F44471" w:rsidRPr="007B2402">
        <w:rPr>
          <w:rFonts w:eastAsia="Calibri"/>
          <w:color w:val="000000"/>
          <w:szCs w:val="20"/>
          <w:lang w:val="en-US"/>
        </w:rPr>
        <w:t>as established in</w:t>
      </w:r>
      <w:r w:rsidR="000744A8" w:rsidRPr="007B2402">
        <w:rPr>
          <w:rFonts w:eastAsia="Calibri"/>
          <w:color w:val="000000"/>
          <w:szCs w:val="20"/>
          <w:lang w:val="en-US"/>
        </w:rPr>
        <w:t xml:space="preserve"> </w:t>
      </w:r>
      <w:r w:rsidR="00AF4344" w:rsidRPr="007B2402">
        <w:rPr>
          <w:rFonts w:eastAsia="Calibri"/>
          <w:color w:val="000000"/>
          <w:szCs w:val="20"/>
          <w:lang w:val="en-US"/>
        </w:rPr>
        <w:t>Article</w:t>
      </w:r>
      <w:r w:rsidR="000744A8" w:rsidRPr="007B2402">
        <w:rPr>
          <w:rFonts w:eastAsia="Calibri"/>
          <w:color w:val="000000"/>
          <w:szCs w:val="20"/>
          <w:lang w:val="en-US"/>
        </w:rPr>
        <w:t xml:space="preserve"> 2 </w:t>
      </w:r>
      <w:r w:rsidR="00F44471" w:rsidRPr="007B2402">
        <w:rPr>
          <w:rFonts w:eastAsia="Calibri"/>
          <w:color w:val="000000"/>
          <w:szCs w:val="20"/>
          <w:lang w:val="en-US"/>
        </w:rPr>
        <w:t>thereof</w:t>
      </w:r>
      <w:r w:rsidR="000744A8" w:rsidRPr="007B2402">
        <w:rPr>
          <w:rFonts w:eastAsia="Calibri"/>
          <w:color w:val="000000"/>
          <w:szCs w:val="20"/>
          <w:lang w:val="en-US"/>
        </w:rPr>
        <w:t xml:space="preserve">, </w:t>
      </w:r>
      <w:r w:rsidR="00BF1A22" w:rsidRPr="007B2402">
        <w:rPr>
          <w:rFonts w:eastAsia="Calibri"/>
          <w:color w:val="000000"/>
          <w:szCs w:val="20"/>
          <w:lang w:val="en-US"/>
        </w:rPr>
        <w:t>in relation to Article</w:t>
      </w:r>
      <w:r w:rsidR="00AF4344" w:rsidRPr="007B2402">
        <w:rPr>
          <w:rFonts w:eastAsia="Calibri"/>
          <w:color w:val="000000"/>
          <w:szCs w:val="20"/>
          <w:lang w:val="en-US"/>
        </w:rPr>
        <w:t>s</w:t>
      </w:r>
      <w:r w:rsidR="000744A8" w:rsidRPr="007B2402">
        <w:rPr>
          <w:rFonts w:eastAsia="Calibri"/>
          <w:color w:val="000000"/>
          <w:szCs w:val="20"/>
          <w:lang w:val="en-US"/>
        </w:rPr>
        <w:t xml:space="preserve"> </w:t>
      </w:r>
      <w:r w:rsidR="00375567" w:rsidRPr="007B2402">
        <w:rPr>
          <w:rFonts w:eastAsia="Calibri"/>
          <w:color w:val="000000"/>
          <w:szCs w:val="20"/>
          <w:lang w:val="en-US"/>
        </w:rPr>
        <w:t>8(1)</w:t>
      </w:r>
      <w:r w:rsidR="000744A8" w:rsidRPr="007B2402">
        <w:rPr>
          <w:rFonts w:eastAsia="Calibri"/>
          <w:color w:val="000000"/>
          <w:szCs w:val="20"/>
          <w:lang w:val="en-US"/>
        </w:rPr>
        <w:t>, 25</w:t>
      </w:r>
      <w:r w:rsidR="005B1590" w:rsidRPr="007B2402">
        <w:rPr>
          <w:rFonts w:eastAsia="Calibri"/>
          <w:color w:val="000000"/>
          <w:szCs w:val="20"/>
          <w:lang w:val="en-US"/>
        </w:rPr>
        <w:t xml:space="preserve"> and </w:t>
      </w:r>
      <w:r w:rsidR="00375567" w:rsidRPr="007B2402">
        <w:rPr>
          <w:rFonts w:eastAsia="Calibri"/>
          <w:color w:val="000000"/>
          <w:szCs w:val="20"/>
          <w:lang w:val="en-US"/>
        </w:rPr>
        <w:t>1(1)</w:t>
      </w:r>
      <w:r w:rsidR="000744A8" w:rsidRPr="007B2402">
        <w:rPr>
          <w:rFonts w:eastAsia="Calibri"/>
          <w:color w:val="000000"/>
          <w:szCs w:val="20"/>
          <w:lang w:val="en-US"/>
        </w:rPr>
        <w:t xml:space="preserve"> </w:t>
      </w:r>
      <w:r w:rsidR="00F44471" w:rsidRPr="007B2402">
        <w:rPr>
          <w:rFonts w:eastAsia="Calibri"/>
          <w:color w:val="000000"/>
          <w:szCs w:val="20"/>
          <w:lang w:val="en-US"/>
        </w:rPr>
        <w:t>of this treaty</w:t>
      </w:r>
      <w:r w:rsidR="005B1590" w:rsidRPr="007B2402">
        <w:rPr>
          <w:rFonts w:eastAsia="Calibri"/>
          <w:color w:val="000000"/>
          <w:szCs w:val="20"/>
          <w:lang w:val="en-US"/>
        </w:rPr>
        <w:t xml:space="preserve"> and </w:t>
      </w:r>
      <w:r w:rsidR="00AF4344" w:rsidRPr="007B2402">
        <w:rPr>
          <w:rFonts w:eastAsia="Calibri"/>
          <w:color w:val="000000"/>
          <w:szCs w:val="20"/>
          <w:lang w:val="en-US"/>
        </w:rPr>
        <w:t>Articles</w:t>
      </w:r>
      <w:r w:rsidR="000744A8" w:rsidRPr="007B2402">
        <w:rPr>
          <w:rFonts w:eastAsia="Calibri"/>
          <w:color w:val="000000"/>
          <w:szCs w:val="20"/>
          <w:lang w:val="en-US"/>
        </w:rPr>
        <w:t xml:space="preserve"> 1, 6</w:t>
      </w:r>
      <w:r w:rsidR="005B1590" w:rsidRPr="007B2402">
        <w:rPr>
          <w:rFonts w:eastAsia="Calibri"/>
          <w:color w:val="000000"/>
          <w:szCs w:val="20"/>
          <w:lang w:val="en-US"/>
        </w:rPr>
        <w:t xml:space="preserve"> and </w:t>
      </w:r>
      <w:r w:rsidR="000744A8" w:rsidRPr="007B2402">
        <w:rPr>
          <w:rFonts w:eastAsia="Calibri"/>
          <w:color w:val="000000"/>
          <w:szCs w:val="20"/>
          <w:lang w:val="en-US"/>
        </w:rPr>
        <w:t xml:space="preserve">8 </w:t>
      </w:r>
      <w:r w:rsidR="00F44471" w:rsidRPr="007B2402">
        <w:rPr>
          <w:rFonts w:eastAsia="Calibri"/>
          <w:color w:val="000000"/>
          <w:szCs w:val="20"/>
          <w:lang w:val="en-US"/>
        </w:rPr>
        <w:t>of the</w:t>
      </w:r>
      <w:r w:rsidR="000744A8" w:rsidRPr="007B2402">
        <w:rPr>
          <w:rFonts w:eastAsia="Calibri"/>
          <w:color w:val="000000"/>
          <w:szCs w:val="20"/>
          <w:lang w:val="en-US"/>
        </w:rPr>
        <w:t xml:space="preserve"> </w:t>
      </w:r>
      <w:r w:rsidR="00375567" w:rsidRPr="007B2402">
        <w:rPr>
          <w:rFonts w:eastAsia="Calibri"/>
          <w:color w:val="000000"/>
          <w:szCs w:val="20"/>
          <w:lang w:val="en-US"/>
        </w:rPr>
        <w:t>ICPPT</w:t>
      </w:r>
      <w:r w:rsidR="000744A8" w:rsidRPr="007B2402">
        <w:rPr>
          <w:rFonts w:eastAsia="Calibri"/>
          <w:color w:val="000000"/>
          <w:szCs w:val="20"/>
          <w:lang w:val="en-US"/>
        </w:rPr>
        <w:t xml:space="preserve"> </w:t>
      </w:r>
      <w:r w:rsidR="00F44471" w:rsidRPr="007B2402">
        <w:rPr>
          <w:rFonts w:eastAsia="Calibri"/>
          <w:color w:val="000000"/>
          <w:szCs w:val="20"/>
          <w:lang w:val="en-US"/>
        </w:rPr>
        <w:t>due to the application of</w:t>
      </w:r>
      <w:r w:rsidR="000744A8" w:rsidRPr="007B2402">
        <w:rPr>
          <w:rFonts w:eastAsia="Calibri"/>
          <w:color w:val="000000"/>
          <w:szCs w:val="20"/>
          <w:lang w:val="en-US"/>
        </w:rPr>
        <w:t xml:space="preserve"> </w:t>
      </w:r>
      <w:r w:rsidR="00221E16" w:rsidRPr="007B2402">
        <w:rPr>
          <w:rFonts w:eastAsia="Calibri"/>
          <w:color w:val="000000"/>
          <w:szCs w:val="20"/>
          <w:lang w:val="en-US"/>
        </w:rPr>
        <w:t>Amnesty Law</w:t>
      </w:r>
      <w:r w:rsidR="000744A8" w:rsidRPr="007B2402">
        <w:rPr>
          <w:rFonts w:eastAsia="Calibri"/>
          <w:color w:val="000000"/>
          <w:szCs w:val="20"/>
          <w:lang w:val="en-US"/>
        </w:rPr>
        <w:t xml:space="preserve"> No. 6683/79</w:t>
      </w:r>
      <w:r w:rsidR="005B1590" w:rsidRPr="007B2402">
        <w:rPr>
          <w:rFonts w:eastAsia="Calibri"/>
          <w:color w:val="000000"/>
          <w:szCs w:val="20"/>
          <w:lang w:val="en-US"/>
        </w:rPr>
        <w:t xml:space="preserve"> and </w:t>
      </w:r>
      <w:r w:rsidR="00F44471" w:rsidRPr="007B2402">
        <w:rPr>
          <w:rFonts w:eastAsia="Calibri"/>
          <w:color w:val="000000"/>
          <w:szCs w:val="20"/>
          <w:lang w:val="en-US"/>
        </w:rPr>
        <w:t xml:space="preserve">other methods of excluding responsibility prohibited by </w:t>
      </w:r>
      <w:r w:rsidR="002F0987" w:rsidRPr="007B2402">
        <w:rPr>
          <w:rFonts w:eastAsia="Calibri"/>
          <w:color w:val="000000"/>
          <w:szCs w:val="20"/>
          <w:lang w:val="en-US"/>
        </w:rPr>
        <w:t>international law</w:t>
      </w:r>
      <w:r w:rsidR="000744A8" w:rsidRPr="007B2402">
        <w:rPr>
          <w:rFonts w:eastAsia="Calibri"/>
          <w:color w:val="000000"/>
          <w:szCs w:val="20"/>
          <w:lang w:val="en-US"/>
        </w:rPr>
        <w:t xml:space="preserve"> </w:t>
      </w:r>
      <w:r w:rsidR="00F44471" w:rsidRPr="007B2402">
        <w:rPr>
          <w:rFonts w:eastAsia="Calibri"/>
          <w:color w:val="000000"/>
          <w:szCs w:val="20"/>
          <w:lang w:val="en-US"/>
        </w:rPr>
        <w:t>in cases of</w:t>
      </w:r>
      <w:r w:rsidR="000744A8" w:rsidRPr="007B2402">
        <w:rPr>
          <w:rFonts w:eastAsia="Calibri"/>
          <w:color w:val="000000"/>
          <w:szCs w:val="20"/>
          <w:lang w:val="en-US"/>
        </w:rPr>
        <w:t xml:space="preserve"> </w:t>
      </w:r>
      <w:r w:rsidR="00844CE7" w:rsidRPr="007B2402">
        <w:rPr>
          <w:rFonts w:eastAsia="Calibri"/>
          <w:color w:val="000000"/>
          <w:szCs w:val="20"/>
          <w:lang w:val="en-US"/>
        </w:rPr>
        <w:t>crimes against humanity</w:t>
      </w:r>
      <w:r w:rsidR="000744A8" w:rsidRPr="007B2402">
        <w:rPr>
          <w:rFonts w:eastAsia="Calibri"/>
          <w:color w:val="000000"/>
          <w:szCs w:val="20"/>
          <w:lang w:val="en-US"/>
        </w:rPr>
        <w:t xml:space="preserve">, </w:t>
      </w:r>
      <w:r w:rsidR="00F44471" w:rsidRPr="007B2402">
        <w:rPr>
          <w:rFonts w:eastAsia="Calibri"/>
          <w:color w:val="000000"/>
          <w:szCs w:val="20"/>
          <w:lang w:val="en-US"/>
        </w:rPr>
        <w:t xml:space="preserve">pursuant to </w:t>
      </w:r>
      <w:r w:rsidR="00221E16" w:rsidRPr="007B2402">
        <w:rPr>
          <w:rFonts w:eastAsia="Calibri"/>
          <w:color w:val="000000"/>
          <w:szCs w:val="20"/>
          <w:lang w:val="en-US"/>
        </w:rPr>
        <w:t>paragraphs</w:t>
      </w:r>
      <w:r w:rsidR="000744A8" w:rsidRPr="007B2402">
        <w:rPr>
          <w:rFonts w:eastAsia="Calibri"/>
          <w:color w:val="000000"/>
          <w:szCs w:val="20"/>
          <w:lang w:val="en-US"/>
        </w:rPr>
        <w:t xml:space="preserve"> </w:t>
      </w:r>
      <w:r w:rsidR="001B7521" w:rsidRPr="007B2402">
        <w:rPr>
          <w:rFonts w:eastAsia="Calibri"/>
          <w:color w:val="000000"/>
          <w:szCs w:val="20"/>
          <w:lang w:val="en-US"/>
        </w:rPr>
        <w:t xml:space="preserve">208 </w:t>
      </w:r>
      <w:r w:rsidR="00F44471" w:rsidRPr="007B2402">
        <w:rPr>
          <w:rFonts w:eastAsia="Calibri"/>
          <w:color w:val="000000"/>
          <w:szCs w:val="20"/>
          <w:lang w:val="en-US"/>
        </w:rPr>
        <w:t>to</w:t>
      </w:r>
      <w:r w:rsidR="001B7521" w:rsidRPr="007B2402">
        <w:rPr>
          <w:rFonts w:eastAsia="Calibri"/>
          <w:color w:val="000000"/>
          <w:szCs w:val="20"/>
          <w:lang w:val="en-US"/>
        </w:rPr>
        <w:t xml:space="preserve"> 310</w:t>
      </w:r>
      <w:r w:rsidR="000744A8" w:rsidRPr="007B2402">
        <w:rPr>
          <w:rFonts w:eastAsia="Calibri"/>
          <w:color w:val="000000"/>
          <w:szCs w:val="20"/>
          <w:lang w:val="en-US"/>
        </w:rPr>
        <w:t xml:space="preserve"> </w:t>
      </w:r>
      <w:r w:rsidR="00221E16" w:rsidRPr="007B2402">
        <w:rPr>
          <w:rFonts w:eastAsia="Calibri"/>
          <w:color w:val="000000"/>
          <w:szCs w:val="20"/>
          <w:lang w:val="en-US"/>
        </w:rPr>
        <w:t>of this judgment</w:t>
      </w:r>
    </w:p>
    <w:p w14:paraId="66048DCA" w14:textId="77777777" w:rsidR="000744A8" w:rsidRPr="007B2402" w:rsidRDefault="000744A8" w:rsidP="000744A8">
      <w:pPr>
        <w:pStyle w:val="Prrafodelista"/>
        <w:ind w:left="0"/>
        <w:rPr>
          <w:rFonts w:eastAsia="Calibri" w:cs="Times New Roman"/>
          <w:szCs w:val="20"/>
          <w:lang w:val="en-US"/>
        </w:rPr>
      </w:pPr>
    </w:p>
    <w:p w14:paraId="57C05B5E" w14:textId="21B9AB2D" w:rsidR="00C9299F" w:rsidRPr="007B2402" w:rsidRDefault="00C9299F" w:rsidP="009C473F">
      <w:pPr>
        <w:pStyle w:val="Ttulo1"/>
        <w:rPr>
          <w:lang w:val="en-US"/>
        </w:rPr>
      </w:pPr>
      <w:bookmarkStart w:id="170" w:name="_Toc506984126"/>
      <w:r w:rsidRPr="007B2402">
        <w:rPr>
          <w:lang w:val="en-US"/>
        </w:rPr>
        <w:t>VII-2</w:t>
      </w:r>
      <w:r w:rsidR="009C473F" w:rsidRPr="007B2402">
        <w:rPr>
          <w:lang w:val="en-US"/>
        </w:rPr>
        <w:br/>
      </w:r>
      <w:r w:rsidR="00AB475D" w:rsidRPr="007B2402">
        <w:rPr>
          <w:lang w:val="en-US"/>
        </w:rPr>
        <w:t>RIGHT TO KNOW THE TRUTH</w:t>
      </w:r>
      <w:bookmarkEnd w:id="170"/>
    </w:p>
    <w:p w14:paraId="097E0EF3" w14:textId="22CE9701" w:rsidR="00D20621" w:rsidRPr="007B2402" w:rsidRDefault="00D20621" w:rsidP="00D20621">
      <w:pPr>
        <w:autoSpaceDE w:val="0"/>
        <w:autoSpaceDN w:val="0"/>
        <w:adjustRightInd w:val="0"/>
        <w:spacing w:after="0" w:line="240" w:lineRule="auto"/>
        <w:jc w:val="center"/>
        <w:rPr>
          <w:rFonts w:eastAsia="Calibri" w:cs="Arial"/>
          <w:b/>
          <w:bCs/>
          <w:szCs w:val="20"/>
          <w:lang w:val="en-US"/>
        </w:rPr>
      </w:pPr>
      <w:r w:rsidRPr="007B2402">
        <w:rPr>
          <w:rFonts w:eastAsia="Calibri" w:cs="Arial"/>
          <w:b/>
          <w:bCs/>
          <w:szCs w:val="20"/>
          <w:lang w:val="en-US"/>
        </w:rPr>
        <w:t>(</w:t>
      </w:r>
      <w:r w:rsidR="00AF4344" w:rsidRPr="007B2402">
        <w:rPr>
          <w:rFonts w:eastAsia="Calibri" w:cs="Arial"/>
          <w:b/>
          <w:bCs/>
          <w:szCs w:val="20"/>
          <w:lang w:val="en-US"/>
        </w:rPr>
        <w:t>Article</w:t>
      </w:r>
      <w:r w:rsidRPr="007B2402">
        <w:rPr>
          <w:rFonts w:eastAsia="Calibri" w:cs="Arial"/>
          <w:b/>
          <w:bCs/>
          <w:szCs w:val="20"/>
          <w:lang w:val="en-US"/>
        </w:rPr>
        <w:t>s 8</w:t>
      </w:r>
      <w:r w:rsidR="005B1590" w:rsidRPr="007B2402">
        <w:rPr>
          <w:rFonts w:eastAsia="Calibri" w:cs="Arial"/>
          <w:b/>
          <w:bCs/>
          <w:szCs w:val="20"/>
          <w:lang w:val="en-US"/>
        </w:rPr>
        <w:t xml:space="preserve"> and </w:t>
      </w:r>
      <w:r w:rsidRPr="007B2402">
        <w:rPr>
          <w:rFonts w:eastAsia="Calibri" w:cs="Arial"/>
          <w:b/>
          <w:bCs/>
          <w:szCs w:val="20"/>
          <w:lang w:val="en-US"/>
        </w:rPr>
        <w:t>25</w:t>
      </w:r>
      <w:r w:rsidR="00AF4344" w:rsidRPr="007B2402">
        <w:rPr>
          <w:rFonts w:eastAsia="Calibri" w:cs="Arial"/>
          <w:b/>
          <w:bCs/>
          <w:szCs w:val="20"/>
          <w:lang w:val="en-US"/>
        </w:rPr>
        <w:t xml:space="preserve"> of the American Convention</w:t>
      </w:r>
      <w:r w:rsidRPr="007B2402">
        <w:rPr>
          <w:rFonts w:eastAsia="Calibri" w:cs="Arial"/>
          <w:b/>
          <w:bCs/>
          <w:szCs w:val="20"/>
          <w:lang w:val="en-US"/>
        </w:rPr>
        <w:t>)</w:t>
      </w:r>
    </w:p>
    <w:p w14:paraId="44104609" w14:textId="77777777" w:rsidR="00D20621" w:rsidRPr="007B2402" w:rsidRDefault="00D20621" w:rsidP="00D20621">
      <w:pPr>
        <w:autoSpaceDE w:val="0"/>
        <w:autoSpaceDN w:val="0"/>
        <w:adjustRightInd w:val="0"/>
        <w:spacing w:after="0" w:line="240" w:lineRule="auto"/>
        <w:jc w:val="both"/>
        <w:rPr>
          <w:rFonts w:eastAsia="Calibri" w:cs="Arial"/>
          <w:bCs/>
          <w:szCs w:val="20"/>
          <w:lang w:val="en-US"/>
        </w:rPr>
      </w:pPr>
    </w:p>
    <w:p w14:paraId="3F5BA53B" w14:textId="3062AE7D" w:rsidR="00D20621" w:rsidRPr="007B2402" w:rsidRDefault="002761AC" w:rsidP="004A0342">
      <w:pPr>
        <w:pStyle w:val="Prrafodelista"/>
        <w:numPr>
          <w:ilvl w:val="2"/>
          <w:numId w:val="8"/>
        </w:numPr>
        <w:outlineLvl w:val="1"/>
        <w:rPr>
          <w:rFonts w:eastAsia="Calibri" w:cs="Arial"/>
          <w:b/>
          <w:bCs/>
          <w:i/>
          <w:szCs w:val="20"/>
          <w:lang w:val="en-US"/>
        </w:rPr>
      </w:pPr>
      <w:bookmarkStart w:id="171" w:name="_Toc506984127"/>
      <w:r w:rsidRPr="007B2402">
        <w:rPr>
          <w:rFonts w:eastAsia="Calibri" w:cs="Arial"/>
          <w:b/>
          <w:bCs/>
          <w:i/>
          <w:szCs w:val="20"/>
          <w:lang w:val="en-US"/>
        </w:rPr>
        <w:t>Arguments</w:t>
      </w:r>
      <w:r w:rsidR="00D20621" w:rsidRPr="007B2402">
        <w:rPr>
          <w:rFonts w:eastAsia="Calibri" w:cs="Arial"/>
          <w:b/>
          <w:bCs/>
          <w:i/>
          <w:szCs w:val="20"/>
          <w:lang w:val="en-US"/>
        </w:rPr>
        <w:t xml:space="preserve"> </w:t>
      </w:r>
      <w:r w:rsidR="00283370" w:rsidRPr="007B2402">
        <w:rPr>
          <w:rFonts w:eastAsia="Calibri" w:cs="Arial"/>
          <w:b/>
          <w:bCs/>
          <w:i/>
          <w:szCs w:val="20"/>
          <w:lang w:val="en-US"/>
        </w:rPr>
        <w:t>of the parties and of</w:t>
      </w:r>
      <w:r w:rsidR="005B1590" w:rsidRPr="007B2402">
        <w:rPr>
          <w:rFonts w:eastAsia="Calibri" w:cs="Arial"/>
          <w:b/>
          <w:bCs/>
          <w:i/>
          <w:szCs w:val="20"/>
          <w:lang w:val="en-US"/>
        </w:rPr>
        <w:t xml:space="preserve"> the </w:t>
      </w:r>
      <w:r w:rsidR="00AF4344" w:rsidRPr="007B2402">
        <w:rPr>
          <w:rFonts w:eastAsia="Calibri" w:cs="Arial"/>
          <w:b/>
          <w:bCs/>
          <w:i/>
          <w:szCs w:val="20"/>
          <w:lang w:val="en-US"/>
        </w:rPr>
        <w:t>Commission</w:t>
      </w:r>
      <w:bookmarkEnd w:id="171"/>
    </w:p>
    <w:p w14:paraId="39DE99BB" w14:textId="77777777" w:rsidR="00D20621" w:rsidRPr="007B2402" w:rsidRDefault="00D20621" w:rsidP="00D20621">
      <w:pPr>
        <w:spacing w:after="0" w:line="240" w:lineRule="auto"/>
        <w:contextualSpacing/>
        <w:jc w:val="both"/>
        <w:rPr>
          <w:rFonts w:eastAsia="Calibri" w:cs="Arial"/>
          <w:b/>
          <w:bCs/>
          <w:szCs w:val="20"/>
          <w:lang w:val="en-US"/>
        </w:rPr>
      </w:pPr>
    </w:p>
    <w:p w14:paraId="2BBC77D9" w14:textId="429E3518" w:rsidR="00D20621" w:rsidRPr="007B2402" w:rsidRDefault="00AF4344" w:rsidP="00D20621">
      <w:pPr>
        <w:pStyle w:val="Prrafodelista"/>
        <w:numPr>
          <w:ilvl w:val="0"/>
          <w:numId w:val="6"/>
        </w:numPr>
        <w:rPr>
          <w:rFonts w:eastAsia="Calibri" w:cs="Times New Roman"/>
          <w:b/>
          <w:szCs w:val="20"/>
          <w:lang w:val="en-US"/>
        </w:rPr>
      </w:pPr>
      <w:r w:rsidRPr="007B2402">
        <w:rPr>
          <w:rFonts w:eastAsia="Calibri" w:cs="Times New Roman"/>
          <w:szCs w:val="20"/>
          <w:lang w:val="en-US"/>
        </w:rPr>
        <w:t xml:space="preserve">The </w:t>
      </w:r>
      <w:r w:rsidRPr="007B2402">
        <w:rPr>
          <w:rFonts w:eastAsia="Calibri" w:cs="Times New Roman"/>
          <w:b/>
          <w:bCs/>
          <w:i/>
          <w:iCs/>
          <w:szCs w:val="20"/>
          <w:lang w:val="en-US"/>
        </w:rPr>
        <w:t>Commission</w:t>
      </w:r>
      <w:r w:rsidR="00D20621" w:rsidRPr="007B2402">
        <w:rPr>
          <w:rFonts w:eastAsia="Calibri" w:cs="Times New Roman"/>
          <w:szCs w:val="20"/>
          <w:lang w:val="en-US"/>
        </w:rPr>
        <w:t xml:space="preserve"> </w:t>
      </w:r>
      <w:r w:rsidR="00F44471" w:rsidRPr="007B2402">
        <w:rPr>
          <w:rFonts w:eastAsia="Calibri" w:cs="Times New Roman"/>
          <w:szCs w:val="20"/>
          <w:lang w:val="en-US"/>
        </w:rPr>
        <w:t>argued that it was not necessy to make a separate analysis and</w:t>
      </w:r>
      <w:r w:rsidR="00494567" w:rsidRPr="007B2402">
        <w:rPr>
          <w:rFonts w:eastAsia="Calibri" w:cs="Times New Roman"/>
          <w:szCs w:val="20"/>
          <w:lang w:val="en-US"/>
        </w:rPr>
        <w:t xml:space="preserve"> to </w:t>
      </w:r>
      <w:r w:rsidR="00F44471" w:rsidRPr="007B2402">
        <w:rPr>
          <w:rFonts w:eastAsia="Calibri" w:cs="Times New Roman"/>
          <w:szCs w:val="20"/>
          <w:lang w:val="en-US"/>
        </w:rPr>
        <w:t xml:space="preserve">determine an autonomous violation of </w:t>
      </w:r>
      <w:r w:rsidRPr="007B2402">
        <w:rPr>
          <w:rFonts w:eastAsia="Calibri" w:cs="Times New Roman"/>
          <w:szCs w:val="20"/>
          <w:lang w:val="en-US"/>
        </w:rPr>
        <w:t>Articles</w:t>
      </w:r>
      <w:r w:rsidR="00D20621" w:rsidRPr="007B2402">
        <w:rPr>
          <w:rFonts w:eastAsia="Calibri" w:cs="Times New Roman"/>
          <w:szCs w:val="20"/>
          <w:lang w:val="en-US"/>
        </w:rPr>
        <w:t xml:space="preserve"> 4, 5, 7</w:t>
      </w:r>
      <w:r w:rsidR="005B1590" w:rsidRPr="007B2402">
        <w:rPr>
          <w:rFonts w:eastAsia="Calibri" w:cs="Times New Roman"/>
          <w:szCs w:val="20"/>
          <w:lang w:val="en-US"/>
        </w:rPr>
        <w:t xml:space="preserve"> and </w:t>
      </w:r>
      <w:r w:rsidR="00D20621" w:rsidRPr="007B2402">
        <w:rPr>
          <w:rFonts w:eastAsia="Calibri" w:cs="Times New Roman"/>
          <w:szCs w:val="20"/>
          <w:lang w:val="en-US"/>
        </w:rPr>
        <w:t>13</w:t>
      </w:r>
      <w:r w:rsidRPr="007B2402">
        <w:rPr>
          <w:rFonts w:eastAsia="Calibri" w:cs="Times New Roman"/>
          <w:szCs w:val="20"/>
          <w:lang w:val="en-US"/>
        </w:rPr>
        <w:t xml:space="preserve"> of the American Convention</w:t>
      </w:r>
      <w:r w:rsidR="00D20621" w:rsidRPr="007B2402">
        <w:rPr>
          <w:rFonts w:eastAsia="Calibri" w:cs="Times New Roman"/>
          <w:szCs w:val="20"/>
          <w:lang w:val="en-US"/>
        </w:rPr>
        <w:t xml:space="preserve"> </w:t>
      </w:r>
      <w:r w:rsidR="00494567" w:rsidRPr="007B2402">
        <w:rPr>
          <w:rFonts w:eastAsia="Calibri" w:cs="Times New Roman"/>
          <w:szCs w:val="20"/>
          <w:lang w:val="en-US"/>
        </w:rPr>
        <w:t>based on the</w:t>
      </w:r>
      <w:r w:rsidR="00F44471" w:rsidRPr="007B2402">
        <w:rPr>
          <w:rFonts w:eastAsia="Calibri" w:cs="Times New Roman"/>
          <w:szCs w:val="20"/>
          <w:lang w:val="en-US"/>
        </w:rPr>
        <w:t xml:space="preserve"> failure to comply with the duty to guarantee the truth; in </w:t>
      </w:r>
      <w:r w:rsidRPr="007B2402">
        <w:rPr>
          <w:rFonts w:eastAsia="Calibri" w:cs="Times New Roman"/>
          <w:szCs w:val="20"/>
          <w:lang w:val="en-US"/>
        </w:rPr>
        <w:t>the Commission</w:t>
      </w:r>
      <w:r w:rsidR="00F44471" w:rsidRPr="007B2402">
        <w:rPr>
          <w:rFonts w:eastAsia="Calibri" w:cs="Times New Roman"/>
          <w:szCs w:val="20"/>
          <w:lang w:val="en-US"/>
        </w:rPr>
        <w:t>’s opinion that right was already protected under</w:t>
      </w:r>
      <w:r w:rsidR="00D20621" w:rsidRPr="007B2402">
        <w:rPr>
          <w:rFonts w:eastAsia="Calibri" w:cs="Times New Roman"/>
          <w:szCs w:val="20"/>
          <w:lang w:val="en-US"/>
        </w:rPr>
        <w:t xml:space="preserve"> </w:t>
      </w:r>
      <w:r w:rsidRPr="007B2402">
        <w:rPr>
          <w:rFonts w:eastAsia="Calibri" w:cs="Times New Roman"/>
          <w:szCs w:val="20"/>
          <w:lang w:val="en-US"/>
        </w:rPr>
        <w:t>Articles</w:t>
      </w:r>
      <w:r w:rsidR="00455A02" w:rsidRPr="007B2402">
        <w:rPr>
          <w:rFonts w:eastAsia="Calibri" w:cs="Times New Roman"/>
          <w:szCs w:val="20"/>
          <w:lang w:val="en-US"/>
        </w:rPr>
        <w:t xml:space="preserve"> </w:t>
      </w:r>
      <w:r w:rsidR="00375567" w:rsidRPr="007B2402">
        <w:rPr>
          <w:rFonts w:eastAsia="Calibri" w:cs="Times New Roman"/>
          <w:szCs w:val="20"/>
          <w:lang w:val="en-US"/>
        </w:rPr>
        <w:t>8(1)</w:t>
      </w:r>
      <w:r w:rsidR="005B1590" w:rsidRPr="007B2402">
        <w:rPr>
          <w:rFonts w:eastAsia="Calibri" w:cs="Times New Roman"/>
          <w:szCs w:val="20"/>
          <w:lang w:val="en-US"/>
        </w:rPr>
        <w:t xml:space="preserve"> and </w:t>
      </w:r>
      <w:r w:rsidR="00455A02" w:rsidRPr="007B2402">
        <w:rPr>
          <w:rFonts w:eastAsia="Calibri" w:cs="Times New Roman"/>
          <w:szCs w:val="20"/>
          <w:lang w:val="en-US"/>
        </w:rPr>
        <w:t>25.</w:t>
      </w:r>
    </w:p>
    <w:p w14:paraId="784E7C4C" w14:textId="77777777" w:rsidR="00D20621" w:rsidRPr="007B2402" w:rsidRDefault="00D20621" w:rsidP="00D20621">
      <w:pPr>
        <w:spacing w:after="0" w:line="240" w:lineRule="auto"/>
        <w:contextualSpacing/>
        <w:jc w:val="both"/>
        <w:rPr>
          <w:rFonts w:eastAsia="Calibri" w:cs="Times New Roman"/>
          <w:szCs w:val="20"/>
          <w:lang w:val="en-US"/>
        </w:rPr>
      </w:pPr>
    </w:p>
    <w:p w14:paraId="7A810BED" w14:textId="55AE61EE" w:rsidR="00D20621" w:rsidRPr="007B2402" w:rsidRDefault="00F44471" w:rsidP="00B0332B">
      <w:pPr>
        <w:numPr>
          <w:ilvl w:val="0"/>
          <w:numId w:val="6"/>
        </w:numPr>
        <w:spacing w:after="0" w:line="240" w:lineRule="auto"/>
        <w:contextualSpacing/>
        <w:jc w:val="both"/>
        <w:rPr>
          <w:rFonts w:eastAsia="Calibri" w:cs="Times New Roman"/>
          <w:szCs w:val="20"/>
          <w:lang w:val="en-US"/>
        </w:rPr>
      </w:pPr>
      <w:r w:rsidRPr="007B2402">
        <w:rPr>
          <w:rFonts w:eastAsia="Calibri" w:cs="Times New Roman"/>
          <w:szCs w:val="20"/>
          <w:lang w:val="en-US"/>
        </w:rPr>
        <w:t xml:space="preserve">Despite this, the Commission alleged that the right to the truth cannot be restricted by legislative measures such as the enactment of amnesty laws, statutory limitations and </w:t>
      </w:r>
      <w:r w:rsidRPr="007B2402">
        <w:rPr>
          <w:rFonts w:eastAsia="Calibri" w:cs="Times New Roman"/>
          <w:i/>
          <w:iCs/>
          <w:szCs w:val="20"/>
          <w:lang w:val="en-US"/>
        </w:rPr>
        <w:t>res judicata</w:t>
      </w:r>
      <w:r w:rsidRPr="007B2402">
        <w:rPr>
          <w:rFonts w:eastAsia="Calibri" w:cs="Times New Roman"/>
          <w:szCs w:val="20"/>
          <w:lang w:val="en-US"/>
        </w:rPr>
        <w:t>, among othe</w:t>
      </w:r>
      <w:r w:rsidR="00494567" w:rsidRPr="007B2402">
        <w:rPr>
          <w:rFonts w:eastAsia="Calibri" w:cs="Times New Roman"/>
          <w:szCs w:val="20"/>
          <w:lang w:val="en-US"/>
        </w:rPr>
        <w:t>r</w:t>
      </w:r>
      <w:r w:rsidRPr="007B2402">
        <w:rPr>
          <w:rFonts w:eastAsia="Calibri" w:cs="Times New Roman"/>
          <w:szCs w:val="20"/>
          <w:lang w:val="en-US"/>
        </w:rPr>
        <w:t>s</w:t>
      </w:r>
      <w:r w:rsidR="00D20621" w:rsidRPr="007B2402">
        <w:rPr>
          <w:rFonts w:eastAsia="Calibri" w:cs="Times New Roman"/>
          <w:szCs w:val="20"/>
          <w:lang w:val="en-US"/>
        </w:rPr>
        <w:t xml:space="preserve">. </w:t>
      </w:r>
    </w:p>
    <w:p w14:paraId="0ECB5917" w14:textId="77777777" w:rsidR="00B0332B" w:rsidRPr="007B2402" w:rsidRDefault="00B0332B" w:rsidP="00B0332B">
      <w:pPr>
        <w:spacing w:after="0" w:line="240" w:lineRule="auto"/>
        <w:contextualSpacing/>
        <w:jc w:val="both"/>
        <w:rPr>
          <w:rFonts w:eastAsia="Calibri" w:cs="Times New Roman"/>
          <w:szCs w:val="20"/>
          <w:lang w:val="en-US"/>
        </w:rPr>
      </w:pPr>
    </w:p>
    <w:p w14:paraId="43B38C4B" w14:textId="558AA5FB" w:rsidR="00D20621" w:rsidRPr="007B2402" w:rsidRDefault="005B1590" w:rsidP="00F44471">
      <w:pPr>
        <w:numPr>
          <w:ilvl w:val="0"/>
          <w:numId w:val="6"/>
        </w:numPr>
        <w:spacing w:after="0" w:line="240" w:lineRule="auto"/>
        <w:contextualSpacing/>
        <w:jc w:val="both"/>
        <w:rPr>
          <w:rFonts w:eastAsia="Calibri" w:cs="Times New Roman"/>
          <w:b/>
          <w:szCs w:val="20"/>
          <w:lang w:val="en-US"/>
        </w:rPr>
      </w:pPr>
      <w:r w:rsidRPr="007B2402">
        <w:rPr>
          <w:rFonts w:eastAsia="Calibri" w:cs="Times New Roman"/>
          <w:szCs w:val="20"/>
          <w:lang w:val="en-US"/>
        </w:rPr>
        <w:t xml:space="preserve">The </w:t>
      </w:r>
      <w:r w:rsidRPr="007B2402">
        <w:rPr>
          <w:rFonts w:eastAsia="Calibri" w:cs="Times New Roman"/>
          <w:b/>
          <w:bCs/>
          <w:i/>
          <w:iCs/>
          <w:szCs w:val="20"/>
          <w:lang w:val="en-US"/>
        </w:rPr>
        <w:t>representatives</w:t>
      </w:r>
      <w:r w:rsidR="00D20621" w:rsidRPr="007B2402">
        <w:rPr>
          <w:rFonts w:eastAsia="Calibri" w:cs="Times New Roman"/>
          <w:szCs w:val="20"/>
          <w:lang w:val="en-US"/>
        </w:rPr>
        <w:t xml:space="preserve"> </w:t>
      </w:r>
      <w:r w:rsidR="00F44471" w:rsidRPr="007B2402">
        <w:rPr>
          <w:rFonts w:eastAsia="Calibri" w:cs="Times New Roman"/>
          <w:szCs w:val="20"/>
          <w:lang w:val="en-US"/>
        </w:rPr>
        <w:t xml:space="preserve">argued that </w:t>
      </w:r>
      <w:r w:rsidR="00AF4344" w:rsidRPr="007B2402">
        <w:rPr>
          <w:rFonts w:eastAsia="Calibri" w:cs="Times New Roman"/>
          <w:szCs w:val="20"/>
          <w:lang w:val="en-US"/>
        </w:rPr>
        <w:t>the State</w:t>
      </w:r>
      <w:r w:rsidR="00D20621" w:rsidRPr="007B2402">
        <w:rPr>
          <w:rFonts w:eastAsia="Calibri" w:cs="Times New Roman"/>
          <w:szCs w:val="20"/>
          <w:lang w:val="en-US"/>
        </w:rPr>
        <w:t xml:space="preserve"> </w:t>
      </w:r>
      <w:r w:rsidR="00F44471" w:rsidRPr="007B2402">
        <w:rPr>
          <w:rFonts w:eastAsia="Calibri" w:cs="Times New Roman"/>
          <w:szCs w:val="20"/>
          <w:lang w:val="en-US"/>
        </w:rPr>
        <w:t>was</w:t>
      </w:r>
      <w:r w:rsidR="00D20621" w:rsidRPr="007B2402">
        <w:rPr>
          <w:rFonts w:eastAsia="Calibri" w:cs="Times New Roman"/>
          <w:szCs w:val="20"/>
          <w:lang w:val="en-US"/>
        </w:rPr>
        <w:t xml:space="preserve"> respons</w:t>
      </w:r>
      <w:r w:rsidR="00F44471" w:rsidRPr="007B2402">
        <w:rPr>
          <w:rFonts w:eastAsia="Calibri" w:cs="Times New Roman"/>
          <w:szCs w:val="20"/>
          <w:lang w:val="en-US"/>
        </w:rPr>
        <w:t>i</w:t>
      </w:r>
      <w:r w:rsidR="00D20621" w:rsidRPr="007B2402">
        <w:rPr>
          <w:rFonts w:eastAsia="Calibri" w:cs="Times New Roman"/>
          <w:szCs w:val="20"/>
          <w:lang w:val="en-US"/>
        </w:rPr>
        <w:t xml:space="preserve">ble </w:t>
      </w:r>
      <w:r w:rsidR="00F44471" w:rsidRPr="007B2402">
        <w:rPr>
          <w:rFonts w:eastAsia="Calibri" w:cs="Times New Roman"/>
          <w:szCs w:val="20"/>
          <w:lang w:val="en-US"/>
        </w:rPr>
        <w:t xml:space="preserve">for violating the right to the truth, insofar as it had concealed relevant information on the case and failed to institute proceedings or </w:t>
      </w:r>
      <w:r w:rsidR="00781794" w:rsidRPr="007B2402">
        <w:rPr>
          <w:rFonts w:eastAsia="Calibri" w:cs="Times New Roman"/>
          <w:szCs w:val="20"/>
          <w:lang w:val="en-US"/>
        </w:rPr>
        <w:t>take the steps</w:t>
      </w:r>
      <w:r w:rsidR="00F44471" w:rsidRPr="007B2402">
        <w:rPr>
          <w:rFonts w:eastAsia="Calibri" w:cs="Times New Roman"/>
          <w:szCs w:val="20"/>
          <w:lang w:val="en-US"/>
        </w:rPr>
        <w:t xml:space="preserve"> required to clarify the truth about what happened. They indicated that the right to the truth ha</w:t>
      </w:r>
      <w:r w:rsidR="00781794" w:rsidRPr="007B2402">
        <w:rPr>
          <w:rFonts w:eastAsia="Calibri" w:cs="Times New Roman"/>
          <w:szCs w:val="20"/>
          <w:lang w:val="en-US"/>
        </w:rPr>
        <w:t>d</w:t>
      </w:r>
      <w:r w:rsidR="00F44471" w:rsidRPr="007B2402">
        <w:rPr>
          <w:rFonts w:eastAsia="Calibri" w:cs="Times New Roman"/>
          <w:szCs w:val="20"/>
          <w:lang w:val="en-US"/>
        </w:rPr>
        <w:t xml:space="preserve"> two dimensions: an individual dimension that safeguard</w:t>
      </w:r>
      <w:r w:rsidR="00781794" w:rsidRPr="007B2402">
        <w:rPr>
          <w:rFonts w:eastAsia="Calibri" w:cs="Times New Roman"/>
          <w:szCs w:val="20"/>
          <w:lang w:val="en-US"/>
        </w:rPr>
        <w:t>ed</w:t>
      </w:r>
      <w:r w:rsidR="00F44471" w:rsidRPr="007B2402">
        <w:rPr>
          <w:rFonts w:eastAsia="Calibri" w:cs="Times New Roman"/>
          <w:szCs w:val="20"/>
          <w:lang w:val="en-US"/>
        </w:rPr>
        <w:t xml:space="preserve"> the rights of the victims and their next of kin, and a collective dimension</w:t>
      </w:r>
      <w:r w:rsidR="009A35D3" w:rsidRPr="007B2402">
        <w:rPr>
          <w:rFonts w:eastAsia="Calibri" w:cs="Times New Roman"/>
          <w:szCs w:val="20"/>
          <w:lang w:val="en-US"/>
        </w:rPr>
        <w:t xml:space="preserve"> that protect</w:t>
      </w:r>
      <w:r w:rsidR="00781794" w:rsidRPr="007B2402">
        <w:rPr>
          <w:rFonts w:eastAsia="Calibri" w:cs="Times New Roman"/>
          <w:szCs w:val="20"/>
          <w:lang w:val="en-US"/>
        </w:rPr>
        <w:t>ed</w:t>
      </w:r>
      <w:r w:rsidR="009A35D3" w:rsidRPr="007B2402">
        <w:rPr>
          <w:rFonts w:eastAsia="Calibri" w:cs="Times New Roman"/>
          <w:szCs w:val="20"/>
          <w:lang w:val="en-US"/>
        </w:rPr>
        <w:t xml:space="preserve"> the right of society to know the truth, accede to information, and reconstruct the collective memory. They proposed that this right should be understood as an autonomous and independent right. In their understanding, even though it </w:t>
      </w:r>
      <w:r w:rsidR="00781794" w:rsidRPr="007B2402">
        <w:rPr>
          <w:rFonts w:eastAsia="Calibri" w:cs="Times New Roman"/>
          <w:szCs w:val="20"/>
          <w:lang w:val="en-US"/>
        </w:rPr>
        <w:t>wa</w:t>
      </w:r>
      <w:r w:rsidR="009A35D3" w:rsidRPr="007B2402">
        <w:rPr>
          <w:rFonts w:eastAsia="Calibri" w:cs="Times New Roman"/>
          <w:szCs w:val="20"/>
          <w:lang w:val="en-US"/>
        </w:rPr>
        <w:t>s not expressly established in the Convention, th</w:t>
      </w:r>
      <w:r w:rsidR="00781794" w:rsidRPr="007B2402">
        <w:rPr>
          <w:rFonts w:eastAsia="Calibri" w:cs="Times New Roman"/>
          <w:szCs w:val="20"/>
          <w:lang w:val="en-US"/>
        </w:rPr>
        <w:t>e said</w:t>
      </w:r>
      <w:r w:rsidR="009A35D3" w:rsidRPr="007B2402">
        <w:rPr>
          <w:rFonts w:eastAsia="Calibri" w:cs="Times New Roman"/>
          <w:szCs w:val="20"/>
          <w:lang w:val="en-US"/>
        </w:rPr>
        <w:t xml:space="preserve"> right emanate</w:t>
      </w:r>
      <w:r w:rsidR="00781794" w:rsidRPr="007B2402">
        <w:rPr>
          <w:rFonts w:eastAsia="Calibri" w:cs="Times New Roman"/>
          <w:szCs w:val="20"/>
          <w:lang w:val="en-US"/>
        </w:rPr>
        <w:t>d</w:t>
      </w:r>
      <w:r w:rsidR="009A35D3" w:rsidRPr="007B2402">
        <w:rPr>
          <w:rFonts w:eastAsia="Calibri" w:cs="Times New Roman"/>
          <w:szCs w:val="20"/>
          <w:lang w:val="en-US"/>
        </w:rPr>
        <w:t xml:space="preserve"> from the series of protections established in</w:t>
      </w:r>
      <w:r w:rsidR="009A35D3" w:rsidRPr="007B2402">
        <w:rPr>
          <w:rFonts w:eastAsia="Calibri" w:cs="Times New Roman"/>
          <w:b/>
          <w:szCs w:val="20"/>
          <w:lang w:val="en-US"/>
        </w:rPr>
        <w:t xml:space="preserve"> </w:t>
      </w:r>
      <w:r w:rsidR="00AF4344" w:rsidRPr="007B2402">
        <w:rPr>
          <w:rFonts w:eastAsia="Calibri" w:cs="Times New Roman"/>
          <w:szCs w:val="20"/>
          <w:lang w:val="en-US"/>
        </w:rPr>
        <w:t>Articles</w:t>
      </w:r>
      <w:r w:rsidR="00D20621" w:rsidRPr="007B2402">
        <w:rPr>
          <w:rFonts w:eastAsia="Calibri" w:cs="Times New Roman"/>
          <w:szCs w:val="20"/>
          <w:lang w:val="en-US"/>
        </w:rPr>
        <w:t xml:space="preserve"> </w:t>
      </w:r>
      <w:r w:rsidR="00375567" w:rsidRPr="007B2402">
        <w:rPr>
          <w:rFonts w:eastAsia="Calibri" w:cs="Times New Roman"/>
          <w:szCs w:val="20"/>
          <w:lang w:val="en-US"/>
        </w:rPr>
        <w:t>1(1)</w:t>
      </w:r>
      <w:r w:rsidR="00D20621" w:rsidRPr="007B2402">
        <w:rPr>
          <w:rFonts w:eastAsia="Calibri" w:cs="Times New Roman"/>
          <w:szCs w:val="20"/>
          <w:lang w:val="en-US"/>
        </w:rPr>
        <w:t>, 5, 8, 13</w:t>
      </w:r>
      <w:r w:rsidRPr="007B2402">
        <w:rPr>
          <w:rFonts w:eastAsia="Calibri" w:cs="Times New Roman"/>
          <w:szCs w:val="20"/>
          <w:lang w:val="en-US"/>
        </w:rPr>
        <w:t xml:space="preserve"> and </w:t>
      </w:r>
      <w:r w:rsidR="00D20621" w:rsidRPr="007B2402">
        <w:rPr>
          <w:rFonts w:eastAsia="Calibri" w:cs="Times New Roman"/>
          <w:szCs w:val="20"/>
          <w:lang w:val="en-US"/>
        </w:rPr>
        <w:t>25</w:t>
      </w:r>
      <w:r w:rsidR="00AF4344" w:rsidRPr="007B2402">
        <w:rPr>
          <w:rFonts w:eastAsia="Calibri" w:cs="Times New Roman"/>
          <w:szCs w:val="20"/>
          <w:lang w:val="en-US"/>
        </w:rPr>
        <w:t xml:space="preserve"> of the American Convention</w:t>
      </w:r>
      <w:r w:rsidR="00D20621" w:rsidRPr="007B2402">
        <w:rPr>
          <w:rFonts w:eastAsia="Calibri" w:cs="Times New Roman"/>
          <w:szCs w:val="20"/>
          <w:lang w:val="en-US"/>
        </w:rPr>
        <w:t>.</w:t>
      </w:r>
      <w:r w:rsidR="00D20621" w:rsidRPr="007B2402">
        <w:rPr>
          <w:rFonts w:eastAsia="Calibri" w:cs="Times New Roman"/>
          <w:b/>
          <w:szCs w:val="20"/>
          <w:lang w:val="en-US"/>
        </w:rPr>
        <w:t xml:space="preserve"> </w:t>
      </w:r>
    </w:p>
    <w:p w14:paraId="5A19E333" w14:textId="77777777" w:rsidR="00D20621" w:rsidRPr="007B2402" w:rsidRDefault="00D20621" w:rsidP="00D20621">
      <w:pPr>
        <w:spacing w:after="0" w:line="240" w:lineRule="auto"/>
        <w:contextualSpacing/>
        <w:jc w:val="both"/>
        <w:rPr>
          <w:rFonts w:eastAsia="Calibri" w:cs="Times New Roman"/>
          <w:szCs w:val="20"/>
          <w:lang w:val="en-US"/>
        </w:rPr>
      </w:pPr>
    </w:p>
    <w:p w14:paraId="2E2E0015" w14:textId="6B282838" w:rsidR="00D20621" w:rsidRPr="007B2402" w:rsidRDefault="009A35D3" w:rsidP="00D20621">
      <w:pPr>
        <w:numPr>
          <w:ilvl w:val="0"/>
          <w:numId w:val="6"/>
        </w:numPr>
        <w:spacing w:after="0" w:line="240" w:lineRule="auto"/>
        <w:contextualSpacing/>
        <w:jc w:val="both"/>
        <w:rPr>
          <w:rFonts w:eastAsia="Calibri" w:cs="Times New Roman"/>
          <w:b/>
          <w:szCs w:val="20"/>
          <w:lang w:val="en-US"/>
        </w:rPr>
      </w:pPr>
      <w:r w:rsidRPr="007B2402">
        <w:rPr>
          <w:rFonts w:eastAsia="Calibri" w:cs="Times New Roman"/>
          <w:szCs w:val="20"/>
          <w:lang w:val="en-US"/>
        </w:rPr>
        <w:t>According to</w:t>
      </w:r>
      <w:r w:rsidR="00D20621" w:rsidRPr="007B2402">
        <w:rPr>
          <w:rFonts w:eastAsia="Calibri" w:cs="Times New Roman"/>
          <w:szCs w:val="20"/>
          <w:lang w:val="en-US"/>
        </w:rPr>
        <w:t xml:space="preserve"> </w:t>
      </w:r>
      <w:r w:rsidR="005B1590" w:rsidRPr="007B2402">
        <w:rPr>
          <w:rFonts w:eastAsia="Calibri" w:cs="Times New Roman"/>
          <w:szCs w:val="20"/>
          <w:lang w:val="en-US"/>
        </w:rPr>
        <w:t>the representatives</w:t>
      </w:r>
      <w:r w:rsidR="00D20621" w:rsidRPr="007B2402">
        <w:rPr>
          <w:rFonts w:eastAsia="Calibri" w:cs="Times New Roman"/>
          <w:szCs w:val="20"/>
          <w:lang w:val="en-US"/>
        </w:rPr>
        <w:t>,</w:t>
      </w:r>
      <w:r w:rsidRPr="007B2402">
        <w:rPr>
          <w:rFonts w:eastAsia="Calibri" w:cs="Times New Roman"/>
          <w:szCs w:val="20"/>
          <w:lang w:val="en-US"/>
        </w:rPr>
        <w:t xml:space="preserve"> the violation of the right to the truth occurred because </w:t>
      </w:r>
      <w:r w:rsidR="00AF4344" w:rsidRPr="007B2402">
        <w:rPr>
          <w:rFonts w:eastAsia="Calibri" w:cs="Times New Roman"/>
          <w:szCs w:val="20"/>
          <w:lang w:val="en-US"/>
        </w:rPr>
        <w:t>the State</w:t>
      </w:r>
      <w:r w:rsidR="00D20621" w:rsidRPr="007B2402">
        <w:rPr>
          <w:rFonts w:eastAsia="Calibri" w:cs="Times New Roman"/>
          <w:szCs w:val="20"/>
          <w:lang w:val="en-US"/>
        </w:rPr>
        <w:t xml:space="preserve">: </w:t>
      </w:r>
      <w:r w:rsidRPr="007B2402">
        <w:rPr>
          <w:rFonts w:eastAsia="Calibri" w:cs="Times New Roman"/>
          <w:szCs w:val="20"/>
          <w:lang w:val="en-US"/>
        </w:rPr>
        <w:t>(</w:t>
      </w:r>
      <w:r w:rsidR="00D20621" w:rsidRPr="007B2402">
        <w:rPr>
          <w:rFonts w:eastAsia="Calibri" w:cs="Times New Roman"/>
          <w:szCs w:val="20"/>
          <w:lang w:val="en-US"/>
        </w:rPr>
        <w:t>a) publi</w:t>
      </w:r>
      <w:r w:rsidRPr="007B2402">
        <w:rPr>
          <w:rFonts w:eastAsia="Calibri" w:cs="Times New Roman"/>
          <w:szCs w:val="20"/>
          <w:lang w:val="en-US"/>
        </w:rPr>
        <w:t xml:space="preserve">shed a false version of Mr. Herzog’s death; (b) systematically refused access to military </w:t>
      </w:r>
      <w:r w:rsidR="00DF1102" w:rsidRPr="007B2402">
        <w:rPr>
          <w:rFonts w:eastAsia="Calibri" w:cs="Times New Roman"/>
          <w:szCs w:val="20"/>
          <w:lang w:val="en-US"/>
        </w:rPr>
        <w:t>documentation</w:t>
      </w:r>
      <w:r w:rsidRPr="007B2402">
        <w:rPr>
          <w:rFonts w:eastAsia="Calibri" w:cs="Times New Roman"/>
          <w:szCs w:val="20"/>
          <w:lang w:val="en-US"/>
        </w:rPr>
        <w:t xml:space="preserve">, and (c) allowed impunity </w:t>
      </w:r>
      <w:r w:rsidR="00781794" w:rsidRPr="007B2402">
        <w:rPr>
          <w:rFonts w:eastAsia="Calibri" w:cs="Times New Roman"/>
          <w:szCs w:val="20"/>
          <w:lang w:val="en-US"/>
        </w:rPr>
        <w:t>in order to obstruct</w:t>
      </w:r>
      <w:r w:rsidRPr="007B2402">
        <w:rPr>
          <w:rFonts w:eastAsia="Calibri" w:cs="Times New Roman"/>
          <w:szCs w:val="20"/>
          <w:lang w:val="en-US"/>
        </w:rPr>
        <w:t xml:space="preserve"> know</w:t>
      </w:r>
      <w:r w:rsidR="00781794" w:rsidRPr="007B2402">
        <w:rPr>
          <w:rFonts w:eastAsia="Calibri" w:cs="Times New Roman"/>
          <w:szCs w:val="20"/>
          <w:lang w:val="en-US"/>
        </w:rPr>
        <w:t>ledge of</w:t>
      </w:r>
      <w:r w:rsidRPr="007B2402">
        <w:rPr>
          <w:rFonts w:eastAsia="Calibri" w:cs="Times New Roman"/>
          <w:szCs w:val="20"/>
          <w:lang w:val="en-US"/>
        </w:rPr>
        <w:t xml:space="preserve"> the truth.</w:t>
      </w:r>
    </w:p>
    <w:p w14:paraId="35C5F654" w14:textId="77777777" w:rsidR="00D20621" w:rsidRPr="007B2402" w:rsidRDefault="00D20621" w:rsidP="00D20621">
      <w:pPr>
        <w:spacing w:after="0" w:line="240" w:lineRule="auto"/>
        <w:contextualSpacing/>
        <w:jc w:val="both"/>
        <w:rPr>
          <w:rFonts w:eastAsia="Calibri" w:cs="Times New Roman"/>
          <w:b/>
          <w:szCs w:val="20"/>
          <w:lang w:val="en-US"/>
        </w:rPr>
      </w:pPr>
    </w:p>
    <w:p w14:paraId="0687C00C" w14:textId="33908ACE" w:rsidR="00D20621" w:rsidRPr="007B2402" w:rsidRDefault="009A35D3" w:rsidP="009A35D3">
      <w:pPr>
        <w:numPr>
          <w:ilvl w:val="0"/>
          <w:numId w:val="6"/>
        </w:numPr>
        <w:spacing w:after="0" w:line="240" w:lineRule="auto"/>
        <w:contextualSpacing/>
        <w:jc w:val="both"/>
        <w:rPr>
          <w:rFonts w:eastAsia="Calibri" w:cs="Times New Roman"/>
          <w:szCs w:val="20"/>
          <w:lang w:val="en-US"/>
        </w:rPr>
      </w:pPr>
      <w:r w:rsidRPr="007B2402">
        <w:rPr>
          <w:rFonts w:eastAsia="Calibri" w:cs="Times New Roman"/>
          <w:szCs w:val="20"/>
          <w:lang w:val="en-US"/>
        </w:rPr>
        <w:t xml:space="preserve">Regarding the </w:t>
      </w:r>
      <w:r w:rsidR="00781794" w:rsidRPr="007B2402">
        <w:rPr>
          <w:rFonts w:eastAsia="Calibri" w:cs="Times New Roman"/>
          <w:szCs w:val="20"/>
          <w:lang w:val="en-US"/>
        </w:rPr>
        <w:t>dissemination</w:t>
      </w:r>
      <w:r w:rsidRPr="007B2402">
        <w:rPr>
          <w:rFonts w:eastAsia="Calibri" w:cs="Times New Roman"/>
          <w:szCs w:val="20"/>
          <w:lang w:val="en-US"/>
        </w:rPr>
        <w:t xml:space="preserve"> of the false version of </w:t>
      </w:r>
      <w:r w:rsidR="00DF1102" w:rsidRPr="007B2402">
        <w:rPr>
          <w:rFonts w:eastAsia="Calibri" w:cs="Times New Roman"/>
          <w:szCs w:val="20"/>
          <w:lang w:val="en-US"/>
        </w:rPr>
        <w:t>Mr.</w:t>
      </w:r>
      <w:r w:rsidRPr="007B2402">
        <w:rPr>
          <w:rFonts w:eastAsia="Calibri" w:cs="Times New Roman"/>
          <w:szCs w:val="20"/>
          <w:lang w:val="en-US"/>
        </w:rPr>
        <w:t xml:space="preserve"> Herzog’s death</w:t>
      </w:r>
      <w:r w:rsidR="00D20621" w:rsidRPr="007B2402">
        <w:rPr>
          <w:rFonts w:eastAsia="Calibri" w:cs="Times New Roman"/>
          <w:szCs w:val="20"/>
          <w:lang w:val="en-US"/>
        </w:rPr>
        <w:t xml:space="preserve">, </w:t>
      </w:r>
      <w:r w:rsidR="005B1590" w:rsidRPr="007B2402">
        <w:rPr>
          <w:rFonts w:eastAsia="Calibri" w:cs="Times New Roman"/>
          <w:szCs w:val="20"/>
          <w:lang w:val="en-US"/>
        </w:rPr>
        <w:t>the representatives</w:t>
      </w:r>
      <w:r w:rsidR="00D20621" w:rsidRPr="007B2402">
        <w:rPr>
          <w:rFonts w:eastAsia="Calibri" w:cs="Times New Roman"/>
          <w:szCs w:val="20"/>
          <w:lang w:val="en-US"/>
        </w:rPr>
        <w:t xml:space="preserve"> </w:t>
      </w:r>
      <w:r w:rsidRPr="007B2402">
        <w:rPr>
          <w:rFonts w:eastAsia="Calibri" w:cs="Times New Roman"/>
          <w:szCs w:val="20"/>
          <w:lang w:val="en-US"/>
        </w:rPr>
        <w:t xml:space="preserve">indicated that the widely </w:t>
      </w:r>
      <w:r w:rsidR="00781794" w:rsidRPr="007B2402">
        <w:rPr>
          <w:rFonts w:eastAsia="Calibri" w:cs="Times New Roman"/>
          <w:szCs w:val="20"/>
          <w:lang w:val="en-US"/>
        </w:rPr>
        <w:t>publicized</w:t>
      </w:r>
      <w:r w:rsidRPr="007B2402">
        <w:rPr>
          <w:rFonts w:eastAsia="Calibri" w:cs="Times New Roman"/>
          <w:szCs w:val="20"/>
          <w:lang w:val="en-US"/>
        </w:rPr>
        <w:t xml:space="preserve"> version of his death was that he had committed suicide, </w:t>
      </w:r>
      <w:r w:rsidR="00781794" w:rsidRPr="007B2402">
        <w:rPr>
          <w:rFonts w:eastAsia="Calibri" w:cs="Times New Roman"/>
          <w:szCs w:val="20"/>
          <w:lang w:val="en-US"/>
        </w:rPr>
        <w:t>and</w:t>
      </w:r>
      <w:r w:rsidRPr="007B2402">
        <w:rPr>
          <w:rFonts w:eastAsia="Calibri" w:cs="Times New Roman"/>
          <w:szCs w:val="20"/>
          <w:lang w:val="en-US"/>
        </w:rPr>
        <w:t xml:space="preserve"> a photograph</w:t>
      </w:r>
      <w:r w:rsidR="00781794" w:rsidRPr="007B2402">
        <w:rPr>
          <w:rFonts w:eastAsia="Calibri" w:cs="Times New Roman"/>
          <w:szCs w:val="20"/>
          <w:lang w:val="en-US"/>
        </w:rPr>
        <w:t xml:space="preserve"> was released</w:t>
      </w:r>
      <w:r w:rsidRPr="007B2402">
        <w:rPr>
          <w:rFonts w:eastAsia="Calibri" w:cs="Times New Roman"/>
          <w:szCs w:val="20"/>
          <w:lang w:val="en-US"/>
        </w:rPr>
        <w:t xml:space="preserve"> to support that version. The cause of death on Mr. Herzog’s death certificate was “mechanical asphyxiation by hanging.” It was only in 2013 that the cause of death was amended to “injuries and ill-treatment suffered” while being interrogated in the </w:t>
      </w:r>
      <w:r w:rsidR="00D20621" w:rsidRPr="007B2402">
        <w:rPr>
          <w:rFonts w:eastAsia="Calibri" w:cs="Times New Roman"/>
          <w:szCs w:val="20"/>
          <w:lang w:val="en-US"/>
        </w:rPr>
        <w:t xml:space="preserve">DOI/CODI/SP. </w:t>
      </w:r>
      <w:r w:rsidRPr="007B2402">
        <w:rPr>
          <w:rFonts w:eastAsia="Calibri" w:cs="Times New Roman"/>
          <w:szCs w:val="20"/>
          <w:lang w:val="en-US"/>
        </w:rPr>
        <w:t xml:space="preserve">The repetition of the false version for many years caused great suffering to Vladimir Herzog’s family. </w:t>
      </w:r>
    </w:p>
    <w:p w14:paraId="20DF436F" w14:textId="77777777" w:rsidR="00D20621" w:rsidRPr="007B2402" w:rsidRDefault="00D20621" w:rsidP="00D20621">
      <w:pPr>
        <w:spacing w:after="0" w:line="240" w:lineRule="auto"/>
        <w:contextualSpacing/>
        <w:jc w:val="both"/>
        <w:rPr>
          <w:rFonts w:eastAsia="Calibri" w:cs="Times New Roman"/>
          <w:szCs w:val="20"/>
          <w:lang w:val="en-US"/>
        </w:rPr>
      </w:pPr>
    </w:p>
    <w:p w14:paraId="302AC035" w14:textId="73F56F0D" w:rsidR="009955F3" w:rsidRPr="007B2402" w:rsidRDefault="009A35D3" w:rsidP="009A35D3">
      <w:pPr>
        <w:numPr>
          <w:ilvl w:val="0"/>
          <w:numId w:val="6"/>
        </w:numPr>
        <w:spacing w:after="0" w:line="240" w:lineRule="auto"/>
        <w:contextualSpacing/>
        <w:jc w:val="both"/>
        <w:rPr>
          <w:rFonts w:eastAsia="Calibri" w:cs="Times New Roman"/>
          <w:b/>
          <w:szCs w:val="20"/>
          <w:lang w:val="en-US"/>
        </w:rPr>
      </w:pPr>
      <w:r w:rsidRPr="007B2402">
        <w:rPr>
          <w:rFonts w:eastAsia="Calibri" w:cs="Times New Roman"/>
          <w:szCs w:val="20"/>
          <w:lang w:val="en-US"/>
        </w:rPr>
        <w:t>In relation to the concealment of military files, the</w:t>
      </w:r>
      <w:r w:rsidR="00781794" w:rsidRPr="007B2402">
        <w:rPr>
          <w:rFonts w:eastAsia="Calibri" w:cs="Times New Roman"/>
          <w:szCs w:val="20"/>
          <w:lang w:val="en-US"/>
        </w:rPr>
        <w:t xml:space="preserve"> representatives</w:t>
      </w:r>
      <w:r w:rsidRPr="007B2402">
        <w:rPr>
          <w:rFonts w:eastAsia="Calibri" w:cs="Times New Roman"/>
          <w:szCs w:val="20"/>
          <w:lang w:val="en-US"/>
        </w:rPr>
        <w:t xml:space="preserve"> emphasized that the National Truth Commission had stated that this circumstance </w:t>
      </w:r>
      <w:r w:rsidR="00781794" w:rsidRPr="007B2402">
        <w:rPr>
          <w:rFonts w:eastAsia="Calibri" w:cs="Times New Roman"/>
          <w:szCs w:val="20"/>
          <w:lang w:val="en-US"/>
        </w:rPr>
        <w:t>had been</w:t>
      </w:r>
      <w:r w:rsidRPr="007B2402">
        <w:rPr>
          <w:rFonts w:eastAsia="Calibri" w:cs="Times New Roman"/>
          <w:szCs w:val="20"/>
          <w:lang w:val="en-US"/>
        </w:rPr>
        <w:t xml:space="preserve"> an obstacle to the clarification of the deaths. The</w:t>
      </w:r>
      <w:r w:rsidR="00781794" w:rsidRPr="007B2402">
        <w:rPr>
          <w:rFonts w:eastAsia="Calibri" w:cs="Times New Roman"/>
          <w:szCs w:val="20"/>
          <w:lang w:val="en-US"/>
        </w:rPr>
        <w:t>y</w:t>
      </w:r>
      <w:r w:rsidRPr="007B2402">
        <w:rPr>
          <w:rFonts w:eastAsia="Calibri" w:cs="Times New Roman"/>
          <w:szCs w:val="20"/>
          <w:lang w:val="en-US"/>
        </w:rPr>
        <w:t xml:space="preserve"> added that</w:t>
      </w:r>
      <w:r w:rsidR="00F50892" w:rsidRPr="007B2402">
        <w:rPr>
          <w:rFonts w:eastAsia="Calibri" w:cs="Times New Roman"/>
          <w:szCs w:val="20"/>
          <w:lang w:val="en-US"/>
        </w:rPr>
        <w:t xml:space="preserve">, </w:t>
      </w:r>
      <w:r w:rsidR="00781794" w:rsidRPr="007B2402">
        <w:rPr>
          <w:rFonts w:eastAsia="Calibri" w:cs="Times New Roman"/>
          <w:szCs w:val="20"/>
          <w:lang w:val="en-US"/>
        </w:rPr>
        <w:t>regarding</w:t>
      </w:r>
      <w:r w:rsidR="00F50892" w:rsidRPr="007B2402">
        <w:rPr>
          <w:rFonts w:eastAsia="Calibri" w:cs="Times New Roman"/>
          <w:szCs w:val="20"/>
          <w:lang w:val="en-US"/>
        </w:rPr>
        <w:t xml:space="preserve"> </w:t>
      </w:r>
      <w:r w:rsidRPr="007B2402">
        <w:rPr>
          <w:rFonts w:eastAsia="Calibri" w:cs="Times New Roman"/>
          <w:szCs w:val="20"/>
          <w:lang w:val="en-US"/>
        </w:rPr>
        <w:t>the systematic concealment of information about the crimes</w:t>
      </w:r>
      <w:r w:rsidR="00F50892" w:rsidRPr="007B2402">
        <w:rPr>
          <w:rFonts w:eastAsia="Calibri" w:cs="Times New Roman"/>
          <w:szCs w:val="20"/>
          <w:lang w:val="en-US"/>
        </w:rPr>
        <w:t>, the Armed Forces ha</w:t>
      </w:r>
      <w:r w:rsidR="00781794" w:rsidRPr="007B2402">
        <w:rPr>
          <w:rFonts w:eastAsia="Calibri" w:cs="Times New Roman"/>
          <w:szCs w:val="20"/>
          <w:lang w:val="en-US"/>
        </w:rPr>
        <w:t>d</w:t>
      </w:r>
      <w:r w:rsidR="00F50892" w:rsidRPr="007B2402">
        <w:rPr>
          <w:rFonts w:eastAsia="Calibri" w:cs="Times New Roman"/>
          <w:szCs w:val="20"/>
          <w:lang w:val="en-US"/>
        </w:rPr>
        <w:t xml:space="preserve"> resisted opening their information files, even during the constitutional democratic period (after 1988) and while the National Truth Commission was functioning</w:t>
      </w:r>
      <w:r w:rsidR="009955F3" w:rsidRPr="007B2402">
        <w:rPr>
          <w:rFonts w:eastAsia="Calibri" w:cs="Times New Roman"/>
          <w:szCs w:val="20"/>
          <w:lang w:val="en-US"/>
        </w:rPr>
        <w:t xml:space="preserve"> (2012-2014). </w:t>
      </w:r>
    </w:p>
    <w:p w14:paraId="731C84A5" w14:textId="77777777" w:rsidR="00D20621" w:rsidRPr="007B2402" w:rsidRDefault="00D20621" w:rsidP="00D20621">
      <w:pPr>
        <w:spacing w:after="0" w:line="240" w:lineRule="auto"/>
        <w:contextualSpacing/>
        <w:jc w:val="both"/>
        <w:rPr>
          <w:rFonts w:eastAsia="Calibri" w:cs="Times New Roman"/>
          <w:szCs w:val="20"/>
          <w:lang w:val="en-US"/>
        </w:rPr>
      </w:pPr>
    </w:p>
    <w:p w14:paraId="2819B484" w14:textId="3C389C53" w:rsidR="00D20621" w:rsidRPr="007B2402" w:rsidRDefault="00F50892" w:rsidP="00F50892">
      <w:pPr>
        <w:numPr>
          <w:ilvl w:val="0"/>
          <w:numId w:val="6"/>
        </w:numPr>
        <w:spacing w:after="0" w:line="240" w:lineRule="auto"/>
        <w:contextualSpacing/>
        <w:jc w:val="both"/>
        <w:rPr>
          <w:rFonts w:eastAsia="Calibri" w:cs="Times New Roman"/>
          <w:szCs w:val="20"/>
          <w:lang w:val="en-US"/>
        </w:rPr>
      </w:pPr>
      <w:r w:rsidRPr="007B2402">
        <w:rPr>
          <w:rFonts w:eastAsia="Calibri" w:cs="Times New Roman"/>
          <w:szCs w:val="20"/>
          <w:lang w:val="en-US"/>
        </w:rPr>
        <w:t>They argued that the State’s position of refusing to provide information so as not “to re-open old wounds” violated the right to the truth. They indicated that it was not possible, as affirmed by the</w:t>
      </w:r>
      <w:r w:rsidR="005C1A67" w:rsidRPr="007B2402">
        <w:rPr>
          <w:rFonts w:eastAsia="Calibri" w:cs="Times New Roman"/>
          <w:szCs w:val="20"/>
          <w:lang w:val="en-US"/>
        </w:rPr>
        <w:t xml:space="preserve"> Attorney General of the Union </w:t>
      </w:r>
      <w:r w:rsidRPr="007B2402">
        <w:rPr>
          <w:rFonts w:eastAsia="Calibri" w:cs="Times New Roman"/>
          <w:szCs w:val="20"/>
          <w:lang w:val="en-US"/>
        </w:rPr>
        <w:t xml:space="preserve">when denying the information to the Federal Public Prosecution Service, that no documentation whatsoever existed on the persons who were detained or died in the </w:t>
      </w:r>
      <w:r w:rsidR="00D20621" w:rsidRPr="007B2402">
        <w:rPr>
          <w:rFonts w:eastAsia="Calibri" w:cs="Times New Roman"/>
          <w:szCs w:val="20"/>
          <w:lang w:val="en-US"/>
        </w:rPr>
        <w:t xml:space="preserve">DOI/CODI/SP. </w:t>
      </w:r>
    </w:p>
    <w:p w14:paraId="7D2EE81E" w14:textId="77777777" w:rsidR="00D20621" w:rsidRPr="007B2402" w:rsidRDefault="00D20621" w:rsidP="00D20621">
      <w:pPr>
        <w:spacing w:after="0" w:line="240" w:lineRule="auto"/>
        <w:contextualSpacing/>
        <w:jc w:val="both"/>
        <w:rPr>
          <w:rFonts w:eastAsia="Calibri" w:cs="Times New Roman"/>
          <w:szCs w:val="20"/>
          <w:lang w:val="en-US"/>
        </w:rPr>
      </w:pPr>
    </w:p>
    <w:p w14:paraId="0B8BC1A2" w14:textId="677CDC5E" w:rsidR="00D20621" w:rsidRPr="007B2402" w:rsidRDefault="00F50892" w:rsidP="00F50892">
      <w:pPr>
        <w:numPr>
          <w:ilvl w:val="0"/>
          <w:numId w:val="6"/>
        </w:numPr>
        <w:spacing w:after="0" w:line="240" w:lineRule="auto"/>
        <w:contextualSpacing/>
        <w:jc w:val="both"/>
        <w:rPr>
          <w:rFonts w:eastAsia="Calibri" w:cs="Times New Roman"/>
          <w:szCs w:val="20"/>
          <w:lang w:val="en-US"/>
        </w:rPr>
      </w:pPr>
      <w:r w:rsidRPr="007B2402">
        <w:rPr>
          <w:rFonts w:eastAsia="Calibri" w:cs="Times New Roman"/>
          <w:szCs w:val="20"/>
          <w:lang w:val="en-US"/>
        </w:rPr>
        <w:t xml:space="preserve">They also underlined that one of the objectives of the public civil action filed by </w:t>
      </w:r>
      <w:r w:rsidR="005A2FF3" w:rsidRPr="007B2402">
        <w:rPr>
          <w:rFonts w:eastAsia="Calibri" w:cs="Times New Roman"/>
          <w:szCs w:val="20"/>
          <w:lang w:val="en-US"/>
        </w:rPr>
        <w:t>the Public Prosecution Service</w:t>
      </w:r>
      <w:r w:rsidRPr="007B2402">
        <w:rPr>
          <w:rFonts w:eastAsia="Calibri" w:cs="Times New Roman"/>
          <w:szCs w:val="20"/>
          <w:lang w:val="en-US"/>
        </w:rPr>
        <w:t xml:space="preserve"> was the declaration of the obligation of the Armed Forces to hand over all the documents relating to the</w:t>
      </w:r>
      <w:r w:rsidR="005C1A67" w:rsidRPr="007B2402">
        <w:rPr>
          <w:rFonts w:eastAsia="Calibri" w:cs="Times New Roman"/>
          <w:szCs w:val="20"/>
          <w:lang w:val="en-US"/>
        </w:rPr>
        <w:t xml:space="preserve"> Second Army’s</w:t>
      </w:r>
      <w:r w:rsidRPr="007B2402">
        <w:rPr>
          <w:rFonts w:eastAsia="Calibri" w:cs="Times New Roman"/>
          <w:szCs w:val="20"/>
          <w:lang w:val="en-US"/>
        </w:rPr>
        <w:t xml:space="preserve"> DOI/CODI that they possessed</w:t>
      </w:r>
      <w:r w:rsidR="005C1A67" w:rsidRPr="007B2402">
        <w:rPr>
          <w:rFonts w:eastAsia="Calibri" w:cs="Times New Roman"/>
          <w:szCs w:val="20"/>
          <w:lang w:val="en-US"/>
        </w:rPr>
        <w:t>;</w:t>
      </w:r>
      <w:r w:rsidRPr="007B2402">
        <w:rPr>
          <w:rFonts w:eastAsia="Calibri" w:cs="Times New Roman"/>
          <w:szCs w:val="20"/>
          <w:lang w:val="en-US"/>
        </w:rPr>
        <w:t xml:space="preserve"> a request based on the fact that “to date, the Brazilian Army has not given the public access to the files and information so that all the circumstances and all those responsible for the illegal acts carried out by that federal body can be known.” In addition, they indicated that </w:t>
      </w:r>
      <w:r w:rsidR="005A2FF3" w:rsidRPr="007B2402">
        <w:rPr>
          <w:rFonts w:eastAsia="Calibri" w:cs="Times New Roman"/>
          <w:szCs w:val="20"/>
          <w:lang w:val="en-US"/>
        </w:rPr>
        <w:t>the Public Prosecution Service</w:t>
      </w:r>
      <w:r w:rsidR="00D20621" w:rsidRPr="007B2402">
        <w:rPr>
          <w:rFonts w:eastAsia="Calibri" w:cs="Times New Roman"/>
          <w:szCs w:val="20"/>
          <w:lang w:val="en-US"/>
        </w:rPr>
        <w:t xml:space="preserve"> ha</w:t>
      </w:r>
      <w:r w:rsidRPr="007B2402">
        <w:rPr>
          <w:rFonts w:eastAsia="Calibri" w:cs="Times New Roman"/>
          <w:szCs w:val="20"/>
          <w:lang w:val="en-US"/>
        </w:rPr>
        <w:t xml:space="preserve">d </w:t>
      </w:r>
      <w:r w:rsidR="005C1A67" w:rsidRPr="007B2402">
        <w:rPr>
          <w:rFonts w:eastAsia="Calibri" w:cs="Times New Roman"/>
          <w:szCs w:val="20"/>
          <w:lang w:val="en-US"/>
        </w:rPr>
        <w:t xml:space="preserve">indicate </w:t>
      </w:r>
      <w:r w:rsidRPr="007B2402">
        <w:rPr>
          <w:rFonts w:eastAsia="Calibri" w:cs="Times New Roman"/>
          <w:szCs w:val="20"/>
          <w:lang w:val="en-US"/>
        </w:rPr>
        <w:t xml:space="preserve">that the Armed Forces had obstructed access to “almost” all the information on the activities of the </w:t>
      </w:r>
      <w:r w:rsidR="005C1A67" w:rsidRPr="007B2402">
        <w:rPr>
          <w:rFonts w:eastAsia="Calibri" w:cs="Times New Roman"/>
          <w:szCs w:val="20"/>
          <w:lang w:val="en-US"/>
        </w:rPr>
        <w:t xml:space="preserve">Second Army’s </w:t>
      </w:r>
      <w:r w:rsidR="00D20621" w:rsidRPr="007B2402">
        <w:rPr>
          <w:rFonts w:eastAsia="Calibri" w:cs="Times New Roman"/>
          <w:szCs w:val="20"/>
          <w:lang w:val="en-US"/>
        </w:rPr>
        <w:t>DOI/CODI.</w:t>
      </w:r>
    </w:p>
    <w:p w14:paraId="0B902BB6" w14:textId="77777777" w:rsidR="00D20621" w:rsidRPr="007B2402" w:rsidRDefault="00D20621" w:rsidP="00D20621">
      <w:pPr>
        <w:spacing w:after="0" w:line="240" w:lineRule="auto"/>
        <w:contextualSpacing/>
        <w:jc w:val="both"/>
        <w:rPr>
          <w:rFonts w:eastAsia="Calibri" w:cs="Times New Roman"/>
          <w:szCs w:val="20"/>
          <w:lang w:val="en-US"/>
        </w:rPr>
      </w:pPr>
    </w:p>
    <w:p w14:paraId="34E9A003" w14:textId="2657BB8B" w:rsidR="00D20621" w:rsidRPr="007B2402" w:rsidRDefault="00F50892" w:rsidP="00D20621">
      <w:pPr>
        <w:numPr>
          <w:ilvl w:val="0"/>
          <w:numId w:val="6"/>
        </w:numPr>
        <w:spacing w:after="0" w:line="240" w:lineRule="auto"/>
        <w:contextualSpacing/>
        <w:jc w:val="both"/>
        <w:rPr>
          <w:rFonts w:eastAsia="Calibri" w:cs="Times New Roman"/>
          <w:szCs w:val="20"/>
          <w:lang w:val="en-US"/>
        </w:rPr>
      </w:pPr>
      <w:r w:rsidRPr="007B2402">
        <w:rPr>
          <w:rFonts w:eastAsia="Calibri" w:cs="Times New Roman"/>
          <w:szCs w:val="20"/>
          <w:lang w:val="en-US"/>
        </w:rPr>
        <w:t xml:space="preserve">Regarding “impunity as an obstacle to knowing the truth,” </w:t>
      </w:r>
      <w:r w:rsidR="005B1590" w:rsidRPr="007B2402">
        <w:rPr>
          <w:rFonts w:eastAsia="Calibri" w:cs="Times New Roman"/>
          <w:szCs w:val="20"/>
          <w:lang w:val="en-US"/>
        </w:rPr>
        <w:t>the representatives</w:t>
      </w:r>
      <w:r w:rsidR="00D20621" w:rsidRPr="007B2402">
        <w:rPr>
          <w:rFonts w:eastAsia="Calibri" w:cs="Times New Roman"/>
          <w:szCs w:val="20"/>
          <w:lang w:val="en-US"/>
        </w:rPr>
        <w:t xml:space="preserve"> a</w:t>
      </w:r>
      <w:r w:rsidR="000207D5" w:rsidRPr="007B2402">
        <w:rPr>
          <w:rFonts w:eastAsia="Calibri" w:cs="Times New Roman"/>
          <w:szCs w:val="20"/>
          <w:lang w:val="en-US"/>
        </w:rPr>
        <w:t xml:space="preserve">cknowledged </w:t>
      </w:r>
      <w:r w:rsidRPr="007B2402">
        <w:rPr>
          <w:rFonts w:eastAsia="Calibri" w:cs="Times New Roman"/>
          <w:szCs w:val="20"/>
          <w:lang w:val="en-US"/>
        </w:rPr>
        <w:t xml:space="preserve">the historical and informative importance of the work </w:t>
      </w:r>
      <w:r w:rsidR="005B1590" w:rsidRPr="007B2402">
        <w:rPr>
          <w:rFonts w:eastAsia="Calibri" w:cs="Times New Roman"/>
          <w:szCs w:val="20"/>
          <w:lang w:val="en-US"/>
        </w:rPr>
        <w:t xml:space="preserve">of the </w:t>
      </w:r>
      <w:r w:rsidR="007E15B0" w:rsidRPr="007B2402">
        <w:rPr>
          <w:rFonts w:eastAsia="Calibri" w:cs="Times New Roman"/>
          <w:szCs w:val="20"/>
          <w:lang w:val="en-US"/>
        </w:rPr>
        <w:t>National Truth Commission</w:t>
      </w:r>
      <w:r w:rsidR="00D20621" w:rsidRPr="007B2402">
        <w:rPr>
          <w:rFonts w:eastAsia="Calibri" w:cs="Times New Roman"/>
          <w:szCs w:val="20"/>
          <w:lang w:val="en-US"/>
        </w:rPr>
        <w:t xml:space="preserve">. </w:t>
      </w:r>
      <w:r w:rsidRPr="007B2402">
        <w:rPr>
          <w:rFonts w:eastAsia="Calibri" w:cs="Times New Roman"/>
          <w:szCs w:val="20"/>
          <w:lang w:val="en-US"/>
        </w:rPr>
        <w:t>However, they indicated that th</w:t>
      </w:r>
      <w:r w:rsidR="000207D5" w:rsidRPr="007B2402">
        <w:rPr>
          <w:rFonts w:eastAsia="Calibri" w:cs="Times New Roman"/>
          <w:szCs w:val="20"/>
          <w:lang w:val="en-US"/>
        </w:rPr>
        <w:t>is</w:t>
      </w:r>
      <w:r w:rsidRPr="007B2402">
        <w:rPr>
          <w:rFonts w:eastAsia="Calibri" w:cs="Times New Roman"/>
          <w:szCs w:val="20"/>
          <w:lang w:val="en-US"/>
        </w:rPr>
        <w:t xml:space="preserve"> historical truth did not complete or substitu</w:t>
      </w:r>
      <w:r w:rsidR="00A62C96" w:rsidRPr="007B2402">
        <w:rPr>
          <w:rFonts w:eastAsia="Calibri" w:cs="Times New Roman"/>
          <w:szCs w:val="20"/>
          <w:lang w:val="en-US"/>
        </w:rPr>
        <w:t>t</w:t>
      </w:r>
      <w:r w:rsidRPr="007B2402">
        <w:rPr>
          <w:rFonts w:eastAsia="Calibri" w:cs="Times New Roman"/>
          <w:szCs w:val="20"/>
          <w:lang w:val="en-US"/>
        </w:rPr>
        <w:t xml:space="preserve">e </w:t>
      </w:r>
      <w:r w:rsidR="000207D5" w:rsidRPr="007B2402">
        <w:rPr>
          <w:rFonts w:eastAsia="Calibri" w:cs="Times New Roman"/>
          <w:szCs w:val="20"/>
          <w:lang w:val="en-US"/>
        </w:rPr>
        <w:t xml:space="preserve">for </w:t>
      </w:r>
      <w:r w:rsidRPr="007B2402">
        <w:rPr>
          <w:rFonts w:eastAsia="Calibri" w:cs="Times New Roman"/>
          <w:szCs w:val="20"/>
          <w:lang w:val="en-US"/>
        </w:rPr>
        <w:t>the State’</w:t>
      </w:r>
      <w:r w:rsidR="00A62C96" w:rsidRPr="007B2402">
        <w:rPr>
          <w:rFonts w:eastAsia="Calibri" w:cs="Times New Roman"/>
          <w:szCs w:val="20"/>
          <w:lang w:val="en-US"/>
        </w:rPr>
        <w:t xml:space="preserve">s </w:t>
      </w:r>
      <w:r w:rsidRPr="007B2402">
        <w:rPr>
          <w:rFonts w:eastAsia="Calibri" w:cs="Times New Roman"/>
          <w:szCs w:val="20"/>
          <w:lang w:val="en-US"/>
        </w:rPr>
        <w:t>obligation to establish</w:t>
      </w:r>
      <w:r w:rsidR="00A62C96" w:rsidRPr="007B2402">
        <w:rPr>
          <w:rFonts w:eastAsia="Calibri" w:cs="Times New Roman"/>
          <w:szCs w:val="20"/>
          <w:lang w:val="en-US"/>
        </w:rPr>
        <w:t xml:space="preserve"> </w:t>
      </w:r>
      <w:r w:rsidRPr="007B2402">
        <w:rPr>
          <w:rFonts w:eastAsia="Calibri" w:cs="Times New Roman"/>
          <w:szCs w:val="20"/>
          <w:lang w:val="en-US"/>
        </w:rPr>
        <w:t xml:space="preserve">the truth using procedural </w:t>
      </w:r>
      <w:r w:rsidR="00A62C96" w:rsidRPr="007B2402">
        <w:rPr>
          <w:rFonts w:eastAsia="Calibri" w:cs="Times New Roman"/>
          <w:szCs w:val="20"/>
          <w:lang w:val="en-US"/>
        </w:rPr>
        <w:t>mechanisms.</w:t>
      </w:r>
    </w:p>
    <w:p w14:paraId="01AC6417" w14:textId="77777777" w:rsidR="00D20621" w:rsidRPr="007B2402" w:rsidRDefault="00D20621" w:rsidP="00D20621">
      <w:pPr>
        <w:spacing w:after="0" w:line="240" w:lineRule="auto"/>
        <w:contextualSpacing/>
        <w:jc w:val="both"/>
        <w:rPr>
          <w:rFonts w:eastAsia="Calibri" w:cs="Times New Roman"/>
          <w:szCs w:val="20"/>
          <w:lang w:val="en-US"/>
        </w:rPr>
      </w:pPr>
    </w:p>
    <w:p w14:paraId="0448BAC9" w14:textId="6DA4F83B" w:rsidR="00A62C96" w:rsidRPr="007B2402" w:rsidRDefault="00A62C96" w:rsidP="00D20621">
      <w:pPr>
        <w:numPr>
          <w:ilvl w:val="0"/>
          <w:numId w:val="6"/>
        </w:numPr>
        <w:spacing w:after="0" w:line="240" w:lineRule="auto"/>
        <w:contextualSpacing/>
        <w:jc w:val="both"/>
        <w:rPr>
          <w:rFonts w:eastAsia="Calibri" w:cs="Times New Roman"/>
          <w:szCs w:val="20"/>
          <w:lang w:val="en-US"/>
        </w:rPr>
      </w:pPr>
      <w:r w:rsidRPr="007B2402">
        <w:rPr>
          <w:rFonts w:eastAsia="Calibri" w:cs="Times New Roman"/>
          <w:szCs w:val="20"/>
          <w:lang w:val="en-US"/>
        </w:rPr>
        <w:lastRenderedPageBreak/>
        <w:t xml:space="preserve">They also indicated that clarification of the perpetrators and the circumstances surrounding the practice of the crimes was essential, because the truth, of itself, </w:t>
      </w:r>
      <w:r w:rsidR="000207D5" w:rsidRPr="007B2402">
        <w:rPr>
          <w:rFonts w:eastAsia="Calibri" w:cs="Times New Roman"/>
          <w:szCs w:val="20"/>
          <w:lang w:val="en-US"/>
        </w:rPr>
        <w:t xml:space="preserve">was </w:t>
      </w:r>
      <w:r w:rsidRPr="007B2402">
        <w:rPr>
          <w:rFonts w:eastAsia="Calibri" w:cs="Times New Roman"/>
          <w:szCs w:val="20"/>
          <w:lang w:val="en-US"/>
        </w:rPr>
        <w:t xml:space="preserve">an integral component of the </w:t>
      </w:r>
      <w:r w:rsidR="000207D5" w:rsidRPr="007B2402">
        <w:rPr>
          <w:rFonts w:eastAsia="Calibri" w:cs="Times New Roman"/>
          <w:szCs w:val="20"/>
          <w:lang w:val="en-US"/>
        </w:rPr>
        <w:t>delivery</w:t>
      </w:r>
      <w:r w:rsidRPr="007B2402">
        <w:rPr>
          <w:rFonts w:eastAsia="Calibri" w:cs="Times New Roman"/>
          <w:szCs w:val="20"/>
          <w:lang w:val="en-US"/>
        </w:rPr>
        <w:t xml:space="preserve"> of justice, and not mere</w:t>
      </w:r>
      <w:r w:rsidR="000207D5" w:rsidRPr="007B2402">
        <w:rPr>
          <w:rFonts w:eastAsia="Calibri" w:cs="Times New Roman"/>
          <w:szCs w:val="20"/>
          <w:lang w:val="en-US"/>
        </w:rPr>
        <w:t>ly a</w:t>
      </w:r>
      <w:r w:rsidRPr="007B2402">
        <w:rPr>
          <w:rFonts w:eastAsia="Calibri" w:cs="Times New Roman"/>
          <w:szCs w:val="20"/>
          <w:lang w:val="en-US"/>
        </w:rPr>
        <w:t xml:space="preserve"> sub-product of the trials or other prosecutorial measures</w:t>
      </w:r>
      <w:r w:rsidR="000207D5" w:rsidRPr="007B2402">
        <w:rPr>
          <w:rFonts w:eastAsia="Calibri" w:cs="Times New Roman"/>
          <w:szCs w:val="20"/>
          <w:lang w:val="en-US"/>
        </w:rPr>
        <w:t>.</w:t>
      </w:r>
    </w:p>
    <w:p w14:paraId="09BEFAA6" w14:textId="77777777" w:rsidR="00D20621" w:rsidRPr="007B2402" w:rsidRDefault="00D20621" w:rsidP="00D20621">
      <w:pPr>
        <w:spacing w:after="0" w:line="240" w:lineRule="auto"/>
        <w:contextualSpacing/>
        <w:jc w:val="both"/>
        <w:rPr>
          <w:rFonts w:eastAsia="Calibri" w:cs="Times New Roman"/>
          <w:szCs w:val="20"/>
          <w:lang w:val="en-US"/>
        </w:rPr>
      </w:pPr>
    </w:p>
    <w:p w14:paraId="7EA26B52" w14:textId="06E9E1A5" w:rsidR="00D20621" w:rsidRPr="007B2402" w:rsidRDefault="00A62C96" w:rsidP="00A62C96">
      <w:pPr>
        <w:numPr>
          <w:ilvl w:val="0"/>
          <w:numId w:val="6"/>
        </w:numPr>
        <w:spacing w:after="0" w:line="240" w:lineRule="auto"/>
        <w:contextualSpacing/>
        <w:jc w:val="both"/>
        <w:rPr>
          <w:rFonts w:eastAsia="Calibri" w:cs="Times New Roman"/>
          <w:szCs w:val="20"/>
          <w:lang w:val="en-US"/>
        </w:rPr>
      </w:pPr>
      <w:r w:rsidRPr="007B2402">
        <w:rPr>
          <w:rFonts w:eastAsia="Calibri" w:cs="Times New Roman"/>
          <w:szCs w:val="20"/>
          <w:lang w:val="en-US"/>
        </w:rPr>
        <w:t xml:space="preserve">In this regard, </w:t>
      </w:r>
      <w:r w:rsidR="005B1590" w:rsidRPr="007B2402">
        <w:rPr>
          <w:rFonts w:eastAsia="Calibri" w:cs="Times New Roman"/>
          <w:szCs w:val="20"/>
          <w:lang w:val="en-US"/>
        </w:rPr>
        <w:t>the representatives</w:t>
      </w:r>
      <w:r w:rsidR="00D20621" w:rsidRPr="007B2402">
        <w:rPr>
          <w:rFonts w:eastAsia="Calibri" w:cs="Times New Roman"/>
          <w:szCs w:val="20"/>
          <w:lang w:val="en-US"/>
        </w:rPr>
        <w:t xml:space="preserve"> </w:t>
      </w:r>
      <w:r w:rsidRPr="007B2402">
        <w:rPr>
          <w:rFonts w:eastAsia="Calibri" w:cs="Times New Roman"/>
          <w:szCs w:val="20"/>
          <w:lang w:val="en-US"/>
        </w:rPr>
        <w:t>understood that the Brazilian State’s systematic refusal to hand over the military documents that could clarify the circumstances of Mr. Herzog</w:t>
      </w:r>
      <w:r w:rsidR="000207D5" w:rsidRPr="007B2402">
        <w:rPr>
          <w:rFonts w:eastAsia="Calibri" w:cs="Times New Roman"/>
          <w:szCs w:val="20"/>
          <w:lang w:val="en-US"/>
        </w:rPr>
        <w:t>’s death</w:t>
      </w:r>
      <w:r w:rsidRPr="007B2402">
        <w:rPr>
          <w:rFonts w:eastAsia="Calibri" w:cs="Times New Roman"/>
          <w:szCs w:val="20"/>
          <w:lang w:val="en-US"/>
        </w:rPr>
        <w:t xml:space="preserve"> and identify the perpetrators and the masterminds constituted a violation of the right to the truth and an obstruction of the right to justice in violation of </w:t>
      </w:r>
      <w:r w:rsidR="00AF4344" w:rsidRPr="007B2402">
        <w:rPr>
          <w:rFonts w:eastAsia="Calibri" w:cs="Times New Roman"/>
          <w:szCs w:val="20"/>
          <w:lang w:val="en-US"/>
        </w:rPr>
        <w:t>Articles</w:t>
      </w:r>
      <w:r w:rsidR="00D20621" w:rsidRPr="007B2402">
        <w:rPr>
          <w:rFonts w:eastAsia="Calibri" w:cs="Times New Roman"/>
          <w:szCs w:val="20"/>
          <w:lang w:val="en-US"/>
        </w:rPr>
        <w:t xml:space="preserve"> 5, 8, 13</w:t>
      </w:r>
      <w:r w:rsidR="000207D5" w:rsidRPr="007B2402">
        <w:rPr>
          <w:rFonts w:eastAsia="Calibri" w:cs="Times New Roman"/>
          <w:szCs w:val="20"/>
          <w:lang w:val="en-US"/>
        </w:rPr>
        <w:t xml:space="preserve"> and</w:t>
      </w:r>
      <w:r w:rsidR="00D20621" w:rsidRPr="007B2402">
        <w:rPr>
          <w:rFonts w:eastAsia="Calibri" w:cs="Times New Roman"/>
          <w:szCs w:val="20"/>
          <w:lang w:val="en-US"/>
        </w:rPr>
        <w:t xml:space="preserve"> 25</w:t>
      </w:r>
      <w:r w:rsidR="00AF4344" w:rsidRPr="007B2402">
        <w:rPr>
          <w:rFonts w:eastAsia="Calibri" w:cs="Times New Roman"/>
          <w:szCs w:val="20"/>
          <w:lang w:val="en-US"/>
        </w:rPr>
        <w:t xml:space="preserve"> of the American Convention</w:t>
      </w:r>
      <w:r w:rsidR="00D20621" w:rsidRPr="007B2402">
        <w:rPr>
          <w:rFonts w:eastAsia="Calibri" w:cs="Times New Roman"/>
          <w:szCs w:val="20"/>
          <w:lang w:val="en-US"/>
        </w:rPr>
        <w:t xml:space="preserve">, </w:t>
      </w:r>
      <w:r w:rsidR="00BF1A22" w:rsidRPr="007B2402">
        <w:rPr>
          <w:rFonts w:eastAsia="Calibri" w:cs="Times New Roman"/>
          <w:szCs w:val="20"/>
          <w:lang w:val="en-US"/>
        </w:rPr>
        <w:t>in relation to Article</w:t>
      </w:r>
      <w:r w:rsidR="00D20621" w:rsidRPr="007B2402">
        <w:rPr>
          <w:rFonts w:eastAsia="Calibri" w:cs="Times New Roman"/>
          <w:szCs w:val="20"/>
          <w:lang w:val="en-US"/>
        </w:rPr>
        <w:t xml:space="preserve"> </w:t>
      </w:r>
      <w:r w:rsidR="00375567" w:rsidRPr="007B2402">
        <w:rPr>
          <w:rFonts w:eastAsia="Calibri" w:cs="Times New Roman"/>
          <w:szCs w:val="20"/>
          <w:lang w:val="en-US"/>
        </w:rPr>
        <w:t>1(1)</w:t>
      </w:r>
      <w:r w:rsidR="00D20621" w:rsidRPr="007B2402">
        <w:rPr>
          <w:rFonts w:eastAsia="Calibri" w:cs="Times New Roman"/>
          <w:szCs w:val="20"/>
          <w:lang w:val="en-US"/>
        </w:rPr>
        <w:t xml:space="preserve"> </w:t>
      </w:r>
      <w:r w:rsidR="00375567" w:rsidRPr="007B2402">
        <w:rPr>
          <w:rFonts w:eastAsia="Calibri" w:cs="Times New Roman"/>
          <w:szCs w:val="20"/>
          <w:lang w:val="en-US"/>
        </w:rPr>
        <w:t>of this instrument</w:t>
      </w:r>
      <w:r w:rsidR="00D20621" w:rsidRPr="007B2402">
        <w:rPr>
          <w:rFonts w:eastAsia="Calibri" w:cs="Times New Roman"/>
          <w:szCs w:val="20"/>
          <w:lang w:val="en-US"/>
        </w:rPr>
        <w:t xml:space="preserve">. </w:t>
      </w:r>
    </w:p>
    <w:p w14:paraId="37FC31C2" w14:textId="77777777" w:rsidR="00D20621" w:rsidRPr="007B2402" w:rsidRDefault="00D20621" w:rsidP="00D20621">
      <w:pPr>
        <w:spacing w:after="0" w:line="240" w:lineRule="auto"/>
        <w:contextualSpacing/>
        <w:rPr>
          <w:rFonts w:eastAsia="Calibri" w:cs="Times New Roman"/>
          <w:szCs w:val="20"/>
          <w:lang w:val="en-US"/>
        </w:rPr>
      </w:pPr>
    </w:p>
    <w:p w14:paraId="610DBAD0" w14:textId="558229D1" w:rsidR="00D20621" w:rsidRPr="007B2402" w:rsidRDefault="00AF4344" w:rsidP="00C2286D">
      <w:pPr>
        <w:numPr>
          <w:ilvl w:val="0"/>
          <w:numId w:val="6"/>
        </w:numPr>
        <w:spacing w:after="0" w:line="240" w:lineRule="auto"/>
        <w:contextualSpacing/>
        <w:jc w:val="both"/>
        <w:rPr>
          <w:rFonts w:eastAsia="Calibri" w:cs="Times New Roman"/>
          <w:b/>
          <w:szCs w:val="20"/>
          <w:lang w:val="en-US"/>
        </w:rPr>
      </w:pPr>
      <w:r w:rsidRPr="007B2402">
        <w:rPr>
          <w:rFonts w:eastAsia="Calibri" w:cs="Times New Roman"/>
          <w:szCs w:val="20"/>
          <w:lang w:val="en-US"/>
        </w:rPr>
        <w:t xml:space="preserve">The </w:t>
      </w:r>
      <w:r w:rsidRPr="007B2402">
        <w:rPr>
          <w:rFonts w:eastAsia="Calibri" w:cs="Times New Roman"/>
          <w:b/>
          <w:bCs/>
          <w:i/>
          <w:iCs/>
          <w:szCs w:val="20"/>
          <w:lang w:val="en-US"/>
        </w:rPr>
        <w:t>State</w:t>
      </w:r>
      <w:r w:rsidR="00D20621" w:rsidRPr="007B2402">
        <w:rPr>
          <w:rFonts w:eastAsia="Calibri" w:cs="Times New Roman"/>
          <w:szCs w:val="20"/>
          <w:lang w:val="en-US"/>
        </w:rPr>
        <w:t xml:space="preserve">, </w:t>
      </w:r>
      <w:r w:rsidR="00C2286D" w:rsidRPr="007B2402">
        <w:rPr>
          <w:rFonts w:eastAsia="Calibri" w:cs="Times New Roman"/>
          <w:szCs w:val="20"/>
          <w:lang w:val="en-US"/>
        </w:rPr>
        <w:t>in relation to the dissemination of a false version of Mr. Herzog’s death, argued that the judgment in the 1976 declaratory action had affirmed that the version of suicide had not been proved. Similarly, the request for the opening of a</w:t>
      </w:r>
      <w:r w:rsidR="00C2286D" w:rsidRPr="007B2402">
        <w:rPr>
          <w:rFonts w:eastAsia="Calibri" w:cs="Times New Roman"/>
          <w:b/>
          <w:szCs w:val="20"/>
          <w:lang w:val="en-US"/>
        </w:rPr>
        <w:t xml:space="preserve"> </w:t>
      </w:r>
      <w:r w:rsidR="00C2286D" w:rsidRPr="007B2402">
        <w:rPr>
          <w:rFonts w:eastAsia="Calibri" w:cs="Times New Roman"/>
          <w:szCs w:val="20"/>
          <w:lang w:val="en-US"/>
        </w:rPr>
        <w:t>p</w:t>
      </w:r>
      <w:r w:rsidR="005A2FF3" w:rsidRPr="007B2402">
        <w:rPr>
          <w:rFonts w:eastAsia="Calibri" w:cs="Times New Roman"/>
          <w:szCs w:val="20"/>
          <w:lang w:val="en-US"/>
        </w:rPr>
        <w:t>olice investigation</w:t>
      </w:r>
      <w:r w:rsidR="00C2286D" w:rsidRPr="007B2402">
        <w:rPr>
          <w:rFonts w:eastAsia="Calibri" w:cs="Times New Roman"/>
          <w:szCs w:val="20"/>
          <w:lang w:val="en-US"/>
        </w:rPr>
        <w:t xml:space="preserve"> in 1992, based on the judgment in the declaratory action revealed that the State authorities no longer considered that the version of suicide was tenable. It indicated that the rectification of the death certificate in 2013 did not mean that the State’s version of suicide had persisted until then, and that, in 2012, in the State’s answering brief to the Commission in relation to the admission of the petition in this case, it had acknowledged responsibility for the arbitrary imprisonment and death of</w:t>
      </w:r>
      <w:r w:rsidR="00C2286D" w:rsidRPr="007B2402">
        <w:rPr>
          <w:rFonts w:eastAsia="Calibri" w:cs="Times New Roman"/>
          <w:b/>
          <w:szCs w:val="20"/>
          <w:lang w:val="en-US"/>
        </w:rPr>
        <w:t xml:space="preserve"> </w:t>
      </w:r>
      <w:r w:rsidR="00B0332B" w:rsidRPr="007B2402">
        <w:rPr>
          <w:rFonts w:eastAsia="Calibri" w:cs="Times New Roman"/>
          <w:szCs w:val="20"/>
          <w:lang w:val="en-US"/>
        </w:rPr>
        <w:t>Vladimir Herzog.</w:t>
      </w:r>
    </w:p>
    <w:p w14:paraId="66C4A782" w14:textId="77777777" w:rsidR="00D20621" w:rsidRPr="007B2402" w:rsidRDefault="00D20621" w:rsidP="00D20621">
      <w:pPr>
        <w:spacing w:after="0" w:line="240" w:lineRule="auto"/>
        <w:contextualSpacing/>
        <w:jc w:val="both"/>
        <w:rPr>
          <w:rFonts w:eastAsia="Calibri" w:cs="Times New Roman"/>
          <w:szCs w:val="20"/>
          <w:lang w:val="en-US"/>
        </w:rPr>
      </w:pPr>
    </w:p>
    <w:p w14:paraId="215B2049" w14:textId="3D55F714" w:rsidR="00D20621" w:rsidRPr="007B2402" w:rsidRDefault="00D20621" w:rsidP="00B47D65">
      <w:pPr>
        <w:numPr>
          <w:ilvl w:val="0"/>
          <w:numId w:val="6"/>
        </w:numPr>
        <w:spacing w:after="0" w:line="240" w:lineRule="auto"/>
        <w:contextualSpacing/>
        <w:jc w:val="both"/>
        <w:rPr>
          <w:rFonts w:eastAsia="Calibri" w:cs="Times New Roman"/>
          <w:szCs w:val="20"/>
          <w:lang w:val="en-US"/>
        </w:rPr>
      </w:pPr>
      <w:r w:rsidRPr="007B2402">
        <w:rPr>
          <w:rFonts w:eastAsia="Calibri" w:cs="Times New Roman"/>
          <w:szCs w:val="20"/>
          <w:lang w:val="en-US"/>
        </w:rPr>
        <w:t>Re</w:t>
      </w:r>
      <w:r w:rsidR="00C2286D" w:rsidRPr="007B2402">
        <w:rPr>
          <w:rFonts w:eastAsia="Calibri" w:cs="Times New Roman"/>
          <w:szCs w:val="20"/>
          <w:lang w:val="en-US"/>
        </w:rPr>
        <w:t>garding the lack of access to the military files, the State argued that th</w:t>
      </w:r>
      <w:r w:rsidR="009B2AFE" w:rsidRPr="007B2402">
        <w:rPr>
          <w:rFonts w:eastAsia="Calibri" w:cs="Times New Roman"/>
          <w:szCs w:val="20"/>
          <w:lang w:val="en-US"/>
        </w:rPr>
        <w:t>is</w:t>
      </w:r>
      <w:r w:rsidR="00C2286D" w:rsidRPr="007B2402">
        <w:rPr>
          <w:rFonts w:eastAsia="Calibri" w:cs="Times New Roman"/>
          <w:szCs w:val="20"/>
          <w:lang w:val="en-US"/>
        </w:rPr>
        <w:t xml:space="preserve"> fact had not been submitted by the Commission, and therefore the Court should not examine it; also, the</w:t>
      </w:r>
      <w:r w:rsidR="009B2AFE" w:rsidRPr="007B2402">
        <w:rPr>
          <w:rFonts w:eastAsia="Calibri" w:cs="Times New Roman"/>
          <w:szCs w:val="20"/>
          <w:lang w:val="en-US"/>
        </w:rPr>
        <w:t xml:space="preserve"> allegations</w:t>
      </w:r>
      <w:r w:rsidR="00C2286D" w:rsidRPr="007B2402">
        <w:rPr>
          <w:rFonts w:eastAsia="Calibri" w:cs="Times New Roman"/>
          <w:szCs w:val="20"/>
          <w:lang w:val="en-US"/>
        </w:rPr>
        <w:t xml:space="preserve"> were generic. Despite this,</w:t>
      </w:r>
      <w:r w:rsidR="00B47D65" w:rsidRPr="007B2402">
        <w:rPr>
          <w:rFonts w:eastAsia="Calibri" w:cs="Times New Roman"/>
          <w:szCs w:val="20"/>
          <w:lang w:val="en-US"/>
        </w:rPr>
        <w:t xml:space="preserve"> the State clarified that an investigative procedure had been conducted within the Armed Forces to determine irregularities in the destruction of public documents from the period from 1964 to 1990, reaching the conclusion that there had been no irregularities. It indicated that the State was unable to produce negative evidence in the sense that files </w:t>
      </w:r>
      <w:r w:rsidR="009B2AFE" w:rsidRPr="007B2402">
        <w:rPr>
          <w:rFonts w:eastAsia="Calibri" w:cs="Times New Roman"/>
          <w:szCs w:val="20"/>
          <w:lang w:val="en-US"/>
        </w:rPr>
        <w:t>we</w:t>
      </w:r>
      <w:r w:rsidR="00B47D65" w:rsidRPr="007B2402">
        <w:rPr>
          <w:rFonts w:eastAsia="Calibri" w:cs="Times New Roman"/>
          <w:szCs w:val="20"/>
          <w:lang w:val="en-US"/>
        </w:rPr>
        <w:t xml:space="preserve">re not being concealed and that, in any case, this </w:t>
      </w:r>
      <w:r w:rsidR="009B2AFE" w:rsidRPr="007B2402">
        <w:rPr>
          <w:rFonts w:eastAsia="Calibri" w:cs="Times New Roman"/>
          <w:szCs w:val="20"/>
          <w:lang w:val="en-US"/>
        </w:rPr>
        <w:t>was</w:t>
      </w:r>
      <w:r w:rsidR="00B47D65" w:rsidRPr="007B2402">
        <w:rPr>
          <w:rFonts w:eastAsia="Calibri" w:cs="Times New Roman"/>
          <w:szCs w:val="20"/>
          <w:lang w:val="en-US"/>
        </w:rPr>
        <w:t xml:space="preserve"> not applicable to the case of </w:t>
      </w:r>
      <w:r w:rsidRPr="007B2402">
        <w:rPr>
          <w:rFonts w:eastAsia="Calibri" w:cs="Times New Roman"/>
          <w:szCs w:val="20"/>
          <w:lang w:val="en-US"/>
        </w:rPr>
        <w:t xml:space="preserve">Vladimir Herzog, </w:t>
      </w:r>
      <w:r w:rsidR="00B47D65" w:rsidRPr="007B2402">
        <w:rPr>
          <w:rFonts w:eastAsia="Calibri" w:cs="Times New Roman"/>
          <w:szCs w:val="20"/>
          <w:lang w:val="en-US"/>
        </w:rPr>
        <w:t>because the circumstances of his death ha</w:t>
      </w:r>
      <w:r w:rsidR="009B2AFE" w:rsidRPr="007B2402">
        <w:rPr>
          <w:rFonts w:eastAsia="Calibri" w:cs="Times New Roman"/>
          <w:szCs w:val="20"/>
          <w:lang w:val="en-US"/>
        </w:rPr>
        <w:t>d</w:t>
      </w:r>
      <w:r w:rsidR="00B47D65" w:rsidRPr="007B2402">
        <w:rPr>
          <w:rFonts w:eastAsia="Calibri" w:cs="Times New Roman"/>
          <w:szCs w:val="20"/>
          <w:lang w:val="en-US"/>
        </w:rPr>
        <w:t xml:space="preserve"> been clarified since the</w:t>
      </w:r>
      <w:r w:rsidR="009B2AFE" w:rsidRPr="007B2402">
        <w:rPr>
          <w:rFonts w:eastAsia="Calibri" w:cs="Times New Roman"/>
          <w:szCs w:val="20"/>
          <w:lang w:val="en-US"/>
        </w:rPr>
        <w:t xml:space="preserve"> court’s</w:t>
      </w:r>
      <w:r w:rsidR="00B47D65" w:rsidRPr="007B2402">
        <w:rPr>
          <w:rFonts w:eastAsia="Calibri" w:cs="Times New Roman"/>
          <w:szCs w:val="20"/>
          <w:lang w:val="en-US"/>
        </w:rPr>
        <w:t xml:space="preserve"> judgment in the 1976 declaratory action, and </w:t>
      </w:r>
      <w:r w:rsidR="009B2AFE" w:rsidRPr="007B2402">
        <w:rPr>
          <w:rFonts w:eastAsia="Calibri" w:cs="Times New Roman"/>
          <w:szCs w:val="20"/>
          <w:lang w:val="en-US"/>
        </w:rPr>
        <w:t xml:space="preserve">also </w:t>
      </w:r>
      <w:r w:rsidR="00BE33CA" w:rsidRPr="007B2402">
        <w:rPr>
          <w:rFonts w:eastAsia="Calibri" w:cs="Times New Roman"/>
          <w:szCs w:val="20"/>
          <w:lang w:val="en-US"/>
        </w:rPr>
        <w:t xml:space="preserve">in </w:t>
      </w:r>
      <w:r w:rsidR="00B47D65" w:rsidRPr="007B2402">
        <w:rPr>
          <w:rFonts w:eastAsia="Calibri" w:cs="Times New Roman"/>
          <w:szCs w:val="20"/>
          <w:lang w:val="en-US"/>
        </w:rPr>
        <w:t xml:space="preserve">the analysis made by the Special Commission </w:t>
      </w:r>
      <w:r w:rsidR="00B47D65" w:rsidRPr="007B2402">
        <w:rPr>
          <w:rFonts w:eastAsia="Times New Roman" w:cs="Verdana"/>
          <w:spacing w:val="-2"/>
          <w:szCs w:val="20"/>
          <w:lang w:val="en-US" w:eastAsia="es-CR"/>
        </w:rPr>
        <w:t>on Political Deaths and Disappearances</w:t>
      </w:r>
      <w:r w:rsidR="009B2AFE" w:rsidRPr="007B2402">
        <w:rPr>
          <w:rFonts w:eastAsia="Times New Roman" w:cs="Verdana"/>
          <w:spacing w:val="-2"/>
          <w:szCs w:val="20"/>
          <w:lang w:val="en-US" w:eastAsia="es-CR"/>
        </w:rPr>
        <w:t>,</w:t>
      </w:r>
      <w:r w:rsidR="00B47D65" w:rsidRPr="007B2402">
        <w:rPr>
          <w:rFonts w:eastAsia="Times New Roman" w:cs="Verdana"/>
          <w:spacing w:val="-2"/>
          <w:szCs w:val="20"/>
          <w:lang w:val="en-US" w:eastAsia="es-CR"/>
        </w:rPr>
        <w:t xml:space="preserve"> </w:t>
      </w:r>
      <w:r w:rsidR="00BE33CA" w:rsidRPr="007B2402">
        <w:rPr>
          <w:rFonts w:eastAsia="Times New Roman" w:cs="Verdana"/>
          <w:spacing w:val="-2"/>
          <w:szCs w:val="20"/>
          <w:lang w:val="en-US" w:eastAsia="es-CR"/>
        </w:rPr>
        <w:t xml:space="preserve">and finally </w:t>
      </w:r>
      <w:r w:rsidR="009B2AFE" w:rsidRPr="007B2402">
        <w:rPr>
          <w:rFonts w:eastAsia="Times New Roman" w:cs="Verdana"/>
          <w:spacing w:val="-2"/>
          <w:szCs w:val="20"/>
          <w:lang w:val="en-US" w:eastAsia="es-CR"/>
        </w:rPr>
        <w:t>in</w:t>
      </w:r>
      <w:r w:rsidR="00B47D65" w:rsidRPr="007B2402">
        <w:rPr>
          <w:rFonts w:eastAsia="Times New Roman" w:cs="Verdana"/>
          <w:spacing w:val="-2"/>
          <w:szCs w:val="20"/>
          <w:lang w:val="en-US" w:eastAsia="es-CR"/>
        </w:rPr>
        <w:t xml:space="preserve"> the </w:t>
      </w:r>
      <w:r w:rsidR="002E293F" w:rsidRPr="007B2402">
        <w:rPr>
          <w:rFonts w:eastAsia="Calibri" w:cs="Times New Roman"/>
          <w:szCs w:val="20"/>
          <w:lang w:val="en-US"/>
        </w:rPr>
        <w:t>Report of the National Truth Commission</w:t>
      </w:r>
      <w:r w:rsidRPr="007B2402">
        <w:rPr>
          <w:rFonts w:eastAsia="Calibri" w:cs="Times New Roman"/>
          <w:szCs w:val="20"/>
          <w:lang w:val="en-US"/>
        </w:rPr>
        <w:t>. Ad</w:t>
      </w:r>
      <w:r w:rsidR="00B47D65" w:rsidRPr="007B2402">
        <w:rPr>
          <w:rFonts w:eastAsia="Calibri" w:cs="Times New Roman"/>
          <w:szCs w:val="20"/>
          <w:lang w:val="en-US"/>
        </w:rPr>
        <w:t xml:space="preserve">ditionally, the petitioners had not exhausted domestic remedies, because they had not filed an application </w:t>
      </w:r>
      <w:r w:rsidR="009B2AFE" w:rsidRPr="007B2402">
        <w:rPr>
          <w:rFonts w:eastAsia="Calibri" w:cs="Times New Roman"/>
          <w:szCs w:val="20"/>
          <w:lang w:val="en-US"/>
        </w:rPr>
        <w:t>for</w:t>
      </w:r>
      <w:r w:rsidR="00B47D65" w:rsidRPr="007B2402">
        <w:rPr>
          <w:rFonts w:eastAsia="Calibri" w:cs="Times New Roman"/>
          <w:szCs w:val="20"/>
          <w:lang w:val="en-US"/>
        </w:rPr>
        <w:t xml:space="preserve"> </w:t>
      </w:r>
      <w:r w:rsidRPr="007B2402">
        <w:rPr>
          <w:rFonts w:eastAsia="Calibri" w:cs="Times New Roman"/>
          <w:i/>
          <w:szCs w:val="20"/>
          <w:lang w:val="en-US"/>
        </w:rPr>
        <w:t>habeas data</w:t>
      </w:r>
      <w:r w:rsidRPr="007B2402">
        <w:rPr>
          <w:rFonts w:eastAsia="Calibri" w:cs="Times New Roman"/>
          <w:szCs w:val="20"/>
          <w:lang w:val="en-US"/>
        </w:rPr>
        <w:t xml:space="preserve">. </w:t>
      </w:r>
    </w:p>
    <w:p w14:paraId="3FF2663D" w14:textId="77777777" w:rsidR="00D20621" w:rsidRPr="007B2402" w:rsidRDefault="00D20621" w:rsidP="00D20621">
      <w:pPr>
        <w:spacing w:after="0" w:line="240" w:lineRule="auto"/>
        <w:contextualSpacing/>
        <w:jc w:val="both"/>
        <w:rPr>
          <w:rFonts w:eastAsia="Calibri" w:cs="Times New Roman"/>
          <w:szCs w:val="20"/>
          <w:lang w:val="en-US"/>
        </w:rPr>
      </w:pPr>
    </w:p>
    <w:p w14:paraId="68C62044" w14:textId="451AC502" w:rsidR="00B47D65" w:rsidRPr="007B2402" w:rsidRDefault="00B47D65" w:rsidP="00D20621">
      <w:pPr>
        <w:numPr>
          <w:ilvl w:val="0"/>
          <w:numId w:val="6"/>
        </w:numPr>
        <w:spacing w:after="0" w:line="240" w:lineRule="auto"/>
        <w:contextualSpacing/>
        <w:jc w:val="both"/>
        <w:rPr>
          <w:rFonts w:eastAsia="Calibri" w:cs="Times New Roman"/>
          <w:b/>
          <w:szCs w:val="20"/>
          <w:lang w:val="en-US"/>
        </w:rPr>
      </w:pPr>
      <w:r w:rsidRPr="007B2402">
        <w:rPr>
          <w:rFonts w:eastAsia="Calibri" w:cs="Times New Roman"/>
          <w:szCs w:val="20"/>
          <w:lang w:val="en-US"/>
        </w:rPr>
        <w:t xml:space="preserve">In relation to impunity as an obstacle to knowing the truth, the State understood that this right was subsumed in the right of the victim and the next of kin to obtain clarification of the facts and the </w:t>
      </w:r>
      <w:r w:rsidR="009B2AFE" w:rsidRPr="007B2402">
        <w:rPr>
          <w:rFonts w:eastAsia="Calibri" w:cs="Times New Roman"/>
          <w:szCs w:val="20"/>
          <w:lang w:val="en-US"/>
        </w:rPr>
        <w:t xml:space="preserve">respective </w:t>
      </w:r>
      <w:r w:rsidRPr="007B2402">
        <w:rPr>
          <w:rFonts w:eastAsia="Calibri" w:cs="Times New Roman"/>
          <w:szCs w:val="20"/>
          <w:lang w:val="en-US"/>
        </w:rPr>
        <w:t xml:space="preserve">responsibilities from </w:t>
      </w:r>
      <w:r w:rsidR="009B2AFE" w:rsidRPr="007B2402">
        <w:rPr>
          <w:rFonts w:eastAsia="Calibri" w:cs="Times New Roman"/>
          <w:szCs w:val="20"/>
          <w:lang w:val="en-US"/>
        </w:rPr>
        <w:t xml:space="preserve">the </w:t>
      </w:r>
      <w:r w:rsidRPr="007B2402">
        <w:rPr>
          <w:rFonts w:eastAsia="Calibri" w:cs="Times New Roman"/>
          <w:szCs w:val="20"/>
          <w:lang w:val="en-US"/>
        </w:rPr>
        <w:t xml:space="preserve">State’s competent organs; in other words, access to justice. However, the State argued that it had taken diverse steps in order to </w:t>
      </w:r>
      <w:r w:rsidR="009B2AFE" w:rsidRPr="007B2402">
        <w:rPr>
          <w:rFonts w:eastAsia="Calibri" w:cs="Times New Roman"/>
          <w:szCs w:val="20"/>
          <w:lang w:val="en-US"/>
        </w:rPr>
        <w:t>identify</w:t>
      </w:r>
      <w:r w:rsidRPr="007B2402">
        <w:rPr>
          <w:rFonts w:eastAsia="Calibri" w:cs="Times New Roman"/>
          <w:szCs w:val="20"/>
          <w:lang w:val="en-US"/>
        </w:rPr>
        <w:t xml:space="preserve"> the truth of what had occurred.</w:t>
      </w:r>
    </w:p>
    <w:p w14:paraId="79333B1E" w14:textId="77777777" w:rsidR="00D20621" w:rsidRPr="007B2402" w:rsidRDefault="00D20621" w:rsidP="00D20621">
      <w:pPr>
        <w:spacing w:after="0" w:line="240" w:lineRule="auto"/>
        <w:contextualSpacing/>
        <w:rPr>
          <w:rFonts w:eastAsia="Calibri" w:cs="Times New Roman"/>
          <w:b/>
          <w:szCs w:val="20"/>
          <w:lang w:val="en-US"/>
        </w:rPr>
      </w:pPr>
    </w:p>
    <w:p w14:paraId="2D33A382" w14:textId="18F13B42" w:rsidR="00697750" w:rsidRPr="007B2402" w:rsidRDefault="00AF4344" w:rsidP="000A6DAF">
      <w:pPr>
        <w:numPr>
          <w:ilvl w:val="0"/>
          <w:numId w:val="6"/>
        </w:numPr>
        <w:spacing w:after="0" w:line="240" w:lineRule="auto"/>
        <w:contextualSpacing/>
        <w:jc w:val="both"/>
        <w:rPr>
          <w:rFonts w:eastAsia="Calibri" w:cs="Times New Roman"/>
          <w:b/>
          <w:szCs w:val="20"/>
          <w:lang w:val="en-US"/>
        </w:rPr>
      </w:pPr>
      <w:r w:rsidRPr="007B2402">
        <w:rPr>
          <w:rFonts w:eastAsia="Calibri" w:cs="Times New Roman"/>
          <w:szCs w:val="20"/>
          <w:lang w:val="en-US"/>
        </w:rPr>
        <w:t>The State</w:t>
      </w:r>
      <w:r w:rsidR="00D20621" w:rsidRPr="007B2402">
        <w:rPr>
          <w:rFonts w:eastAsia="Calibri" w:cs="Times New Roman"/>
          <w:szCs w:val="20"/>
          <w:lang w:val="en-US"/>
        </w:rPr>
        <w:t xml:space="preserve"> </w:t>
      </w:r>
      <w:r w:rsidR="00B47D65" w:rsidRPr="007B2402">
        <w:rPr>
          <w:rFonts w:eastAsia="Calibri" w:cs="Times New Roman"/>
          <w:szCs w:val="20"/>
          <w:lang w:val="en-US"/>
        </w:rPr>
        <w:t xml:space="preserve">argued that </w:t>
      </w:r>
      <w:r w:rsidR="006E2CFF" w:rsidRPr="007B2402">
        <w:rPr>
          <w:rFonts w:eastAsia="Calibri" w:cs="Times New Roman"/>
          <w:szCs w:val="20"/>
          <w:lang w:val="en-US"/>
        </w:rPr>
        <w:t>Article</w:t>
      </w:r>
      <w:r w:rsidR="00D20621" w:rsidRPr="007B2402">
        <w:rPr>
          <w:rFonts w:eastAsia="Calibri" w:cs="Times New Roman"/>
          <w:szCs w:val="20"/>
          <w:lang w:val="en-US"/>
        </w:rPr>
        <w:t xml:space="preserve"> 2</w:t>
      </w:r>
      <w:r w:rsidRPr="007B2402">
        <w:rPr>
          <w:rFonts w:eastAsia="Calibri" w:cs="Times New Roman"/>
          <w:szCs w:val="20"/>
          <w:lang w:val="en-US"/>
        </w:rPr>
        <w:t xml:space="preserve"> of the Convention</w:t>
      </w:r>
      <w:r w:rsidR="00D20621" w:rsidRPr="007B2402">
        <w:rPr>
          <w:rFonts w:eastAsia="Calibri" w:cs="Times New Roman"/>
          <w:szCs w:val="20"/>
          <w:lang w:val="en-US"/>
        </w:rPr>
        <w:t xml:space="preserve"> </w:t>
      </w:r>
      <w:r w:rsidR="00B47D65" w:rsidRPr="007B2402">
        <w:rPr>
          <w:rFonts w:eastAsia="Calibri" w:cs="Times New Roman"/>
          <w:szCs w:val="20"/>
          <w:lang w:val="en-US"/>
        </w:rPr>
        <w:t xml:space="preserve">revealed that the adoption of public administrative and legislative policies should be entrusted, first, to the democratically elected </w:t>
      </w:r>
      <w:r w:rsidR="005B1590" w:rsidRPr="007B2402">
        <w:rPr>
          <w:rFonts w:eastAsia="Calibri" w:cs="Times New Roman"/>
          <w:szCs w:val="20"/>
          <w:lang w:val="en-US"/>
        </w:rPr>
        <w:t>representatives</w:t>
      </w:r>
      <w:r w:rsidR="00B47D65" w:rsidRPr="007B2402">
        <w:rPr>
          <w:rFonts w:eastAsia="Calibri" w:cs="Times New Roman"/>
          <w:szCs w:val="20"/>
          <w:lang w:val="en-US"/>
        </w:rPr>
        <w:t xml:space="preserve"> of the people</w:t>
      </w:r>
      <w:r w:rsidR="00697750" w:rsidRPr="007B2402">
        <w:rPr>
          <w:rFonts w:eastAsia="Calibri" w:cs="Times New Roman"/>
          <w:szCs w:val="20"/>
          <w:lang w:val="en-US"/>
        </w:rPr>
        <w:t xml:space="preserve"> who, in turn, </w:t>
      </w:r>
      <w:r w:rsidR="009B2AFE" w:rsidRPr="007B2402">
        <w:rPr>
          <w:rFonts w:eastAsia="Calibri" w:cs="Times New Roman"/>
          <w:szCs w:val="20"/>
          <w:lang w:val="en-US"/>
        </w:rPr>
        <w:t>we</w:t>
      </w:r>
      <w:r w:rsidR="00697750" w:rsidRPr="007B2402">
        <w:rPr>
          <w:rFonts w:eastAsia="Calibri" w:cs="Times New Roman"/>
          <w:szCs w:val="20"/>
          <w:lang w:val="en-US"/>
        </w:rPr>
        <w:t>re subject to domestic law and the Constitution. It therefore asked the Court to recognize that, in light of Article 2 of the Convention, the State ha</w:t>
      </w:r>
      <w:r w:rsidR="009B2AFE" w:rsidRPr="007B2402">
        <w:rPr>
          <w:rFonts w:eastAsia="Calibri" w:cs="Times New Roman"/>
          <w:szCs w:val="20"/>
          <w:lang w:val="en-US"/>
        </w:rPr>
        <w:t>d</w:t>
      </w:r>
      <w:r w:rsidR="00697750" w:rsidRPr="007B2402">
        <w:rPr>
          <w:rFonts w:eastAsia="Calibri" w:cs="Times New Roman"/>
          <w:szCs w:val="20"/>
          <w:lang w:val="en-US"/>
        </w:rPr>
        <w:t xml:space="preserve"> the right to </w:t>
      </w:r>
      <w:r w:rsidR="009B2AFE" w:rsidRPr="007B2402">
        <w:rPr>
          <w:rFonts w:eastAsia="Calibri" w:cs="Times New Roman"/>
          <w:szCs w:val="20"/>
          <w:lang w:val="en-US"/>
        </w:rPr>
        <w:t>implement</w:t>
      </w:r>
      <w:r w:rsidR="00697750" w:rsidRPr="007B2402">
        <w:rPr>
          <w:rFonts w:eastAsia="Calibri" w:cs="Times New Roman"/>
          <w:szCs w:val="20"/>
          <w:lang w:val="en-US"/>
        </w:rPr>
        <w:t xml:space="preserve"> </w:t>
      </w:r>
      <w:r w:rsidR="009B2AFE" w:rsidRPr="007B2402">
        <w:rPr>
          <w:rFonts w:eastAsia="Calibri" w:cs="Times New Roman"/>
          <w:szCs w:val="20"/>
          <w:lang w:val="en-US"/>
        </w:rPr>
        <w:t>such</w:t>
      </w:r>
      <w:r w:rsidR="00697750" w:rsidRPr="007B2402">
        <w:rPr>
          <w:rFonts w:eastAsia="Calibri" w:cs="Times New Roman"/>
          <w:szCs w:val="20"/>
          <w:lang w:val="en-US"/>
        </w:rPr>
        <w:t xml:space="preserve"> policies in accordance with its “reasonable margin of appreciation,” with due discretionary powers to choose the most appropriate means to ensure that the rights protected </w:t>
      </w:r>
      <w:r w:rsidR="009B2AFE" w:rsidRPr="007B2402">
        <w:rPr>
          <w:rFonts w:eastAsia="Calibri" w:cs="Times New Roman"/>
          <w:szCs w:val="20"/>
          <w:lang w:val="en-US"/>
        </w:rPr>
        <w:t xml:space="preserve">by </w:t>
      </w:r>
      <w:r w:rsidR="00697750" w:rsidRPr="007B2402">
        <w:rPr>
          <w:rFonts w:eastAsia="Calibri" w:cs="Times New Roman"/>
          <w:szCs w:val="20"/>
          <w:lang w:val="en-US"/>
        </w:rPr>
        <w:t xml:space="preserve">the Convention </w:t>
      </w:r>
      <w:r w:rsidR="009B2AFE" w:rsidRPr="007B2402">
        <w:rPr>
          <w:rFonts w:eastAsia="Calibri" w:cs="Times New Roman"/>
          <w:szCs w:val="20"/>
          <w:lang w:val="en-US"/>
        </w:rPr>
        <w:t>we</w:t>
      </w:r>
      <w:r w:rsidR="00697750" w:rsidRPr="007B2402">
        <w:rPr>
          <w:rFonts w:eastAsia="Calibri" w:cs="Times New Roman"/>
          <w:szCs w:val="20"/>
          <w:lang w:val="en-US"/>
        </w:rPr>
        <w:t xml:space="preserve">re effective. It indicated that the recognition of that flexibility would not affect the inter-American system, because the Court </w:t>
      </w:r>
      <w:r w:rsidR="009B2AFE" w:rsidRPr="007B2402">
        <w:rPr>
          <w:rFonts w:eastAsia="Calibri" w:cs="Times New Roman"/>
          <w:szCs w:val="20"/>
          <w:lang w:val="en-US"/>
        </w:rPr>
        <w:t>was able</w:t>
      </w:r>
      <w:r w:rsidR="00697750" w:rsidRPr="007B2402">
        <w:rPr>
          <w:rFonts w:eastAsia="Calibri" w:cs="Times New Roman"/>
          <w:szCs w:val="20"/>
          <w:lang w:val="en-US"/>
        </w:rPr>
        <w:t xml:space="preserve">, through control of conventionality, </w:t>
      </w:r>
      <w:r w:rsidR="009B2AFE" w:rsidRPr="007B2402">
        <w:rPr>
          <w:rFonts w:eastAsia="Calibri" w:cs="Times New Roman"/>
          <w:szCs w:val="20"/>
          <w:lang w:val="en-US"/>
        </w:rPr>
        <w:t xml:space="preserve">to </w:t>
      </w:r>
      <w:r w:rsidR="00697750" w:rsidRPr="007B2402">
        <w:rPr>
          <w:rFonts w:eastAsia="Calibri" w:cs="Times New Roman"/>
          <w:szCs w:val="20"/>
          <w:lang w:val="en-US"/>
        </w:rPr>
        <w:t>assess and censure the measures taken by the State.</w:t>
      </w:r>
    </w:p>
    <w:p w14:paraId="435ECBF4" w14:textId="77777777" w:rsidR="000D67FA" w:rsidRPr="007B2402" w:rsidRDefault="000D67FA" w:rsidP="000D67FA">
      <w:pPr>
        <w:spacing w:after="0" w:line="240" w:lineRule="auto"/>
        <w:contextualSpacing/>
        <w:jc w:val="both"/>
        <w:rPr>
          <w:rFonts w:eastAsia="Calibri" w:cs="Times New Roman"/>
          <w:b/>
          <w:szCs w:val="20"/>
          <w:lang w:val="en-US"/>
        </w:rPr>
      </w:pPr>
    </w:p>
    <w:p w14:paraId="2F767C32" w14:textId="4FFB6613" w:rsidR="00D20621" w:rsidRPr="007B2402" w:rsidRDefault="007A07B8" w:rsidP="004A0342">
      <w:pPr>
        <w:pStyle w:val="Prrafodelista"/>
        <w:numPr>
          <w:ilvl w:val="2"/>
          <w:numId w:val="8"/>
        </w:numPr>
        <w:outlineLvl w:val="1"/>
        <w:rPr>
          <w:rFonts w:eastAsia="Calibri" w:cs="Arial"/>
          <w:b/>
          <w:bCs/>
          <w:i/>
          <w:szCs w:val="20"/>
          <w:lang w:val="en-US"/>
        </w:rPr>
      </w:pPr>
      <w:bookmarkStart w:id="172" w:name="_Toc506984128"/>
      <w:r w:rsidRPr="007B2402">
        <w:rPr>
          <w:rFonts w:eastAsia="Calibri" w:cs="Arial"/>
          <w:b/>
          <w:bCs/>
          <w:i/>
          <w:szCs w:val="20"/>
          <w:lang w:val="en-US"/>
        </w:rPr>
        <w:t>Considerations</w:t>
      </w:r>
      <w:r w:rsidR="00AF4344" w:rsidRPr="007B2402">
        <w:rPr>
          <w:rFonts w:eastAsia="Calibri" w:cs="Arial"/>
          <w:b/>
          <w:bCs/>
          <w:i/>
          <w:szCs w:val="20"/>
          <w:lang w:val="en-US"/>
        </w:rPr>
        <w:t xml:space="preserve"> of the Court</w:t>
      </w:r>
      <w:bookmarkEnd w:id="172"/>
    </w:p>
    <w:p w14:paraId="6F874C9F" w14:textId="77777777" w:rsidR="00D20621" w:rsidRPr="007B2402" w:rsidRDefault="00D20621" w:rsidP="00D20621">
      <w:pPr>
        <w:spacing w:after="0" w:line="240" w:lineRule="auto"/>
        <w:contextualSpacing/>
        <w:jc w:val="both"/>
        <w:rPr>
          <w:rFonts w:eastAsia="Calibri" w:cs="Times New Roman"/>
          <w:b/>
          <w:szCs w:val="20"/>
          <w:lang w:val="en-US"/>
        </w:rPr>
      </w:pPr>
    </w:p>
    <w:p w14:paraId="34937463" w14:textId="7FC9F3ED" w:rsidR="00D20621" w:rsidRPr="007B2402" w:rsidRDefault="00697750" w:rsidP="00697750">
      <w:pPr>
        <w:numPr>
          <w:ilvl w:val="0"/>
          <w:numId w:val="6"/>
        </w:numPr>
        <w:spacing w:after="0" w:line="240" w:lineRule="auto"/>
        <w:contextualSpacing/>
        <w:jc w:val="both"/>
        <w:rPr>
          <w:rFonts w:eastAsia="Calibri" w:cs="Times New Roman"/>
          <w:color w:val="000000"/>
          <w:szCs w:val="20"/>
          <w:lang w:val="en-US"/>
        </w:rPr>
      </w:pPr>
      <w:r w:rsidRPr="007B2402">
        <w:rPr>
          <w:rFonts w:eastAsia="Calibri" w:cs="Times New Roman"/>
          <w:color w:val="000000"/>
          <w:szCs w:val="20"/>
          <w:lang w:val="en-US"/>
        </w:rPr>
        <w:lastRenderedPageBreak/>
        <w:t xml:space="preserve">The Court finds it pertinent to recall that, pursuant to its consistent case law, everyone, including the next of kin of the victims of </w:t>
      </w:r>
      <w:r w:rsidR="009B2AFE" w:rsidRPr="007B2402">
        <w:rPr>
          <w:rFonts w:eastAsia="Calibri" w:cs="Times New Roman"/>
          <w:color w:val="000000"/>
          <w:szCs w:val="20"/>
          <w:lang w:val="en-US"/>
        </w:rPr>
        <w:t>serious</w:t>
      </w:r>
      <w:r w:rsidRPr="007B2402">
        <w:rPr>
          <w:rFonts w:eastAsia="Calibri" w:cs="Times New Roman"/>
          <w:color w:val="000000"/>
          <w:szCs w:val="20"/>
          <w:lang w:val="en-US"/>
        </w:rPr>
        <w:t xml:space="preserve"> human rights violations, has the right to know the truth. Consequently, the victims’ next of kin and society in general should be informed of everything that happened in relation to such violations.</w:t>
      </w:r>
      <w:r w:rsidR="00D20621" w:rsidRPr="007B2402">
        <w:rPr>
          <w:rFonts w:eastAsia="Calibri" w:cs="Times New Roman"/>
          <w:color w:val="000000"/>
          <w:szCs w:val="20"/>
          <w:vertAlign w:val="superscript"/>
          <w:lang w:val="en-US"/>
        </w:rPr>
        <w:footnoteReference w:id="367"/>
      </w:r>
      <w:r w:rsidRPr="007B2402">
        <w:rPr>
          <w:rFonts w:eastAsia="Calibri" w:cs="Times New Roman"/>
          <w:color w:val="000000"/>
          <w:szCs w:val="20"/>
          <w:lang w:val="en-US"/>
        </w:rPr>
        <w:t xml:space="preserve"> </w:t>
      </w:r>
      <w:r w:rsidR="009B2AFE" w:rsidRPr="007B2402">
        <w:rPr>
          <w:rFonts w:eastAsia="Calibri" w:cs="Times New Roman"/>
          <w:color w:val="000000"/>
          <w:szCs w:val="20"/>
          <w:lang w:val="en-US"/>
        </w:rPr>
        <w:t xml:space="preserve">Even </w:t>
      </w:r>
      <w:r w:rsidRPr="007B2402">
        <w:rPr>
          <w:rFonts w:eastAsia="Calibri" w:cs="Times New Roman"/>
          <w:color w:val="000000"/>
          <w:szCs w:val="20"/>
          <w:lang w:val="en-US"/>
        </w:rPr>
        <w:t>though, fundamentally, the right to know the truth has been included in the right of access to justice,</w:t>
      </w:r>
      <w:r w:rsidR="00D20621" w:rsidRPr="007B2402">
        <w:rPr>
          <w:rFonts w:eastAsia="Calibri" w:cs="Times New Roman"/>
          <w:color w:val="000000"/>
          <w:szCs w:val="20"/>
          <w:vertAlign w:val="superscript"/>
          <w:lang w:val="en-US"/>
        </w:rPr>
        <w:footnoteReference w:id="368"/>
      </w:r>
      <w:r w:rsidR="00D20621" w:rsidRPr="007B2402">
        <w:rPr>
          <w:rFonts w:eastAsia="Calibri" w:cs="Times New Roman"/>
          <w:color w:val="000000"/>
          <w:szCs w:val="20"/>
          <w:lang w:val="en-US"/>
        </w:rPr>
        <w:t xml:space="preserve"> </w:t>
      </w:r>
      <w:r w:rsidRPr="007B2402">
        <w:rPr>
          <w:rFonts w:eastAsia="Calibri" w:cs="Times New Roman"/>
          <w:color w:val="000000"/>
          <w:szCs w:val="20"/>
          <w:lang w:val="en-US"/>
        </w:rPr>
        <w:t xml:space="preserve">the right to know the truth is very  broad and its violations may affect different rights recognized in </w:t>
      </w:r>
      <w:r w:rsidR="00AF4344" w:rsidRPr="007B2402">
        <w:rPr>
          <w:rFonts w:eastAsia="Calibri" w:cs="Times New Roman"/>
          <w:color w:val="000000"/>
          <w:szCs w:val="20"/>
          <w:lang w:val="en-US"/>
        </w:rPr>
        <w:t>the American Convention</w:t>
      </w:r>
      <w:r w:rsidRPr="007B2402">
        <w:rPr>
          <w:rFonts w:eastAsia="Calibri" w:cs="Times New Roman"/>
          <w:color w:val="000000"/>
          <w:szCs w:val="20"/>
          <w:lang w:val="en-US"/>
        </w:rPr>
        <w:t>,</w:t>
      </w:r>
      <w:r w:rsidR="00D20621" w:rsidRPr="007B2402">
        <w:rPr>
          <w:rFonts w:eastAsia="Calibri" w:cs="Times New Roman"/>
          <w:color w:val="000000"/>
          <w:szCs w:val="20"/>
          <w:vertAlign w:val="superscript"/>
          <w:lang w:val="en-US"/>
        </w:rPr>
        <w:footnoteReference w:id="369"/>
      </w:r>
      <w:r w:rsidRPr="007B2402">
        <w:rPr>
          <w:rFonts w:eastAsia="Calibri" w:cs="Times New Roman"/>
          <w:color w:val="000000"/>
          <w:szCs w:val="20"/>
          <w:lang w:val="en-US"/>
        </w:rPr>
        <w:t xml:space="preserve"> depending on the particular context and circumstances of the case. In this regard, the Court reiterates that this right is included </w:t>
      </w:r>
      <w:r w:rsidR="00BE33CA" w:rsidRPr="007B2402">
        <w:rPr>
          <w:rFonts w:eastAsia="Calibri" w:cs="Times New Roman"/>
          <w:color w:val="000000"/>
          <w:szCs w:val="20"/>
          <w:lang w:val="en-US"/>
        </w:rPr>
        <w:t xml:space="preserve">in </w:t>
      </w:r>
      <w:r w:rsidRPr="007B2402">
        <w:rPr>
          <w:rFonts w:eastAsia="Calibri" w:cs="Times New Roman"/>
          <w:color w:val="000000"/>
          <w:szCs w:val="20"/>
          <w:lang w:val="en-US"/>
        </w:rPr>
        <w:t>and protected by</w:t>
      </w:r>
      <w:r w:rsidR="00D20621" w:rsidRPr="007B2402">
        <w:rPr>
          <w:rFonts w:eastAsia="Calibri" w:cs="Times New Roman"/>
          <w:spacing w:val="-2"/>
          <w:szCs w:val="20"/>
          <w:lang w:val="en-US"/>
        </w:rPr>
        <w:t xml:space="preserve"> </w:t>
      </w:r>
      <w:r w:rsidR="00AF4344" w:rsidRPr="007B2402">
        <w:rPr>
          <w:rFonts w:eastAsia="Calibri" w:cs="Times New Roman"/>
          <w:spacing w:val="-2"/>
          <w:szCs w:val="20"/>
          <w:lang w:val="en-US"/>
        </w:rPr>
        <w:t>Articles</w:t>
      </w:r>
      <w:r w:rsidR="00D20621" w:rsidRPr="007B2402">
        <w:rPr>
          <w:rFonts w:eastAsia="Calibri" w:cs="Times New Roman"/>
          <w:spacing w:val="-2"/>
          <w:szCs w:val="20"/>
          <w:lang w:val="en-US"/>
        </w:rPr>
        <w:t xml:space="preserve"> </w:t>
      </w:r>
      <w:r w:rsidR="00375567" w:rsidRPr="007B2402">
        <w:rPr>
          <w:rFonts w:eastAsia="Calibri" w:cs="Times New Roman"/>
          <w:spacing w:val="-2"/>
          <w:szCs w:val="20"/>
          <w:lang w:val="en-US"/>
        </w:rPr>
        <w:t>1(1)</w:t>
      </w:r>
      <w:r w:rsidR="00D20621" w:rsidRPr="007B2402">
        <w:rPr>
          <w:rFonts w:eastAsia="Calibri" w:cs="Times New Roman"/>
          <w:spacing w:val="-2"/>
          <w:szCs w:val="20"/>
          <w:lang w:val="en-US"/>
        </w:rPr>
        <w:t xml:space="preserve">, </w:t>
      </w:r>
      <w:r w:rsidR="00375567" w:rsidRPr="007B2402">
        <w:rPr>
          <w:rFonts w:eastAsia="Calibri" w:cs="Times New Roman"/>
          <w:spacing w:val="-2"/>
          <w:szCs w:val="20"/>
          <w:lang w:val="en-US"/>
        </w:rPr>
        <w:t>8(1)</w:t>
      </w:r>
      <w:r w:rsidR="00D20621" w:rsidRPr="007B2402">
        <w:rPr>
          <w:rFonts w:eastAsia="Calibri" w:cs="Times New Roman"/>
          <w:spacing w:val="-2"/>
          <w:szCs w:val="20"/>
          <w:lang w:val="en-US"/>
        </w:rPr>
        <w:t xml:space="preserve">, 25, </w:t>
      </w:r>
      <w:r w:rsidRPr="007B2402">
        <w:rPr>
          <w:rFonts w:eastAsia="Calibri" w:cs="Times New Roman"/>
          <w:spacing w:val="-2"/>
          <w:szCs w:val="20"/>
          <w:lang w:val="en-US"/>
        </w:rPr>
        <w:t xml:space="preserve">and also – in certain circumstances </w:t>
      </w:r>
      <w:r w:rsidR="00D20621" w:rsidRPr="007B2402">
        <w:rPr>
          <w:rFonts w:eastAsia="Calibri" w:cs="Times New Roman"/>
          <w:spacing w:val="-2"/>
          <w:szCs w:val="20"/>
          <w:lang w:val="en-US"/>
        </w:rPr>
        <w:t xml:space="preserve">– </w:t>
      </w:r>
      <w:r w:rsidR="00AF4344" w:rsidRPr="007B2402">
        <w:rPr>
          <w:rFonts w:eastAsia="Calibri" w:cs="Times New Roman"/>
          <w:spacing w:val="-2"/>
          <w:szCs w:val="20"/>
          <w:lang w:val="en-US"/>
        </w:rPr>
        <w:t>Article</w:t>
      </w:r>
      <w:r w:rsidR="00D20621" w:rsidRPr="007B2402">
        <w:rPr>
          <w:rFonts w:eastAsia="Calibri" w:cs="Times New Roman"/>
          <w:spacing w:val="-2"/>
          <w:szCs w:val="20"/>
          <w:lang w:val="en-US"/>
        </w:rPr>
        <w:t xml:space="preserve"> 13</w:t>
      </w:r>
      <w:r w:rsidR="00AF4344" w:rsidRPr="007B2402">
        <w:rPr>
          <w:rFonts w:eastAsia="Calibri" w:cs="Times New Roman"/>
          <w:spacing w:val="-2"/>
          <w:szCs w:val="20"/>
          <w:lang w:val="en-US"/>
        </w:rPr>
        <w:t xml:space="preserve"> of the Convention</w:t>
      </w:r>
      <w:r w:rsidRPr="007B2402">
        <w:rPr>
          <w:rFonts w:eastAsia="Calibri" w:cs="Times New Roman"/>
          <w:spacing w:val="-2"/>
          <w:szCs w:val="20"/>
          <w:lang w:val="en-US"/>
        </w:rPr>
        <w:t>,</w:t>
      </w:r>
      <w:r w:rsidR="00D20621" w:rsidRPr="007B2402">
        <w:rPr>
          <w:rFonts w:eastAsia="Calibri" w:cs="Times New Roman"/>
          <w:spacing w:val="-2"/>
          <w:szCs w:val="20"/>
          <w:vertAlign w:val="superscript"/>
          <w:lang w:val="en-US"/>
        </w:rPr>
        <w:footnoteReference w:id="370"/>
      </w:r>
      <w:r w:rsidRPr="007B2402">
        <w:rPr>
          <w:rFonts w:eastAsia="Calibri" w:cs="Times New Roman"/>
          <w:spacing w:val="-2"/>
          <w:szCs w:val="20"/>
          <w:lang w:val="en-US"/>
        </w:rPr>
        <w:t xml:space="preserve"> as in the case of </w:t>
      </w:r>
      <w:r w:rsidR="00D20621" w:rsidRPr="007B2402">
        <w:rPr>
          <w:rFonts w:eastAsia="Calibri" w:cs="Times New Roman"/>
          <w:i/>
          <w:szCs w:val="20"/>
          <w:lang w:val="en-US"/>
        </w:rPr>
        <w:t>Gomes Lund</w:t>
      </w:r>
      <w:r w:rsidR="005B1590" w:rsidRPr="007B2402">
        <w:rPr>
          <w:rFonts w:eastAsia="Calibri" w:cs="Times New Roman"/>
          <w:i/>
          <w:szCs w:val="20"/>
          <w:lang w:val="en-US"/>
        </w:rPr>
        <w:t xml:space="preserve"> </w:t>
      </w:r>
      <w:r w:rsidR="00892CA3" w:rsidRPr="007B2402">
        <w:rPr>
          <w:rFonts w:eastAsia="Calibri" w:cs="Times New Roman"/>
          <w:i/>
          <w:szCs w:val="20"/>
          <w:lang w:val="en-US"/>
        </w:rPr>
        <w:t>et al.</w:t>
      </w:r>
      <w:r w:rsidR="00D20621" w:rsidRPr="007B2402">
        <w:rPr>
          <w:rFonts w:eastAsia="Calibri" w:cs="Times New Roman"/>
          <w:i/>
          <w:szCs w:val="20"/>
          <w:lang w:val="en-US"/>
        </w:rPr>
        <w:t xml:space="preserve"> </w:t>
      </w:r>
      <w:r w:rsidR="00D05845" w:rsidRPr="007B2402">
        <w:rPr>
          <w:rFonts w:eastAsia="Calibri" w:cs="Times New Roman"/>
          <w:i/>
          <w:szCs w:val="20"/>
          <w:lang w:val="en-US"/>
        </w:rPr>
        <w:t>v.</w:t>
      </w:r>
      <w:r w:rsidR="00D20621" w:rsidRPr="007B2402">
        <w:rPr>
          <w:rFonts w:eastAsia="Calibri" w:cs="Times New Roman"/>
          <w:i/>
          <w:szCs w:val="20"/>
          <w:lang w:val="en-US"/>
        </w:rPr>
        <w:t xml:space="preserve"> </w:t>
      </w:r>
      <w:r w:rsidR="00AF4344" w:rsidRPr="007B2402">
        <w:rPr>
          <w:rFonts w:eastAsia="Calibri" w:cs="Times New Roman"/>
          <w:i/>
          <w:szCs w:val="20"/>
          <w:lang w:val="en-US"/>
        </w:rPr>
        <w:t>Brazil</w:t>
      </w:r>
      <w:r w:rsidR="00D20621" w:rsidRPr="007B2402">
        <w:rPr>
          <w:rFonts w:eastAsia="Calibri" w:cs="Times New Roman"/>
          <w:spacing w:val="-2"/>
          <w:szCs w:val="20"/>
          <w:lang w:val="en-US"/>
        </w:rPr>
        <w:t>.</w:t>
      </w:r>
    </w:p>
    <w:p w14:paraId="17E4C0ED" w14:textId="77777777" w:rsidR="00D20621" w:rsidRPr="007B2402" w:rsidRDefault="00D20621" w:rsidP="00D20621">
      <w:pPr>
        <w:spacing w:after="0" w:line="240" w:lineRule="auto"/>
        <w:contextualSpacing/>
        <w:jc w:val="both"/>
        <w:rPr>
          <w:rFonts w:eastAsia="Calibri" w:cs="Times New Roman"/>
          <w:color w:val="000000"/>
          <w:szCs w:val="20"/>
          <w:lang w:val="en-US"/>
        </w:rPr>
      </w:pPr>
    </w:p>
    <w:p w14:paraId="3DC9F819" w14:textId="01D48240" w:rsidR="00D20621" w:rsidRPr="007B2402" w:rsidRDefault="003D3291" w:rsidP="003D3291">
      <w:pPr>
        <w:numPr>
          <w:ilvl w:val="0"/>
          <w:numId w:val="6"/>
        </w:numPr>
        <w:spacing w:after="0" w:line="240" w:lineRule="auto"/>
        <w:contextualSpacing/>
        <w:jc w:val="both"/>
        <w:rPr>
          <w:rFonts w:eastAsia="Calibri" w:cs="Times New Roman"/>
          <w:color w:val="000000"/>
          <w:szCs w:val="20"/>
          <w:lang w:val="en-US"/>
        </w:rPr>
      </w:pPr>
      <w:r w:rsidRPr="007B2402">
        <w:rPr>
          <w:rFonts w:eastAsia="Calibri" w:cs="Times New Roman"/>
          <w:color w:val="000000"/>
          <w:szCs w:val="20"/>
          <w:lang w:val="en-US"/>
        </w:rPr>
        <w:t xml:space="preserve">In the instant case, the Court notes that the arguments concerning the presumed violation of the right to the truth include two main </w:t>
      </w:r>
      <w:r w:rsidR="00BE33CA" w:rsidRPr="007B2402">
        <w:rPr>
          <w:rFonts w:eastAsia="Calibri" w:cs="Times New Roman"/>
          <w:color w:val="000000"/>
          <w:szCs w:val="20"/>
          <w:lang w:val="en-US"/>
        </w:rPr>
        <w:t>element</w:t>
      </w:r>
      <w:r w:rsidRPr="007B2402">
        <w:rPr>
          <w:rFonts w:eastAsia="Calibri" w:cs="Times New Roman"/>
          <w:color w:val="000000"/>
          <w:szCs w:val="20"/>
          <w:lang w:val="en-US"/>
        </w:rPr>
        <w:t xml:space="preserve">s: (i) the alleged violation of this right owing to the impunity of the detention, torture and </w:t>
      </w:r>
      <w:r w:rsidR="00BE33CA" w:rsidRPr="007B2402">
        <w:rPr>
          <w:rFonts w:eastAsia="Calibri" w:cs="Times New Roman"/>
          <w:color w:val="000000"/>
          <w:szCs w:val="20"/>
          <w:lang w:val="en-US"/>
        </w:rPr>
        <w:t>murder</w:t>
      </w:r>
      <w:r w:rsidRPr="007B2402">
        <w:rPr>
          <w:rFonts w:eastAsia="Calibri" w:cs="Times New Roman"/>
          <w:color w:val="000000"/>
          <w:szCs w:val="20"/>
          <w:lang w:val="en-US"/>
        </w:rPr>
        <w:t xml:space="preserve"> of </w:t>
      </w:r>
      <w:r w:rsidR="00D20621" w:rsidRPr="007B2402">
        <w:rPr>
          <w:rFonts w:eastAsia="Calibri" w:cs="Times New Roman"/>
          <w:color w:val="000000"/>
          <w:szCs w:val="20"/>
          <w:lang w:val="en-US"/>
        </w:rPr>
        <w:t>Vladimir Herzog</w:t>
      </w:r>
      <w:r w:rsidRPr="007B2402">
        <w:rPr>
          <w:rFonts w:eastAsia="Calibri" w:cs="Times New Roman"/>
          <w:color w:val="000000"/>
          <w:szCs w:val="20"/>
          <w:lang w:val="en-US"/>
        </w:rPr>
        <w:t xml:space="preserve">, and the dissemination of a false version of the facts, and (ii) the presumed lack of access to the files of the </w:t>
      </w:r>
      <w:r w:rsidR="00D20621" w:rsidRPr="007B2402">
        <w:rPr>
          <w:rFonts w:eastAsia="Calibri" w:cs="Times New Roman"/>
          <w:color w:val="000000"/>
          <w:szCs w:val="20"/>
          <w:lang w:val="en-US"/>
        </w:rPr>
        <w:t xml:space="preserve">DOI-CODI/SP. </w:t>
      </w:r>
    </w:p>
    <w:p w14:paraId="083FB32C" w14:textId="77777777" w:rsidR="00D20621" w:rsidRPr="007B2402" w:rsidRDefault="00D20621" w:rsidP="00B9480F">
      <w:pPr>
        <w:pStyle w:val="Prrafodelista"/>
        <w:tabs>
          <w:tab w:val="left" w:pos="708"/>
        </w:tabs>
        <w:ind w:left="1068"/>
        <w:rPr>
          <w:rFonts w:eastAsia="Calibri" w:cs="Times New Roman"/>
          <w:noProof w:val="0"/>
          <w:color w:val="000000"/>
          <w:szCs w:val="20"/>
          <w:lang w:val="en-US"/>
        </w:rPr>
      </w:pPr>
    </w:p>
    <w:p w14:paraId="0EC95B88" w14:textId="64FD56FB" w:rsidR="00D20621" w:rsidRPr="007B2402" w:rsidRDefault="003D3291" w:rsidP="00D20621">
      <w:pPr>
        <w:numPr>
          <w:ilvl w:val="0"/>
          <w:numId w:val="6"/>
        </w:numPr>
        <w:spacing w:after="0" w:line="240" w:lineRule="auto"/>
        <w:contextualSpacing/>
        <w:jc w:val="both"/>
        <w:rPr>
          <w:rFonts w:eastAsia="Calibri" w:cs="Times New Roman"/>
          <w:color w:val="000000"/>
          <w:szCs w:val="20"/>
          <w:lang w:val="en-US"/>
        </w:rPr>
      </w:pPr>
      <w:r w:rsidRPr="007B2402">
        <w:rPr>
          <w:rFonts w:eastAsia="Calibri" w:cs="Times New Roman"/>
          <w:color w:val="000000"/>
          <w:szCs w:val="20"/>
          <w:lang w:val="en-US"/>
        </w:rPr>
        <w:t xml:space="preserve">The Court notes that, indeed, Brazil has </w:t>
      </w:r>
      <w:r w:rsidR="00BE33CA" w:rsidRPr="007B2402">
        <w:rPr>
          <w:rFonts w:eastAsia="Calibri" w:cs="Times New Roman"/>
          <w:color w:val="000000"/>
          <w:szCs w:val="20"/>
          <w:lang w:val="en-US"/>
        </w:rPr>
        <w:t>taken various steps</w:t>
      </w:r>
      <w:r w:rsidRPr="007B2402">
        <w:rPr>
          <w:rFonts w:eastAsia="Calibri" w:cs="Times New Roman"/>
          <w:color w:val="000000"/>
          <w:szCs w:val="20"/>
          <w:lang w:val="en-US"/>
        </w:rPr>
        <w:t xml:space="preserve"> to satisfy the right to the truth of the victims in this case and of society in general. The Court assesses positively the creation </w:t>
      </w:r>
      <w:r w:rsidR="005B1590" w:rsidRPr="007B2402">
        <w:rPr>
          <w:rFonts w:eastAsia="Calibri" w:cs="Times New Roman"/>
          <w:color w:val="000000"/>
          <w:szCs w:val="20"/>
          <w:lang w:val="en-US"/>
        </w:rPr>
        <w:t xml:space="preserve">of </w:t>
      </w:r>
      <w:r w:rsidR="006B47D1" w:rsidRPr="007B2402">
        <w:rPr>
          <w:rFonts w:eastAsia="Calibri" w:cs="Times New Roman"/>
          <w:color w:val="000000"/>
          <w:szCs w:val="20"/>
          <w:lang w:val="en-US"/>
        </w:rPr>
        <w:t xml:space="preserve">the Special Commission on Political Deaths and </w:t>
      </w:r>
      <w:r w:rsidR="00334D32" w:rsidRPr="007B2402">
        <w:rPr>
          <w:rFonts w:eastAsia="Calibri" w:cs="Times New Roman"/>
          <w:color w:val="000000"/>
          <w:szCs w:val="20"/>
          <w:lang w:val="en-US"/>
        </w:rPr>
        <w:t>Disappearances</w:t>
      </w:r>
      <w:r w:rsidR="00D20621" w:rsidRPr="007B2402">
        <w:rPr>
          <w:rFonts w:eastAsia="Calibri" w:cs="Times New Roman"/>
          <w:color w:val="000000"/>
          <w:szCs w:val="20"/>
          <w:lang w:val="en-US"/>
        </w:rPr>
        <w:t xml:space="preserve">, </w:t>
      </w:r>
      <w:r w:rsidRPr="007B2402">
        <w:rPr>
          <w:rFonts w:eastAsia="Calibri" w:cs="Times New Roman"/>
          <w:color w:val="000000"/>
          <w:szCs w:val="20"/>
          <w:lang w:val="en-US"/>
        </w:rPr>
        <w:t>and</w:t>
      </w:r>
      <w:r w:rsidR="005B1590" w:rsidRPr="007B2402">
        <w:rPr>
          <w:rFonts w:eastAsia="Calibri" w:cs="Times New Roman"/>
          <w:color w:val="000000"/>
          <w:szCs w:val="20"/>
          <w:lang w:val="en-US"/>
        </w:rPr>
        <w:t xml:space="preserve"> the </w:t>
      </w:r>
      <w:r w:rsidR="007E15B0" w:rsidRPr="007B2402">
        <w:rPr>
          <w:rFonts w:eastAsia="Calibri" w:cs="Times New Roman"/>
          <w:color w:val="000000"/>
          <w:szCs w:val="20"/>
          <w:lang w:val="en-US"/>
        </w:rPr>
        <w:t>National Truth Commission</w:t>
      </w:r>
      <w:r w:rsidRPr="007B2402">
        <w:rPr>
          <w:rFonts w:eastAsia="Calibri" w:cs="Times New Roman"/>
          <w:color w:val="000000"/>
          <w:szCs w:val="20"/>
          <w:lang w:val="en-US"/>
        </w:rPr>
        <w:t xml:space="preserve"> and their respective reports</w:t>
      </w:r>
      <w:r w:rsidR="00D20621" w:rsidRPr="007B2402">
        <w:rPr>
          <w:rFonts w:eastAsia="Calibri" w:cs="Times New Roman"/>
          <w:color w:val="000000"/>
          <w:szCs w:val="20"/>
          <w:lang w:val="en-US"/>
        </w:rPr>
        <w:t xml:space="preserve">. </w:t>
      </w:r>
      <w:r w:rsidR="0049569E" w:rsidRPr="007B2402">
        <w:rPr>
          <w:rFonts w:eastAsia="Calibri" w:cs="Times New Roman"/>
          <w:color w:val="000000"/>
          <w:szCs w:val="20"/>
          <w:lang w:val="en-US"/>
        </w:rPr>
        <w:t>Previ</w:t>
      </w:r>
      <w:r w:rsidRPr="007B2402">
        <w:rPr>
          <w:rFonts w:eastAsia="Calibri" w:cs="Times New Roman"/>
          <w:color w:val="000000"/>
          <w:szCs w:val="20"/>
          <w:lang w:val="en-US"/>
        </w:rPr>
        <w:t>ously, the Court has found that this type of effort contributes to the construction and preservation of the historical memory, the clarification of the facts and the determination of institutional, social and political responsibilities during certain historical periods of a society.</w:t>
      </w:r>
      <w:r w:rsidR="00D20621" w:rsidRPr="007B2402">
        <w:rPr>
          <w:rFonts w:eastAsia="Calibri" w:cs="Times New Roman"/>
          <w:color w:val="000000"/>
          <w:szCs w:val="20"/>
          <w:vertAlign w:val="superscript"/>
          <w:lang w:val="en-US"/>
        </w:rPr>
        <w:footnoteReference w:id="371"/>
      </w:r>
      <w:r w:rsidRPr="007B2402">
        <w:rPr>
          <w:rFonts w:eastAsia="Calibri" w:cs="Times New Roman"/>
          <w:color w:val="000000"/>
          <w:szCs w:val="20"/>
          <w:lang w:val="en-US"/>
        </w:rPr>
        <w:t xml:space="preserve"> Nevertheless, pursuant to this Court’s consistent case law,</w:t>
      </w:r>
      <w:r w:rsidR="00D20621" w:rsidRPr="007B2402">
        <w:rPr>
          <w:rFonts w:eastAsia="Calibri" w:cs="Times New Roman"/>
          <w:color w:val="000000"/>
          <w:szCs w:val="20"/>
          <w:vertAlign w:val="superscript"/>
          <w:lang w:val="en-US"/>
        </w:rPr>
        <w:footnoteReference w:id="372"/>
      </w:r>
      <w:r w:rsidR="00D20621" w:rsidRPr="007B2402">
        <w:rPr>
          <w:rFonts w:eastAsia="Calibri" w:cs="Times New Roman"/>
          <w:color w:val="000000"/>
          <w:szCs w:val="20"/>
          <w:lang w:val="en-US"/>
        </w:rPr>
        <w:t xml:space="preserve"> </w:t>
      </w:r>
      <w:r w:rsidRPr="007B2402">
        <w:rPr>
          <w:rFonts w:eastAsia="Calibri" w:cs="Times New Roman"/>
          <w:color w:val="000000"/>
          <w:szCs w:val="20"/>
          <w:lang w:val="en-US"/>
        </w:rPr>
        <w:t>the</w:t>
      </w:r>
      <w:r w:rsidR="00D20621" w:rsidRPr="007B2402">
        <w:rPr>
          <w:rFonts w:eastAsia="Calibri" w:cs="Times New Roman"/>
          <w:color w:val="000000"/>
          <w:szCs w:val="20"/>
          <w:lang w:val="en-US"/>
        </w:rPr>
        <w:t xml:space="preserve"> “</w:t>
      </w:r>
      <w:r w:rsidRPr="007B2402">
        <w:rPr>
          <w:rFonts w:eastAsia="Calibri" w:cs="Times New Roman"/>
          <w:color w:val="000000"/>
          <w:szCs w:val="20"/>
          <w:lang w:val="en-US"/>
        </w:rPr>
        <w:t>historical truth</w:t>
      </w:r>
      <w:r w:rsidR="00D20621" w:rsidRPr="007B2402">
        <w:rPr>
          <w:rFonts w:eastAsia="Calibri" w:cs="Times New Roman"/>
          <w:color w:val="000000"/>
          <w:szCs w:val="20"/>
          <w:lang w:val="en-US"/>
        </w:rPr>
        <w:t xml:space="preserve">” </w:t>
      </w:r>
      <w:r w:rsidRPr="007B2402">
        <w:rPr>
          <w:rFonts w:eastAsia="Calibri" w:cs="Times New Roman"/>
          <w:color w:val="000000"/>
          <w:szCs w:val="20"/>
          <w:lang w:val="en-US"/>
        </w:rPr>
        <w:t xml:space="preserve">that may result from this type of effort </w:t>
      </w:r>
      <w:r w:rsidRPr="007B2402">
        <w:rPr>
          <w:rFonts w:eastAsia="Calibri" w:cs="Times New Roman"/>
          <w:color w:val="000000"/>
          <w:szCs w:val="20"/>
          <w:lang w:val="en-US"/>
        </w:rPr>
        <w:lastRenderedPageBreak/>
        <w:t xml:space="preserve">can never substitute </w:t>
      </w:r>
      <w:r w:rsidR="00BE33CA" w:rsidRPr="007B2402">
        <w:rPr>
          <w:rFonts w:eastAsia="Calibri" w:cs="Times New Roman"/>
          <w:color w:val="000000"/>
          <w:szCs w:val="20"/>
          <w:lang w:val="en-US"/>
        </w:rPr>
        <w:t>for</w:t>
      </w:r>
      <w:r w:rsidRPr="007B2402">
        <w:rPr>
          <w:rFonts w:eastAsia="Calibri" w:cs="Times New Roman"/>
          <w:color w:val="000000"/>
          <w:szCs w:val="20"/>
          <w:lang w:val="en-US"/>
        </w:rPr>
        <w:t xml:space="preserve"> or </w:t>
      </w:r>
      <w:r w:rsidR="00BE33CA" w:rsidRPr="007B2402">
        <w:rPr>
          <w:rFonts w:eastAsia="Calibri" w:cs="Times New Roman"/>
          <w:color w:val="000000"/>
          <w:szCs w:val="20"/>
          <w:lang w:val="en-US"/>
        </w:rPr>
        <w:t>fulfill</w:t>
      </w:r>
      <w:r w:rsidRPr="007B2402">
        <w:rPr>
          <w:rFonts w:eastAsia="Calibri" w:cs="Times New Roman"/>
          <w:color w:val="000000"/>
          <w:szCs w:val="20"/>
          <w:lang w:val="en-US"/>
        </w:rPr>
        <w:t xml:space="preserve"> the State</w:t>
      </w:r>
      <w:r w:rsidR="00BE33CA" w:rsidRPr="007B2402">
        <w:rPr>
          <w:rFonts w:eastAsia="Calibri" w:cs="Times New Roman"/>
          <w:color w:val="000000"/>
          <w:szCs w:val="20"/>
          <w:lang w:val="en-US"/>
        </w:rPr>
        <w:t>’s</w:t>
      </w:r>
      <w:r w:rsidRPr="007B2402">
        <w:rPr>
          <w:rFonts w:eastAsia="Calibri" w:cs="Times New Roman"/>
          <w:color w:val="000000"/>
          <w:szCs w:val="20"/>
          <w:lang w:val="en-US"/>
        </w:rPr>
        <w:t xml:space="preserve"> obligation to establish the truth and ensure the judicial determination of individual responsibilities by </w:t>
      </w:r>
      <w:r w:rsidRPr="007B2402">
        <w:rPr>
          <w:rFonts w:eastAsia="Calibri" w:cs="Times New Roman"/>
          <w:szCs w:val="20"/>
          <w:lang w:val="en-US"/>
        </w:rPr>
        <w:t>criminal judicial proceedings.</w:t>
      </w:r>
      <w:r w:rsidR="00D20621" w:rsidRPr="007B2402">
        <w:rPr>
          <w:rFonts w:eastAsia="Calibri" w:cs="Times New Roman"/>
          <w:szCs w:val="20"/>
          <w:vertAlign w:val="superscript"/>
          <w:lang w:val="en-US"/>
        </w:rPr>
        <w:footnoteReference w:id="373"/>
      </w:r>
    </w:p>
    <w:p w14:paraId="5DC91AE4" w14:textId="77777777" w:rsidR="00D20621" w:rsidRPr="007B2402" w:rsidRDefault="00D20621" w:rsidP="00D20621">
      <w:pPr>
        <w:spacing w:after="0" w:line="240" w:lineRule="auto"/>
        <w:ind w:left="720"/>
        <w:contextualSpacing/>
        <w:rPr>
          <w:rFonts w:eastAsia="Calibri" w:cs="Times New Roman"/>
          <w:color w:val="000000"/>
          <w:szCs w:val="20"/>
          <w:lang w:val="en-US"/>
        </w:rPr>
      </w:pPr>
    </w:p>
    <w:p w14:paraId="0719764C" w14:textId="4FDBDBCE" w:rsidR="00D20621" w:rsidRPr="007B2402" w:rsidRDefault="00AF4344" w:rsidP="003D3291">
      <w:pPr>
        <w:numPr>
          <w:ilvl w:val="0"/>
          <w:numId w:val="6"/>
        </w:numPr>
        <w:spacing w:after="0" w:line="240" w:lineRule="auto"/>
        <w:contextualSpacing/>
        <w:jc w:val="both"/>
        <w:rPr>
          <w:rFonts w:eastAsia="Calibri" w:cs="Times New Roman"/>
          <w:color w:val="000000"/>
          <w:szCs w:val="20"/>
          <w:lang w:val="en-US"/>
        </w:rPr>
      </w:pPr>
      <w:r w:rsidRPr="007B2402">
        <w:rPr>
          <w:rFonts w:eastAsia="Calibri" w:cs="Times New Roman"/>
          <w:color w:val="000000"/>
          <w:szCs w:val="20"/>
          <w:lang w:val="en-US"/>
        </w:rPr>
        <w:t>The Court</w:t>
      </w:r>
      <w:r w:rsidR="00D20621" w:rsidRPr="007B2402">
        <w:rPr>
          <w:rFonts w:eastAsia="Calibri" w:cs="Times New Roman"/>
          <w:color w:val="000000"/>
          <w:szCs w:val="20"/>
          <w:lang w:val="en-US"/>
        </w:rPr>
        <w:t xml:space="preserve"> </w:t>
      </w:r>
      <w:r w:rsidR="00CE396B" w:rsidRPr="007B2402">
        <w:rPr>
          <w:rFonts w:eastAsia="Calibri" w:cs="Times New Roman"/>
          <w:color w:val="000000"/>
          <w:szCs w:val="20"/>
          <w:lang w:val="en-US"/>
        </w:rPr>
        <w:t>consider</w:t>
      </w:r>
      <w:r w:rsidR="003D3291" w:rsidRPr="007B2402">
        <w:rPr>
          <w:rFonts w:eastAsia="Calibri" w:cs="Times New Roman"/>
          <w:color w:val="000000"/>
          <w:szCs w:val="20"/>
          <w:lang w:val="en-US"/>
        </w:rPr>
        <w:t xml:space="preserve">s that there are different reasons that explain the importance of </w:t>
      </w:r>
      <w:r w:rsidR="001D087B" w:rsidRPr="007B2402">
        <w:rPr>
          <w:rFonts w:eastAsia="Calibri" w:cs="Times New Roman"/>
          <w:color w:val="000000"/>
          <w:szCs w:val="20"/>
          <w:lang w:val="en-US"/>
        </w:rPr>
        <w:t>determining</w:t>
      </w:r>
      <w:r w:rsidR="003D3291" w:rsidRPr="007B2402">
        <w:rPr>
          <w:rFonts w:eastAsia="Calibri" w:cs="Times New Roman"/>
          <w:color w:val="000000"/>
          <w:szCs w:val="20"/>
          <w:lang w:val="en-US"/>
        </w:rPr>
        <w:t xml:space="preserve"> individual responsibilities for </w:t>
      </w:r>
      <w:r w:rsidR="001D087B" w:rsidRPr="007B2402">
        <w:rPr>
          <w:rFonts w:eastAsia="Calibri" w:cs="Times New Roman"/>
          <w:color w:val="000000"/>
          <w:szCs w:val="20"/>
          <w:lang w:val="en-US"/>
        </w:rPr>
        <w:t>serious</w:t>
      </w:r>
      <w:r w:rsidR="003D3291" w:rsidRPr="007B2402">
        <w:rPr>
          <w:rFonts w:eastAsia="Calibri" w:cs="Times New Roman"/>
          <w:color w:val="000000"/>
          <w:szCs w:val="20"/>
          <w:lang w:val="en-US"/>
        </w:rPr>
        <w:t xml:space="preserve"> violations of human rights</w:t>
      </w:r>
      <w:r w:rsidR="008C7FFB" w:rsidRPr="007B2402">
        <w:rPr>
          <w:rFonts w:eastAsia="Calibri" w:cs="Times New Roman"/>
          <w:color w:val="000000"/>
          <w:szCs w:val="20"/>
          <w:lang w:val="en-US"/>
        </w:rPr>
        <w:t xml:space="preserve"> </w:t>
      </w:r>
      <w:r w:rsidR="001D087B" w:rsidRPr="007B2402">
        <w:rPr>
          <w:rFonts w:eastAsia="Calibri" w:cs="Times New Roman"/>
          <w:color w:val="000000"/>
          <w:szCs w:val="20"/>
          <w:lang w:val="en-US"/>
        </w:rPr>
        <w:t>judicially</w:t>
      </w:r>
      <w:r w:rsidR="003D3291" w:rsidRPr="007B2402">
        <w:rPr>
          <w:rFonts w:eastAsia="Calibri" w:cs="Times New Roman"/>
          <w:color w:val="000000"/>
          <w:szCs w:val="20"/>
          <w:lang w:val="en-US"/>
        </w:rPr>
        <w:t>. On the one hand, truth commission</w:t>
      </w:r>
      <w:r w:rsidR="008C7FFB" w:rsidRPr="007B2402">
        <w:rPr>
          <w:rFonts w:eastAsia="Calibri" w:cs="Times New Roman"/>
          <w:color w:val="000000"/>
          <w:szCs w:val="20"/>
          <w:lang w:val="en-US"/>
        </w:rPr>
        <w:t>s</w:t>
      </w:r>
      <w:r w:rsidR="003D3291" w:rsidRPr="007B2402">
        <w:rPr>
          <w:rFonts w:eastAsia="Calibri" w:cs="Times New Roman"/>
          <w:color w:val="000000"/>
          <w:szCs w:val="20"/>
          <w:lang w:val="en-US"/>
        </w:rPr>
        <w:t xml:space="preserve"> are not judicial institutions and should never assume such functions. </w:t>
      </w:r>
      <w:r w:rsidR="00FD53DE" w:rsidRPr="007B2402">
        <w:rPr>
          <w:rFonts w:eastAsia="Calibri" w:cs="Times New Roman"/>
          <w:color w:val="000000"/>
          <w:szCs w:val="20"/>
          <w:lang w:val="en-US"/>
        </w:rPr>
        <w:t>“</w:t>
      </w:r>
      <w:r w:rsidR="00CA6895" w:rsidRPr="007B2402">
        <w:rPr>
          <w:rFonts w:eastAsia="Calibri" w:cs="Times New Roman"/>
          <w:color w:val="000000"/>
          <w:szCs w:val="20"/>
          <w:lang w:val="en-US"/>
        </w:rPr>
        <w:t>Al</w:t>
      </w:r>
      <w:r w:rsidR="003D3291" w:rsidRPr="007B2402">
        <w:rPr>
          <w:rFonts w:eastAsia="Calibri" w:cs="Times New Roman"/>
          <w:color w:val="000000"/>
          <w:szCs w:val="20"/>
          <w:lang w:val="en-US"/>
        </w:rPr>
        <w:t xml:space="preserve">though commissions </w:t>
      </w:r>
      <w:r w:rsidR="00CA6895" w:rsidRPr="007B2402">
        <w:rPr>
          <w:rFonts w:eastAsia="Calibri" w:cs="Times New Roman"/>
          <w:color w:val="000000"/>
          <w:szCs w:val="20"/>
          <w:lang w:val="en-US"/>
        </w:rPr>
        <w:t>can attribute responsibility</w:t>
      </w:r>
      <w:r w:rsidR="003D3291" w:rsidRPr="007B2402">
        <w:rPr>
          <w:rFonts w:eastAsia="Calibri" w:cs="Times New Roman"/>
          <w:color w:val="000000"/>
          <w:szCs w:val="20"/>
          <w:lang w:val="en-US"/>
        </w:rPr>
        <w:t>, they should not a</w:t>
      </w:r>
      <w:r w:rsidR="00CA6895" w:rsidRPr="007B2402">
        <w:rPr>
          <w:rFonts w:eastAsia="Calibri" w:cs="Times New Roman"/>
          <w:color w:val="000000"/>
          <w:szCs w:val="20"/>
          <w:lang w:val="en-US"/>
        </w:rPr>
        <w:t>rrog</w:t>
      </w:r>
      <w:r w:rsidR="003D3291" w:rsidRPr="007B2402">
        <w:rPr>
          <w:rFonts w:eastAsia="Calibri" w:cs="Times New Roman"/>
          <w:color w:val="000000"/>
          <w:szCs w:val="20"/>
          <w:lang w:val="en-US"/>
        </w:rPr>
        <w:t xml:space="preserve">ate </w:t>
      </w:r>
      <w:r w:rsidR="00CA6895" w:rsidRPr="007B2402">
        <w:rPr>
          <w:rFonts w:eastAsia="Calibri" w:cs="Times New Roman"/>
          <w:color w:val="000000"/>
          <w:szCs w:val="20"/>
          <w:lang w:val="en-US"/>
        </w:rPr>
        <w:t>the authority to make determinations concerning criminal guilt,</w:t>
      </w:r>
      <w:r w:rsidR="00FD53DE" w:rsidRPr="007B2402">
        <w:rPr>
          <w:rFonts w:eastAsia="Calibri" w:cs="Times New Roman"/>
          <w:color w:val="000000"/>
          <w:szCs w:val="20"/>
          <w:lang w:val="en-US"/>
        </w:rPr>
        <w:t>”</w:t>
      </w:r>
      <w:r w:rsidR="00FD53DE" w:rsidRPr="007B2402">
        <w:rPr>
          <w:rFonts w:eastAsia="Calibri" w:cs="Times New Roman"/>
          <w:color w:val="000000"/>
          <w:szCs w:val="20"/>
          <w:vertAlign w:val="superscript"/>
          <w:lang w:val="en-US"/>
        </w:rPr>
        <w:footnoteReference w:id="374"/>
      </w:r>
      <w:r w:rsidR="00CA6895" w:rsidRPr="007B2402">
        <w:rPr>
          <w:rFonts w:eastAsia="Calibri" w:cs="Times New Roman"/>
          <w:color w:val="000000"/>
          <w:szCs w:val="20"/>
          <w:lang w:val="en-US"/>
        </w:rPr>
        <w:t xml:space="preserve"> because they run the risk of violating fundamental rights, such as the presumption of innocence, and even the right to privacy of the victims.</w:t>
      </w:r>
      <w:r w:rsidR="00D20621" w:rsidRPr="007B2402">
        <w:rPr>
          <w:rFonts w:eastAsia="Calibri" w:cs="Times New Roman"/>
          <w:color w:val="000000"/>
          <w:szCs w:val="20"/>
          <w:lang w:val="en-US"/>
        </w:rPr>
        <w:t xml:space="preserve"> </w:t>
      </w:r>
    </w:p>
    <w:p w14:paraId="76DBF070" w14:textId="77777777" w:rsidR="00D20621" w:rsidRPr="007B2402" w:rsidRDefault="00D20621" w:rsidP="00D20621">
      <w:pPr>
        <w:spacing w:after="0" w:line="240" w:lineRule="auto"/>
        <w:ind w:left="720"/>
        <w:contextualSpacing/>
        <w:rPr>
          <w:rFonts w:eastAsia="Calibri" w:cs="Times New Roman"/>
          <w:color w:val="000000"/>
          <w:szCs w:val="20"/>
          <w:lang w:val="en-US"/>
        </w:rPr>
      </w:pPr>
    </w:p>
    <w:p w14:paraId="6EA3E6AE" w14:textId="0B13BD1F" w:rsidR="00D20621" w:rsidRPr="007B2402" w:rsidRDefault="00CA6895" w:rsidP="00C93973">
      <w:pPr>
        <w:numPr>
          <w:ilvl w:val="0"/>
          <w:numId w:val="6"/>
        </w:numPr>
        <w:spacing w:after="0" w:line="240" w:lineRule="auto"/>
        <w:contextualSpacing/>
        <w:jc w:val="both"/>
        <w:rPr>
          <w:rFonts w:eastAsia="Calibri" w:cs="Times New Roman"/>
          <w:color w:val="000000"/>
          <w:szCs w:val="20"/>
          <w:lang w:val="en-US"/>
        </w:rPr>
      </w:pPr>
      <w:r w:rsidRPr="007B2402">
        <w:rPr>
          <w:rFonts w:eastAsia="Calibri" w:cs="Times New Roman"/>
          <w:color w:val="000000"/>
          <w:szCs w:val="20"/>
          <w:lang w:val="en-US"/>
        </w:rPr>
        <w:t xml:space="preserve">The Court also considers that </w:t>
      </w:r>
      <w:r w:rsidR="008C7FFB" w:rsidRPr="007B2402">
        <w:rPr>
          <w:rFonts w:eastAsia="Calibri" w:cs="Times New Roman"/>
          <w:color w:val="000000"/>
          <w:szCs w:val="20"/>
          <w:lang w:val="en-US"/>
        </w:rPr>
        <w:t>such</w:t>
      </w:r>
      <w:r w:rsidRPr="007B2402">
        <w:rPr>
          <w:rFonts w:eastAsia="Calibri" w:cs="Times New Roman"/>
          <w:color w:val="000000"/>
          <w:szCs w:val="20"/>
          <w:lang w:val="en-US"/>
        </w:rPr>
        <w:t xml:space="preserve"> judicial</w:t>
      </w:r>
      <w:r w:rsidR="00D20621" w:rsidRPr="007B2402">
        <w:rPr>
          <w:rFonts w:eastAsia="Calibri" w:cs="Times New Roman"/>
          <w:color w:val="000000"/>
          <w:szCs w:val="20"/>
          <w:lang w:val="en-US"/>
        </w:rPr>
        <w:t xml:space="preserve"> </w:t>
      </w:r>
      <w:r w:rsidRPr="007B2402">
        <w:rPr>
          <w:rFonts w:eastAsia="Calibri" w:cs="Times New Roman"/>
          <w:color w:val="000000"/>
          <w:szCs w:val="20"/>
          <w:lang w:val="en-US"/>
        </w:rPr>
        <w:t>p</w:t>
      </w:r>
      <w:r w:rsidR="00A8458F" w:rsidRPr="007B2402">
        <w:rPr>
          <w:rFonts w:eastAsia="Calibri" w:cs="Times New Roman"/>
          <w:color w:val="000000"/>
          <w:szCs w:val="20"/>
          <w:lang w:val="en-US"/>
        </w:rPr>
        <w:t>roceeding</w:t>
      </w:r>
      <w:r w:rsidR="00D20621" w:rsidRPr="007B2402">
        <w:rPr>
          <w:rFonts w:eastAsia="Calibri" w:cs="Times New Roman"/>
          <w:color w:val="000000"/>
          <w:szCs w:val="20"/>
          <w:lang w:val="en-US"/>
        </w:rPr>
        <w:t xml:space="preserve">s </w:t>
      </w:r>
      <w:r w:rsidRPr="007B2402">
        <w:rPr>
          <w:rFonts w:eastAsia="Calibri" w:cs="Times New Roman"/>
          <w:color w:val="000000"/>
          <w:szCs w:val="20"/>
          <w:lang w:val="en-US"/>
        </w:rPr>
        <w:t xml:space="preserve">play a significant role in making reparation to the victims, who are </w:t>
      </w:r>
      <w:r w:rsidR="00DF1102" w:rsidRPr="007B2402">
        <w:rPr>
          <w:rFonts w:eastAsia="Calibri" w:cs="Times New Roman"/>
          <w:color w:val="000000"/>
          <w:szCs w:val="20"/>
          <w:lang w:val="en-US"/>
        </w:rPr>
        <w:t>no longer</w:t>
      </w:r>
      <w:r w:rsidRPr="007B2402">
        <w:rPr>
          <w:rFonts w:eastAsia="Calibri" w:cs="Times New Roman"/>
          <w:color w:val="000000"/>
          <w:szCs w:val="20"/>
          <w:lang w:val="en-US"/>
        </w:rPr>
        <w:t xml:space="preserve"> regarded as passive subjects in relation to the public authorities</w:t>
      </w:r>
      <w:r w:rsidR="00C93973" w:rsidRPr="007B2402">
        <w:rPr>
          <w:rFonts w:eastAsia="Calibri" w:cs="Times New Roman"/>
          <w:color w:val="000000"/>
          <w:szCs w:val="20"/>
          <w:lang w:val="en-US"/>
        </w:rPr>
        <w:t xml:space="preserve"> but “become claimants of rights and participants in the processes by which the content, application and strength of the law are defined.</w:t>
      </w:r>
      <w:r w:rsidR="00D20621" w:rsidRPr="007B2402">
        <w:rPr>
          <w:rFonts w:eastAsia="Calibri" w:cs="Times New Roman"/>
          <w:color w:val="000000"/>
          <w:szCs w:val="20"/>
          <w:lang w:val="en-US"/>
        </w:rPr>
        <w:t>”</w:t>
      </w:r>
      <w:r w:rsidR="00D20621" w:rsidRPr="007B2402">
        <w:rPr>
          <w:rFonts w:eastAsia="Calibri" w:cs="Times New Roman"/>
          <w:color w:val="000000"/>
          <w:szCs w:val="20"/>
          <w:vertAlign w:val="superscript"/>
          <w:lang w:val="en-US"/>
        </w:rPr>
        <w:footnoteReference w:id="375"/>
      </w:r>
      <w:r w:rsidR="00D20621" w:rsidRPr="007B2402">
        <w:rPr>
          <w:rFonts w:eastAsia="Calibri" w:cs="Times New Roman"/>
          <w:color w:val="000000"/>
          <w:szCs w:val="20"/>
          <w:lang w:val="en-US"/>
        </w:rPr>
        <w:t xml:space="preserve"> </w:t>
      </w:r>
      <w:r w:rsidR="00C93973" w:rsidRPr="007B2402">
        <w:rPr>
          <w:rFonts w:eastAsia="Calibri" w:cs="Times New Roman"/>
          <w:color w:val="000000"/>
          <w:szCs w:val="20"/>
          <w:lang w:val="en-US"/>
        </w:rPr>
        <w:t>In other words, “criminal prosecutions provide recognition to victims as rights holders.”</w:t>
      </w:r>
      <w:r w:rsidR="00D20621" w:rsidRPr="007B2402">
        <w:rPr>
          <w:rFonts w:eastAsia="Calibri" w:cs="Times New Roman"/>
          <w:color w:val="000000"/>
          <w:szCs w:val="20"/>
          <w:vertAlign w:val="superscript"/>
          <w:lang w:val="en-US"/>
        </w:rPr>
        <w:footnoteReference w:id="376"/>
      </w:r>
      <w:r w:rsidR="00D20621" w:rsidRPr="007B2402">
        <w:rPr>
          <w:rFonts w:eastAsia="Calibri" w:cs="Times New Roman"/>
          <w:color w:val="000000"/>
          <w:szCs w:val="20"/>
          <w:lang w:val="en-US"/>
        </w:rPr>
        <w:t xml:space="preserve"> </w:t>
      </w:r>
      <w:r w:rsidR="00C93973" w:rsidRPr="007B2402">
        <w:rPr>
          <w:rFonts w:eastAsia="Calibri" w:cs="Times New Roman"/>
          <w:color w:val="000000"/>
          <w:szCs w:val="20"/>
          <w:lang w:val="en-US"/>
        </w:rPr>
        <w:t xml:space="preserve">“The right to truth entitles the victim, his or her relatives and the public at large to seek and obtain all relevant information concerning the </w:t>
      </w:r>
      <w:r w:rsidR="004E5515" w:rsidRPr="007B2402">
        <w:rPr>
          <w:rFonts w:eastAsia="Calibri" w:cs="Times New Roman"/>
          <w:color w:val="000000"/>
          <w:szCs w:val="20"/>
          <w:lang w:val="en-US"/>
        </w:rPr>
        <w:t>c</w:t>
      </w:r>
      <w:r w:rsidR="00C93973" w:rsidRPr="007B2402">
        <w:rPr>
          <w:rFonts w:eastAsia="Calibri" w:cs="Times New Roman"/>
          <w:color w:val="000000"/>
          <w:szCs w:val="20"/>
          <w:lang w:val="en-US"/>
        </w:rPr>
        <w:t>o</w:t>
      </w:r>
      <w:r w:rsidR="004E5515" w:rsidRPr="007B2402">
        <w:rPr>
          <w:rFonts w:eastAsia="Calibri" w:cs="Times New Roman"/>
          <w:color w:val="000000"/>
          <w:szCs w:val="20"/>
          <w:lang w:val="en-US"/>
        </w:rPr>
        <w:t>m</w:t>
      </w:r>
      <w:r w:rsidR="00C93973" w:rsidRPr="007B2402">
        <w:rPr>
          <w:rFonts w:eastAsia="Calibri" w:cs="Times New Roman"/>
          <w:color w:val="000000"/>
          <w:szCs w:val="20"/>
          <w:lang w:val="en-US"/>
        </w:rPr>
        <w:t>mission of the alleged violation”</w:t>
      </w:r>
      <w:r w:rsidR="00275F69" w:rsidRPr="007B2402">
        <w:rPr>
          <w:rFonts w:eastAsia="Calibri" w:cs="Times New Roman"/>
          <w:color w:val="000000"/>
          <w:szCs w:val="20"/>
          <w:vertAlign w:val="superscript"/>
          <w:lang w:val="en-US"/>
        </w:rPr>
        <w:footnoteReference w:id="377"/>
      </w:r>
      <w:r w:rsidR="005B1590" w:rsidRPr="007B2402">
        <w:rPr>
          <w:rFonts w:eastAsia="Calibri" w:cs="Times New Roman"/>
          <w:color w:val="000000"/>
          <w:szCs w:val="20"/>
          <w:lang w:val="en-US"/>
        </w:rPr>
        <w:t xml:space="preserve"> and</w:t>
      </w:r>
      <w:r w:rsidR="00C93973" w:rsidRPr="007B2402">
        <w:rPr>
          <w:rFonts w:eastAsia="Calibri" w:cs="Times New Roman"/>
          <w:color w:val="000000"/>
          <w:szCs w:val="20"/>
          <w:lang w:val="en-US"/>
        </w:rPr>
        <w:t xml:space="preserve">, in cases such as this one, </w:t>
      </w:r>
      <w:r w:rsidR="004E5515" w:rsidRPr="007B2402">
        <w:rPr>
          <w:rFonts w:eastAsia="Calibri" w:cs="Times New Roman"/>
          <w:color w:val="000000"/>
          <w:szCs w:val="20"/>
          <w:lang w:val="en-US"/>
        </w:rPr>
        <w:t>a</w:t>
      </w:r>
      <w:r w:rsidR="00FD53DE" w:rsidRPr="007B2402">
        <w:rPr>
          <w:rFonts w:eastAsia="Calibri" w:cs="Times New Roman"/>
          <w:color w:val="000000"/>
          <w:szCs w:val="20"/>
          <w:lang w:val="en-US"/>
        </w:rPr>
        <w:t xml:space="preserve"> pro</w:t>
      </w:r>
      <w:r w:rsidR="004E5515" w:rsidRPr="007B2402">
        <w:rPr>
          <w:rFonts w:eastAsia="Calibri" w:cs="Times New Roman"/>
          <w:color w:val="000000"/>
          <w:szCs w:val="20"/>
          <w:lang w:val="en-US"/>
        </w:rPr>
        <w:t>ceeding</w:t>
      </w:r>
      <w:r w:rsidR="00FD53DE" w:rsidRPr="007B2402">
        <w:rPr>
          <w:rFonts w:eastAsia="Calibri" w:cs="Times New Roman"/>
          <w:color w:val="000000"/>
          <w:szCs w:val="20"/>
          <w:lang w:val="en-US"/>
        </w:rPr>
        <w:t xml:space="preserve"> that official</w:t>
      </w:r>
      <w:r w:rsidR="004E5515" w:rsidRPr="007B2402">
        <w:rPr>
          <w:rFonts w:eastAsia="Calibri" w:cs="Times New Roman"/>
          <w:color w:val="000000"/>
          <w:szCs w:val="20"/>
          <w:lang w:val="en-US"/>
        </w:rPr>
        <w:t>ly</w:t>
      </w:r>
      <w:r w:rsidR="00FD53DE" w:rsidRPr="007B2402">
        <w:rPr>
          <w:rFonts w:eastAsia="Calibri" w:cs="Times New Roman"/>
          <w:color w:val="000000"/>
          <w:szCs w:val="20"/>
          <w:lang w:val="en-US"/>
        </w:rPr>
        <w:t xml:space="preserve"> determine</w:t>
      </w:r>
      <w:r w:rsidR="004E5515" w:rsidRPr="007B2402">
        <w:rPr>
          <w:rFonts w:eastAsia="Calibri" w:cs="Times New Roman"/>
          <w:color w:val="000000"/>
          <w:szCs w:val="20"/>
          <w:lang w:val="en-US"/>
        </w:rPr>
        <w:t>s</w:t>
      </w:r>
      <w:r w:rsidR="00FD53DE" w:rsidRPr="007B2402">
        <w:rPr>
          <w:rFonts w:eastAsia="Calibri" w:cs="Times New Roman"/>
          <w:color w:val="000000"/>
          <w:szCs w:val="20"/>
          <w:lang w:val="en-US"/>
        </w:rPr>
        <w:t xml:space="preserve"> this violation</w:t>
      </w:r>
      <w:r w:rsidR="00D20621" w:rsidRPr="007B2402">
        <w:rPr>
          <w:rFonts w:eastAsia="Calibri" w:cs="Times New Roman"/>
          <w:color w:val="000000"/>
          <w:szCs w:val="20"/>
          <w:lang w:val="en-US"/>
        </w:rPr>
        <w:t>.</w:t>
      </w:r>
    </w:p>
    <w:p w14:paraId="20D593EE" w14:textId="77777777" w:rsidR="00D270F1" w:rsidRPr="007B2402" w:rsidRDefault="00D270F1" w:rsidP="00D270F1">
      <w:pPr>
        <w:pStyle w:val="Prrafodelista"/>
        <w:rPr>
          <w:rFonts w:eastAsia="Calibri" w:cs="Times New Roman"/>
          <w:color w:val="000000"/>
          <w:szCs w:val="20"/>
          <w:lang w:val="en-US"/>
        </w:rPr>
      </w:pPr>
    </w:p>
    <w:p w14:paraId="3C98C889" w14:textId="5DB8E659" w:rsidR="007F47F4" w:rsidRPr="007B2402" w:rsidRDefault="00C920BC" w:rsidP="00D270F1">
      <w:pPr>
        <w:numPr>
          <w:ilvl w:val="0"/>
          <w:numId w:val="6"/>
        </w:numPr>
        <w:spacing w:after="0" w:line="240" w:lineRule="auto"/>
        <w:contextualSpacing/>
        <w:jc w:val="both"/>
        <w:rPr>
          <w:rFonts w:eastAsia="Calibri" w:cs="Times New Roman"/>
          <w:szCs w:val="20"/>
          <w:lang w:val="en-US"/>
        </w:rPr>
      </w:pPr>
      <w:r w:rsidRPr="007B2402">
        <w:rPr>
          <w:rFonts w:eastAsia="Calibri" w:cs="Times New Roman"/>
          <w:szCs w:val="20"/>
          <w:lang w:val="en-US"/>
        </w:rPr>
        <w:t>Th</w:t>
      </w:r>
      <w:r w:rsidR="004E5515" w:rsidRPr="007B2402">
        <w:rPr>
          <w:rFonts w:eastAsia="Calibri" w:cs="Times New Roman"/>
          <w:szCs w:val="20"/>
          <w:lang w:val="en-US"/>
        </w:rPr>
        <w:t>e</w:t>
      </w:r>
      <w:r w:rsidRPr="007B2402">
        <w:rPr>
          <w:rFonts w:eastAsia="Calibri" w:cs="Times New Roman"/>
          <w:szCs w:val="20"/>
          <w:lang w:val="en-US"/>
        </w:rPr>
        <w:t xml:space="preserve"> Court referred to this issue in particular and expressly in the case of </w:t>
      </w:r>
      <w:r w:rsidR="00D270F1" w:rsidRPr="007B2402">
        <w:rPr>
          <w:rFonts w:eastAsia="Calibri" w:cs="Times New Roman"/>
          <w:i/>
          <w:szCs w:val="20"/>
          <w:lang w:val="en-US"/>
        </w:rPr>
        <w:t>Gomes Lund</w:t>
      </w:r>
      <w:r w:rsidR="005B1590" w:rsidRPr="007B2402">
        <w:rPr>
          <w:rFonts w:eastAsia="Calibri" w:cs="Times New Roman"/>
          <w:i/>
          <w:szCs w:val="20"/>
          <w:lang w:val="en-US"/>
        </w:rPr>
        <w:t xml:space="preserve"> </w:t>
      </w:r>
      <w:r w:rsidR="00892CA3" w:rsidRPr="007B2402">
        <w:rPr>
          <w:rFonts w:eastAsia="Calibri" w:cs="Times New Roman"/>
          <w:i/>
          <w:szCs w:val="20"/>
          <w:lang w:val="en-US"/>
        </w:rPr>
        <w:t>et al.</w:t>
      </w:r>
      <w:r w:rsidR="00D270F1" w:rsidRPr="007B2402">
        <w:rPr>
          <w:rFonts w:eastAsia="Calibri" w:cs="Times New Roman"/>
          <w:i/>
          <w:szCs w:val="20"/>
          <w:lang w:val="en-US"/>
        </w:rPr>
        <w:t xml:space="preserve"> </w:t>
      </w:r>
      <w:r w:rsidR="00D05845" w:rsidRPr="007B2402">
        <w:rPr>
          <w:rFonts w:eastAsia="Calibri" w:cs="Times New Roman"/>
          <w:i/>
          <w:szCs w:val="20"/>
          <w:lang w:val="en-US"/>
        </w:rPr>
        <w:t>v.</w:t>
      </w:r>
      <w:r w:rsidR="00D270F1" w:rsidRPr="007B2402">
        <w:rPr>
          <w:rFonts w:eastAsia="Calibri" w:cs="Times New Roman"/>
          <w:i/>
          <w:szCs w:val="20"/>
          <w:lang w:val="en-US"/>
        </w:rPr>
        <w:t xml:space="preserve"> </w:t>
      </w:r>
      <w:r w:rsidR="00AF4344" w:rsidRPr="007B2402">
        <w:rPr>
          <w:rFonts w:eastAsia="Calibri" w:cs="Times New Roman"/>
          <w:i/>
          <w:szCs w:val="20"/>
          <w:lang w:val="en-US"/>
        </w:rPr>
        <w:t>Brazil</w:t>
      </w:r>
      <w:r w:rsidR="00D270F1" w:rsidRPr="007B2402">
        <w:rPr>
          <w:rFonts w:eastAsia="Calibri" w:cs="Times New Roman"/>
          <w:szCs w:val="20"/>
          <w:lang w:val="en-US"/>
        </w:rPr>
        <w:t>.</w:t>
      </w:r>
      <w:r w:rsidR="00B02AAB" w:rsidRPr="007B2402">
        <w:rPr>
          <w:rFonts w:eastAsia="Calibri" w:cs="Times New Roman"/>
          <w:szCs w:val="20"/>
          <w:lang w:val="en-US"/>
        </w:rPr>
        <w:t xml:space="preserve"> </w:t>
      </w:r>
      <w:r w:rsidRPr="007B2402">
        <w:rPr>
          <w:rFonts w:eastAsia="Calibri" w:cs="Times New Roman"/>
          <w:szCs w:val="20"/>
          <w:lang w:val="en-US"/>
        </w:rPr>
        <w:t>In that case, the Court established that, in cases of gross human rights violations – and if the investigation of a</w:t>
      </w:r>
      <w:r w:rsidR="00FD53DE" w:rsidRPr="007B2402">
        <w:rPr>
          <w:rFonts w:eastAsia="Calibri" w:cs="Times New Roman"/>
          <w:szCs w:val="20"/>
          <w:lang w:val="en-US"/>
        </w:rPr>
        <w:t xml:space="preserve"> punishable</w:t>
      </w:r>
      <w:r w:rsidRPr="007B2402">
        <w:rPr>
          <w:rFonts w:eastAsia="Calibri" w:cs="Times New Roman"/>
          <w:szCs w:val="20"/>
          <w:lang w:val="en-US"/>
        </w:rPr>
        <w:t xml:space="preserve"> act is involved – the decision to classify information as secret and to refuse to hand it over c</w:t>
      </w:r>
      <w:r w:rsidR="004E5515" w:rsidRPr="007B2402">
        <w:rPr>
          <w:rFonts w:eastAsia="Calibri" w:cs="Times New Roman"/>
          <w:szCs w:val="20"/>
          <w:lang w:val="en-US"/>
        </w:rPr>
        <w:t>ould</w:t>
      </w:r>
      <w:r w:rsidRPr="007B2402">
        <w:rPr>
          <w:rFonts w:eastAsia="Calibri" w:cs="Times New Roman"/>
          <w:szCs w:val="20"/>
          <w:lang w:val="en-US"/>
        </w:rPr>
        <w:t xml:space="preserve"> never depend exclusively on a State organ whose members ha</w:t>
      </w:r>
      <w:r w:rsidR="004E5515" w:rsidRPr="007B2402">
        <w:rPr>
          <w:rFonts w:eastAsia="Calibri" w:cs="Times New Roman"/>
          <w:szCs w:val="20"/>
          <w:lang w:val="en-US"/>
        </w:rPr>
        <w:t>d</w:t>
      </w:r>
      <w:r w:rsidRPr="007B2402">
        <w:rPr>
          <w:rFonts w:eastAsia="Calibri" w:cs="Times New Roman"/>
          <w:szCs w:val="20"/>
          <w:lang w:val="en-US"/>
        </w:rPr>
        <w:t xml:space="preserve"> been attributed with the perpetration of the unlawful act.</w:t>
      </w:r>
    </w:p>
    <w:p w14:paraId="4C51F6A7" w14:textId="77777777" w:rsidR="007F47F4" w:rsidRPr="007B2402" w:rsidRDefault="007F47F4" w:rsidP="007F47F4">
      <w:pPr>
        <w:pStyle w:val="Prrafodelista"/>
        <w:rPr>
          <w:rFonts w:eastAsia="Calibri" w:cs="Times New Roman"/>
          <w:szCs w:val="20"/>
          <w:lang w:val="en-US"/>
        </w:rPr>
      </w:pPr>
    </w:p>
    <w:p w14:paraId="7F70380F" w14:textId="1969CF08" w:rsidR="00D270F1" w:rsidRPr="007B2402" w:rsidRDefault="00FD53DE" w:rsidP="00FD53DE">
      <w:pPr>
        <w:numPr>
          <w:ilvl w:val="0"/>
          <w:numId w:val="6"/>
        </w:numPr>
        <w:spacing w:after="0" w:line="240" w:lineRule="auto"/>
        <w:contextualSpacing/>
        <w:jc w:val="both"/>
        <w:rPr>
          <w:rFonts w:eastAsia="Calibri" w:cs="Times New Roman"/>
          <w:szCs w:val="20"/>
          <w:lang w:val="en-US"/>
        </w:rPr>
      </w:pPr>
      <w:r w:rsidRPr="007B2402">
        <w:rPr>
          <w:rFonts w:eastAsia="Calibri" w:cs="Times New Roman"/>
          <w:szCs w:val="20"/>
          <w:lang w:val="en-US"/>
        </w:rPr>
        <w:t>The Court has also considered that any denial of information must be justified and substantiated, and the State has the burden of proof as regards the impossibility of producing the information. Moreover, when doubt or a legal vacuum exists, the right of access to information should be given priority. In addition, the Court recalls that it has indicated that State authorities may not shield themselves by mechanisms such as State secrets or the confidentiality of information in cases of human rights violations.</w:t>
      </w:r>
      <w:r w:rsidR="00D270F1" w:rsidRPr="007B2402">
        <w:rPr>
          <w:rFonts w:eastAsia="Calibri" w:cs="Times New Roman"/>
          <w:szCs w:val="20"/>
          <w:vertAlign w:val="superscript"/>
          <w:lang w:val="en-US"/>
        </w:rPr>
        <w:footnoteReference w:id="378"/>
      </w:r>
      <w:r w:rsidR="007F47F4" w:rsidRPr="007B2402">
        <w:rPr>
          <w:rFonts w:eastAsia="Calibri" w:cs="Times New Roman"/>
          <w:szCs w:val="20"/>
          <w:lang w:val="en-US"/>
        </w:rPr>
        <w:t xml:space="preserve"> </w:t>
      </w:r>
      <w:r w:rsidRPr="007B2402">
        <w:rPr>
          <w:rFonts w:eastAsia="Calibri" w:cs="Times New Roman"/>
          <w:szCs w:val="20"/>
          <w:lang w:val="en-US"/>
        </w:rPr>
        <w:t>Likewise, the final decision concerning the existence of the documentation requested cannot be left to their discretion.</w:t>
      </w:r>
      <w:r w:rsidR="007F47F4" w:rsidRPr="007B2402">
        <w:rPr>
          <w:rFonts w:eastAsia="Calibri" w:cs="Times New Roman"/>
          <w:szCs w:val="20"/>
          <w:vertAlign w:val="superscript"/>
          <w:lang w:val="en-US"/>
        </w:rPr>
        <w:footnoteReference w:id="379"/>
      </w:r>
    </w:p>
    <w:p w14:paraId="0F239E06" w14:textId="77777777" w:rsidR="00D20621" w:rsidRPr="007B2402" w:rsidRDefault="00D20621" w:rsidP="00D20621">
      <w:pPr>
        <w:spacing w:after="0" w:line="240" w:lineRule="auto"/>
        <w:ind w:left="720"/>
        <w:contextualSpacing/>
        <w:rPr>
          <w:rFonts w:eastAsia="Calibri" w:cs="Times New Roman"/>
          <w:color w:val="000000"/>
          <w:szCs w:val="20"/>
          <w:lang w:val="en-US"/>
        </w:rPr>
      </w:pPr>
    </w:p>
    <w:p w14:paraId="688CC6FA" w14:textId="5D9362D2" w:rsidR="008B651E" w:rsidRPr="007B2402" w:rsidRDefault="008B651E" w:rsidP="00D20621">
      <w:pPr>
        <w:numPr>
          <w:ilvl w:val="0"/>
          <w:numId w:val="6"/>
        </w:numPr>
        <w:spacing w:after="0" w:line="240" w:lineRule="auto"/>
        <w:contextualSpacing/>
        <w:jc w:val="both"/>
        <w:rPr>
          <w:rFonts w:eastAsia="Calibri" w:cs="Times New Roman"/>
          <w:color w:val="000000"/>
          <w:szCs w:val="20"/>
          <w:lang w:val="en-US"/>
        </w:rPr>
      </w:pPr>
      <w:r w:rsidRPr="007B2402">
        <w:rPr>
          <w:rFonts w:eastAsia="Calibri" w:cs="Times New Roman"/>
          <w:color w:val="000000"/>
          <w:szCs w:val="20"/>
          <w:lang w:val="en-US"/>
        </w:rPr>
        <w:t>In this regard</w:t>
      </w:r>
      <w:r w:rsidR="00D20621" w:rsidRPr="007B2402">
        <w:rPr>
          <w:rFonts w:eastAsia="Calibri" w:cs="Times New Roman"/>
          <w:color w:val="000000"/>
          <w:szCs w:val="20"/>
          <w:lang w:val="en-US"/>
        </w:rPr>
        <w:t xml:space="preserve">, </w:t>
      </w:r>
      <w:r w:rsidR="00AF4344" w:rsidRPr="007B2402">
        <w:rPr>
          <w:rFonts w:eastAsia="Calibri" w:cs="Times New Roman"/>
          <w:color w:val="000000"/>
          <w:szCs w:val="20"/>
          <w:lang w:val="en-US"/>
        </w:rPr>
        <w:t>the Court</w:t>
      </w:r>
      <w:r w:rsidR="00D20621" w:rsidRPr="007B2402">
        <w:rPr>
          <w:rFonts w:eastAsia="Calibri" w:cs="Times New Roman"/>
          <w:color w:val="000000"/>
          <w:szCs w:val="20"/>
          <w:lang w:val="en-US"/>
        </w:rPr>
        <w:t xml:space="preserve"> </w:t>
      </w:r>
      <w:r w:rsidRPr="007B2402">
        <w:rPr>
          <w:rFonts w:eastAsia="Calibri" w:cs="Times New Roman"/>
          <w:color w:val="000000"/>
          <w:szCs w:val="20"/>
          <w:lang w:val="en-US"/>
        </w:rPr>
        <w:t>notes that, it was only in 2007, that the State finally dis</w:t>
      </w:r>
      <w:r w:rsidR="004E5515" w:rsidRPr="007B2402">
        <w:rPr>
          <w:rFonts w:eastAsia="Calibri" w:cs="Times New Roman"/>
          <w:color w:val="000000"/>
          <w:szCs w:val="20"/>
          <w:lang w:val="en-US"/>
        </w:rPr>
        <w:t>closed</w:t>
      </w:r>
      <w:r w:rsidRPr="007B2402">
        <w:rPr>
          <w:rFonts w:eastAsia="Calibri" w:cs="Times New Roman"/>
          <w:color w:val="000000"/>
          <w:szCs w:val="20"/>
          <w:lang w:val="en-US"/>
        </w:rPr>
        <w:t xml:space="preserve"> the extrajudicial truth of the facts with the publication of the report</w:t>
      </w:r>
      <w:r w:rsidR="005B1590" w:rsidRPr="007B2402">
        <w:rPr>
          <w:rFonts w:eastAsia="Calibri" w:cs="Times New Roman"/>
          <w:color w:val="000000"/>
          <w:szCs w:val="20"/>
          <w:lang w:val="en-US"/>
        </w:rPr>
        <w:t xml:space="preserve"> of </w:t>
      </w:r>
      <w:r w:rsidR="006B47D1" w:rsidRPr="007B2402">
        <w:rPr>
          <w:rFonts w:eastAsia="Calibri" w:cs="Times New Roman"/>
          <w:color w:val="000000"/>
          <w:szCs w:val="20"/>
          <w:lang w:val="en-US"/>
        </w:rPr>
        <w:t xml:space="preserve">the Special Commission on Political Deaths and </w:t>
      </w:r>
      <w:r w:rsidR="00334D32" w:rsidRPr="007B2402">
        <w:rPr>
          <w:rFonts w:eastAsia="Calibri" w:cs="Times New Roman"/>
          <w:color w:val="000000"/>
          <w:szCs w:val="20"/>
          <w:lang w:val="en-US"/>
        </w:rPr>
        <w:t>Disappearances</w:t>
      </w:r>
      <w:r w:rsidRPr="007B2402">
        <w:rPr>
          <w:rFonts w:eastAsia="Calibri" w:cs="Times New Roman"/>
          <w:color w:val="000000"/>
          <w:szCs w:val="20"/>
          <w:lang w:val="en-US"/>
        </w:rPr>
        <w:t>. Until then, the State institutions – in particular, the Army – maintained a version of the facts that the courts had declared to be false in 1978 when the</w:t>
      </w:r>
      <w:r w:rsidR="00D20621" w:rsidRPr="007B2402">
        <w:rPr>
          <w:rFonts w:eastAsia="Calibri" w:cs="Times New Roman"/>
          <w:color w:val="000000"/>
          <w:szCs w:val="20"/>
          <w:lang w:val="en-US"/>
        </w:rPr>
        <w:t xml:space="preserve"> </w:t>
      </w:r>
      <w:r w:rsidRPr="007B2402">
        <w:rPr>
          <w:rFonts w:eastAsia="Calibri" w:cs="Times New Roman"/>
          <w:color w:val="000000"/>
          <w:szCs w:val="20"/>
          <w:lang w:val="en-US"/>
        </w:rPr>
        <w:t>j</w:t>
      </w:r>
      <w:r w:rsidR="00AF4344" w:rsidRPr="007B2402">
        <w:rPr>
          <w:rFonts w:eastAsia="Calibri" w:cs="Times New Roman"/>
          <w:color w:val="000000"/>
          <w:szCs w:val="20"/>
          <w:lang w:val="en-US"/>
        </w:rPr>
        <w:t xml:space="preserve">udgment </w:t>
      </w:r>
      <w:r w:rsidRPr="007B2402">
        <w:rPr>
          <w:rFonts w:eastAsia="Calibri" w:cs="Times New Roman"/>
          <w:color w:val="000000"/>
          <w:szCs w:val="20"/>
          <w:lang w:val="en-US"/>
        </w:rPr>
        <w:t>on the</w:t>
      </w:r>
      <w:r w:rsidR="00D20621" w:rsidRPr="007B2402">
        <w:rPr>
          <w:rFonts w:eastAsia="Calibri" w:cs="Times New Roman"/>
          <w:color w:val="000000"/>
          <w:szCs w:val="20"/>
          <w:lang w:val="en-US"/>
        </w:rPr>
        <w:t xml:space="preserve"> </w:t>
      </w:r>
      <w:r w:rsidRPr="007B2402">
        <w:rPr>
          <w:rFonts w:eastAsia="Calibri" w:cs="Times New Roman"/>
          <w:color w:val="000000"/>
          <w:szCs w:val="20"/>
          <w:lang w:val="en-US"/>
        </w:rPr>
        <w:t>d</w:t>
      </w:r>
      <w:r w:rsidR="00BA4292" w:rsidRPr="007B2402">
        <w:rPr>
          <w:rFonts w:eastAsia="Calibri" w:cs="Times New Roman"/>
          <w:color w:val="000000"/>
          <w:szCs w:val="20"/>
          <w:lang w:val="en-US"/>
        </w:rPr>
        <w:t>eclaratory action</w:t>
      </w:r>
      <w:r w:rsidRPr="007B2402">
        <w:rPr>
          <w:rFonts w:eastAsia="Calibri" w:cs="Times New Roman"/>
          <w:color w:val="000000"/>
          <w:szCs w:val="20"/>
          <w:lang w:val="en-US"/>
        </w:rPr>
        <w:t xml:space="preserve"> was delivered</w:t>
      </w:r>
      <w:r w:rsidR="00D20621" w:rsidRPr="007B2402">
        <w:rPr>
          <w:rFonts w:eastAsia="Calibri" w:cs="Times New Roman"/>
          <w:color w:val="000000"/>
          <w:szCs w:val="20"/>
          <w:lang w:val="en-US"/>
        </w:rPr>
        <w:t xml:space="preserve"> (</w:t>
      </w:r>
      <w:r w:rsidR="00D20621" w:rsidRPr="007B2402">
        <w:rPr>
          <w:rFonts w:eastAsia="Calibri" w:cs="Times New Roman"/>
          <w:i/>
          <w:color w:val="000000"/>
          <w:szCs w:val="20"/>
          <w:lang w:val="en-US"/>
        </w:rPr>
        <w:t>supra</w:t>
      </w:r>
      <w:r w:rsidR="00D20621" w:rsidRPr="007B2402">
        <w:rPr>
          <w:rFonts w:eastAsia="Calibri" w:cs="Times New Roman"/>
          <w:color w:val="000000"/>
          <w:szCs w:val="20"/>
          <w:lang w:val="en-US"/>
        </w:rPr>
        <w:t xml:space="preserve"> </w:t>
      </w:r>
      <w:r w:rsidR="00892CA3" w:rsidRPr="007B2402">
        <w:rPr>
          <w:rFonts w:eastAsia="Calibri" w:cs="Times New Roman"/>
          <w:color w:val="000000"/>
          <w:szCs w:val="20"/>
          <w:lang w:val="en-US"/>
        </w:rPr>
        <w:t>paras.</w:t>
      </w:r>
      <w:r w:rsidR="00D20621" w:rsidRPr="007B2402">
        <w:rPr>
          <w:rFonts w:eastAsia="Calibri" w:cs="Times New Roman"/>
          <w:color w:val="000000"/>
          <w:szCs w:val="20"/>
          <w:lang w:val="en-US"/>
        </w:rPr>
        <w:t xml:space="preserve"> </w:t>
      </w:r>
      <w:r w:rsidR="00F64B1E" w:rsidRPr="007B2402">
        <w:rPr>
          <w:rFonts w:eastAsia="Calibri" w:cs="Times New Roman"/>
          <w:color w:val="000000"/>
          <w:szCs w:val="20"/>
          <w:lang w:val="en-US"/>
        </w:rPr>
        <w:t xml:space="preserve">132 </w:t>
      </w:r>
      <w:r w:rsidRPr="007B2402">
        <w:rPr>
          <w:rFonts w:eastAsia="Calibri" w:cs="Times New Roman"/>
          <w:color w:val="000000"/>
          <w:szCs w:val="20"/>
          <w:lang w:val="en-US"/>
        </w:rPr>
        <w:t>to</w:t>
      </w:r>
      <w:r w:rsidR="00F64B1E" w:rsidRPr="007B2402">
        <w:rPr>
          <w:rFonts w:eastAsia="Calibri" w:cs="Times New Roman"/>
          <w:color w:val="000000"/>
          <w:szCs w:val="20"/>
          <w:lang w:val="en-US"/>
        </w:rPr>
        <w:t xml:space="preserve"> 134</w:t>
      </w:r>
      <w:r w:rsidR="00D20621" w:rsidRPr="007B2402">
        <w:rPr>
          <w:rFonts w:eastAsia="Calibri" w:cs="Times New Roman"/>
          <w:color w:val="000000"/>
          <w:szCs w:val="20"/>
          <w:lang w:val="en-US"/>
        </w:rPr>
        <w:t xml:space="preserve">). </w:t>
      </w:r>
      <w:r w:rsidR="00AF4344" w:rsidRPr="007B2402">
        <w:rPr>
          <w:rFonts w:eastAsia="Calibri" w:cs="Times New Roman"/>
          <w:color w:val="000000"/>
          <w:szCs w:val="20"/>
          <w:lang w:val="en-US"/>
        </w:rPr>
        <w:t>The Court</w:t>
      </w:r>
      <w:r w:rsidR="00D20621" w:rsidRPr="007B2402">
        <w:rPr>
          <w:rFonts w:eastAsia="Calibri" w:cs="Times New Roman"/>
          <w:color w:val="000000"/>
          <w:szCs w:val="20"/>
          <w:lang w:val="en-US"/>
        </w:rPr>
        <w:t xml:space="preserve"> </w:t>
      </w:r>
      <w:r w:rsidRPr="007B2402">
        <w:rPr>
          <w:rFonts w:eastAsia="Calibri" w:cs="Times New Roman"/>
          <w:color w:val="000000"/>
          <w:szCs w:val="20"/>
          <w:lang w:val="en-US"/>
        </w:rPr>
        <w:t xml:space="preserve">also notes that it was not until 2013 that the victim’s family obtained the rectification of the </w:t>
      </w:r>
      <w:r w:rsidRPr="007B2402">
        <w:rPr>
          <w:rFonts w:eastAsia="Calibri" w:cs="Times New Roman"/>
          <w:color w:val="000000"/>
          <w:szCs w:val="20"/>
          <w:lang w:val="en-US"/>
        </w:rPr>
        <w:lastRenderedPageBreak/>
        <w:t>cause of death on Vladimir Herzog’s death certificate</w:t>
      </w:r>
      <w:r w:rsidR="00D20621" w:rsidRPr="007B2402">
        <w:rPr>
          <w:rFonts w:eastAsia="Calibri" w:cs="Times New Roman"/>
          <w:color w:val="000000"/>
          <w:szCs w:val="20"/>
          <w:lang w:val="en-US"/>
        </w:rPr>
        <w:t xml:space="preserve">. </w:t>
      </w:r>
      <w:r w:rsidRPr="007B2402">
        <w:rPr>
          <w:rFonts w:eastAsia="Calibri" w:cs="Times New Roman"/>
          <w:color w:val="000000"/>
          <w:szCs w:val="20"/>
          <w:lang w:val="en-US"/>
        </w:rPr>
        <w:t>This signifies that</w:t>
      </w:r>
      <w:r w:rsidR="004E5515" w:rsidRPr="007B2402">
        <w:rPr>
          <w:rFonts w:eastAsia="Calibri" w:cs="Times New Roman"/>
          <w:color w:val="000000"/>
          <w:szCs w:val="20"/>
          <w:lang w:val="en-US"/>
        </w:rPr>
        <w:t>, for</w:t>
      </w:r>
      <w:r w:rsidRPr="007B2402">
        <w:rPr>
          <w:rFonts w:eastAsia="Calibri" w:cs="Times New Roman"/>
          <w:color w:val="000000"/>
          <w:szCs w:val="20"/>
          <w:lang w:val="en-US"/>
        </w:rPr>
        <w:t xml:space="preserve"> 15 years after Brazil had accepted the </w:t>
      </w:r>
      <w:r w:rsidR="004E5515" w:rsidRPr="007B2402">
        <w:rPr>
          <w:rFonts w:eastAsia="Calibri" w:cs="Times New Roman"/>
          <w:color w:val="000000"/>
          <w:szCs w:val="20"/>
          <w:lang w:val="en-US"/>
        </w:rPr>
        <w:t xml:space="preserve">Court’s </w:t>
      </w:r>
      <w:r w:rsidRPr="007B2402">
        <w:rPr>
          <w:rFonts w:eastAsia="Calibri" w:cs="Times New Roman"/>
          <w:color w:val="000000"/>
          <w:szCs w:val="20"/>
          <w:lang w:val="en-US"/>
        </w:rPr>
        <w:t xml:space="preserve">contentious jurisdiction, Mr. Herzog’s family had to support – even though only officially – declarations by public authorities that denied the truth of the facts and, even worse, </w:t>
      </w:r>
      <w:r w:rsidR="00051988" w:rsidRPr="007B2402">
        <w:rPr>
          <w:rFonts w:eastAsia="Calibri" w:cs="Times New Roman"/>
          <w:color w:val="000000"/>
          <w:szCs w:val="20"/>
          <w:lang w:val="en-US"/>
        </w:rPr>
        <w:t>upheld</w:t>
      </w:r>
      <w:r w:rsidRPr="007B2402">
        <w:rPr>
          <w:rFonts w:eastAsia="Calibri" w:cs="Times New Roman"/>
          <w:color w:val="000000"/>
          <w:szCs w:val="20"/>
          <w:lang w:val="en-US"/>
        </w:rPr>
        <w:t xml:space="preserve"> a lie.</w:t>
      </w:r>
    </w:p>
    <w:p w14:paraId="05B712B5" w14:textId="77777777" w:rsidR="00D270F1" w:rsidRPr="007B2402" w:rsidRDefault="00D270F1" w:rsidP="008B651E">
      <w:pPr>
        <w:spacing w:after="0" w:line="240" w:lineRule="auto"/>
        <w:contextualSpacing/>
        <w:rPr>
          <w:rFonts w:eastAsia="Calibri" w:cs="Times New Roman"/>
          <w:szCs w:val="20"/>
          <w:lang w:val="en-US"/>
        </w:rPr>
      </w:pPr>
    </w:p>
    <w:p w14:paraId="5A9DA2D8" w14:textId="414A3A52" w:rsidR="002813BF" w:rsidRPr="007B2402" w:rsidRDefault="008B651E" w:rsidP="00D270F1">
      <w:pPr>
        <w:numPr>
          <w:ilvl w:val="0"/>
          <w:numId w:val="6"/>
        </w:numPr>
        <w:spacing w:after="0" w:line="240" w:lineRule="auto"/>
        <w:contextualSpacing/>
        <w:jc w:val="both"/>
        <w:rPr>
          <w:rFonts w:eastAsia="Calibri" w:cs="Times New Roman"/>
          <w:szCs w:val="20"/>
          <w:lang w:val="en-US"/>
        </w:rPr>
      </w:pPr>
      <w:r w:rsidRPr="007B2402">
        <w:rPr>
          <w:rFonts w:eastAsia="Calibri" w:cs="Times New Roman"/>
          <w:szCs w:val="20"/>
          <w:lang w:val="en-US"/>
        </w:rPr>
        <w:t>In this case, the Court also notes that the National Truth Commission</w:t>
      </w:r>
      <w:r w:rsidR="00D270F1" w:rsidRPr="007B2402">
        <w:rPr>
          <w:rFonts w:eastAsia="Calibri" w:cs="Times New Roman"/>
          <w:szCs w:val="20"/>
          <w:vertAlign w:val="superscript"/>
          <w:lang w:val="en-US"/>
        </w:rPr>
        <w:footnoteReference w:id="380"/>
      </w:r>
      <w:r w:rsidR="00D270F1" w:rsidRPr="007B2402">
        <w:rPr>
          <w:rFonts w:eastAsia="Calibri" w:cs="Times New Roman"/>
          <w:szCs w:val="20"/>
          <w:lang w:val="en-US"/>
        </w:rPr>
        <w:t xml:space="preserve"> </w:t>
      </w:r>
      <w:r w:rsidR="002813BF" w:rsidRPr="007B2402">
        <w:rPr>
          <w:rFonts w:eastAsia="Calibri" w:cs="Times New Roman"/>
          <w:szCs w:val="20"/>
          <w:lang w:val="en-US"/>
        </w:rPr>
        <w:t>placed on record that the Army’s refusal to provide access to its files</w:t>
      </w:r>
      <w:r w:rsidR="00051988" w:rsidRPr="007B2402">
        <w:rPr>
          <w:rFonts w:eastAsia="Calibri" w:cs="Times New Roman"/>
          <w:szCs w:val="20"/>
          <w:lang w:val="en-US"/>
        </w:rPr>
        <w:t xml:space="preserve">, </w:t>
      </w:r>
      <w:r w:rsidR="002813BF" w:rsidRPr="007B2402">
        <w:rPr>
          <w:rFonts w:eastAsia="Calibri" w:cs="Times New Roman"/>
          <w:szCs w:val="20"/>
          <w:lang w:val="en-US"/>
        </w:rPr>
        <w:t>alleging that they had been destroyed</w:t>
      </w:r>
      <w:r w:rsidR="00051988" w:rsidRPr="007B2402">
        <w:rPr>
          <w:rFonts w:eastAsia="Calibri" w:cs="Times New Roman"/>
          <w:szCs w:val="20"/>
          <w:lang w:val="en-US"/>
        </w:rPr>
        <w:t>,</w:t>
      </w:r>
      <w:r w:rsidR="002813BF" w:rsidRPr="007B2402">
        <w:rPr>
          <w:rFonts w:eastAsia="Calibri" w:cs="Times New Roman"/>
          <w:szCs w:val="20"/>
          <w:lang w:val="en-US"/>
        </w:rPr>
        <w:t xml:space="preserve"> had been an obstacle to discovering the truth.</w:t>
      </w:r>
    </w:p>
    <w:p w14:paraId="722ED166" w14:textId="77777777" w:rsidR="00D270F1" w:rsidRPr="007B2402" w:rsidRDefault="00D270F1" w:rsidP="00D270F1">
      <w:pPr>
        <w:spacing w:after="0" w:line="240" w:lineRule="auto"/>
        <w:ind w:left="720"/>
        <w:contextualSpacing/>
        <w:rPr>
          <w:rFonts w:eastAsia="Calibri" w:cs="Times New Roman"/>
          <w:szCs w:val="20"/>
          <w:lang w:val="en-US"/>
        </w:rPr>
      </w:pPr>
    </w:p>
    <w:p w14:paraId="092435A9" w14:textId="3476CC95" w:rsidR="00D270F1" w:rsidRPr="007B2402" w:rsidRDefault="002813BF" w:rsidP="002813BF">
      <w:pPr>
        <w:numPr>
          <w:ilvl w:val="0"/>
          <w:numId w:val="6"/>
        </w:numPr>
        <w:spacing w:after="0" w:line="240" w:lineRule="auto"/>
        <w:contextualSpacing/>
        <w:jc w:val="both"/>
        <w:rPr>
          <w:rFonts w:eastAsia="Calibri" w:cs="Times New Roman"/>
          <w:szCs w:val="20"/>
          <w:lang w:val="en-US"/>
        </w:rPr>
      </w:pPr>
      <w:r w:rsidRPr="007B2402">
        <w:rPr>
          <w:rFonts w:eastAsia="Calibri" w:cs="Times New Roman"/>
          <w:szCs w:val="20"/>
          <w:lang w:val="en-US"/>
        </w:rPr>
        <w:t xml:space="preserve">In accordance with the principle of good faith in </w:t>
      </w:r>
      <w:r w:rsidR="00051988" w:rsidRPr="007B2402">
        <w:rPr>
          <w:rFonts w:eastAsia="Calibri" w:cs="Times New Roman"/>
          <w:szCs w:val="20"/>
          <w:lang w:val="en-US"/>
        </w:rPr>
        <w:t>a</w:t>
      </w:r>
      <w:r w:rsidRPr="007B2402">
        <w:rPr>
          <w:rFonts w:eastAsia="Calibri" w:cs="Times New Roman"/>
          <w:szCs w:val="20"/>
          <w:lang w:val="en-US"/>
        </w:rPr>
        <w:t xml:space="preserve">ccess to information, the Court considers that the State cannot waive its positive obligations to ensure the right to the truth and access to public files merely by alleging that the information was destroyed. </w:t>
      </w:r>
      <w:r w:rsidR="00C12A50" w:rsidRPr="007B2402">
        <w:rPr>
          <w:rFonts w:eastAsia="Calibri" w:cs="Times New Roman"/>
          <w:szCs w:val="20"/>
          <w:lang w:val="en-US"/>
        </w:rPr>
        <w:t>To the contrary, the State has the obligation to seek that information using all possible means. To comply with th</w:t>
      </w:r>
      <w:r w:rsidR="003C4F0C" w:rsidRPr="007B2402">
        <w:rPr>
          <w:rFonts w:eastAsia="Calibri" w:cs="Times New Roman"/>
          <w:szCs w:val="20"/>
          <w:lang w:val="en-US"/>
        </w:rPr>
        <w:t xml:space="preserve">is </w:t>
      </w:r>
      <w:r w:rsidR="00C12A50" w:rsidRPr="007B2402">
        <w:rPr>
          <w:rFonts w:eastAsia="Calibri" w:cs="Times New Roman"/>
          <w:szCs w:val="20"/>
          <w:lang w:val="en-US"/>
        </w:rPr>
        <w:t>obligation, the State must make a substantive effort and provide all necessary resources to reconstruct the information that presumably was destroyed.</w:t>
      </w:r>
      <w:r w:rsidR="00D270F1" w:rsidRPr="007B2402">
        <w:rPr>
          <w:rFonts w:eastAsia="Calibri" w:cs="Times New Roman"/>
          <w:szCs w:val="20"/>
          <w:vertAlign w:val="superscript"/>
          <w:lang w:val="en-US"/>
        </w:rPr>
        <w:footnoteReference w:id="381"/>
      </w:r>
      <w:r w:rsidR="00D270F1" w:rsidRPr="007B2402">
        <w:rPr>
          <w:rFonts w:eastAsia="Calibri" w:cs="Times New Roman"/>
          <w:szCs w:val="20"/>
          <w:lang w:val="en-US"/>
        </w:rPr>
        <w:t xml:space="preserve"> </w:t>
      </w:r>
      <w:r w:rsidRPr="007B2402">
        <w:rPr>
          <w:rFonts w:eastAsia="Calibri" w:cs="Times New Roman"/>
          <w:szCs w:val="20"/>
          <w:lang w:val="en-US"/>
        </w:rPr>
        <w:t xml:space="preserve">Thus, for example, </w:t>
      </w:r>
      <w:r w:rsidR="003C4F0C" w:rsidRPr="007B2402">
        <w:rPr>
          <w:rFonts w:eastAsia="Calibri" w:cs="Times New Roman"/>
          <w:szCs w:val="20"/>
          <w:lang w:val="en-US"/>
        </w:rPr>
        <w:t xml:space="preserve">the </w:t>
      </w:r>
      <w:r w:rsidRPr="007B2402">
        <w:rPr>
          <w:rFonts w:eastAsia="Calibri" w:cs="Times New Roman"/>
          <w:szCs w:val="20"/>
          <w:lang w:val="en-US"/>
        </w:rPr>
        <w:t>State must allow judges, prosecutors and other independent investigation authorities to make on-site visits to the military and intelligence archives. Guaranteeing this type of action is especially essential when the responsible authorities have denied the existence of information</w:t>
      </w:r>
      <w:r w:rsidR="003C4F0C" w:rsidRPr="007B2402">
        <w:rPr>
          <w:rFonts w:eastAsia="Calibri" w:cs="Times New Roman"/>
          <w:szCs w:val="20"/>
          <w:lang w:val="en-US"/>
        </w:rPr>
        <w:t xml:space="preserve"> that is crucial</w:t>
      </w:r>
      <w:r w:rsidRPr="007B2402">
        <w:rPr>
          <w:rFonts w:eastAsia="Calibri" w:cs="Times New Roman"/>
          <w:szCs w:val="20"/>
          <w:lang w:val="en-US"/>
        </w:rPr>
        <w:t xml:space="preserve"> for discovering the truth and identifying the presumed perpetrators of gross human rights violations, provided</w:t>
      </w:r>
      <w:r w:rsidR="003C4F0C" w:rsidRPr="007B2402">
        <w:rPr>
          <w:rFonts w:eastAsia="Calibri" w:cs="Times New Roman"/>
          <w:szCs w:val="20"/>
          <w:lang w:val="en-US"/>
        </w:rPr>
        <w:t xml:space="preserve"> there are</w:t>
      </w:r>
      <w:r w:rsidRPr="007B2402">
        <w:rPr>
          <w:rFonts w:eastAsia="Calibri" w:cs="Times New Roman"/>
          <w:szCs w:val="20"/>
          <w:lang w:val="en-US"/>
        </w:rPr>
        <w:t xml:space="preserve"> reasons </w:t>
      </w:r>
      <w:r w:rsidR="003C4F0C" w:rsidRPr="007B2402">
        <w:rPr>
          <w:rFonts w:eastAsia="Calibri" w:cs="Times New Roman"/>
          <w:szCs w:val="20"/>
          <w:lang w:val="en-US"/>
        </w:rPr>
        <w:t>to</w:t>
      </w:r>
      <w:r w:rsidRPr="007B2402">
        <w:rPr>
          <w:rFonts w:eastAsia="Calibri" w:cs="Times New Roman"/>
          <w:szCs w:val="20"/>
          <w:lang w:val="en-US"/>
        </w:rPr>
        <w:t xml:space="preserve"> presume that this information may exist. </w:t>
      </w:r>
      <w:r w:rsidR="00AF4344" w:rsidRPr="007B2402">
        <w:rPr>
          <w:rFonts w:eastAsia="Calibri" w:cs="Times New Roman"/>
          <w:szCs w:val="20"/>
          <w:lang w:val="en-US"/>
        </w:rPr>
        <w:t>The Court</w:t>
      </w:r>
      <w:r w:rsidR="00D270F1" w:rsidRPr="007B2402">
        <w:rPr>
          <w:rFonts w:eastAsia="Calibri" w:cs="Times New Roman"/>
          <w:szCs w:val="20"/>
          <w:lang w:val="en-US"/>
        </w:rPr>
        <w:t xml:space="preserve"> consider</w:t>
      </w:r>
      <w:r w:rsidR="00C12A50" w:rsidRPr="007B2402">
        <w:rPr>
          <w:rFonts w:eastAsia="Calibri" w:cs="Times New Roman"/>
          <w:szCs w:val="20"/>
          <w:lang w:val="en-US"/>
        </w:rPr>
        <w:t>s</w:t>
      </w:r>
      <w:r w:rsidR="00D270F1" w:rsidRPr="007B2402">
        <w:rPr>
          <w:rFonts w:eastAsia="Calibri" w:cs="Times New Roman"/>
          <w:szCs w:val="20"/>
          <w:lang w:val="en-US"/>
        </w:rPr>
        <w:t xml:space="preserve"> </w:t>
      </w:r>
      <w:r w:rsidR="00C12A50" w:rsidRPr="007B2402">
        <w:rPr>
          <w:rFonts w:eastAsia="Calibri" w:cs="Times New Roman"/>
          <w:szCs w:val="20"/>
          <w:lang w:val="en-US"/>
        </w:rPr>
        <w:t>that all the above is frame</w:t>
      </w:r>
      <w:r w:rsidRPr="007B2402">
        <w:rPr>
          <w:rFonts w:eastAsia="Calibri" w:cs="Times New Roman"/>
          <w:szCs w:val="20"/>
          <w:lang w:val="en-US"/>
        </w:rPr>
        <w:t>d</w:t>
      </w:r>
      <w:r w:rsidR="00C12A50" w:rsidRPr="007B2402">
        <w:rPr>
          <w:rFonts w:eastAsia="Calibri" w:cs="Times New Roman"/>
          <w:szCs w:val="20"/>
          <w:lang w:val="en-US"/>
        </w:rPr>
        <w:t xml:space="preserve"> within the positive obligation of the State to preserve</w:t>
      </w:r>
      <w:r w:rsidR="003C4F0C" w:rsidRPr="007B2402">
        <w:rPr>
          <w:rFonts w:eastAsia="Calibri" w:cs="Times New Roman"/>
          <w:szCs w:val="20"/>
          <w:lang w:val="en-US"/>
        </w:rPr>
        <w:t xml:space="preserve"> archives</w:t>
      </w:r>
      <w:r w:rsidR="00C12A50" w:rsidRPr="007B2402">
        <w:rPr>
          <w:rFonts w:eastAsia="Calibri" w:cs="Times New Roman"/>
          <w:szCs w:val="20"/>
          <w:lang w:val="en-US"/>
        </w:rPr>
        <w:t xml:space="preserve"> and other evidence </w:t>
      </w:r>
      <w:r w:rsidR="00577F80" w:rsidRPr="007B2402">
        <w:rPr>
          <w:rFonts w:eastAsia="Calibri" w:cs="Times New Roman"/>
          <w:szCs w:val="20"/>
          <w:lang w:val="en-US"/>
        </w:rPr>
        <w:t>concerning</w:t>
      </w:r>
      <w:r w:rsidR="00C12A50" w:rsidRPr="007B2402">
        <w:rPr>
          <w:rFonts w:eastAsia="Calibri" w:cs="Times New Roman"/>
          <w:szCs w:val="20"/>
          <w:lang w:val="en-US"/>
        </w:rPr>
        <w:t xml:space="preserve"> gross human rights violations,</w:t>
      </w:r>
      <w:r w:rsidR="00D270F1" w:rsidRPr="007B2402">
        <w:rPr>
          <w:rFonts w:eastAsia="Calibri" w:cs="Times New Roman"/>
          <w:szCs w:val="20"/>
          <w:vertAlign w:val="superscript"/>
          <w:lang w:val="en-US"/>
        </w:rPr>
        <w:footnoteReference w:id="382"/>
      </w:r>
      <w:r w:rsidR="00D270F1" w:rsidRPr="007B2402">
        <w:rPr>
          <w:rFonts w:eastAsia="Calibri" w:cs="Times New Roman"/>
          <w:szCs w:val="20"/>
          <w:lang w:val="en-US"/>
        </w:rPr>
        <w:t xml:space="preserve"> </w:t>
      </w:r>
      <w:r w:rsidR="00577F80" w:rsidRPr="007B2402">
        <w:rPr>
          <w:rFonts w:eastAsia="Calibri" w:cs="Times New Roman"/>
          <w:szCs w:val="20"/>
          <w:lang w:val="en-US"/>
        </w:rPr>
        <w:t>as a way of ensuring the right to free access to information in both its collective and individual dimension.</w:t>
      </w:r>
    </w:p>
    <w:p w14:paraId="4D2B54C2" w14:textId="77777777" w:rsidR="00D20621" w:rsidRPr="007B2402" w:rsidRDefault="00D20621" w:rsidP="00D20621">
      <w:pPr>
        <w:ind w:left="720"/>
        <w:contextualSpacing/>
        <w:rPr>
          <w:rFonts w:eastAsia="Calibri" w:cs="Times New Roman"/>
          <w:color w:val="000000"/>
          <w:szCs w:val="20"/>
          <w:lang w:val="en-US"/>
        </w:rPr>
      </w:pPr>
    </w:p>
    <w:p w14:paraId="583C2991" w14:textId="2570B52F" w:rsidR="002813BF" w:rsidRPr="007B2402" w:rsidRDefault="00D20621" w:rsidP="002813BF">
      <w:pPr>
        <w:numPr>
          <w:ilvl w:val="0"/>
          <w:numId w:val="6"/>
        </w:numPr>
        <w:spacing w:after="0" w:line="240" w:lineRule="auto"/>
        <w:contextualSpacing/>
        <w:jc w:val="both"/>
        <w:rPr>
          <w:rFonts w:eastAsia="Calibri" w:cs="Times New Roman"/>
          <w:color w:val="000000"/>
          <w:szCs w:val="20"/>
          <w:lang w:val="en-US"/>
        </w:rPr>
      </w:pPr>
      <w:r w:rsidRPr="007B2402">
        <w:rPr>
          <w:rFonts w:eastAsia="Calibri" w:cs="Times New Roman"/>
          <w:color w:val="000000"/>
          <w:szCs w:val="20"/>
          <w:lang w:val="en-US"/>
        </w:rPr>
        <w:t>T</w:t>
      </w:r>
      <w:r w:rsidR="002813BF" w:rsidRPr="007B2402">
        <w:rPr>
          <w:rFonts w:eastAsia="Calibri" w:cs="Times New Roman"/>
          <w:color w:val="000000"/>
          <w:szCs w:val="20"/>
          <w:lang w:val="en-US"/>
        </w:rPr>
        <w:t xml:space="preserve">aking the foregoing into account, as well as </w:t>
      </w:r>
      <w:r w:rsidR="003C4F0C" w:rsidRPr="007B2402">
        <w:rPr>
          <w:rFonts w:eastAsia="Calibri" w:cs="Times New Roman"/>
          <w:color w:val="000000"/>
          <w:szCs w:val="20"/>
          <w:lang w:val="en-US"/>
        </w:rPr>
        <w:t>its</w:t>
      </w:r>
      <w:r w:rsidR="002813BF" w:rsidRPr="007B2402">
        <w:rPr>
          <w:rFonts w:eastAsia="Calibri" w:cs="Times New Roman"/>
          <w:color w:val="000000"/>
          <w:szCs w:val="20"/>
          <w:lang w:val="en-US"/>
        </w:rPr>
        <w:t xml:space="preserve"> findings in</w:t>
      </w:r>
      <w:r w:rsidRPr="007B2402">
        <w:rPr>
          <w:rFonts w:eastAsia="Calibri" w:cs="Times New Roman"/>
          <w:color w:val="000000"/>
          <w:szCs w:val="20"/>
          <w:lang w:val="en-US"/>
        </w:rPr>
        <w:t xml:space="preserve"> </w:t>
      </w:r>
      <w:r w:rsidR="00377AB5" w:rsidRPr="007B2402">
        <w:rPr>
          <w:rFonts w:eastAsia="Calibri" w:cs="Times New Roman"/>
          <w:color w:val="000000"/>
          <w:szCs w:val="20"/>
          <w:lang w:val="en-US"/>
        </w:rPr>
        <w:t>Chapter</w:t>
      </w:r>
      <w:r w:rsidRPr="007B2402">
        <w:rPr>
          <w:rFonts w:eastAsia="Calibri" w:cs="Times New Roman"/>
          <w:color w:val="000000"/>
          <w:szCs w:val="20"/>
          <w:lang w:val="en-US"/>
        </w:rPr>
        <w:t xml:space="preserve"> VII-1,</w:t>
      </w:r>
      <w:r w:rsidR="005B1590" w:rsidRPr="007B2402">
        <w:rPr>
          <w:rFonts w:eastAsia="Calibri" w:cs="Times New Roman"/>
          <w:color w:val="000000"/>
          <w:szCs w:val="20"/>
          <w:lang w:val="en-US"/>
        </w:rPr>
        <w:t xml:space="preserve"> and </w:t>
      </w:r>
      <w:r w:rsidR="002813BF" w:rsidRPr="007B2402">
        <w:rPr>
          <w:rFonts w:eastAsia="Calibri" w:cs="Times New Roman"/>
          <w:color w:val="000000"/>
          <w:szCs w:val="20"/>
          <w:lang w:val="en-US"/>
        </w:rPr>
        <w:t xml:space="preserve">considering the circumstances mentioned above, the Court finds that, in this case, Brazil has violated the victims’ right to know the truth, because it has failed to clarify judicially the violations in this case and has not identified the corresponding individual responsibilities for </w:t>
      </w:r>
      <w:r w:rsidR="008B5281" w:rsidRPr="007B2402">
        <w:rPr>
          <w:rFonts w:eastAsia="Calibri" w:cs="Times New Roman"/>
          <w:szCs w:val="20"/>
          <w:lang w:val="en-US"/>
        </w:rPr>
        <w:t>the torture and murder of Vladimir Herzog</w:t>
      </w:r>
      <w:r w:rsidR="002813BF" w:rsidRPr="007B2402">
        <w:rPr>
          <w:rFonts w:eastAsia="Calibri" w:cs="Times New Roman"/>
          <w:szCs w:val="20"/>
          <w:lang w:val="en-US"/>
        </w:rPr>
        <w:t xml:space="preserve"> by the investigation and prosecution of these facts before the ordinary jurisdiction pursuant to </w:t>
      </w:r>
      <w:r w:rsidR="00AF4344" w:rsidRPr="007B2402">
        <w:rPr>
          <w:rFonts w:eastAsia="Calibri" w:cs="Times New Roman"/>
          <w:szCs w:val="20"/>
          <w:lang w:val="en-US"/>
        </w:rPr>
        <w:t>Articles</w:t>
      </w:r>
      <w:r w:rsidRPr="007B2402">
        <w:rPr>
          <w:rFonts w:eastAsia="Calibri" w:cs="Times New Roman"/>
          <w:szCs w:val="20"/>
          <w:lang w:val="en-US"/>
        </w:rPr>
        <w:t xml:space="preserve"> 8</w:t>
      </w:r>
      <w:r w:rsidR="005B1590" w:rsidRPr="007B2402">
        <w:rPr>
          <w:rFonts w:eastAsia="Calibri" w:cs="Times New Roman"/>
          <w:szCs w:val="20"/>
          <w:lang w:val="en-US"/>
        </w:rPr>
        <w:t xml:space="preserve"> and </w:t>
      </w:r>
      <w:r w:rsidRPr="007B2402">
        <w:rPr>
          <w:rFonts w:eastAsia="Calibri" w:cs="Times New Roman"/>
          <w:szCs w:val="20"/>
          <w:lang w:val="en-US"/>
        </w:rPr>
        <w:t>25</w:t>
      </w:r>
      <w:r w:rsidR="00AF4344" w:rsidRPr="007B2402">
        <w:rPr>
          <w:rFonts w:eastAsia="Calibri" w:cs="Times New Roman"/>
          <w:szCs w:val="20"/>
          <w:lang w:val="en-US"/>
        </w:rPr>
        <w:t xml:space="preserve"> of the Convention</w:t>
      </w:r>
      <w:r w:rsidRPr="007B2402">
        <w:rPr>
          <w:rFonts w:eastAsia="Calibri" w:cs="Times New Roman"/>
          <w:szCs w:val="20"/>
          <w:lang w:val="en-US"/>
        </w:rPr>
        <w:t xml:space="preserve">. </w:t>
      </w:r>
      <w:r w:rsidR="002813BF" w:rsidRPr="007B2402">
        <w:rPr>
          <w:rFonts w:eastAsia="Calibri" w:cs="Times New Roman"/>
          <w:szCs w:val="20"/>
          <w:lang w:val="en-US"/>
        </w:rPr>
        <w:t xml:space="preserve">Furthermore, this right </w:t>
      </w:r>
      <w:r w:rsidR="003C4F0C" w:rsidRPr="007B2402">
        <w:rPr>
          <w:rFonts w:eastAsia="Calibri" w:cs="Times New Roman"/>
          <w:szCs w:val="20"/>
          <w:lang w:val="en-US"/>
        </w:rPr>
        <w:t>was</w:t>
      </w:r>
      <w:r w:rsidR="002813BF" w:rsidRPr="007B2402">
        <w:rPr>
          <w:rFonts w:eastAsia="Calibri" w:cs="Times New Roman"/>
          <w:szCs w:val="20"/>
          <w:lang w:val="en-US"/>
        </w:rPr>
        <w:t xml:space="preserve"> violated for several years that fall within the Court’s competence without the State accepting officially th</w:t>
      </w:r>
      <w:r w:rsidR="000D5952" w:rsidRPr="007B2402">
        <w:rPr>
          <w:rFonts w:eastAsia="Calibri" w:cs="Times New Roman"/>
          <w:szCs w:val="20"/>
          <w:lang w:val="en-US"/>
        </w:rPr>
        <w:t>at the version of Mr. Herzog’s suicide was false, added to the refusal of the State to present information and to allow access to military files from the time of the facts.</w:t>
      </w:r>
    </w:p>
    <w:p w14:paraId="728FC328" w14:textId="77777777" w:rsidR="00D20621" w:rsidRPr="007B2402" w:rsidRDefault="00D20621" w:rsidP="00D20621">
      <w:pPr>
        <w:spacing w:after="0" w:line="240" w:lineRule="auto"/>
        <w:contextualSpacing/>
        <w:jc w:val="both"/>
        <w:rPr>
          <w:rFonts w:eastAsia="Calibri" w:cs="Times New Roman"/>
          <w:color w:val="000000"/>
          <w:szCs w:val="20"/>
          <w:lang w:val="en-US"/>
        </w:rPr>
      </w:pPr>
    </w:p>
    <w:p w14:paraId="52056839" w14:textId="34E9000D" w:rsidR="00CC223F" w:rsidRPr="007B2402" w:rsidRDefault="00D20621" w:rsidP="000D5952">
      <w:pPr>
        <w:numPr>
          <w:ilvl w:val="0"/>
          <w:numId w:val="6"/>
        </w:numPr>
        <w:spacing w:after="0" w:line="240" w:lineRule="auto"/>
        <w:contextualSpacing/>
        <w:jc w:val="both"/>
        <w:rPr>
          <w:rFonts w:eastAsia="Calibri" w:cs="Times New Roman"/>
          <w:color w:val="000000"/>
          <w:szCs w:val="20"/>
          <w:lang w:val="en-US"/>
        </w:rPr>
      </w:pPr>
      <w:r w:rsidRPr="007B2402">
        <w:rPr>
          <w:rFonts w:eastAsia="Calibri" w:cs="Times New Roman"/>
          <w:color w:val="000000"/>
          <w:szCs w:val="20"/>
          <w:lang w:val="en-US"/>
        </w:rPr>
        <w:t>Final</w:t>
      </w:r>
      <w:r w:rsidR="000D5952" w:rsidRPr="007B2402">
        <w:rPr>
          <w:rFonts w:eastAsia="Calibri" w:cs="Times New Roman"/>
          <w:color w:val="000000"/>
          <w:szCs w:val="20"/>
          <w:lang w:val="en-US"/>
        </w:rPr>
        <w:t>ly, the Court notes that, despite the efforts made by State entities to gain access to the DOI-CODI military archives, their existence has been systematically denied</w:t>
      </w:r>
      <w:r w:rsidRPr="007B2402">
        <w:rPr>
          <w:rFonts w:eastAsia="Calibri" w:cs="Times New Roman"/>
          <w:color w:val="000000"/>
          <w:szCs w:val="20"/>
          <w:lang w:val="en-US"/>
        </w:rPr>
        <w:t xml:space="preserve"> (</w:t>
      </w:r>
      <w:r w:rsidRPr="007B2402">
        <w:rPr>
          <w:rFonts w:eastAsia="Calibri" w:cs="Times New Roman"/>
          <w:i/>
          <w:color w:val="000000"/>
          <w:szCs w:val="20"/>
          <w:lang w:val="en-US"/>
        </w:rPr>
        <w:t>supra</w:t>
      </w:r>
      <w:r w:rsidR="00275F69" w:rsidRPr="007B2402">
        <w:rPr>
          <w:rFonts w:eastAsia="Calibri" w:cs="Times New Roman"/>
          <w:color w:val="000000"/>
          <w:szCs w:val="20"/>
          <w:lang w:val="en-US"/>
        </w:rPr>
        <w:t xml:space="preserve"> </w:t>
      </w:r>
      <w:r w:rsidR="005B1590" w:rsidRPr="007B2402">
        <w:rPr>
          <w:rFonts w:eastAsia="Calibri" w:cs="Times New Roman"/>
          <w:color w:val="000000"/>
          <w:szCs w:val="20"/>
          <w:lang w:val="en-US"/>
        </w:rPr>
        <w:t>para.</w:t>
      </w:r>
      <w:r w:rsidR="00275F69" w:rsidRPr="007B2402">
        <w:rPr>
          <w:rFonts w:eastAsia="Calibri" w:cs="Times New Roman"/>
          <w:color w:val="000000"/>
          <w:szCs w:val="20"/>
          <w:lang w:val="en-US"/>
        </w:rPr>
        <w:t xml:space="preserve"> 318</w:t>
      </w:r>
      <w:r w:rsidRPr="007B2402">
        <w:rPr>
          <w:rFonts w:eastAsia="Calibri" w:cs="Times New Roman"/>
          <w:color w:val="000000"/>
          <w:szCs w:val="20"/>
          <w:lang w:val="en-US"/>
        </w:rPr>
        <w:t xml:space="preserve">). </w:t>
      </w:r>
      <w:r w:rsidR="000D5952" w:rsidRPr="007B2402">
        <w:rPr>
          <w:rFonts w:eastAsia="Calibri" w:cs="Times New Roman"/>
          <w:color w:val="000000"/>
          <w:szCs w:val="20"/>
          <w:lang w:val="en-US"/>
        </w:rPr>
        <w:t>I</w:t>
      </w:r>
      <w:r w:rsidRPr="007B2402">
        <w:rPr>
          <w:rFonts w:eastAsia="Calibri" w:cs="Times New Roman"/>
          <w:color w:val="000000"/>
          <w:szCs w:val="20"/>
          <w:lang w:val="en-US"/>
        </w:rPr>
        <w:t xml:space="preserve">n particular, </w:t>
      </w:r>
      <w:r w:rsidR="00AF4344" w:rsidRPr="007B2402">
        <w:rPr>
          <w:rFonts w:eastAsia="Calibri" w:cs="Times New Roman"/>
          <w:color w:val="000000"/>
          <w:szCs w:val="20"/>
          <w:lang w:val="en-US"/>
        </w:rPr>
        <w:t>the Court</w:t>
      </w:r>
      <w:r w:rsidRPr="007B2402">
        <w:rPr>
          <w:rFonts w:eastAsia="Calibri" w:cs="Times New Roman"/>
          <w:color w:val="000000"/>
          <w:szCs w:val="20"/>
          <w:lang w:val="en-US"/>
        </w:rPr>
        <w:t xml:space="preserve"> observ</w:t>
      </w:r>
      <w:r w:rsidR="000D5952" w:rsidRPr="007B2402">
        <w:rPr>
          <w:rFonts w:eastAsia="Calibri" w:cs="Times New Roman"/>
          <w:color w:val="000000"/>
          <w:szCs w:val="20"/>
          <w:lang w:val="en-US"/>
        </w:rPr>
        <w:t>es that</w:t>
      </w:r>
      <w:r w:rsidRPr="007B2402">
        <w:rPr>
          <w:rFonts w:eastAsia="Calibri" w:cs="Times New Roman"/>
          <w:color w:val="000000"/>
          <w:szCs w:val="20"/>
          <w:lang w:val="en-US"/>
        </w:rPr>
        <w:t xml:space="preserve"> </w:t>
      </w:r>
      <w:r w:rsidR="005B1590" w:rsidRPr="007B2402">
        <w:rPr>
          <w:rFonts w:eastAsia="Calibri" w:cs="Times New Roman"/>
          <w:color w:val="000000"/>
          <w:szCs w:val="20"/>
          <w:lang w:val="en-US"/>
        </w:rPr>
        <w:t>the representatives</w:t>
      </w:r>
      <w:r w:rsidRPr="007B2402">
        <w:rPr>
          <w:rFonts w:eastAsia="Calibri" w:cs="Times New Roman"/>
          <w:color w:val="000000"/>
          <w:szCs w:val="20"/>
          <w:lang w:val="en-US"/>
        </w:rPr>
        <w:t xml:space="preserve"> a</w:t>
      </w:r>
      <w:r w:rsidR="000D5952" w:rsidRPr="007B2402">
        <w:rPr>
          <w:rFonts w:eastAsia="Calibri" w:cs="Times New Roman"/>
          <w:color w:val="000000"/>
          <w:szCs w:val="20"/>
          <w:lang w:val="en-US"/>
        </w:rPr>
        <w:t xml:space="preserve">rgued that </w:t>
      </w:r>
      <w:r w:rsidR="00A65E06" w:rsidRPr="007B2402">
        <w:rPr>
          <w:rFonts w:eastAsia="Calibri" w:cs="Times New Roman"/>
          <w:color w:val="000000"/>
          <w:szCs w:val="20"/>
          <w:lang w:val="en-US"/>
        </w:rPr>
        <w:t>Article</w:t>
      </w:r>
      <w:r w:rsidRPr="007B2402">
        <w:rPr>
          <w:rFonts w:eastAsia="Calibri" w:cs="Times New Roman"/>
          <w:color w:val="000000"/>
          <w:szCs w:val="20"/>
          <w:lang w:val="en-US"/>
        </w:rPr>
        <w:t xml:space="preserve"> 13</w:t>
      </w:r>
      <w:r w:rsidR="00AF4344" w:rsidRPr="007B2402">
        <w:rPr>
          <w:rFonts w:eastAsia="Calibri" w:cs="Times New Roman"/>
          <w:color w:val="000000"/>
          <w:szCs w:val="20"/>
          <w:lang w:val="en-US"/>
        </w:rPr>
        <w:t xml:space="preserve"> of the Convention</w:t>
      </w:r>
      <w:r w:rsidR="000D5952" w:rsidRPr="007B2402">
        <w:rPr>
          <w:rFonts w:eastAsia="Calibri" w:cs="Times New Roman"/>
          <w:color w:val="000000"/>
          <w:szCs w:val="20"/>
          <w:lang w:val="en-US"/>
        </w:rPr>
        <w:t xml:space="preserve"> had been violated</w:t>
      </w:r>
      <w:r w:rsidRPr="007B2402">
        <w:rPr>
          <w:rFonts w:eastAsia="Calibri" w:cs="Times New Roman"/>
          <w:color w:val="000000"/>
          <w:szCs w:val="20"/>
          <w:lang w:val="en-US"/>
        </w:rPr>
        <w:t xml:space="preserve"> </w:t>
      </w:r>
      <w:r w:rsidR="000D5952" w:rsidRPr="007B2402">
        <w:rPr>
          <w:rFonts w:eastAsia="Calibri" w:cs="Times New Roman"/>
          <w:color w:val="000000"/>
          <w:szCs w:val="20"/>
          <w:lang w:val="en-US"/>
        </w:rPr>
        <w:t xml:space="preserve">due to the denials that occurred during the public civil action proceedings </w:t>
      </w:r>
      <w:r w:rsidRPr="007B2402">
        <w:rPr>
          <w:rFonts w:eastAsia="Calibri" w:cs="Times New Roman"/>
          <w:szCs w:val="20"/>
          <w:lang w:val="en-US"/>
        </w:rPr>
        <w:t>(</w:t>
      </w:r>
      <w:r w:rsidRPr="007B2402">
        <w:rPr>
          <w:rFonts w:eastAsia="Calibri" w:cs="Times New Roman"/>
          <w:i/>
          <w:szCs w:val="20"/>
          <w:lang w:val="en-US"/>
        </w:rPr>
        <w:t>supra</w:t>
      </w:r>
      <w:r w:rsidRPr="007B2402">
        <w:rPr>
          <w:rFonts w:eastAsia="Calibri" w:cs="Times New Roman"/>
          <w:szCs w:val="20"/>
          <w:lang w:val="en-US"/>
        </w:rPr>
        <w:t xml:space="preserve"> </w:t>
      </w:r>
      <w:r w:rsidR="005B1590" w:rsidRPr="007B2402">
        <w:rPr>
          <w:rFonts w:eastAsia="Calibri" w:cs="Times New Roman"/>
          <w:szCs w:val="20"/>
          <w:lang w:val="en-US"/>
        </w:rPr>
        <w:t>para.</w:t>
      </w:r>
      <w:r w:rsidRPr="007B2402">
        <w:rPr>
          <w:rFonts w:eastAsia="Calibri" w:cs="Times New Roman"/>
          <w:szCs w:val="20"/>
          <w:lang w:val="en-US"/>
        </w:rPr>
        <w:t xml:space="preserve"> </w:t>
      </w:r>
      <w:r w:rsidR="00275F69" w:rsidRPr="007B2402">
        <w:rPr>
          <w:rFonts w:eastAsia="Calibri" w:cs="Times New Roman"/>
          <w:szCs w:val="20"/>
          <w:lang w:val="en-US"/>
        </w:rPr>
        <w:t>320</w:t>
      </w:r>
      <w:r w:rsidRPr="007B2402">
        <w:rPr>
          <w:rFonts w:eastAsia="Calibri" w:cs="Times New Roman"/>
          <w:szCs w:val="20"/>
          <w:lang w:val="en-US"/>
        </w:rPr>
        <w:t xml:space="preserve">). </w:t>
      </w:r>
      <w:r w:rsidR="000D5952" w:rsidRPr="007B2402">
        <w:rPr>
          <w:rFonts w:eastAsia="Calibri" w:cs="Times New Roman"/>
          <w:szCs w:val="20"/>
          <w:lang w:val="en-US"/>
        </w:rPr>
        <w:t>However</w:t>
      </w:r>
      <w:r w:rsidRPr="007B2402">
        <w:rPr>
          <w:rFonts w:eastAsia="Calibri" w:cs="Times New Roman"/>
          <w:szCs w:val="20"/>
          <w:lang w:val="en-US"/>
        </w:rPr>
        <w:t xml:space="preserve">, </w:t>
      </w:r>
      <w:r w:rsidR="00AF4344" w:rsidRPr="007B2402">
        <w:rPr>
          <w:rFonts w:eastAsia="Calibri" w:cs="Times New Roman"/>
          <w:szCs w:val="20"/>
          <w:lang w:val="en-US"/>
        </w:rPr>
        <w:t>the Court</w:t>
      </w:r>
      <w:r w:rsidRPr="007B2402">
        <w:rPr>
          <w:rFonts w:eastAsia="Calibri" w:cs="Times New Roman"/>
          <w:szCs w:val="20"/>
          <w:lang w:val="en-US"/>
        </w:rPr>
        <w:t xml:space="preserve"> reitera</w:t>
      </w:r>
      <w:r w:rsidR="000D5952" w:rsidRPr="007B2402">
        <w:rPr>
          <w:rFonts w:eastAsia="Calibri" w:cs="Times New Roman"/>
          <w:szCs w:val="20"/>
          <w:lang w:val="en-US"/>
        </w:rPr>
        <w:t xml:space="preserve">tes its opinion in the case of </w:t>
      </w:r>
      <w:r w:rsidRPr="007B2402">
        <w:rPr>
          <w:rFonts w:eastAsia="Calibri" w:cs="Times New Roman"/>
          <w:szCs w:val="20"/>
          <w:lang w:val="en-US"/>
        </w:rPr>
        <w:t xml:space="preserve"> </w:t>
      </w:r>
      <w:r w:rsidRPr="007B2402">
        <w:rPr>
          <w:rFonts w:eastAsia="Calibri" w:cs="Times New Roman"/>
          <w:i/>
          <w:szCs w:val="20"/>
          <w:lang w:val="en-US"/>
        </w:rPr>
        <w:t>Gomes Lund</w:t>
      </w:r>
      <w:r w:rsidRPr="007B2402">
        <w:rPr>
          <w:rFonts w:eastAsia="Calibri" w:cs="Times New Roman"/>
          <w:szCs w:val="20"/>
          <w:lang w:val="en-US"/>
        </w:rPr>
        <w:t xml:space="preserve"> </w:t>
      </w:r>
      <w:r w:rsidR="000D5952" w:rsidRPr="007B2402">
        <w:rPr>
          <w:rFonts w:eastAsia="Calibri" w:cs="Times New Roman"/>
          <w:szCs w:val="20"/>
          <w:lang w:val="en-US"/>
        </w:rPr>
        <w:t xml:space="preserve">that this was an action that the victims </w:t>
      </w:r>
      <w:r w:rsidR="00672DE2" w:rsidRPr="007B2402">
        <w:rPr>
          <w:rFonts w:eastAsia="Calibri" w:cs="Times New Roman"/>
          <w:szCs w:val="20"/>
          <w:lang w:val="en-US"/>
        </w:rPr>
        <w:t>were not able to</w:t>
      </w:r>
      <w:r w:rsidR="000D5952" w:rsidRPr="007B2402">
        <w:rPr>
          <w:rFonts w:eastAsia="Calibri" w:cs="Times New Roman"/>
          <w:szCs w:val="20"/>
          <w:lang w:val="en-US"/>
        </w:rPr>
        <w:t xml:space="preserve"> file</w:t>
      </w:r>
      <w:r w:rsidR="00672DE2" w:rsidRPr="007B2402">
        <w:rPr>
          <w:rFonts w:eastAsia="Calibri" w:cs="Times New Roman"/>
          <w:szCs w:val="20"/>
          <w:lang w:val="en-US"/>
        </w:rPr>
        <w:t xml:space="preserve">; therefore, </w:t>
      </w:r>
      <w:r w:rsidR="000D5952" w:rsidRPr="007B2402">
        <w:rPr>
          <w:rFonts w:eastAsia="Calibri" w:cs="Times New Roman"/>
          <w:szCs w:val="20"/>
          <w:lang w:val="en-US"/>
        </w:rPr>
        <w:t>the Court consider</w:t>
      </w:r>
      <w:r w:rsidR="00672DE2" w:rsidRPr="007B2402">
        <w:rPr>
          <w:rFonts w:eastAsia="Calibri" w:cs="Times New Roman"/>
          <w:szCs w:val="20"/>
          <w:lang w:val="en-US"/>
        </w:rPr>
        <w:t>s</w:t>
      </w:r>
      <w:r w:rsidR="000D5952" w:rsidRPr="007B2402">
        <w:rPr>
          <w:rFonts w:eastAsia="Calibri" w:cs="Times New Roman"/>
          <w:szCs w:val="20"/>
          <w:lang w:val="en-US"/>
        </w:rPr>
        <w:t xml:space="preserve"> that it is unable to analyze the guarantee of the right of the next of kin to seek and receive information</w:t>
      </w:r>
      <w:r w:rsidRPr="007B2402">
        <w:rPr>
          <w:rFonts w:eastAsia="Calibri" w:cs="Times New Roman"/>
          <w:szCs w:val="20"/>
          <w:lang w:val="en-US"/>
        </w:rPr>
        <w:t xml:space="preserve"> </w:t>
      </w:r>
      <w:r w:rsidR="000D5952" w:rsidRPr="007B2402">
        <w:rPr>
          <w:rFonts w:eastAsia="Calibri" w:cs="Times New Roman"/>
          <w:szCs w:val="20"/>
          <w:lang w:val="en-US"/>
        </w:rPr>
        <w:t xml:space="preserve">by means of that judicial proceeding. Accordingly, it will not include any </w:t>
      </w:r>
      <w:r w:rsidR="000D5952" w:rsidRPr="007B2402">
        <w:rPr>
          <w:rFonts w:eastAsia="Calibri" w:cs="Times New Roman"/>
          <w:szCs w:val="20"/>
          <w:lang w:val="en-US"/>
        </w:rPr>
        <w:lastRenderedPageBreak/>
        <w:t>further considerations in this regard.</w:t>
      </w:r>
      <w:r w:rsidRPr="007B2402">
        <w:rPr>
          <w:rFonts w:eastAsia="Calibri" w:cs="Times New Roman"/>
          <w:szCs w:val="20"/>
          <w:vertAlign w:val="superscript"/>
          <w:lang w:val="en-US"/>
        </w:rPr>
        <w:footnoteReference w:id="383"/>
      </w:r>
      <w:r w:rsidR="000D5952" w:rsidRPr="007B2402">
        <w:rPr>
          <w:rFonts w:eastAsia="Calibri" w:cs="Times New Roman"/>
          <w:szCs w:val="20"/>
          <w:lang w:val="en-US"/>
        </w:rPr>
        <w:t xml:space="preserve"> Nevertheless, the Court recalls that the State has a positive obligation to ensure access to information and to public archives under the principle of good faith and maximum disclosure.</w:t>
      </w:r>
      <w:r w:rsidRPr="007B2402">
        <w:rPr>
          <w:rFonts w:eastAsia="Calibri" w:cs="Times New Roman"/>
          <w:szCs w:val="20"/>
          <w:vertAlign w:val="superscript"/>
          <w:lang w:val="en-US"/>
        </w:rPr>
        <w:footnoteReference w:id="384"/>
      </w:r>
      <w:r w:rsidRPr="007B2402">
        <w:rPr>
          <w:rFonts w:eastAsia="Calibri" w:cs="Times New Roman"/>
          <w:szCs w:val="20"/>
          <w:lang w:val="en-US"/>
        </w:rPr>
        <w:t xml:space="preserve"> </w:t>
      </w:r>
    </w:p>
    <w:p w14:paraId="2DE04835" w14:textId="77777777" w:rsidR="000D67FA" w:rsidRPr="007B2402" w:rsidRDefault="000D67FA" w:rsidP="000D67FA">
      <w:pPr>
        <w:spacing w:after="0" w:line="240" w:lineRule="auto"/>
        <w:contextualSpacing/>
        <w:jc w:val="both"/>
        <w:rPr>
          <w:rFonts w:eastAsia="Calibri" w:cs="Times New Roman"/>
          <w:color w:val="000000"/>
          <w:szCs w:val="20"/>
          <w:lang w:val="en-US"/>
        </w:rPr>
      </w:pPr>
    </w:p>
    <w:p w14:paraId="347C365D" w14:textId="5377DAE0" w:rsidR="00B91D70" w:rsidRPr="007B2402" w:rsidRDefault="00B91D70" w:rsidP="009C473F">
      <w:pPr>
        <w:pStyle w:val="Ttulo1"/>
        <w:rPr>
          <w:lang w:val="en-US"/>
        </w:rPr>
      </w:pPr>
      <w:bookmarkStart w:id="173" w:name="_Toc506984129"/>
      <w:r w:rsidRPr="007B2402">
        <w:rPr>
          <w:lang w:val="en-US"/>
        </w:rPr>
        <w:t>VII-3</w:t>
      </w:r>
      <w:r w:rsidR="009C473F" w:rsidRPr="007B2402">
        <w:rPr>
          <w:lang w:val="en-US"/>
        </w:rPr>
        <w:br/>
      </w:r>
      <w:r w:rsidR="003A63E5" w:rsidRPr="007B2402">
        <w:rPr>
          <w:lang w:val="en-US"/>
        </w:rPr>
        <w:t>RIGHT TO PERSONAL INTEGRITY</w:t>
      </w:r>
      <w:bookmarkEnd w:id="173"/>
    </w:p>
    <w:p w14:paraId="1C3E5798" w14:textId="207FBE61" w:rsidR="00B91D70" w:rsidRPr="007B2402" w:rsidRDefault="00B91D70" w:rsidP="00B91D70">
      <w:pPr>
        <w:pStyle w:val="Textocomentario"/>
        <w:jc w:val="center"/>
        <w:rPr>
          <w:b/>
          <w:lang w:val="en-US"/>
        </w:rPr>
      </w:pPr>
      <w:r w:rsidRPr="007B2402">
        <w:rPr>
          <w:b/>
          <w:lang w:val="en-US"/>
        </w:rPr>
        <w:t>(</w:t>
      </w:r>
      <w:r w:rsidR="00AF4344" w:rsidRPr="007B2402">
        <w:rPr>
          <w:b/>
          <w:lang w:val="en-US"/>
        </w:rPr>
        <w:t>Article</w:t>
      </w:r>
      <w:r w:rsidRPr="007B2402">
        <w:rPr>
          <w:b/>
          <w:lang w:val="en-US"/>
        </w:rPr>
        <w:t xml:space="preserve"> </w:t>
      </w:r>
      <w:r w:rsidR="00375567" w:rsidRPr="007B2402">
        <w:rPr>
          <w:b/>
          <w:lang w:val="en-US"/>
        </w:rPr>
        <w:t>5(1)</w:t>
      </w:r>
      <w:r w:rsidRPr="007B2402">
        <w:rPr>
          <w:b/>
          <w:vertAlign w:val="superscript"/>
          <w:lang w:val="en-US"/>
        </w:rPr>
        <w:footnoteReference w:id="385"/>
      </w:r>
      <w:r w:rsidR="00AF4344" w:rsidRPr="007B2402">
        <w:rPr>
          <w:b/>
          <w:lang w:val="en-US"/>
        </w:rPr>
        <w:t xml:space="preserve"> of the American Convention</w:t>
      </w:r>
      <w:r w:rsidRPr="007B2402">
        <w:rPr>
          <w:b/>
          <w:lang w:val="en-US"/>
        </w:rPr>
        <w:t>)</w:t>
      </w:r>
    </w:p>
    <w:p w14:paraId="1EB3127A" w14:textId="77777777" w:rsidR="00B91D70" w:rsidRPr="007B2402" w:rsidRDefault="00B91D70" w:rsidP="00B91D70">
      <w:pPr>
        <w:pStyle w:val="Textocomentario"/>
        <w:rPr>
          <w:b/>
          <w:lang w:val="en-US"/>
        </w:rPr>
      </w:pPr>
    </w:p>
    <w:p w14:paraId="56D884E5" w14:textId="769209E6" w:rsidR="00B91D70" w:rsidRPr="007B2402" w:rsidRDefault="002761AC" w:rsidP="004A0342">
      <w:pPr>
        <w:pStyle w:val="Ttulo2"/>
        <w:numPr>
          <w:ilvl w:val="0"/>
          <w:numId w:val="27"/>
        </w:numPr>
        <w:ind w:left="0" w:firstLine="0"/>
        <w:rPr>
          <w:b/>
          <w:lang w:val="en-US"/>
        </w:rPr>
      </w:pPr>
      <w:bookmarkStart w:id="174" w:name="_Toc506984130"/>
      <w:r w:rsidRPr="007B2402">
        <w:rPr>
          <w:b/>
          <w:lang w:val="en-US"/>
        </w:rPr>
        <w:t>Arguments</w:t>
      </w:r>
      <w:r w:rsidR="00B91D70" w:rsidRPr="007B2402">
        <w:rPr>
          <w:b/>
          <w:lang w:val="en-US"/>
        </w:rPr>
        <w:t xml:space="preserve"> </w:t>
      </w:r>
      <w:r w:rsidR="00283370" w:rsidRPr="007B2402">
        <w:rPr>
          <w:b/>
          <w:lang w:val="en-US"/>
        </w:rPr>
        <w:t>of the parties and of</w:t>
      </w:r>
      <w:r w:rsidR="005B1590" w:rsidRPr="007B2402">
        <w:rPr>
          <w:b/>
          <w:lang w:val="en-US"/>
        </w:rPr>
        <w:t xml:space="preserve"> the </w:t>
      </w:r>
      <w:r w:rsidR="00AF4344" w:rsidRPr="007B2402">
        <w:rPr>
          <w:b/>
          <w:lang w:val="en-US"/>
        </w:rPr>
        <w:t>Commission</w:t>
      </w:r>
      <w:bookmarkEnd w:id="174"/>
    </w:p>
    <w:p w14:paraId="4B6F3655" w14:textId="77777777" w:rsidR="00B91D70" w:rsidRPr="007B2402" w:rsidRDefault="00B91D70" w:rsidP="00B91D70">
      <w:pPr>
        <w:pStyle w:val="Textocomentario"/>
        <w:rPr>
          <w:b/>
          <w:lang w:val="en-US"/>
        </w:rPr>
      </w:pPr>
    </w:p>
    <w:p w14:paraId="0965B02A" w14:textId="100AA44D" w:rsidR="00B7600E" w:rsidRPr="007B2402" w:rsidRDefault="00AF4344" w:rsidP="00DB1F30">
      <w:pPr>
        <w:pStyle w:val="Textocomentario"/>
        <w:numPr>
          <w:ilvl w:val="0"/>
          <w:numId w:val="6"/>
        </w:numPr>
        <w:rPr>
          <w:b/>
          <w:lang w:val="en-US"/>
        </w:rPr>
      </w:pPr>
      <w:r w:rsidRPr="007B2402">
        <w:rPr>
          <w:lang w:val="en-US"/>
        </w:rPr>
        <w:t xml:space="preserve">The </w:t>
      </w:r>
      <w:r w:rsidRPr="007B2402">
        <w:rPr>
          <w:b/>
          <w:bCs/>
          <w:i/>
          <w:iCs/>
          <w:lang w:val="en-US"/>
        </w:rPr>
        <w:t>Commission</w:t>
      </w:r>
      <w:r w:rsidR="00B91D70" w:rsidRPr="007B2402">
        <w:rPr>
          <w:lang w:val="en-US"/>
        </w:rPr>
        <w:t xml:space="preserve"> </w:t>
      </w:r>
      <w:r w:rsidR="00B7600E" w:rsidRPr="007B2402">
        <w:rPr>
          <w:lang w:val="en-US"/>
        </w:rPr>
        <w:t xml:space="preserve">emphasized that the next of kin of victims of certain human rights violations may, in turn, be considered victims, because their mental and moral integrity is violated, </w:t>
      </w:r>
      <w:r w:rsidR="00672DE2" w:rsidRPr="007B2402">
        <w:rPr>
          <w:lang w:val="en-US"/>
        </w:rPr>
        <w:t>and that this</w:t>
      </w:r>
      <w:r w:rsidR="00B7600E" w:rsidRPr="007B2402">
        <w:rPr>
          <w:lang w:val="en-US"/>
        </w:rPr>
        <w:t xml:space="preserve"> may be aggravated in the absence of effective remedies. It understood that the consequences of violence and impunity may have a particularly prejudicial effect on the members of victims’ families who were children at the time of the facts.</w:t>
      </w:r>
    </w:p>
    <w:p w14:paraId="607F7626" w14:textId="77777777" w:rsidR="00B91D70" w:rsidRPr="007B2402" w:rsidRDefault="00B91D70" w:rsidP="00B91D70">
      <w:pPr>
        <w:pStyle w:val="Textocomentario"/>
        <w:rPr>
          <w:lang w:val="en-US"/>
        </w:rPr>
      </w:pPr>
    </w:p>
    <w:p w14:paraId="14E485D2" w14:textId="2922802B" w:rsidR="00B91D70" w:rsidRPr="007B2402" w:rsidRDefault="00B7600E" w:rsidP="00DB1F30">
      <w:pPr>
        <w:pStyle w:val="Textocomentario"/>
        <w:numPr>
          <w:ilvl w:val="0"/>
          <w:numId w:val="6"/>
        </w:numPr>
        <w:rPr>
          <w:lang w:val="en-US"/>
        </w:rPr>
      </w:pPr>
      <w:r w:rsidRPr="007B2402">
        <w:rPr>
          <w:lang w:val="en-US"/>
        </w:rPr>
        <w:t xml:space="preserve">It also indicated that, in this case, a presumption </w:t>
      </w:r>
      <w:r w:rsidR="00B91D70" w:rsidRPr="007B2402">
        <w:rPr>
          <w:i/>
          <w:lang w:val="en-US"/>
        </w:rPr>
        <w:t>juris tantum</w:t>
      </w:r>
      <w:r w:rsidR="00B91D70" w:rsidRPr="007B2402">
        <w:rPr>
          <w:lang w:val="en-US"/>
        </w:rPr>
        <w:t xml:space="preserve"> </w:t>
      </w:r>
      <w:r w:rsidRPr="007B2402">
        <w:rPr>
          <w:lang w:val="en-US"/>
        </w:rPr>
        <w:t xml:space="preserve">can be applied that permits </w:t>
      </w:r>
      <w:r w:rsidR="00672DE2" w:rsidRPr="007B2402">
        <w:rPr>
          <w:lang w:val="en-US"/>
        </w:rPr>
        <w:t xml:space="preserve">it to be presumed that </w:t>
      </w:r>
      <w:r w:rsidRPr="007B2402">
        <w:rPr>
          <w:lang w:val="en-US"/>
        </w:rPr>
        <w:t xml:space="preserve">the the members of </w:t>
      </w:r>
      <w:r w:rsidR="00B91D70" w:rsidRPr="007B2402">
        <w:rPr>
          <w:lang w:val="en-US"/>
        </w:rPr>
        <w:t>Vladimir Herzog</w:t>
      </w:r>
      <w:r w:rsidRPr="007B2402">
        <w:rPr>
          <w:lang w:val="en-US"/>
        </w:rPr>
        <w:t>’s family</w:t>
      </w:r>
      <w:r w:rsidR="00672DE2" w:rsidRPr="007B2402">
        <w:rPr>
          <w:lang w:val="en-US"/>
        </w:rPr>
        <w:t xml:space="preserve"> suffered harm to their mental and moral integrity</w:t>
      </w:r>
      <w:r w:rsidRPr="007B2402">
        <w:rPr>
          <w:lang w:val="en-US"/>
        </w:rPr>
        <w:t xml:space="preserve">. It also noted that the State disseminated false information on the circumstances of his death, </w:t>
      </w:r>
      <w:r w:rsidR="00672DE2" w:rsidRPr="007B2402">
        <w:rPr>
          <w:lang w:val="en-US"/>
        </w:rPr>
        <w:t>and this had</w:t>
      </w:r>
      <w:r w:rsidRPr="007B2402">
        <w:rPr>
          <w:lang w:val="en-US"/>
        </w:rPr>
        <w:t xml:space="preserve"> a particularly serious impact on the mental and moral integrity of his family.</w:t>
      </w:r>
    </w:p>
    <w:p w14:paraId="1DEE7FFD" w14:textId="77777777" w:rsidR="00B91D70" w:rsidRPr="007B2402" w:rsidRDefault="00B91D70" w:rsidP="00B91D70">
      <w:pPr>
        <w:pStyle w:val="Textocomentario"/>
        <w:rPr>
          <w:lang w:val="en-US"/>
        </w:rPr>
      </w:pPr>
    </w:p>
    <w:p w14:paraId="61B0D750" w14:textId="30497D72" w:rsidR="00B91D70" w:rsidRPr="007B2402" w:rsidRDefault="00B7600E" w:rsidP="00B7600E">
      <w:pPr>
        <w:pStyle w:val="Textocomentario"/>
        <w:numPr>
          <w:ilvl w:val="0"/>
          <w:numId w:val="6"/>
        </w:numPr>
        <w:rPr>
          <w:b/>
          <w:lang w:val="en-US"/>
        </w:rPr>
      </w:pPr>
      <w:r w:rsidRPr="007B2402">
        <w:rPr>
          <w:lang w:val="en-US"/>
        </w:rPr>
        <w:t>I</w:t>
      </w:r>
      <w:r w:rsidR="00B91D70" w:rsidRPr="007B2402">
        <w:rPr>
          <w:lang w:val="en-US"/>
        </w:rPr>
        <w:t xml:space="preserve">n particular, </w:t>
      </w:r>
      <w:r w:rsidRPr="007B2402">
        <w:rPr>
          <w:lang w:val="en-US"/>
        </w:rPr>
        <w:t xml:space="preserve">they argued that </w:t>
      </w:r>
      <w:r w:rsidR="00B91D70" w:rsidRPr="007B2402">
        <w:rPr>
          <w:lang w:val="en-US"/>
        </w:rPr>
        <w:t xml:space="preserve">Clarice Herzog </w:t>
      </w:r>
      <w:r w:rsidRPr="007B2402">
        <w:rPr>
          <w:lang w:val="en-US"/>
        </w:rPr>
        <w:t>ha</w:t>
      </w:r>
      <w:r w:rsidR="00672DE2" w:rsidRPr="007B2402">
        <w:rPr>
          <w:lang w:val="en-US"/>
        </w:rPr>
        <w:t>d</w:t>
      </w:r>
      <w:r w:rsidRPr="007B2402">
        <w:rPr>
          <w:lang w:val="en-US"/>
        </w:rPr>
        <w:t xml:space="preserve"> sufferedd extreme anguish, fear and apprehension from the time her husband was informed that he would be arrested and up until the present time. It also indicated that</w:t>
      </w:r>
      <w:r w:rsidR="006773C6" w:rsidRPr="007B2402">
        <w:rPr>
          <w:lang w:val="en-US"/>
        </w:rPr>
        <w:t xml:space="preserve"> it was evident that</w:t>
      </w:r>
      <w:r w:rsidRPr="007B2402">
        <w:rPr>
          <w:lang w:val="en-US"/>
        </w:rPr>
        <w:t xml:space="preserve"> th</w:t>
      </w:r>
      <w:r w:rsidR="006773C6" w:rsidRPr="007B2402">
        <w:rPr>
          <w:lang w:val="en-US"/>
        </w:rPr>
        <w:t xml:space="preserve">is right had been seriously </w:t>
      </w:r>
      <w:r w:rsidR="00672DE2" w:rsidRPr="007B2402">
        <w:rPr>
          <w:lang w:val="en-US"/>
        </w:rPr>
        <w:t>impaired</w:t>
      </w:r>
      <w:r w:rsidR="006773C6" w:rsidRPr="007B2402">
        <w:rPr>
          <w:lang w:val="en-US"/>
        </w:rPr>
        <w:t xml:space="preserve"> in the case of </w:t>
      </w:r>
      <w:r w:rsidR="00B91D70" w:rsidRPr="007B2402">
        <w:rPr>
          <w:lang w:val="en-US"/>
        </w:rPr>
        <w:t>Ivo</w:t>
      </w:r>
      <w:r w:rsidR="005B1590" w:rsidRPr="007B2402">
        <w:rPr>
          <w:lang w:val="en-US"/>
        </w:rPr>
        <w:t xml:space="preserve"> and </w:t>
      </w:r>
      <w:r w:rsidR="00B91D70" w:rsidRPr="007B2402">
        <w:rPr>
          <w:lang w:val="en-US"/>
        </w:rPr>
        <w:t xml:space="preserve">André Herzog, </w:t>
      </w:r>
      <w:r w:rsidR="006773C6" w:rsidRPr="007B2402">
        <w:rPr>
          <w:lang w:val="en-US"/>
        </w:rPr>
        <w:t>the journalist’s sons, who at the time of the facts were 9 and 7 years old, respectively.</w:t>
      </w:r>
    </w:p>
    <w:p w14:paraId="58410010" w14:textId="77777777" w:rsidR="00B91D70" w:rsidRPr="007B2402" w:rsidRDefault="00B91D70" w:rsidP="00B91D70">
      <w:pPr>
        <w:pStyle w:val="Textocomentario"/>
        <w:rPr>
          <w:lang w:val="en-US"/>
        </w:rPr>
      </w:pPr>
    </w:p>
    <w:p w14:paraId="50AC4426" w14:textId="2FDE1269" w:rsidR="00B91D70" w:rsidRPr="007B2402" w:rsidRDefault="00AF4344" w:rsidP="00DB1F30">
      <w:pPr>
        <w:pStyle w:val="Textocomentario"/>
        <w:numPr>
          <w:ilvl w:val="0"/>
          <w:numId w:val="6"/>
        </w:numPr>
        <w:rPr>
          <w:lang w:val="en-US"/>
        </w:rPr>
      </w:pPr>
      <w:r w:rsidRPr="007B2402">
        <w:rPr>
          <w:lang w:val="en-US"/>
        </w:rPr>
        <w:t>The Commission</w:t>
      </w:r>
      <w:r w:rsidR="00B91D70" w:rsidRPr="007B2402">
        <w:rPr>
          <w:lang w:val="en-US"/>
        </w:rPr>
        <w:t xml:space="preserve"> conclu</w:t>
      </w:r>
      <w:r w:rsidR="006773C6" w:rsidRPr="007B2402">
        <w:rPr>
          <w:lang w:val="en-US"/>
        </w:rPr>
        <w:t xml:space="preserve">ded that the State had violated the right to mental and moral integrity established in </w:t>
      </w:r>
      <w:r w:rsidRPr="007B2402">
        <w:rPr>
          <w:lang w:val="en-US"/>
        </w:rPr>
        <w:t>Article</w:t>
      </w:r>
      <w:r w:rsidR="00B91D70" w:rsidRPr="007B2402">
        <w:rPr>
          <w:lang w:val="en-US"/>
        </w:rPr>
        <w:t xml:space="preserve"> </w:t>
      </w:r>
      <w:r w:rsidR="00375567" w:rsidRPr="007B2402">
        <w:rPr>
          <w:lang w:val="en-US"/>
        </w:rPr>
        <w:t>5(1)</w:t>
      </w:r>
      <w:r w:rsidRPr="007B2402">
        <w:rPr>
          <w:lang w:val="en-US"/>
        </w:rPr>
        <w:t xml:space="preserve"> of the American Convention</w:t>
      </w:r>
      <w:r w:rsidR="001440B0" w:rsidRPr="007B2402">
        <w:rPr>
          <w:lang w:val="en-US"/>
        </w:rPr>
        <w:t>,</w:t>
      </w:r>
      <w:r w:rsidR="006773C6" w:rsidRPr="007B2402">
        <w:rPr>
          <w:lang w:val="en-US"/>
        </w:rPr>
        <w:t xml:space="preserve"> in relation to the obligations established in </w:t>
      </w:r>
      <w:r w:rsidRPr="007B2402">
        <w:rPr>
          <w:lang w:val="en-US"/>
        </w:rPr>
        <w:t>Article</w:t>
      </w:r>
      <w:r w:rsidR="00B91D70" w:rsidRPr="007B2402">
        <w:rPr>
          <w:lang w:val="en-US"/>
        </w:rPr>
        <w:t xml:space="preserve"> </w:t>
      </w:r>
      <w:r w:rsidR="00375567" w:rsidRPr="007B2402">
        <w:rPr>
          <w:lang w:val="en-US"/>
        </w:rPr>
        <w:t>1(1)</w:t>
      </w:r>
      <w:r w:rsidR="00B91D70" w:rsidRPr="007B2402">
        <w:rPr>
          <w:lang w:val="en-US"/>
        </w:rPr>
        <w:t xml:space="preserve"> </w:t>
      </w:r>
      <w:r w:rsidR="006773C6" w:rsidRPr="007B2402">
        <w:rPr>
          <w:lang w:val="en-US"/>
        </w:rPr>
        <w:t xml:space="preserve">of this instrument, to the detriment of </w:t>
      </w:r>
      <w:r w:rsidR="00B91D70" w:rsidRPr="007B2402">
        <w:rPr>
          <w:lang w:val="en-US"/>
        </w:rPr>
        <w:t>Zora Herzog (</w:t>
      </w:r>
      <w:r w:rsidR="006773C6" w:rsidRPr="007B2402">
        <w:rPr>
          <w:lang w:val="en-US"/>
        </w:rPr>
        <w:t>who died on</w:t>
      </w:r>
      <w:r w:rsidR="00B91D70" w:rsidRPr="007B2402">
        <w:rPr>
          <w:lang w:val="en-US"/>
        </w:rPr>
        <w:t xml:space="preserve"> </w:t>
      </w:r>
      <w:r w:rsidR="00375567" w:rsidRPr="007B2402">
        <w:rPr>
          <w:lang w:val="en-US"/>
        </w:rPr>
        <w:t xml:space="preserve">November </w:t>
      </w:r>
      <w:r w:rsidR="006773C6" w:rsidRPr="007B2402">
        <w:rPr>
          <w:lang w:val="en-US"/>
        </w:rPr>
        <w:t>1</w:t>
      </w:r>
      <w:r w:rsidR="00375567" w:rsidRPr="007B2402">
        <w:rPr>
          <w:lang w:val="en-US"/>
        </w:rPr>
        <w:t>8,</w:t>
      </w:r>
      <w:r w:rsidR="00B91D70" w:rsidRPr="007B2402">
        <w:rPr>
          <w:lang w:val="en-US"/>
        </w:rPr>
        <w:t xml:space="preserve"> 2006)</w:t>
      </w:r>
      <w:r w:rsidR="006773C6" w:rsidRPr="007B2402">
        <w:rPr>
          <w:lang w:val="en-US"/>
        </w:rPr>
        <w:t>,</w:t>
      </w:r>
      <w:r w:rsidR="00B91D70" w:rsidRPr="007B2402">
        <w:rPr>
          <w:lang w:val="en-US"/>
        </w:rPr>
        <w:t xml:space="preserve"> Claric</w:t>
      </w:r>
      <w:r w:rsidR="00953B30" w:rsidRPr="007B2402">
        <w:rPr>
          <w:lang w:val="en-US"/>
        </w:rPr>
        <w:t xml:space="preserve">e, André </w:t>
      </w:r>
      <w:r w:rsidR="006773C6" w:rsidRPr="007B2402">
        <w:rPr>
          <w:lang w:val="en-US"/>
        </w:rPr>
        <w:t>and</w:t>
      </w:r>
      <w:r w:rsidR="006B03DC" w:rsidRPr="007B2402">
        <w:rPr>
          <w:lang w:val="en-US"/>
        </w:rPr>
        <w:t xml:space="preserve"> Ivo Herzog.</w:t>
      </w:r>
    </w:p>
    <w:p w14:paraId="7BBF3394" w14:textId="77777777" w:rsidR="00B91D70" w:rsidRPr="007B2402" w:rsidRDefault="00B91D70" w:rsidP="00B91D70">
      <w:pPr>
        <w:pStyle w:val="Textocomentario"/>
        <w:rPr>
          <w:b/>
          <w:lang w:val="en-US"/>
        </w:rPr>
      </w:pPr>
    </w:p>
    <w:p w14:paraId="712AA36F" w14:textId="7FBBE560" w:rsidR="00B91D70" w:rsidRPr="007B2402" w:rsidRDefault="005B1590" w:rsidP="00DB1F30">
      <w:pPr>
        <w:pStyle w:val="Textocomentario"/>
        <w:numPr>
          <w:ilvl w:val="0"/>
          <w:numId w:val="6"/>
        </w:numPr>
        <w:rPr>
          <w:b/>
          <w:lang w:val="en-US"/>
        </w:rPr>
      </w:pPr>
      <w:r w:rsidRPr="007B2402">
        <w:rPr>
          <w:lang w:val="en-US"/>
        </w:rPr>
        <w:t xml:space="preserve">The </w:t>
      </w:r>
      <w:r w:rsidRPr="007B2402">
        <w:rPr>
          <w:b/>
          <w:bCs/>
          <w:i/>
          <w:iCs/>
          <w:lang w:val="en-US"/>
        </w:rPr>
        <w:t>representatives</w:t>
      </w:r>
      <w:r w:rsidR="00B91D70" w:rsidRPr="007B2402">
        <w:rPr>
          <w:lang w:val="en-US"/>
        </w:rPr>
        <w:t xml:space="preserve"> </w:t>
      </w:r>
      <w:r w:rsidR="000424C5" w:rsidRPr="007B2402">
        <w:rPr>
          <w:lang w:val="en-US"/>
        </w:rPr>
        <w:t>argued</w:t>
      </w:r>
      <w:r w:rsidR="006773C6" w:rsidRPr="007B2402">
        <w:rPr>
          <w:lang w:val="en-US"/>
        </w:rPr>
        <w:t xml:space="preserve"> that, from the circumstances of the facts </w:t>
      </w:r>
      <w:r w:rsidR="000424C5" w:rsidRPr="007B2402">
        <w:rPr>
          <w:lang w:val="en-US"/>
        </w:rPr>
        <w:t>concerned</w:t>
      </w:r>
      <w:r w:rsidR="006773C6" w:rsidRPr="007B2402">
        <w:rPr>
          <w:lang w:val="en-US"/>
        </w:rPr>
        <w:t xml:space="preserve">, it may be concluded that the mental and moral interity of </w:t>
      </w:r>
      <w:r w:rsidR="00B91D70" w:rsidRPr="007B2402">
        <w:rPr>
          <w:lang w:val="en-US"/>
        </w:rPr>
        <w:t>Zora, Clar</w:t>
      </w:r>
      <w:r w:rsidR="006B03DC" w:rsidRPr="007B2402">
        <w:rPr>
          <w:lang w:val="en-US"/>
        </w:rPr>
        <w:t xml:space="preserve">ice Herzog, André </w:t>
      </w:r>
      <w:r w:rsidR="006773C6" w:rsidRPr="007B2402">
        <w:rPr>
          <w:lang w:val="en-US"/>
        </w:rPr>
        <w:t>and</w:t>
      </w:r>
      <w:r w:rsidR="006B03DC" w:rsidRPr="007B2402">
        <w:rPr>
          <w:lang w:val="en-US"/>
        </w:rPr>
        <w:t xml:space="preserve"> Ivo Herzog</w:t>
      </w:r>
      <w:r w:rsidR="006773C6" w:rsidRPr="007B2402">
        <w:rPr>
          <w:lang w:val="en-US"/>
        </w:rPr>
        <w:t xml:space="preserve"> had been harmed</w:t>
      </w:r>
      <w:r w:rsidR="006B03DC" w:rsidRPr="007B2402">
        <w:rPr>
          <w:lang w:val="en-US"/>
        </w:rPr>
        <w:t>.</w:t>
      </w:r>
    </w:p>
    <w:p w14:paraId="0BCCBE1B" w14:textId="77777777" w:rsidR="00B91D70" w:rsidRPr="007B2402" w:rsidRDefault="00B91D70" w:rsidP="00B91D70">
      <w:pPr>
        <w:pStyle w:val="Textocomentario"/>
        <w:rPr>
          <w:lang w:val="en-US"/>
        </w:rPr>
      </w:pPr>
    </w:p>
    <w:p w14:paraId="48A5D11F" w14:textId="6B159B15" w:rsidR="00B91D70" w:rsidRPr="007B2402" w:rsidRDefault="006773C6" w:rsidP="00DB1F30">
      <w:pPr>
        <w:pStyle w:val="Textocomentario"/>
        <w:numPr>
          <w:ilvl w:val="0"/>
          <w:numId w:val="6"/>
        </w:numPr>
        <w:rPr>
          <w:lang w:val="en-US"/>
        </w:rPr>
      </w:pPr>
      <w:r w:rsidRPr="007B2402">
        <w:rPr>
          <w:lang w:val="en-US"/>
        </w:rPr>
        <w:t>They also referred to the climate of terror and intimidation resulting from the systematic context of violations f</w:t>
      </w:r>
      <w:r w:rsidR="000424C5" w:rsidRPr="007B2402">
        <w:rPr>
          <w:lang w:val="en-US"/>
        </w:rPr>
        <w:t>acilitated</w:t>
      </w:r>
      <w:r w:rsidRPr="007B2402">
        <w:rPr>
          <w:lang w:val="en-US"/>
        </w:rPr>
        <w:t xml:space="preserve"> and tolerated by the State authorities and added that Clarice </w:t>
      </w:r>
      <w:r w:rsidR="000424C5" w:rsidRPr="007B2402">
        <w:rPr>
          <w:lang w:val="en-US"/>
        </w:rPr>
        <w:t xml:space="preserve">had </w:t>
      </w:r>
      <w:r w:rsidRPr="007B2402">
        <w:rPr>
          <w:lang w:val="en-US"/>
        </w:rPr>
        <w:t xml:space="preserve">received </w:t>
      </w:r>
      <w:r w:rsidR="000424C5" w:rsidRPr="007B2402">
        <w:rPr>
          <w:lang w:val="en-US"/>
        </w:rPr>
        <w:t xml:space="preserve">repeated </w:t>
      </w:r>
      <w:r w:rsidRPr="007B2402">
        <w:rPr>
          <w:lang w:val="en-US"/>
        </w:rPr>
        <w:t>death threats</w:t>
      </w:r>
      <w:r w:rsidR="006B03DC" w:rsidRPr="007B2402">
        <w:rPr>
          <w:lang w:val="en-US"/>
        </w:rPr>
        <w:t>.</w:t>
      </w:r>
    </w:p>
    <w:p w14:paraId="1C547EC3" w14:textId="77777777" w:rsidR="00B91D70" w:rsidRPr="007B2402" w:rsidRDefault="00B91D70" w:rsidP="00B91D70">
      <w:pPr>
        <w:pStyle w:val="Textocomentario"/>
        <w:rPr>
          <w:lang w:val="en-US"/>
        </w:rPr>
      </w:pPr>
    </w:p>
    <w:p w14:paraId="66A0C269" w14:textId="3770B9DA" w:rsidR="00D80355" w:rsidRPr="007B2402" w:rsidRDefault="006773C6" w:rsidP="00DB1F30">
      <w:pPr>
        <w:pStyle w:val="Textocomentario"/>
        <w:numPr>
          <w:ilvl w:val="0"/>
          <w:numId w:val="6"/>
        </w:numPr>
        <w:rPr>
          <w:lang w:val="en-US"/>
        </w:rPr>
      </w:pPr>
      <w:r w:rsidRPr="007B2402">
        <w:rPr>
          <w:lang w:val="en-US"/>
        </w:rPr>
        <w:t>In addition, the</w:t>
      </w:r>
      <w:r w:rsidR="000424C5" w:rsidRPr="007B2402">
        <w:rPr>
          <w:lang w:val="en-US"/>
        </w:rPr>
        <w:t>y</w:t>
      </w:r>
      <w:r w:rsidRPr="007B2402">
        <w:rPr>
          <w:lang w:val="en-US"/>
        </w:rPr>
        <w:t xml:space="preserve"> indicated that </w:t>
      </w:r>
      <w:r w:rsidR="00B91D70" w:rsidRPr="007B2402">
        <w:rPr>
          <w:lang w:val="en-US"/>
        </w:rPr>
        <w:t xml:space="preserve">Zora Herzog </w:t>
      </w:r>
      <w:r w:rsidRPr="007B2402">
        <w:rPr>
          <w:lang w:val="en-US"/>
        </w:rPr>
        <w:t>had died in</w:t>
      </w:r>
      <w:r w:rsidR="00B91D70" w:rsidRPr="007B2402">
        <w:rPr>
          <w:lang w:val="en-US"/>
        </w:rPr>
        <w:t xml:space="preserve"> 2006 </w:t>
      </w:r>
      <w:r w:rsidRPr="007B2402">
        <w:rPr>
          <w:lang w:val="en-US"/>
        </w:rPr>
        <w:t xml:space="preserve">without her right to know the truth and to obtain justice having been satisfied. In this regard, </w:t>
      </w:r>
      <w:r w:rsidR="00B91D70" w:rsidRPr="007B2402">
        <w:rPr>
          <w:lang w:val="en-US"/>
        </w:rPr>
        <w:t xml:space="preserve">Clarice Herzog </w:t>
      </w:r>
      <w:r w:rsidRPr="007B2402">
        <w:rPr>
          <w:lang w:val="en-US"/>
        </w:rPr>
        <w:t xml:space="preserve">stated that it </w:t>
      </w:r>
      <w:r w:rsidR="000424C5" w:rsidRPr="007B2402">
        <w:rPr>
          <w:lang w:val="en-US"/>
        </w:rPr>
        <w:t>had been</w:t>
      </w:r>
      <w:r w:rsidRPr="007B2402">
        <w:rPr>
          <w:lang w:val="en-US"/>
        </w:rPr>
        <w:t xml:space="preserve"> very upsetting to live with the false version of her husband’s death for such a long time both for her</w:t>
      </w:r>
      <w:r w:rsidR="000424C5" w:rsidRPr="007B2402">
        <w:rPr>
          <w:lang w:val="en-US"/>
        </w:rPr>
        <w:t>self</w:t>
      </w:r>
      <w:r w:rsidRPr="007B2402">
        <w:rPr>
          <w:lang w:val="en-US"/>
        </w:rPr>
        <w:t>, and for Vladimir Herzog’s mother and children, and that the family continue</w:t>
      </w:r>
      <w:r w:rsidR="000424C5" w:rsidRPr="007B2402">
        <w:rPr>
          <w:lang w:val="en-US"/>
        </w:rPr>
        <w:t>d</w:t>
      </w:r>
      <w:r w:rsidRPr="007B2402">
        <w:rPr>
          <w:lang w:val="en-US"/>
        </w:rPr>
        <w:t xml:space="preserve"> to suffer today</w:t>
      </w:r>
      <w:r w:rsidR="00D80355" w:rsidRPr="007B2402">
        <w:rPr>
          <w:lang w:val="en-US"/>
        </w:rPr>
        <w:t xml:space="preserve"> because they ha</w:t>
      </w:r>
      <w:r w:rsidR="000424C5" w:rsidRPr="007B2402">
        <w:rPr>
          <w:lang w:val="en-US"/>
        </w:rPr>
        <w:t>d</w:t>
      </w:r>
      <w:r w:rsidR="00D80355" w:rsidRPr="007B2402">
        <w:rPr>
          <w:lang w:val="en-US"/>
        </w:rPr>
        <w:t xml:space="preserve"> been unable to obtain justice. Her sons made similar statements. </w:t>
      </w:r>
      <w:r w:rsidR="00B91D70" w:rsidRPr="007B2402">
        <w:rPr>
          <w:lang w:val="en-US"/>
        </w:rPr>
        <w:t xml:space="preserve">Ivo Herzog </w:t>
      </w:r>
      <w:r w:rsidR="00D80355" w:rsidRPr="007B2402">
        <w:rPr>
          <w:lang w:val="en-US"/>
        </w:rPr>
        <w:t>s</w:t>
      </w:r>
      <w:r w:rsidR="000424C5" w:rsidRPr="007B2402">
        <w:rPr>
          <w:lang w:val="en-US"/>
        </w:rPr>
        <w:t>tated</w:t>
      </w:r>
      <w:r w:rsidR="00D80355" w:rsidRPr="007B2402">
        <w:rPr>
          <w:lang w:val="en-US"/>
        </w:rPr>
        <w:t xml:space="preserve"> that the struggles for memory, truth and justice </w:t>
      </w:r>
      <w:r w:rsidR="00D80355" w:rsidRPr="007B2402">
        <w:rPr>
          <w:lang w:val="en-US"/>
        </w:rPr>
        <w:lastRenderedPageBreak/>
        <w:t>remain</w:t>
      </w:r>
      <w:r w:rsidR="000424C5" w:rsidRPr="007B2402">
        <w:rPr>
          <w:lang w:val="en-US"/>
        </w:rPr>
        <w:t>ed</w:t>
      </w:r>
      <w:r w:rsidR="00D80355" w:rsidRPr="007B2402">
        <w:rPr>
          <w:lang w:val="en-US"/>
        </w:rPr>
        <w:t xml:space="preserve"> a burden they carr</w:t>
      </w:r>
      <w:r w:rsidR="000424C5" w:rsidRPr="007B2402">
        <w:rPr>
          <w:lang w:val="en-US"/>
        </w:rPr>
        <w:t xml:space="preserve">ied, </w:t>
      </w:r>
      <w:r w:rsidR="00D80355" w:rsidRPr="007B2402">
        <w:rPr>
          <w:lang w:val="en-US"/>
        </w:rPr>
        <w:t>a responsibility, an irreparable scar that differentiate</w:t>
      </w:r>
      <w:r w:rsidR="000424C5" w:rsidRPr="007B2402">
        <w:rPr>
          <w:lang w:val="en-US"/>
        </w:rPr>
        <w:t>d</w:t>
      </w:r>
      <w:r w:rsidR="00D80355" w:rsidRPr="007B2402">
        <w:rPr>
          <w:lang w:val="en-US"/>
        </w:rPr>
        <w:t xml:space="preserve"> them from other people.</w:t>
      </w:r>
      <w:r w:rsidR="00B91D70" w:rsidRPr="007B2402">
        <w:rPr>
          <w:lang w:val="en-US"/>
        </w:rPr>
        <w:t xml:space="preserve"> André Herzog e</w:t>
      </w:r>
      <w:r w:rsidR="00D80355" w:rsidRPr="007B2402">
        <w:rPr>
          <w:lang w:val="en-US"/>
        </w:rPr>
        <w:t xml:space="preserve">mphasized that the loss of his father had </w:t>
      </w:r>
      <w:r w:rsidR="000424C5" w:rsidRPr="007B2402">
        <w:rPr>
          <w:lang w:val="en-US"/>
        </w:rPr>
        <w:t xml:space="preserve">had </w:t>
      </w:r>
      <w:r w:rsidR="00D80355" w:rsidRPr="007B2402">
        <w:rPr>
          <w:lang w:val="en-US"/>
        </w:rPr>
        <w:t>numerous consequences on his personal and affective relationships, and described the pain, the exposure, and the burden to the whole family of each new judicial proceeding filed in the search for truth and justice.</w:t>
      </w:r>
    </w:p>
    <w:p w14:paraId="53CF9E10" w14:textId="77777777" w:rsidR="00B91D70" w:rsidRPr="007B2402" w:rsidRDefault="00B91D70" w:rsidP="00B91D70">
      <w:pPr>
        <w:pStyle w:val="Textocomentario"/>
        <w:rPr>
          <w:lang w:val="en-US"/>
        </w:rPr>
      </w:pPr>
    </w:p>
    <w:p w14:paraId="2B76408C" w14:textId="4B682C8B" w:rsidR="00B91D70" w:rsidRPr="007B2402" w:rsidRDefault="005B1590" w:rsidP="00D80355">
      <w:pPr>
        <w:pStyle w:val="Textocomentario"/>
        <w:numPr>
          <w:ilvl w:val="0"/>
          <w:numId w:val="6"/>
        </w:numPr>
        <w:rPr>
          <w:lang w:val="en-US"/>
        </w:rPr>
      </w:pPr>
      <w:r w:rsidRPr="007B2402">
        <w:rPr>
          <w:lang w:val="en-US"/>
        </w:rPr>
        <w:t>The representatives</w:t>
      </w:r>
      <w:r w:rsidR="00B91D70" w:rsidRPr="007B2402">
        <w:rPr>
          <w:lang w:val="en-US"/>
        </w:rPr>
        <w:t xml:space="preserve"> conclu</w:t>
      </w:r>
      <w:r w:rsidR="00D80355" w:rsidRPr="007B2402">
        <w:rPr>
          <w:lang w:val="en-US"/>
        </w:rPr>
        <w:t>ded that all these facts, taken as a whole, ha</w:t>
      </w:r>
      <w:r w:rsidR="000424C5" w:rsidRPr="007B2402">
        <w:rPr>
          <w:lang w:val="en-US"/>
        </w:rPr>
        <w:t>d</w:t>
      </w:r>
      <w:r w:rsidR="00D80355" w:rsidRPr="007B2402">
        <w:rPr>
          <w:lang w:val="en-US"/>
        </w:rPr>
        <w:t xml:space="preserve"> violated the mental and emotional integrity of Vladimir Herzog’s family, and entailed the international responsibility of the State for the violation </w:t>
      </w:r>
      <w:r w:rsidR="006E2CFF" w:rsidRPr="007B2402">
        <w:rPr>
          <w:lang w:val="en-US"/>
        </w:rPr>
        <w:t>of Article</w:t>
      </w:r>
      <w:r w:rsidR="00B91D70" w:rsidRPr="007B2402">
        <w:rPr>
          <w:lang w:val="en-US"/>
        </w:rPr>
        <w:t xml:space="preserve"> 5 </w:t>
      </w:r>
      <w:r w:rsidR="00D80355" w:rsidRPr="007B2402">
        <w:rPr>
          <w:lang w:val="en-US"/>
        </w:rPr>
        <w:t>in relation to Article</w:t>
      </w:r>
      <w:r w:rsidR="00B91D70" w:rsidRPr="007B2402">
        <w:rPr>
          <w:lang w:val="en-US"/>
        </w:rPr>
        <w:t xml:space="preserve"> </w:t>
      </w:r>
      <w:r w:rsidR="00375567" w:rsidRPr="007B2402">
        <w:rPr>
          <w:lang w:val="en-US"/>
        </w:rPr>
        <w:t>1(1)</w:t>
      </w:r>
      <w:r w:rsidR="00AF4344" w:rsidRPr="007B2402">
        <w:rPr>
          <w:lang w:val="en-US"/>
        </w:rPr>
        <w:t xml:space="preserve"> of the American Convention</w:t>
      </w:r>
      <w:r w:rsidR="00B91D70" w:rsidRPr="007B2402">
        <w:rPr>
          <w:lang w:val="en-US"/>
        </w:rPr>
        <w:t xml:space="preserve">, </w:t>
      </w:r>
      <w:r w:rsidR="00D80355" w:rsidRPr="007B2402">
        <w:rPr>
          <w:lang w:val="en-US"/>
        </w:rPr>
        <w:t>to the detriment of</w:t>
      </w:r>
      <w:r w:rsidR="00B91D70" w:rsidRPr="007B2402">
        <w:rPr>
          <w:lang w:val="en-US"/>
        </w:rPr>
        <w:t xml:space="preserve"> Zora, Clarice, André</w:t>
      </w:r>
      <w:r w:rsidR="000424C5" w:rsidRPr="007B2402">
        <w:rPr>
          <w:lang w:val="en-US"/>
        </w:rPr>
        <w:t xml:space="preserve"> and</w:t>
      </w:r>
      <w:r w:rsidR="00B91D70" w:rsidRPr="007B2402">
        <w:rPr>
          <w:lang w:val="en-US"/>
        </w:rPr>
        <w:t xml:space="preserve"> Ivo He</w:t>
      </w:r>
      <w:r w:rsidR="006B1FFE" w:rsidRPr="007B2402">
        <w:rPr>
          <w:lang w:val="en-US"/>
        </w:rPr>
        <w:t>rzog.</w:t>
      </w:r>
      <w:r w:rsidR="002C306C" w:rsidRPr="007B2402">
        <w:rPr>
          <w:lang w:val="en-US"/>
        </w:rPr>
        <w:t xml:space="preserve"> </w:t>
      </w:r>
    </w:p>
    <w:p w14:paraId="159FFB62" w14:textId="77777777" w:rsidR="00B41C32" w:rsidRPr="007B2402" w:rsidRDefault="00B41C32" w:rsidP="006B1FFE">
      <w:pPr>
        <w:pStyle w:val="Textocomentario"/>
        <w:rPr>
          <w:b/>
          <w:lang w:val="en-US"/>
        </w:rPr>
      </w:pPr>
    </w:p>
    <w:p w14:paraId="7297088F" w14:textId="134E0BC1" w:rsidR="00B91D70" w:rsidRPr="007B2402" w:rsidRDefault="00AF4344" w:rsidP="00DB1F30">
      <w:pPr>
        <w:pStyle w:val="Textocomentario"/>
        <w:numPr>
          <w:ilvl w:val="0"/>
          <w:numId w:val="6"/>
        </w:numPr>
        <w:rPr>
          <w:b/>
          <w:lang w:val="en-US"/>
        </w:rPr>
      </w:pPr>
      <w:r w:rsidRPr="007B2402">
        <w:rPr>
          <w:lang w:val="en-US"/>
        </w:rPr>
        <w:t xml:space="preserve">The </w:t>
      </w:r>
      <w:r w:rsidRPr="007B2402">
        <w:rPr>
          <w:b/>
          <w:bCs/>
          <w:i/>
          <w:iCs/>
          <w:lang w:val="en-US"/>
        </w:rPr>
        <w:t>State</w:t>
      </w:r>
      <w:r w:rsidR="00B91D70" w:rsidRPr="007B2402">
        <w:rPr>
          <w:lang w:val="en-US"/>
        </w:rPr>
        <w:t xml:space="preserve"> </w:t>
      </w:r>
      <w:r w:rsidR="00D80355" w:rsidRPr="007B2402">
        <w:rPr>
          <w:lang w:val="en-US"/>
        </w:rPr>
        <w:t xml:space="preserve">acknowledged that the State conduct of the arbitrary imprisonment, </w:t>
      </w:r>
      <w:r w:rsidR="009A4C38" w:rsidRPr="007B2402">
        <w:rPr>
          <w:lang w:val="en-US"/>
        </w:rPr>
        <w:t>torture</w:t>
      </w:r>
      <w:r w:rsidR="005B1590" w:rsidRPr="007B2402">
        <w:rPr>
          <w:lang w:val="en-US"/>
        </w:rPr>
        <w:t xml:space="preserve"> and </w:t>
      </w:r>
      <w:r w:rsidR="00D80355" w:rsidRPr="007B2402">
        <w:rPr>
          <w:lang w:val="en-US"/>
        </w:rPr>
        <w:t>death of</w:t>
      </w:r>
      <w:r w:rsidR="00B91D70" w:rsidRPr="007B2402">
        <w:rPr>
          <w:lang w:val="en-US"/>
        </w:rPr>
        <w:t xml:space="preserve"> Vladimir Herzog</w:t>
      </w:r>
      <w:r w:rsidR="00D80355" w:rsidRPr="007B2402">
        <w:rPr>
          <w:lang w:val="en-US"/>
        </w:rPr>
        <w:t xml:space="preserve"> ha</w:t>
      </w:r>
      <w:r w:rsidR="009C7AE9" w:rsidRPr="007B2402">
        <w:rPr>
          <w:lang w:val="en-US"/>
        </w:rPr>
        <w:t>d</w:t>
      </w:r>
      <w:r w:rsidR="00D80355" w:rsidRPr="007B2402">
        <w:rPr>
          <w:lang w:val="en-US"/>
        </w:rPr>
        <w:t xml:space="preserve"> imposed great pain on his family and, therefore, acknowledged its responsibility for the violation </w:t>
      </w:r>
      <w:r w:rsidR="006E2CFF" w:rsidRPr="007B2402">
        <w:rPr>
          <w:lang w:val="en-US"/>
        </w:rPr>
        <w:t>of Article</w:t>
      </w:r>
      <w:r w:rsidR="00B91D70" w:rsidRPr="007B2402">
        <w:rPr>
          <w:lang w:val="en-US"/>
        </w:rPr>
        <w:t xml:space="preserve"> </w:t>
      </w:r>
      <w:r w:rsidR="00375567" w:rsidRPr="007B2402">
        <w:rPr>
          <w:lang w:val="en-US"/>
        </w:rPr>
        <w:t>5(1)</w:t>
      </w:r>
      <w:r w:rsidRPr="007B2402">
        <w:rPr>
          <w:lang w:val="en-US"/>
        </w:rPr>
        <w:t xml:space="preserve"> of the American Convention</w:t>
      </w:r>
      <w:r w:rsidR="00B91D70" w:rsidRPr="007B2402">
        <w:rPr>
          <w:lang w:val="en-US"/>
        </w:rPr>
        <w:t xml:space="preserve">. </w:t>
      </w:r>
      <w:r w:rsidR="00D80355" w:rsidRPr="007B2402">
        <w:rPr>
          <w:lang w:val="en-US"/>
        </w:rPr>
        <w:t xml:space="preserve">Nevertheless, the State argued that it had made numerous efforts to redress the harm suffered. </w:t>
      </w:r>
    </w:p>
    <w:p w14:paraId="27303DA7" w14:textId="77777777" w:rsidR="00B91D70" w:rsidRPr="007B2402" w:rsidRDefault="00B91D70" w:rsidP="00B91D70">
      <w:pPr>
        <w:pStyle w:val="Textocomentario"/>
        <w:rPr>
          <w:b/>
          <w:lang w:val="en-US"/>
        </w:rPr>
      </w:pPr>
    </w:p>
    <w:p w14:paraId="02701513" w14:textId="73ACC7D6" w:rsidR="0077789A" w:rsidRPr="007B2402" w:rsidRDefault="00AF4344" w:rsidP="00DB1F30">
      <w:pPr>
        <w:pStyle w:val="Textocomentario"/>
        <w:numPr>
          <w:ilvl w:val="0"/>
          <w:numId w:val="6"/>
        </w:numPr>
        <w:rPr>
          <w:b/>
          <w:lang w:val="en-US"/>
        </w:rPr>
      </w:pPr>
      <w:r w:rsidRPr="007B2402">
        <w:rPr>
          <w:lang w:val="en-US"/>
        </w:rPr>
        <w:t>The State</w:t>
      </w:r>
      <w:r w:rsidR="00B91D70" w:rsidRPr="007B2402">
        <w:rPr>
          <w:lang w:val="en-US"/>
        </w:rPr>
        <w:t xml:space="preserve"> </w:t>
      </w:r>
      <w:r w:rsidR="00D80355" w:rsidRPr="007B2402">
        <w:rPr>
          <w:lang w:val="en-US"/>
        </w:rPr>
        <w:t>understood that</w:t>
      </w:r>
      <w:r w:rsidR="0077789A" w:rsidRPr="007B2402">
        <w:rPr>
          <w:lang w:val="en-US"/>
        </w:rPr>
        <w:t xml:space="preserve"> even though all human rights violations may have detrimental effects on the individual, this does not mean that every violation of a right recognized in the Convention entails a violation of Article 5. It </w:t>
      </w:r>
      <w:r w:rsidR="00355AFE" w:rsidRPr="007B2402">
        <w:rPr>
          <w:lang w:val="en-US"/>
        </w:rPr>
        <w:t>indicated</w:t>
      </w:r>
      <w:r w:rsidR="0077789A" w:rsidRPr="007B2402">
        <w:rPr>
          <w:lang w:val="en-US"/>
        </w:rPr>
        <w:t xml:space="preserve"> that the supposed lack of judicial protection did not involve a violation of Article 5</w:t>
      </w:r>
      <w:r w:rsidR="00355AFE" w:rsidRPr="007B2402">
        <w:rPr>
          <w:lang w:val="en-US"/>
        </w:rPr>
        <w:t xml:space="preserve">, </w:t>
      </w:r>
      <w:r w:rsidR="0077789A" w:rsidRPr="007B2402">
        <w:rPr>
          <w:lang w:val="en-US"/>
        </w:rPr>
        <w:t xml:space="preserve">concluded that, if lack of judicial protection was not established in Article 5, the </w:t>
      </w:r>
      <w:r w:rsidR="009C7AE9" w:rsidRPr="007B2402">
        <w:rPr>
          <w:lang w:val="en-US"/>
        </w:rPr>
        <w:t>alleged violation of</w:t>
      </w:r>
      <w:r w:rsidR="0077789A" w:rsidRPr="007B2402">
        <w:rPr>
          <w:lang w:val="en-US"/>
        </w:rPr>
        <w:t xml:space="preserve"> this article could not be substantiated, because that would create a premise that was not established in the Convention.</w:t>
      </w:r>
    </w:p>
    <w:p w14:paraId="788ABA3F" w14:textId="77777777" w:rsidR="00B91D70" w:rsidRPr="007B2402" w:rsidRDefault="00B91D70" w:rsidP="00B91D70">
      <w:pPr>
        <w:pStyle w:val="Textocomentario"/>
        <w:rPr>
          <w:b/>
          <w:lang w:val="en-US"/>
        </w:rPr>
      </w:pPr>
    </w:p>
    <w:p w14:paraId="03F25E8C" w14:textId="2A558DBF" w:rsidR="0077789A" w:rsidRPr="007B2402" w:rsidRDefault="0077789A" w:rsidP="00DB1F30">
      <w:pPr>
        <w:pStyle w:val="Textocomentario"/>
        <w:numPr>
          <w:ilvl w:val="0"/>
          <w:numId w:val="6"/>
        </w:numPr>
        <w:rPr>
          <w:lang w:val="en-US"/>
        </w:rPr>
      </w:pPr>
      <w:r w:rsidRPr="007B2402">
        <w:rPr>
          <w:lang w:val="en-US"/>
        </w:rPr>
        <w:t xml:space="preserve">It </w:t>
      </w:r>
      <w:r w:rsidR="00355AFE" w:rsidRPr="007B2402">
        <w:rPr>
          <w:lang w:val="en-US"/>
        </w:rPr>
        <w:t>argued</w:t>
      </w:r>
      <w:r w:rsidRPr="007B2402">
        <w:rPr>
          <w:lang w:val="en-US"/>
        </w:rPr>
        <w:t xml:space="preserve"> that, although it could be understood that the denial of the truth</w:t>
      </w:r>
      <w:r w:rsidR="00355AFE" w:rsidRPr="007B2402">
        <w:rPr>
          <w:lang w:val="en-US"/>
        </w:rPr>
        <w:t xml:space="preserve"> had</w:t>
      </w:r>
      <w:r w:rsidRPr="007B2402">
        <w:rPr>
          <w:lang w:val="en-US"/>
        </w:rPr>
        <w:t xml:space="preserve"> violated </w:t>
      </w:r>
      <w:r w:rsidR="00AF4344" w:rsidRPr="007B2402">
        <w:rPr>
          <w:lang w:val="en-US"/>
        </w:rPr>
        <w:t>Article</w:t>
      </w:r>
      <w:r w:rsidR="00B91D70" w:rsidRPr="007B2402">
        <w:rPr>
          <w:lang w:val="en-US"/>
        </w:rPr>
        <w:t xml:space="preserve"> 5</w:t>
      </w:r>
      <w:r w:rsidR="00AF4344" w:rsidRPr="007B2402">
        <w:rPr>
          <w:lang w:val="en-US"/>
        </w:rPr>
        <w:t xml:space="preserve"> of the Convention</w:t>
      </w:r>
      <w:r w:rsidR="00B91D70" w:rsidRPr="007B2402">
        <w:rPr>
          <w:lang w:val="en-US"/>
        </w:rPr>
        <w:t xml:space="preserve">, </w:t>
      </w:r>
      <w:r w:rsidRPr="007B2402">
        <w:rPr>
          <w:lang w:val="en-US"/>
        </w:rPr>
        <w:t xml:space="preserve">this </w:t>
      </w:r>
      <w:r w:rsidR="00355AFE" w:rsidRPr="007B2402">
        <w:rPr>
          <w:lang w:val="en-US"/>
        </w:rPr>
        <w:t>had</w:t>
      </w:r>
      <w:r w:rsidRPr="007B2402">
        <w:rPr>
          <w:lang w:val="en-US"/>
        </w:rPr>
        <w:t xml:space="preserve"> not occur</w:t>
      </w:r>
      <w:r w:rsidR="00355AFE" w:rsidRPr="007B2402">
        <w:rPr>
          <w:lang w:val="en-US"/>
        </w:rPr>
        <w:t>red</w:t>
      </w:r>
      <w:r w:rsidRPr="007B2402">
        <w:rPr>
          <w:lang w:val="en-US"/>
        </w:rPr>
        <w:t xml:space="preserve"> in the present case because much of the information provided by the parties in relation to the deprivation of liberty, </w:t>
      </w:r>
      <w:r w:rsidR="009A4C38" w:rsidRPr="007B2402">
        <w:rPr>
          <w:lang w:val="en-US"/>
        </w:rPr>
        <w:t>torture</w:t>
      </w:r>
      <w:r w:rsidR="005B1590" w:rsidRPr="007B2402">
        <w:rPr>
          <w:lang w:val="en-US"/>
        </w:rPr>
        <w:t xml:space="preserve"> and </w:t>
      </w:r>
      <w:r w:rsidRPr="007B2402">
        <w:rPr>
          <w:lang w:val="en-US"/>
        </w:rPr>
        <w:t>death of</w:t>
      </w:r>
      <w:r w:rsidR="00B91D70" w:rsidRPr="007B2402">
        <w:rPr>
          <w:lang w:val="en-US"/>
        </w:rPr>
        <w:t xml:space="preserve"> Vladimir Herzog</w:t>
      </w:r>
      <w:r w:rsidRPr="007B2402">
        <w:rPr>
          <w:lang w:val="en-US"/>
        </w:rPr>
        <w:t xml:space="preserve"> had been gathered</w:t>
      </w:r>
      <w:r w:rsidR="005268B0" w:rsidRPr="007B2402">
        <w:rPr>
          <w:lang w:val="en-US"/>
        </w:rPr>
        <w:t xml:space="preserve"> </w:t>
      </w:r>
      <w:r w:rsidRPr="007B2402">
        <w:rPr>
          <w:lang w:val="en-US"/>
        </w:rPr>
        <w:t xml:space="preserve">from proceedings and publications that the State itself had </w:t>
      </w:r>
      <w:r w:rsidR="005268B0" w:rsidRPr="007B2402">
        <w:rPr>
          <w:lang w:val="en-US"/>
        </w:rPr>
        <w:t xml:space="preserve">undertaken </w:t>
      </w:r>
      <w:r w:rsidRPr="007B2402">
        <w:rPr>
          <w:lang w:val="en-US"/>
        </w:rPr>
        <w:t xml:space="preserve">to try and </w:t>
      </w:r>
      <w:r w:rsidR="005268B0" w:rsidRPr="007B2402">
        <w:rPr>
          <w:lang w:val="en-US"/>
        </w:rPr>
        <w:t>alleviate</w:t>
      </w:r>
      <w:r w:rsidRPr="007B2402">
        <w:rPr>
          <w:lang w:val="en-US"/>
        </w:rPr>
        <w:t xml:space="preserve"> the anguish that could arise from the absence of criminal responsibility. </w:t>
      </w:r>
      <w:r w:rsidR="005268B0" w:rsidRPr="007B2402">
        <w:rPr>
          <w:lang w:val="en-US"/>
        </w:rPr>
        <w:t>The State</w:t>
      </w:r>
      <w:r w:rsidRPr="007B2402">
        <w:rPr>
          <w:lang w:val="en-US"/>
        </w:rPr>
        <w:t xml:space="preserve"> also</w:t>
      </w:r>
      <w:r w:rsidR="005268B0" w:rsidRPr="007B2402">
        <w:rPr>
          <w:lang w:val="en-US"/>
        </w:rPr>
        <w:t xml:space="preserve"> </w:t>
      </w:r>
      <w:r w:rsidR="00355AFE" w:rsidRPr="007B2402">
        <w:rPr>
          <w:lang w:val="en-US"/>
        </w:rPr>
        <w:t>pointed out</w:t>
      </w:r>
      <w:r w:rsidRPr="007B2402">
        <w:rPr>
          <w:lang w:val="en-US"/>
        </w:rPr>
        <w:t xml:space="preserve"> that this case did not refer to a disappeared person whose fate was unknown.</w:t>
      </w:r>
    </w:p>
    <w:p w14:paraId="1A61477E" w14:textId="77777777" w:rsidR="00B91D70" w:rsidRPr="007B2402" w:rsidRDefault="00B91D70" w:rsidP="00B91D70">
      <w:pPr>
        <w:pStyle w:val="Textocomentario"/>
        <w:rPr>
          <w:lang w:val="en-US"/>
        </w:rPr>
      </w:pPr>
    </w:p>
    <w:p w14:paraId="210070BC" w14:textId="477D89ED" w:rsidR="00B91D70" w:rsidRPr="007B2402" w:rsidRDefault="007A07B8" w:rsidP="00572ACE">
      <w:pPr>
        <w:pStyle w:val="Ttulo2"/>
        <w:numPr>
          <w:ilvl w:val="0"/>
          <w:numId w:val="27"/>
        </w:numPr>
        <w:ind w:left="0" w:firstLine="0"/>
        <w:rPr>
          <w:b/>
          <w:lang w:val="en-US"/>
        </w:rPr>
      </w:pPr>
      <w:bookmarkStart w:id="175" w:name="_Toc506984131"/>
      <w:r w:rsidRPr="007B2402">
        <w:rPr>
          <w:b/>
          <w:lang w:val="en-US"/>
        </w:rPr>
        <w:t>Considerations</w:t>
      </w:r>
      <w:r w:rsidR="00AF4344" w:rsidRPr="007B2402">
        <w:rPr>
          <w:b/>
          <w:lang w:val="en-US"/>
        </w:rPr>
        <w:t xml:space="preserve"> of the Court</w:t>
      </w:r>
      <w:bookmarkEnd w:id="175"/>
    </w:p>
    <w:p w14:paraId="28F1AC79" w14:textId="77777777" w:rsidR="00B91D70" w:rsidRPr="007B2402" w:rsidRDefault="00B91D70" w:rsidP="00B91D70">
      <w:pPr>
        <w:pStyle w:val="Textocomentario"/>
        <w:rPr>
          <w:lang w:val="en-US"/>
        </w:rPr>
      </w:pPr>
    </w:p>
    <w:p w14:paraId="5A725F12" w14:textId="6E8A0617" w:rsidR="00B91D70" w:rsidRPr="007B2402" w:rsidRDefault="005268B0" w:rsidP="00DB1F30">
      <w:pPr>
        <w:pStyle w:val="Textocomentario"/>
        <w:numPr>
          <w:ilvl w:val="0"/>
          <w:numId w:val="6"/>
        </w:numPr>
        <w:rPr>
          <w:lang w:val="en-US"/>
        </w:rPr>
      </w:pPr>
      <w:r w:rsidRPr="007B2402">
        <w:rPr>
          <w:lang w:val="en-US"/>
        </w:rPr>
        <w:t xml:space="preserve">In numerous cases, the Court has considered </w:t>
      </w:r>
      <w:r w:rsidR="008A5FDE" w:rsidRPr="007B2402">
        <w:rPr>
          <w:lang w:val="en-US"/>
        </w:rPr>
        <w:t>that the next of kin of victims of human rights violations may, in turn, be victims.</w:t>
      </w:r>
      <w:r w:rsidR="00B91D70" w:rsidRPr="007B2402">
        <w:rPr>
          <w:vertAlign w:val="superscript"/>
          <w:lang w:val="en-US"/>
        </w:rPr>
        <w:footnoteReference w:id="386"/>
      </w:r>
      <w:r w:rsidR="008A5FDE" w:rsidRPr="007B2402">
        <w:rPr>
          <w:lang w:val="en-US"/>
        </w:rPr>
        <w:t xml:space="preserve"> In this regard, the Court has considered that the right to mental and moral integrity of the victims’ next of kin has been violated owing to the additional suffering they have endured as a result of the specific circumstances of the violations perpetrated against their loved ones and because of the subsequent acts or omissions of the State authorities in relation to the facts.</w:t>
      </w:r>
      <w:r w:rsidR="00B91D70" w:rsidRPr="007B2402">
        <w:rPr>
          <w:vertAlign w:val="superscript"/>
          <w:lang w:val="en-US"/>
        </w:rPr>
        <w:footnoteReference w:id="387"/>
      </w:r>
      <w:r w:rsidR="008A5FDE" w:rsidRPr="007B2402">
        <w:rPr>
          <w:lang w:val="en-US"/>
        </w:rPr>
        <w:t xml:space="preserve"> In addition, in cases that involve a gross violation of human rights, such as massacres,</w:t>
      </w:r>
      <w:r w:rsidR="00B91D70" w:rsidRPr="007B2402">
        <w:rPr>
          <w:vertAlign w:val="superscript"/>
          <w:lang w:val="en-US"/>
        </w:rPr>
        <w:footnoteReference w:id="388"/>
      </w:r>
      <w:r w:rsidR="008A5FDE" w:rsidRPr="007B2402">
        <w:rPr>
          <w:lang w:val="en-US"/>
        </w:rPr>
        <w:t xml:space="preserve"> forced disappearances,</w:t>
      </w:r>
      <w:r w:rsidR="00B91D70" w:rsidRPr="007B2402">
        <w:rPr>
          <w:vertAlign w:val="superscript"/>
          <w:lang w:val="en-US"/>
        </w:rPr>
        <w:footnoteReference w:id="389"/>
      </w:r>
      <w:r w:rsidR="008A5FDE" w:rsidRPr="007B2402">
        <w:rPr>
          <w:lang w:val="en-US"/>
        </w:rPr>
        <w:t xml:space="preserve"> </w:t>
      </w:r>
      <w:r w:rsidR="008A5FDE" w:rsidRPr="007B2402">
        <w:rPr>
          <w:lang w:val="en-US"/>
        </w:rPr>
        <w:lastRenderedPageBreak/>
        <w:t>extrajudicial executions</w:t>
      </w:r>
      <w:r w:rsidR="00B91D70" w:rsidRPr="007B2402">
        <w:rPr>
          <w:vertAlign w:val="superscript"/>
          <w:lang w:val="en-US"/>
        </w:rPr>
        <w:footnoteReference w:id="390"/>
      </w:r>
      <w:r w:rsidR="00B91D70" w:rsidRPr="007B2402">
        <w:rPr>
          <w:lang w:val="en-US"/>
        </w:rPr>
        <w:t xml:space="preserve"> o</w:t>
      </w:r>
      <w:r w:rsidR="008A5FDE" w:rsidRPr="007B2402">
        <w:rPr>
          <w:lang w:val="en-US"/>
        </w:rPr>
        <w:t>r</w:t>
      </w:r>
      <w:r w:rsidR="00B91D70" w:rsidRPr="007B2402">
        <w:rPr>
          <w:lang w:val="en-US"/>
        </w:rPr>
        <w:t xml:space="preserve"> </w:t>
      </w:r>
      <w:r w:rsidR="009A4C38" w:rsidRPr="007B2402">
        <w:rPr>
          <w:lang w:val="en-US"/>
        </w:rPr>
        <w:t>torture</w:t>
      </w:r>
      <w:r w:rsidR="008A5FDE" w:rsidRPr="007B2402">
        <w:rPr>
          <w:lang w:val="en-US"/>
        </w:rPr>
        <w:t>,</w:t>
      </w:r>
      <w:r w:rsidR="00B91D70" w:rsidRPr="007B2402">
        <w:rPr>
          <w:vertAlign w:val="superscript"/>
          <w:lang w:val="en-US"/>
        </w:rPr>
        <w:footnoteReference w:id="391"/>
      </w:r>
      <w:r w:rsidR="00B91D70" w:rsidRPr="007B2402">
        <w:rPr>
          <w:lang w:val="en-US"/>
        </w:rPr>
        <w:t xml:space="preserve"> </w:t>
      </w:r>
      <w:r w:rsidR="00AF4344" w:rsidRPr="007B2402">
        <w:rPr>
          <w:lang w:val="en-US"/>
        </w:rPr>
        <w:t>the Court</w:t>
      </w:r>
      <w:r w:rsidR="00B91D70" w:rsidRPr="007B2402">
        <w:rPr>
          <w:lang w:val="en-US"/>
        </w:rPr>
        <w:t xml:space="preserve"> ha</w:t>
      </w:r>
      <w:r w:rsidR="008A5FDE" w:rsidRPr="007B2402">
        <w:rPr>
          <w:lang w:val="en-US"/>
        </w:rPr>
        <w:t xml:space="preserve">s considered that </w:t>
      </w:r>
      <w:r w:rsidR="00AF4344" w:rsidRPr="007B2402">
        <w:rPr>
          <w:lang w:val="en-US"/>
        </w:rPr>
        <w:t>the Commission</w:t>
      </w:r>
      <w:r w:rsidR="00B91D70" w:rsidRPr="007B2402">
        <w:rPr>
          <w:lang w:val="en-US"/>
        </w:rPr>
        <w:t xml:space="preserve"> o</w:t>
      </w:r>
      <w:r w:rsidR="008A5FDE" w:rsidRPr="007B2402">
        <w:rPr>
          <w:lang w:val="en-US"/>
        </w:rPr>
        <w:t>r</w:t>
      </w:r>
      <w:r w:rsidR="00B91D70" w:rsidRPr="007B2402">
        <w:rPr>
          <w:lang w:val="en-US"/>
        </w:rPr>
        <w:t xml:space="preserve"> </w:t>
      </w:r>
      <w:r w:rsidR="005B1590" w:rsidRPr="007B2402">
        <w:rPr>
          <w:lang w:val="en-US"/>
        </w:rPr>
        <w:t>the representatives</w:t>
      </w:r>
      <w:r w:rsidR="00B91D70" w:rsidRPr="007B2402">
        <w:rPr>
          <w:lang w:val="en-US"/>
        </w:rPr>
        <w:t xml:space="preserve"> </w:t>
      </w:r>
      <w:r w:rsidR="008A5FDE" w:rsidRPr="007B2402">
        <w:rPr>
          <w:lang w:val="en-US"/>
        </w:rPr>
        <w:t xml:space="preserve">do </w:t>
      </w:r>
      <w:r w:rsidR="00B91D70" w:rsidRPr="007B2402">
        <w:rPr>
          <w:lang w:val="en-US"/>
        </w:rPr>
        <w:t>no</w:t>
      </w:r>
      <w:r w:rsidR="008A5FDE" w:rsidRPr="007B2402">
        <w:rPr>
          <w:lang w:val="en-US"/>
        </w:rPr>
        <w:t xml:space="preserve">t need to prove the violation of </w:t>
      </w:r>
      <w:r w:rsidR="00221E16" w:rsidRPr="007B2402">
        <w:rPr>
          <w:lang w:val="en-US"/>
        </w:rPr>
        <w:t>personal integrity</w:t>
      </w:r>
      <w:r w:rsidR="008A5FDE" w:rsidRPr="007B2402">
        <w:rPr>
          <w:lang w:val="en-US"/>
        </w:rPr>
        <w:t xml:space="preserve"> because a </w:t>
      </w:r>
      <w:r w:rsidR="00B91D70" w:rsidRPr="007B2402">
        <w:rPr>
          <w:i/>
          <w:lang w:val="en-US"/>
        </w:rPr>
        <w:t>juris tantum</w:t>
      </w:r>
      <w:r w:rsidR="008A5FDE" w:rsidRPr="007B2402">
        <w:rPr>
          <w:i/>
          <w:lang w:val="en-US"/>
        </w:rPr>
        <w:t xml:space="preserve"> </w:t>
      </w:r>
      <w:r w:rsidR="008A5FDE" w:rsidRPr="007B2402">
        <w:rPr>
          <w:iCs/>
          <w:lang w:val="en-US"/>
        </w:rPr>
        <w:t>presumption exists.</w:t>
      </w:r>
      <w:r w:rsidR="00B91D70" w:rsidRPr="007B2402">
        <w:rPr>
          <w:vertAlign w:val="superscript"/>
          <w:lang w:val="en-US"/>
        </w:rPr>
        <w:footnoteReference w:id="392"/>
      </w:r>
      <w:r w:rsidR="008A5FDE" w:rsidRPr="007B2402">
        <w:rPr>
          <w:lang w:val="en-US"/>
        </w:rPr>
        <w:t xml:space="preserve"> Accordingly, it is for the State to disprove this</w:t>
      </w:r>
      <w:r w:rsidR="00B91D70" w:rsidRPr="007B2402">
        <w:rPr>
          <w:vertAlign w:val="superscript"/>
          <w:lang w:val="en-US"/>
        </w:rPr>
        <w:footnoteReference w:id="393"/>
      </w:r>
      <w:r w:rsidR="00B91D70" w:rsidRPr="007B2402">
        <w:rPr>
          <w:lang w:val="en-US"/>
        </w:rPr>
        <w:t xml:space="preserve"> </w:t>
      </w:r>
      <w:r w:rsidR="008A5FDE" w:rsidRPr="007B2402">
        <w:rPr>
          <w:lang w:val="en-US"/>
        </w:rPr>
        <w:t>if it considers that the s</w:t>
      </w:r>
      <w:r w:rsidR="00877789" w:rsidRPr="007B2402">
        <w:rPr>
          <w:lang w:val="en-US"/>
        </w:rPr>
        <w:t>a</w:t>
      </w:r>
      <w:r w:rsidR="008A5FDE" w:rsidRPr="007B2402">
        <w:rPr>
          <w:lang w:val="en-US"/>
        </w:rPr>
        <w:t>id violation did not occur.</w:t>
      </w:r>
    </w:p>
    <w:p w14:paraId="70B60975" w14:textId="77777777" w:rsidR="00B91D70" w:rsidRPr="007B2402" w:rsidRDefault="00B91D70" w:rsidP="00B91D70">
      <w:pPr>
        <w:pStyle w:val="Textocomentario"/>
        <w:rPr>
          <w:lang w:val="en-US"/>
        </w:rPr>
      </w:pPr>
    </w:p>
    <w:p w14:paraId="1295B821" w14:textId="3A48CEDD" w:rsidR="00B91D70" w:rsidRPr="007B2402" w:rsidRDefault="008A5FDE" w:rsidP="00DB1F30">
      <w:pPr>
        <w:pStyle w:val="Textocomentario"/>
        <w:numPr>
          <w:ilvl w:val="0"/>
          <w:numId w:val="6"/>
        </w:numPr>
        <w:rPr>
          <w:lang w:val="en-US"/>
        </w:rPr>
      </w:pPr>
      <w:r w:rsidRPr="007B2402">
        <w:rPr>
          <w:lang w:val="en-US"/>
        </w:rPr>
        <w:t>The Court has applied this pre</w:t>
      </w:r>
      <w:r w:rsidR="00877789" w:rsidRPr="007B2402">
        <w:rPr>
          <w:lang w:val="en-US"/>
        </w:rPr>
        <w:t>s</w:t>
      </w:r>
      <w:r w:rsidRPr="007B2402">
        <w:rPr>
          <w:lang w:val="en-US"/>
        </w:rPr>
        <w:t xml:space="preserve">umption with regard to the direct family, such as mothers and fathers, daughters and sons, wives and husbands, and permanent companions, provided that </w:t>
      </w:r>
      <w:r w:rsidR="00877789" w:rsidRPr="007B2402">
        <w:rPr>
          <w:lang w:val="en-US"/>
        </w:rPr>
        <w:t>it</w:t>
      </w:r>
      <w:r w:rsidRPr="007B2402">
        <w:rPr>
          <w:lang w:val="en-US"/>
        </w:rPr>
        <w:t xml:space="preserve"> responds to the particular circumstances of the case.</w:t>
      </w:r>
      <w:r w:rsidR="00B91D70" w:rsidRPr="007B2402">
        <w:rPr>
          <w:vertAlign w:val="superscript"/>
          <w:lang w:val="en-US"/>
        </w:rPr>
        <w:footnoteReference w:id="394"/>
      </w:r>
    </w:p>
    <w:p w14:paraId="14C58FC0" w14:textId="77777777" w:rsidR="00B91D70" w:rsidRPr="007B2402" w:rsidRDefault="00B91D70" w:rsidP="00B91D70">
      <w:pPr>
        <w:pStyle w:val="Textocomentario"/>
        <w:rPr>
          <w:lang w:val="en-US"/>
        </w:rPr>
      </w:pPr>
    </w:p>
    <w:p w14:paraId="7C6AD7A0" w14:textId="0439FD98" w:rsidR="00953B30" w:rsidRPr="007B2402" w:rsidRDefault="008A5FDE" w:rsidP="009739DC">
      <w:pPr>
        <w:pStyle w:val="Textocomentario"/>
        <w:numPr>
          <w:ilvl w:val="0"/>
          <w:numId w:val="6"/>
        </w:numPr>
        <w:rPr>
          <w:lang w:val="en-US"/>
        </w:rPr>
      </w:pPr>
      <w:r w:rsidRPr="007B2402">
        <w:rPr>
          <w:lang w:val="en-US"/>
        </w:rPr>
        <w:t>Nevertheless</w:t>
      </w:r>
      <w:r w:rsidR="00953B30" w:rsidRPr="007B2402">
        <w:rPr>
          <w:lang w:val="en-US"/>
        </w:rPr>
        <w:t xml:space="preserve">, </w:t>
      </w:r>
      <w:r w:rsidR="00AF4344" w:rsidRPr="007B2402">
        <w:rPr>
          <w:lang w:val="en-US"/>
        </w:rPr>
        <w:t>the Court</w:t>
      </w:r>
      <w:r w:rsidR="00953B30" w:rsidRPr="007B2402">
        <w:rPr>
          <w:lang w:val="en-US"/>
        </w:rPr>
        <w:t xml:space="preserve"> </w:t>
      </w:r>
      <w:r w:rsidRPr="007B2402">
        <w:rPr>
          <w:lang w:val="en-US"/>
        </w:rPr>
        <w:t xml:space="preserve">notes that it does not have temporal competence to determine violations in relation to the alleged </w:t>
      </w:r>
      <w:r w:rsidR="008A6C43" w:rsidRPr="007B2402">
        <w:rPr>
          <w:lang w:val="en-US"/>
        </w:rPr>
        <w:t>harm to</w:t>
      </w:r>
      <w:r w:rsidRPr="007B2402">
        <w:rPr>
          <w:lang w:val="en-US"/>
        </w:rPr>
        <w:t xml:space="preserve"> the personal integrity of the direct family of </w:t>
      </w:r>
      <w:r w:rsidR="00953B30" w:rsidRPr="007B2402">
        <w:rPr>
          <w:lang w:val="en-US"/>
        </w:rPr>
        <w:t xml:space="preserve">Vladimir Herzog </w:t>
      </w:r>
      <w:r w:rsidRPr="007B2402">
        <w:rPr>
          <w:lang w:val="en-US"/>
        </w:rPr>
        <w:t xml:space="preserve">based directly on his torture and murder. </w:t>
      </w:r>
      <w:r w:rsidR="009739DC" w:rsidRPr="007B2402">
        <w:rPr>
          <w:lang w:val="en-US"/>
        </w:rPr>
        <w:t xml:space="preserve">Consequently, the said </w:t>
      </w:r>
      <w:r w:rsidR="00953B30" w:rsidRPr="007B2402">
        <w:rPr>
          <w:i/>
          <w:lang w:val="en-US"/>
        </w:rPr>
        <w:t xml:space="preserve">juris tantum </w:t>
      </w:r>
      <w:r w:rsidR="009739DC" w:rsidRPr="007B2402">
        <w:rPr>
          <w:lang w:val="en-US"/>
        </w:rPr>
        <w:t>presumption cannot be recognized in this case</w:t>
      </w:r>
      <w:r w:rsidR="008A6C43" w:rsidRPr="007B2402">
        <w:rPr>
          <w:lang w:val="en-US"/>
        </w:rPr>
        <w:t>. The</w:t>
      </w:r>
      <w:r w:rsidR="009739DC" w:rsidRPr="007B2402">
        <w:rPr>
          <w:lang w:val="en-US"/>
        </w:rPr>
        <w:t xml:space="preserve"> Court will </w:t>
      </w:r>
      <w:r w:rsidR="008A6C43" w:rsidRPr="007B2402">
        <w:rPr>
          <w:lang w:val="en-US"/>
        </w:rPr>
        <w:t xml:space="preserve">therefore </w:t>
      </w:r>
      <w:r w:rsidR="009739DC" w:rsidRPr="007B2402">
        <w:rPr>
          <w:lang w:val="en-US"/>
        </w:rPr>
        <w:t>have to analyze the testimonial and expert evidence provided to this litigation in o</w:t>
      </w:r>
      <w:r w:rsidR="008A6C43" w:rsidRPr="007B2402">
        <w:rPr>
          <w:lang w:val="en-US"/>
        </w:rPr>
        <w:t>rd</w:t>
      </w:r>
      <w:r w:rsidR="009739DC" w:rsidRPr="007B2402">
        <w:rPr>
          <w:lang w:val="en-US"/>
        </w:rPr>
        <w:t xml:space="preserve">er to prove the alleged harm. </w:t>
      </w:r>
    </w:p>
    <w:p w14:paraId="4AE5B503" w14:textId="77777777" w:rsidR="009739DC" w:rsidRPr="007B2402" w:rsidRDefault="009739DC" w:rsidP="009739DC">
      <w:pPr>
        <w:pStyle w:val="Textocomentario"/>
        <w:rPr>
          <w:lang w:val="en-US"/>
        </w:rPr>
      </w:pPr>
    </w:p>
    <w:p w14:paraId="29DF187A" w14:textId="4786590C" w:rsidR="00953B30" w:rsidRPr="007B2402" w:rsidRDefault="009739DC" w:rsidP="00953B30">
      <w:pPr>
        <w:pStyle w:val="Textocomentario"/>
        <w:numPr>
          <w:ilvl w:val="0"/>
          <w:numId w:val="6"/>
        </w:numPr>
        <w:rPr>
          <w:lang w:val="en-US"/>
        </w:rPr>
      </w:pPr>
      <w:r w:rsidRPr="007B2402">
        <w:rPr>
          <w:lang w:val="en-US"/>
        </w:rPr>
        <w:t>From the body of evidence,</w:t>
      </w:r>
      <w:r w:rsidR="00953B30" w:rsidRPr="007B2402">
        <w:rPr>
          <w:vertAlign w:val="superscript"/>
          <w:lang w:val="en-US"/>
        </w:rPr>
        <w:footnoteReference w:id="395"/>
      </w:r>
      <w:r w:rsidRPr="007B2402">
        <w:rPr>
          <w:lang w:val="en-US"/>
        </w:rPr>
        <w:t xml:space="preserve"> the Court</w:t>
      </w:r>
      <w:r w:rsidR="00953B30" w:rsidRPr="007B2402">
        <w:rPr>
          <w:lang w:val="en-US"/>
        </w:rPr>
        <w:t xml:space="preserve"> </w:t>
      </w:r>
      <w:r w:rsidRPr="007B2402">
        <w:rPr>
          <w:lang w:val="en-US"/>
        </w:rPr>
        <w:t>finds that the existence and dissemination of a false version of the detention,</w:t>
      </w:r>
      <w:r w:rsidR="00953B30" w:rsidRPr="007B2402">
        <w:rPr>
          <w:lang w:val="en-US"/>
        </w:rPr>
        <w:t xml:space="preserve"> </w:t>
      </w:r>
      <w:r w:rsidR="009A4C38" w:rsidRPr="007B2402">
        <w:rPr>
          <w:lang w:val="en-US"/>
        </w:rPr>
        <w:t>torture</w:t>
      </w:r>
      <w:r w:rsidR="005B1590" w:rsidRPr="007B2402">
        <w:rPr>
          <w:lang w:val="en-US"/>
        </w:rPr>
        <w:t xml:space="preserve"> and </w:t>
      </w:r>
      <w:r w:rsidRPr="007B2402">
        <w:rPr>
          <w:lang w:val="en-US"/>
        </w:rPr>
        <w:t>execution of</w:t>
      </w:r>
      <w:r w:rsidR="00953B30" w:rsidRPr="007B2402">
        <w:rPr>
          <w:lang w:val="en-US"/>
        </w:rPr>
        <w:t xml:space="preserve"> Vladimir Herzog </w:t>
      </w:r>
      <w:r w:rsidR="008A6C43" w:rsidRPr="007B2402">
        <w:rPr>
          <w:lang w:val="en-US"/>
        </w:rPr>
        <w:t>harmed</w:t>
      </w:r>
      <w:r w:rsidRPr="007B2402">
        <w:rPr>
          <w:lang w:val="en-US"/>
        </w:rPr>
        <w:t xml:space="preserve"> the integrity of </w:t>
      </w:r>
      <w:r w:rsidR="008A6C43" w:rsidRPr="007B2402">
        <w:rPr>
          <w:lang w:val="en-US"/>
        </w:rPr>
        <w:t>all the members of h</w:t>
      </w:r>
      <w:r w:rsidRPr="007B2402">
        <w:rPr>
          <w:lang w:val="en-US"/>
        </w:rPr>
        <w:t xml:space="preserve">is </w:t>
      </w:r>
      <w:r w:rsidR="008A6C43" w:rsidRPr="007B2402">
        <w:rPr>
          <w:lang w:val="en-US"/>
        </w:rPr>
        <w:t>family</w:t>
      </w:r>
      <w:r w:rsidRPr="007B2402">
        <w:rPr>
          <w:lang w:val="en-US"/>
        </w:rPr>
        <w:t>. In addition, the unsuccessful efforts of the family to obtain judicial recognition of their rights caused them anguish and uncertainty, as well as frustration and suffering. In the Court’s opinion, this also constituted harm to their</w:t>
      </w:r>
      <w:r w:rsidR="008A6C43" w:rsidRPr="007B2402">
        <w:rPr>
          <w:lang w:val="en-US"/>
        </w:rPr>
        <w:t xml:space="preserve"> </w:t>
      </w:r>
      <w:r w:rsidRPr="007B2402">
        <w:rPr>
          <w:lang w:val="en-US"/>
        </w:rPr>
        <w:t>mental and moral integrity.</w:t>
      </w:r>
    </w:p>
    <w:p w14:paraId="6EBAC3D4" w14:textId="77777777" w:rsidR="00953B30" w:rsidRPr="007B2402" w:rsidRDefault="00953B30" w:rsidP="00953B30">
      <w:pPr>
        <w:pStyle w:val="Textocomentario"/>
        <w:rPr>
          <w:lang w:val="en-US"/>
        </w:rPr>
      </w:pPr>
    </w:p>
    <w:p w14:paraId="0DF78F1C" w14:textId="570428FC" w:rsidR="00953B30" w:rsidRPr="007B2402" w:rsidRDefault="009739DC" w:rsidP="009739DC">
      <w:pPr>
        <w:pStyle w:val="Textocomentario"/>
        <w:numPr>
          <w:ilvl w:val="0"/>
          <w:numId w:val="6"/>
        </w:numPr>
        <w:rPr>
          <w:lang w:val="en-US"/>
        </w:rPr>
      </w:pPr>
      <w:r w:rsidRPr="007B2402">
        <w:rPr>
          <w:lang w:val="en-US"/>
        </w:rPr>
        <w:t xml:space="preserve">In addition, the lack of investigation into the death of their husband and father violated the mental and moral integrity of Vladimir Herzog’s </w:t>
      </w:r>
      <w:r w:rsidR="008A6C43" w:rsidRPr="007B2402">
        <w:rPr>
          <w:lang w:val="en-US"/>
        </w:rPr>
        <w:t>wife and children</w:t>
      </w:r>
      <w:r w:rsidR="00445CD7" w:rsidRPr="007B2402">
        <w:rPr>
          <w:lang w:val="en-US"/>
        </w:rPr>
        <w:t>,</w:t>
      </w:r>
      <w:r w:rsidRPr="007B2402">
        <w:rPr>
          <w:lang w:val="en-US"/>
        </w:rPr>
        <w:t xml:space="preserve"> </w:t>
      </w:r>
      <w:r w:rsidR="00445CD7" w:rsidRPr="007B2402">
        <w:rPr>
          <w:lang w:val="en-US"/>
        </w:rPr>
        <w:t>resulting in</w:t>
      </w:r>
      <w:r w:rsidRPr="007B2402">
        <w:rPr>
          <w:lang w:val="en-US"/>
        </w:rPr>
        <w:t xml:space="preserve"> extreme anguish and uncertainty, as well as frustration and suffering that subsists to this day. The failure to identify and punish those responsible </w:t>
      </w:r>
      <w:r w:rsidR="00445CD7" w:rsidRPr="007B2402">
        <w:rPr>
          <w:lang w:val="en-US"/>
        </w:rPr>
        <w:t>has meant</w:t>
      </w:r>
      <w:r w:rsidRPr="007B2402">
        <w:rPr>
          <w:lang w:val="en-US"/>
        </w:rPr>
        <w:t xml:space="preserve"> that the anguish </w:t>
      </w:r>
      <w:r w:rsidR="00445CD7" w:rsidRPr="007B2402">
        <w:rPr>
          <w:lang w:val="en-US"/>
        </w:rPr>
        <w:t xml:space="preserve">has </w:t>
      </w:r>
      <w:r w:rsidRPr="007B2402">
        <w:rPr>
          <w:lang w:val="en-US"/>
        </w:rPr>
        <w:t>continued for years, without the victims feeling protected or obtaining reparation.</w:t>
      </w:r>
      <w:r w:rsidR="00953B30" w:rsidRPr="007B2402">
        <w:rPr>
          <w:rStyle w:val="Refdenotaalpie"/>
          <w:rFonts w:ascii="Verdana" w:hAnsi="Verdana"/>
          <w:lang w:val="en-US"/>
        </w:rPr>
        <w:footnoteReference w:id="396"/>
      </w:r>
    </w:p>
    <w:p w14:paraId="6D39D8A5" w14:textId="77777777" w:rsidR="00953B30" w:rsidRPr="007B2402" w:rsidRDefault="00953B30" w:rsidP="00953B30">
      <w:pPr>
        <w:pStyle w:val="Prrafodelista"/>
        <w:rPr>
          <w:lang w:val="en-US"/>
        </w:rPr>
      </w:pPr>
    </w:p>
    <w:p w14:paraId="5F3929FA" w14:textId="3A4E8F3D" w:rsidR="00953B30" w:rsidRPr="007B2402" w:rsidRDefault="009739DC" w:rsidP="00953B30">
      <w:pPr>
        <w:pStyle w:val="Textocomentario"/>
        <w:numPr>
          <w:ilvl w:val="0"/>
          <w:numId w:val="6"/>
        </w:numPr>
        <w:rPr>
          <w:lang w:val="en-US"/>
        </w:rPr>
      </w:pPr>
      <w:r w:rsidRPr="007B2402">
        <w:rPr>
          <w:lang w:val="en-US"/>
        </w:rPr>
        <w:t>The</w:t>
      </w:r>
      <w:r w:rsidR="00AF4344" w:rsidRPr="007B2402">
        <w:rPr>
          <w:lang w:val="en-US"/>
        </w:rPr>
        <w:t xml:space="preserve"> Court</w:t>
      </w:r>
      <w:r w:rsidR="00953B30" w:rsidRPr="007B2402">
        <w:rPr>
          <w:lang w:val="en-US"/>
        </w:rPr>
        <w:t xml:space="preserve"> </w:t>
      </w:r>
      <w:r w:rsidRPr="007B2402">
        <w:rPr>
          <w:lang w:val="en-US"/>
        </w:rPr>
        <w:t xml:space="preserve">also </w:t>
      </w:r>
      <w:r w:rsidR="00953B30" w:rsidRPr="007B2402">
        <w:rPr>
          <w:lang w:val="en-US"/>
        </w:rPr>
        <w:t>not</w:t>
      </w:r>
      <w:r w:rsidRPr="007B2402">
        <w:rPr>
          <w:lang w:val="en-US"/>
        </w:rPr>
        <w:t>es</w:t>
      </w:r>
      <w:r w:rsidR="00953B30" w:rsidRPr="007B2402">
        <w:rPr>
          <w:lang w:val="en-US"/>
        </w:rPr>
        <w:t xml:space="preserve"> </w:t>
      </w:r>
      <w:r w:rsidRPr="007B2402">
        <w:rPr>
          <w:lang w:val="en-US"/>
        </w:rPr>
        <w:t>that even though</w:t>
      </w:r>
      <w:r w:rsidR="00953B30" w:rsidRPr="007B2402">
        <w:rPr>
          <w:lang w:val="en-US"/>
        </w:rPr>
        <w:t xml:space="preserve"> </w:t>
      </w:r>
      <w:r w:rsidR="00AF4344" w:rsidRPr="007B2402">
        <w:rPr>
          <w:lang w:val="en-US"/>
        </w:rPr>
        <w:t>the State</w:t>
      </w:r>
      <w:r w:rsidR="00953B30" w:rsidRPr="007B2402">
        <w:rPr>
          <w:lang w:val="en-US"/>
        </w:rPr>
        <w:t xml:space="preserve"> </w:t>
      </w:r>
      <w:r w:rsidRPr="007B2402">
        <w:rPr>
          <w:lang w:val="en-US"/>
        </w:rPr>
        <w:t xml:space="preserve">presented some legal arguments on this point, it </w:t>
      </w:r>
      <w:r w:rsidR="00225DAC" w:rsidRPr="007B2402">
        <w:rPr>
          <w:lang w:val="en-US"/>
        </w:rPr>
        <w:t xml:space="preserve">failed to </w:t>
      </w:r>
      <w:r w:rsidR="00445CD7" w:rsidRPr="007B2402">
        <w:rPr>
          <w:lang w:val="en-US"/>
        </w:rPr>
        <w:t>provide</w:t>
      </w:r>
      <w:r w:rsidR="00225DAC" w:rsidRPr="007B2402">
        <w:rPr>
          <w:lang w:val="en-US"/>
        </w:rPr>
        <w:t xml:space="preserve"> any evidence or arguments that sought to disprove the evidence submitted by </w:t>
      </w:r>
      <w:r w:rsidR="005B1590" w:rsidRPr="007B2402">
        <w:rPr>
          <w:lang w:val="en-US"/>
        </w:rPr>
        <w:t>the representatives</w:t>
      </w:r>
      <w:r w:rsidR="00953B30" w:rsidRPr="007B2402">
        <w:rPr>
          <w:lang w:val="en-US"/>
        </w:rPr>
        <w:t xml:space="preserve">. </w:t>
      </w:r>
    </w:p>
    <w:p w14:paraId="2F0C355C" w14:textId="77777777" w:rsidR="00953B30" w:rsidRPr="007B2402" w:rsidRDefault="00953B30" w:rsidP="00953B30">
      <w:pPr>
        <w:pStyle w:val="Prrafodelista"/>
        <w:rPr>
          <w:lang w:val="en-US"/>
        </w:rPr>
      </w:pPr>
    </w:p>
    <w:p w14:paraId="0267E696" w14:textId="43EFE2E8" w:rsidR="00953B30" w:rsidRPr="007B2402" w:rsidRDefault="00225DAC" w:rsidP="00953B30">
      <w:pPr>
        <w:pStyle w:val="Textocomentario"/>
        <w:numPr>
          <w:ilvl w:val="0"/>
          <w:numId w:val="6"/>
        </w:numPr>
        <w:rPr>
          <w:lang w:val="en-US"/>
        </w:rPr>
      </w:pPr>
      <w:r w:rsidRPr="007B2402">
        <w:rPr>
          <w:lang w:val="en-US"/>
        </w:rPr>
        <w:t>In view of the foregoing, the Court finds it proved that, as a result of the lack of the truth, and the</w:t>
      </w:r>
      <w:r w:rsidR="00445CD7" w:rsidRPr="007B2402">
        <w:rPr>
          <w:lang w:val="en-US"/>
        </w:rPr>
        <w:t xml:space="preserve"> failure to</w:t>
      </w:r>
      <w:r w:rsidRPr="007B2402">
        <w:rPr>
          <w:lang w:val="en-US"/>
        </w:rPr>
        <w:t xml:space="preserve"> investigat</w:t>
      </w:r>
      <w:r w:rsidR="00445CD7" w:rsidRPr="007B2402">
        <w:rPr>
          <w:lang w:val="en-US"/>
        </w:rPr>
        <w:t>e</w:t>
      </w:r>
      <w:r w:rsidRPr="007B2402">
        <w:rPr>
          <w:lang w:val="en-US"/>
        </w:rPr>
        <w:t>, prosecut</w:t>
      </w:r>
      <w:r w:rsidR="00445CD7" w:rsidRPr="007B2402">
        <w:rPr>
          <w:lang w:val="en-US"/>
        </w:rPr>
        <w:t>e</w:t>
      </w:r>
      <w:r w:rsidRPr="007B2402">
        <w:rPr>
          <w:lang w:val="en-US"/>
        </w:rPr>
        <w:t xml:space="preserve"> and punish those responsible for </w:t>
      </w:r>
      <w:r w:rsidR="008B5281" w:rsidRPr="007B2402">
        <w:rPr>
          <w:lang w:val="en-US"/>
        </w:rPr>
        <w:t>the torture and murder of Vladimir Herzog</w:t>
      </w:r>
      <w:r w:rsidR="00953B30" w:rsidRPr="007B2402">
        <w:rPr>
          <w:lang w:val="en-US"/>
        </w:rPr>
        <w:t>,</w:t>
      </w:r>
      <w:r w:rsidRPr="007B2402">
        <w:rPr>
          <w:lang w:val="en-US"/>
        </w:rPr>
        <w:t xml:space="preserve"> the victim’s direct family have endured profound suffering and anguish to the detriment of their mental and moral integrity.</w:t>
      </w:r>
    </w:p>
    <w:p w14:paraId="6705CC00" w14:textId="77777777" w:rsidR="00953B30" w:rsidRPr="007B2402" w:rsidRDefault="00953B30" w:rsidP="00953B30">
      <w:pPr>
        <w:pStyle w:val="Textocomentario"/>
        <w:rPr>
          <w:lang w:val="en-US"/>
        </w:rPr>
      </w:pPr>
    </w:p>
    <w:p w14:paraId="64700F17" w14:textId="21F494B3" w:rsidR="00B91D70" w:rsidRPr="007B2402" w:rsidRDefault="00225DAC" w:rsidP="00953B30">
      <w:pPr>
        <w:pStyle w:val="Textocomentario"/>
        <w:numPr>
          <w:ilvl w:val="0"/>
          <w:numId w:val="6"/>
        </w:numPr>
        <w:rPr>
          <w:lang w:val="en-US"/>
        </w:rPr>
      </w:pPr>
      <w:r w:rsidRPr="007B2402">
        <w:rPr>
          <w:lang w:val="en-US"/>
        </w:rPr>
        <w:lastRenderedPageBreak/>
        <w:t xml:space="preserve">Consequently, taking into consideration the circumstances of this case, the Court concludes that the State violated the right to </w:t>
      </w:r>
      <w:r w:rsidR="00221E16" w:rsidRPr="007B2402">
        <w:rPr>
          <w:lang w:val="en-US"/>
        </w:rPr>
        <w:t>personal integrity</w:t>
      </w:r>
      <w:r w:rsidR="00953B30" w:rsidRPr="007B2402">
        <w:rPr>
          <w:lang w:val="en-US"/>
        </w:rPr>
        <w:t xml:space="preserve"> </w:t>
      </w:r>
      <w:r w:rsidRPr="007B2402">
        <w:rPr>
          <w:lang w:val="en-US"/>
        </w:rPr>
        <w:t>established in</w:t>
      </w:r>
      <w:r w:rsidR="00953B30" w:rsidRPr="007B2402">
        <w:rPr>
          <w:lang w:val="en-US"/>
        </w:rPr>
        <w:t xml:space="preserve"> </w:t>
      </w:r>
      <w:r w:rsidR="00AF4344" w:rsidRPr="007B2402">
        <w:rPr>
          <w:lang w:val="en-US"/>
        </w:rPr>
        <w:t>Article</w:t>
      </w:r>
      <w:r w:rsidR="00953B30" w:rsidRPr="007B2402">
        <w:rPr>
          <w:lang w:val="en-US"/>
        </w:rPr>
        <w:t xml:space="preserve"> </w:t>
      </w:r>
      <w:r w:rsidR="00375567" w:rsidRPr="007B2402">
        <w:rPr>
          <w:lang w:val="en-US"/>
        </w:rPr>
        <w:t>5(1)</w:t>
      </w:r>
      <w:r w:rsidR="00AF4344" w:rsidRPr="007B2402">
        <w:rPr>
          <w:lang w:val="en-US"/>
        </w:rPr>
        <w:t xml:space="preserve"> of the American Convention on Human Rights</w:t>
      </w:r>
      <w:r w:rsidR="00953B30" w:rsidRPr="007B2402">
        <w:rPr>
          <w:lang w:val="en-US"/>
        </w:rPr>
        <w:t xml:space="preserve">, </w:t>
      </w:r>
      <w:r w:rsidR="00BF1A22" w:rsidRPr="007B2402">
        <w:rPr>
          <w:lang w:val="en-US"/>
        </w:rPr>
        <w:t>in relation to Article</w:t>
      </w:r>
      <w:r w:rsidR="00953B30" w:rsidRPr="007B2402">
        <w:rPr>
          <w:lang w:val="en-US"/>
        </w:rPr>
        <w:t xml:space="preserve"> </w:t>
      </w:r>
      <w:r w:rsidR="00375567" w:rsidRPr="007B2402">
        <w:rPr>
          <w:lang w:val="en-US"/>
        </w:rPr>
        <w:t>1(1)</w:t>
      </w:r>
      <w:r w:rsidR="00953B30" w:rsidRPr="007B2402">
        <w:rPr>
          <w:lang w:val="en-US"/>
        </w:rPr>
        <w:t xml:space="preserve"> </w:t>
      </w:r>
      <w:r w:rsidR="00375567" w:rsidRPr="007B2402">
        <w:rPr>
          <w:lang w:val="en-US"/>
        </w:rPr>
        <w:t>of this instrument</w:t>
      </w:r>
      <w:r w:rsidR="00953B30" w:rsidRPr="007B2402">
        <w:rPr>
          <w:lang w:val="en-US"/>
        </w:rPr>
        <w:t xml:space="preserve">, </w:t>
      </w:r>
      <w:r w:rsidRPr="007B2402">
        <w:rPr>
          <w:lang w:val="en-US"/>
        </w:rPr>
        <w:t xml:space="preserve">to the detriment of </w:t>
      </w:r>
      <w:r w:rsidR="00953B30" w:rsidRPr="007B2402">
        <w:rPr>
          <w:lang w:val="en-US"/>
        </w:rPr>
        <w:t>Zora Herzog, Clarice Herzog, Ivo Herzog</w:t>
      </w:r>
      <w:r w:rsidR="005B1590" w:rsidRPr="007B2402">
        <w:rPr>
          <w:lang w:val="en-US"/>
        </w:rPr>
        <w:t xml:space="preserve"> and </w:t>
      </w:r>
      <w:r w:rsidR="00953B30" w:rsidRPr="007B2402">
        <w:rPr>
          <w:lang w:val="en-US"/>
        </w:rPr>
        <w:t>André Herzog.</w:t>
      </w:r>
    </w:p>
    <w:p w14:paraId="39FFD633" w14:textId="77777777" w:rsidR="00B91D70" w:rsidRPr="007B2402" w:rsidRDefault="00B91D70" w:rsidP="00B91D70">
      <w:pPr>
        <w:pStyle w:val="Textocomentario"/>
        <w:rPr>
          <w:lang w:val="en-US"/>
        </w:rPr>
      </w:pPr>
    </w:p>
    <w:p w14:paraId="26C92B22" w14:textId="336AA011" w:rsidR="00B91D70" w:rsidRPr="007B2402" w:rsidRDefault="00EE3AE2" w:rsidP="009C473F">
      <w:pPr>
        <w:pStyle w:val="Ttulo1"/>
        <w:rPr>
          <w:lang w:val="en-US" w:eastAsia="es-ES"/>
        </w:rPr>
      </w:pPr>
      <w:bookmarkStart w:id="176" w:name="_Toc469404528"/>
      <w:bookmarkStart w:id="177" w:name="_Toc472608969"/>
      <w:bookmarkStart w:id="178" w:name="_Toc506984132"/>
      <w:r w:rsidRPr="007B2402">
        <w:rPr>
          <w:lang w:val="en-US" w:eastAsia="es-ES"/>
        </w:rPr>
        <w:t>VII</w:t>
      </w:r>
      <w:r w:rsidR="00206213" w:rsidRPr="007B2402">
        <w:rPr>
          <w:lang w:val="en-US" w:eastAsia="es-ES"/>
        </w:rPr>
        <w:t>I</w:t>
      </w:r>
      <w:r w:rsidR="009C473F" w:rsidRPr="007B2402">
        <w:rPr>
          <w:lang w:val="en-US" w:eastAsia="es-ES"/>
        </w:rPr>
        <w:t xml:space="preserve"> </w:t>
      </w:r>
      <w:r w:rsidR="009C473F" w:rsidRPr="007B2402">
        <w:rPr>
          <w:lang w:val="en-US" w:eastAsia="es-ES"/>
        </w:rPr>
        <w:br/>
      </w:r>
      <w:r w:rsidR="003A63E5" w:rsidRPr="007B2402">
        <w:rPr>
          <w:lang w:val="en-US" w:eastAsia="es-ES"/>
        </w:rPr>
        <w:t>REPARATIONS</w:t>
      </w:r>
      <w:bookmarkEnd w:id="176"/>
      <w:bookmarkEnd w:id="177"/>
      <w:bookmarkEnd w:id="178"/>
    </w:p>
    <w:p w14:paraId="0E889192" w14:textId="4898F094" w:rsidR="00B91D70" w:rsidRPr="007B2402" w:rsidRDefault="008003BB" w:rsidP="00B91D70">
      <w:pPr>
        <w:keepNext/>
        <w:keepLines/>
        <w:spacing w:after="0" w:line="240" w:lineRule="auto"/>
        <w:jc w:val="center"/>
        <w:outlineLvl w:val="0"/>
        <w:rPr>
          <w:rFonts w:eastAsia="Times New Roman" w:cs="Verdana"/>
          <w:b/>
          <w:bCs/>
          <w:caps/>
          <w:noProof/>
          <w:snapToGrid w:val="0"/>
          <w:szCs w:val="20"/>
          <w:lang w:val="en-US" w:eastAsia="es-ES"/>
        </w:rPr>
      </w:pPr>
      <w:bookmarkStart w:id="179" w:name="_Toc460432530"/>
      <w:bookmarkStart w:id="180" w:name="_Toc460433059"/>
      <w:bookmarkStart w:id="181" w:name="_Toc460441990"/>
      <w:bookmarkStart w:id="182" w:name="_Toc462751132"/>
      <w:bookmarkStart w:id="183" w:name="_Toc469404529"/>
      <w:bookmarkStart w:id="184" w:name="_Toc472608970"/>
      <w:bookmarkStart w:id="185" w:name="_Toc505939169"/>
      <w:bookmarkStart w:id="186" w:name="_Toc506496152"/>
      <w:bookmarkStart w:id="187" w:name="_Toc506902776"/>
      <w:bookmarkStart w:id="188" w:name="_Toc506984133"/>
      <w:r w:rsidRPr="007B2402">
        <w:rPr>
          <w:rFonts w:eastAsia="Times New Roman" w:cs="Verdana"/>
          <w:b/>
          <w:bCs/>
          <w:caps/>
          <w:noProof/>
          <w:snapToGrid w:val="0"/>
          <w:szCs w:val="20"/>
          <w:lang w:val="en-US" w:eastAsia="es-ES"/>
        </w:rPr>
        <w:t>(</w:t>
      </w:r>
      <w:r w:rsidRPr="007B2402">
        <w:rPr>
          <w:rFonts w:eastAsia="Times New Roman" w:cs="Verdana"/>
          <w:b/>
          <w:bCs/>
          <w:noProof/>
          <w:snapToGrid w:val="0"/>
          <w:szCs w:val="20"/>
          <w:lang w:val="en-US" w:eastAsia="es-ES"/>
        </w:rPr>
        <w:t>Ap</w:t>
      </w:r>
      <w:r w:rsidR="003A63E5" w:rsidRPr="007B2402">
        <w:rPr>
          <w:rFonts w:eastAsia="Times New Roman" w:cs="Verdana"/>
          <w:b/>
          <w:bCs/>
          <w:noProof/>
          <w:snapToGrid w:val="0"/>
          <w:szCs w:val="20"/>
          <w:lang w:val="en-US" w:eastAsia="es-ES"/>
        </w:rPr>
        <w:t xml:space="preserve">plication of </w:t>
      </w:r>
      <w:r w:rsidR="00AF4344" w:rsidRPr="007B2402">
        <w:rPr>
          <w:rFonts w:eastAsia="Times New Roman" w:cs="Verdana"/>
          <w:b/>
          <w:bCs/>
          <w:noProof/>
          <w:snapToGrid w:val="0"/>
          <w:szCs w:val="20"/>
          <w:lang w:val="en-US" w:eastAsia="es-ES"/>
        </w:rPr>
        <w:t>Article</w:t>
      </w:r>
      <w:r w:rsidRPr="007B2402">
        <w:rPr>
          <w:rFonts w:eastAsia="Times New Roman" w:cs="Verdana"/>
          <w:b/>
          <w:bCs/>
          <w:noProof/>
          <w:snapToGrid w:val="0"/>
          <w:szCs w:val="20"/>
          <w:lang w:val="en-US" w:eastAsia="es-ES"/>
        </w:rPr>
        <w:t xml:space="preserve"> 63</w:t>
      </w:r>
      <w:r w:rsidR="003A63E5" w:rsidRPr="007B2402">
        <w:rPr>
          <w:rFonts w:eastAsia="Times New Roman" w:cs="Verdana"/>
          <w:b/>
          <w:bCs/>
          <w:noProof/>
          <w:snapToGrid w:val="0"/>
          <w:szCs w:val="20"/>
          <w:lang w:val="en-US" w:eastAsia="es-ES"/>
        </w:rPr>
        <w:t>(</w:t>
      </w:r>
      <w:r w:rsidRPr="007B2402">
        <w:rPr>
          <w:rFonts w:eastAsia="Times New Roman" w:cs="Verdana"/>
          <w:b/>
          <w:bCs/>
          <w:noProof/>
          <w:snapToGrid w:val="0"/>
          <w:szCs w:val="20"/>
          <w:lang w:val="en-US" w:eastAsia="es-ES"/>
        </w:rPr>
        <w:t>1</w:t>
      </w:r>
      <w:r w:rsidR="003A63E5" w:rsidRPr="007B2402">
        <w:rPr>
          <w:rFonts w:eastAsia="Times New Roman" w:cs="Verdana"/>
          <w:b/>
          <w:bCs/>
          <w:noProof/>
          <w:snapToGrid w:val="0"/>
          <w:szCs w:val="20"/>
          <w:lang w:val="en-US" w:eastAsia="es-ES"/>
        </w:rPr>
        <w:t>)</w:t>
      </w:r>
      <w:r w:rsidR="00AF4344" w:rsidRPr="007B2402">
        <w:rPr>
          <w:rFonts w:eastAsia="Times New Roman" w:cs="Verdana"/>
          <w:b/>
          <w:bCs/>
          <w:noProof/>
          <w:snapToGrid w:val="0"/>
          <w:szCs w:val="20"/>
          <w:lang w:val="en-US" w:eastAsia="es-ES"/>
        </w:rPr>
        <w:t xml:space="preserve"> of the American Convention</w:t>
      </w:r>
      <w:r w:rsidR="00B91D70" w:rsidRPr="007B2402">
        <w:rPr>
          <w:rFonts w:eastAsia="Times New Roman" w:cs="Verdana"/>
          <w:b/>
          <w:bCs/>
          <w:caps/>
          <w:noProof/>
          <w:snapToGrid w:val="0"/>
          <w:szCs w:val="20"/>
          <w:lang w:val="en-US" w:eastAsia="es-ES"/>
        </w:rPr>
        <w:t>)</w:t>
      </w:r>
      <w:bookmarkEnd w:id="179"/>
      <w:bookmarkEnd w:id="180"/>
      <w:bookmarkEnd w:id="181"/>
      <w:bookmarkEnd w:id="182"/>
      <w:bookmarkEnd w:id="183"/>
      <w:bookmarkEnd w:id="184"/>
      <w:bookmarkEnd w:id="185"/>
      <w:bookmarkEnd w:id="186"/>
      <w:bookmarkEnd w:id="187"/>
      <w:bookmarkEnd w:id="188"/>
    </w:p>
    <w:p w14:paraId="284535D4" w14:textId="77777777" w:rsidR="00B91D70" w:rsidRPr="007B2402" w:rsidRDefault="00B91D70" w:rsidP="00B91D70">
      <w:pPr>
        <w:spacing w:after="0" w:line="240" w:lineRule="auto"/>
        <w:jc w:val="both"/>
        <w:rPr>
          <w:rFonts w:eastAsia="Calibri" w:cs="Times New Roman"/>
          <w:lang w:val="en-US"/>
        </w:rPr>
      </w:pPr>
    </w:p>
    <w:p w14:paraId="022ECACE" w14:textId="64E0B379" w:rsidR="00B91D70" w:rsidRPr="007B2402" w:rsidRDefault="00301C04" w:rsidP="00DB1F30">
      <w:pPr>
        <w:numPr>
          <w:ilvl w:val="0"/>
          <w:numId w:val="5"/>
        </w:numPr>
        <w:spacing w:after="0" w:line="240" w:lineRule="auto"/>
        <w:jc w:val="both"/>
        <w:rPr>
          <w:rFonts w:eastAsia="Calibri" w:cs="Times New Roman"/>
          <w:lang w:val="en-US"/>
        </w:rPr>
      </w:pPr>
      <w:r w:rsidRPr="007B2402">
        <w:rPr>
          <w:rFonts w:eastAsia="Calibri" w:cs="Times New Roman"/>
          <w:lang w:val="en-US"/>
        </w:rPr>
        <w:t>Based on</w:t>
      </w:r>
      <w:r w:rsidR="00B91D70" w:rsidRPr="007B2402">
        <w:rPr>
          <w:rFonts w:eastAsia="Calibri" w:cs="Times New Roman"/>
          <w:lang w:val="en-US"/>
        </w:rPr>
        <w:t xml:space="preserve"> </w:t>
      </w:r>
      <w:r w:rsidRPr="007B2402">
        <w:rPr>
          <w:rFonts w:eastAsia="Calibri" w:cs="Times New Roman"/>
          <w:lang w:val="en-US"/>
        </w:rPr>
        <w:t>the provisions of</w:t>
      </w:r>
      <w:r w:rsidR="00B91D70" w:rsidRPr="007B2402">
        <w:rPr>
          <w:rFonts w:eastAsia="Calibri" w:cs="Times New Roman"/>
          <w:lang w:val="en-US"/>
        </w:rPr>
        <w:t xml:space="preserve"> </w:t>
      </w:r>
      <w:r w:rsidR="00AF4344" w:rsidRPr="007B2402">
        <w:rPr>
          <w:rFonts w:eastAsia="Calibri" w:cs="Times New Roman"/>
          <w:lang w:val="en-US"/>
        </w:rPr>
        <w:t>Article</w:t>
      </w:r>
      <w:r w:rsidR="00B91D70" w:rsidRPr="007B2402">
        <w:rPr>
          <w:rFonts w:eastAsia="Calibri" w:cs="Times New Roman"/>
          <w:lang w:val="en-US"/>
        </w:rPr>
        <w:t xml:space="preserve"> 63</w:t>
      </w:r>
      <w:r w:rsidRPr="007B2402">
        <w:rPr>
          <w:rFonts w:eastAsia="Calibri" w:cs="Times New Roman"/>
          <w:lang w:val="en-US"/>
        </w:rPr>
        <w:t>(1)</w:t>
      </w:r>
      <w:r w:rsidR="00AF4344" w:rsidRPr="007B2402">
        <w:rPr>
          <w:rFonts w:eastAsia="Calibri" w:cs="Times New Roman"/>
          <w:lang w:val="en-US"/>
        </w:rPr>
        <w:t xml:space="preserve"> of the American Convention</w:t>
      </w:r>
      <w:r w:rsidRPr="007B2402">
        <w:rPr>
          <w:rFonts w:eastAsia="Calibri" w:cs="Times New Roman"/>
          <w:lang w:val="en-US"/>
        </w:rPr>
        <w:t>,</w:t>
      </w:r>
      <w:r w:rsidR="00B91D70" w:rsidRPr="007B2402">
        <w:rPr>
          <w:rFonts w:eastAsia="Calibri" w:cs="Times New Roman"/>
          <w:vertAlign w:val="superscript"/>
          <w:lang w:val="en-US"/>
        </w:rPr>
        <w:footnoteReference w:id="397"/>
      </w:r>
      <w:r w:rsidR="00B91D70" w:rsidRPr="007B2402">
        <w:rPr>
          <w:rFonts w:eastAsia="Calibri" w:cs="Times New Roman"/>
          <w:lang w:val="en-US"/>
        </w:rPr>
        <w:t xml:space="preserve"> </w:t>
      </w:r>
      <w:r w:rsidR="00AF4344" w:rsidRPr="007B2402">
        <w:rPr>
          <w:rFonts w:eastAsia="Calibri" w:cs="Times New Roman"/>
          <w:lang w:val="en-US"/>
        </w:rPr>
        <w:t>the Court</w:t>
      </w:r>
      <w:r w:rsidR="00B91D70" w:rsidRPr="007B2402">
        <w:rPr>
          <w:rFonts w:eastAsia="Calibri" w:cs="Times New Roman"/>
          <w:lang w:val="en-US"/>
        </w:rPr>
        <w:t xml:space="preserve"> ha</w:t>
      </w:r>
      <w:r w:rsidRPr="007B2402">
        <w:rPr>
          <w:rFonts w:eastAsia="Calibri" w:cs="Times New Roman"/>
          <w:lang w:val="en-US"/>
        </w:rPr>
        <w:t>s indicated that any violation of an international obligation that has produced harm entails the obligation to make adequate reparation and that this provision reflects a customary norm that constitutes one of the fundamental principles of contemporary law on State responsibility.</w:t>
      </w:r>
      <w:r w:rsidR="00B91D70" w:rsidRPr="007B2402">
        <w:rPr>
          <w:rFonts w:eastAsia="Calibri" w:cs="Times New Roman"/>
          <w:vertAlign w:val="superscript"/>
          <w:lang w:val="en-US"/>
        </w:rPr>
        <w:footnoteReference w:id="398"/>
      </w:r>
    </w:p>
    <w:p w14:paraId="5826EA92" w14:textId="77777777" w:rsidR="00B91D70" w:rsidRPr="007B2402" w:rsidRDefault="00B91D70" w:rsidP="00B91D70">
      <w:pPr>
        <w:spacing w:after="0" w:line="240" w:lineRule="auto"/>
        <w:jc w:val="both"/>
        <w:rPr>
          <w:rFonts w:eastAsia="Calibri" w:cs="Times New Roman"/>
          <w:lang w:val="en-US"/>
        </w:rPr>
      </w:pPr>
    </w:p>
    <w:p w14:paraId="6801C38C" w14:textId="70BC8054" w:rsidR="00B91D70" w:rsidRPr="007B2402" w:rsidRDefault="00301C04" w:rsidP="00DB1F30">
      <w:pPr>
        <w:numPr>
          <w:ilvl w:val="0"/>
          <w:numId w:val="5"/>
        </w:numPr>
        <w:spacing w:after="0" w:line="240" w:lineRule="auto"/>
        <w:jc w:val="both"/>
        <w:rPr>
          <w:rFonts w:eastAsia="Calibri" w:cs="Times New Roman"/>
          <w:lang w:val="en-US"/>
        </w:rPr>
      </w:pPr>
      <w:r w:rsidRPr="007B2402">
        <w:rPr>
          <w:rFonts w:eastAsia="Calibri" w:cs="Times New Roman"/>
          <w:bCs/>
          <w:iCs/>
          <w:lang w:val="en-US"/>
        </w:rPr>
        <w:t xml:space="preserve">Reparation of the harm caused by the violation of an international obligation requires, whenever possible, full restitution </w:t>
      </w:r>
      <w:r w:rsidR="00B91D70" w:rsidRPr="007B2402">
        <w:rPr>
          <w:rFonts w:eastAsia="Calibri" w:cs="Times New Roman"/>
          <w:bCs/>
          <w:iCs/>
          <w:lang w:val="en-US"/>
        </w:rPr>
        <w:t>(</w:t>
      </w:r>
      <w:r w:rsidR="00B91D70" w:rsidRPr="007B2402">
        <w:rPr>
          <w:rFonts w:eastAsia="Calibri" w:cs="Times New Roman"/>
          <w:bCs/>
          <w:i/>
          <w:iCs/>
          <w:lang w:val="en-US"/>
        </w:rPr>
        <w:t>restitutio in integrum</w:t>
      </w:r>
      <w:r w:rsidR="00B91D70" w:rsidRPr="007B2402">
        <w:rPr>
          <w:rFonts w:eastAsia="Calibri" w:cs="Times New Roman"/>
          <w:bCs/>
          <w:iCs/>
          <w:lang w:val="en-US"/>
        </w:rPr>
        <w:t xml:space="preserve">), </w:t>
      </w:r>
      <w:r w:rsidRPr="007B2402">
        <w:rPr>
          <w:rFonts w:eastAsia="Calibri" w:cs="Times New Roman"/>
          <w:bCs/>
          <w:iCs/>
          <w:lang w:val="en-US"/>
        </w:rPr>
        <w:t>which consists in the re-establishment of the previous situation. If this is not feasible, as in most cases of human rights violations, the Court will determine measures to guarantee the rights that have been violated and to redress the consequences of the violations.</w:t>
      </w:r>
      <w:r w:rsidR="00B91D70" w:rsidRPr="007B2402">
        <w:rPr>
          <w:rFonts w:eastAsia="Calibri" w:cs="Times New Roman"/>
          <w:iCs/>
          <w:vertAlign w:val="superscript"/>
          <w:lang w:val="en-US"/>
        </w:rPr>
        <w:footnoteReference w:id="399"/>
      </w:r>
    </w:p>
    <w:p w14:paraId="26B7C0E8" w14:textId="77777777" w:rsidR="00B91D70" w:rsidRPr="007B2402" w:rsidRDefault="00B91D70" w:rsidP="00B91D70">
      <w:pPr>
        <w:spacing w:after="0" w:line="240" w:lineRule="auto"/>
        <w:jc w:val="both"/>
        <w:rPr>
          <w:rFonts w:eastAsia="Calibri" w:cs="Times New Roman"/>
          <w:iCs/>
          <w:lang w:val="en-US"/>
        </w:rPr>
      </w:pPr>
    </w:p>
    <w:p w14:paraId="72703F19" w14:textId="17B7099A" w:rsidR="00B91D70" w:rsidRPr="007B2402" w:rsidRDefault="00301C04" w:rsidP="00DB1F30">
      <w:pPr>
        <w:numPr>
          <w:ilvl w:val="0"/>
          <w:numId w:val="5"/>
        </w:numPr>
        <w:spacing w:after="0" w:line="240" w:lineRule="auto"/>
        <w:jc w:val="both"/>
        <w:rPr>
          <w:rFonts w:eastAsia="Calibri" w:cs="Times New Roman"/>
          <w:lang w:val="en-US"/>
        </w:rPr>
      </w:pPr>
      <w:r w:rsidRPr="007B2402">
        <w:rPr>
          <w:rFonts w:eastAsia="Calibri" w:cs="Times New Roman"/>
          <w:iCs/>
          <w:lang w:val="en-US"/>
        </w:rPr>
        <w:t>The Court has established that the reparations must have a causal nexus to the facts of the case, the violations declared, the harm proved</w:t>
      </w:r>
      <w:r w:rsidR="00445CD7" w:rsidRPr="007B2402">
        <w:rPr>
          <w:rFonts w:eastAsia="Calibri" w:cs="Times New Roman"/>
          <w:iCs/>
          <w:lang w:val="en-US"/>
        </w:rPr>
        <w:t>,</w:t>
      </w:r>
      <w:r w:rsidR="00593954" w:rsidRPr="007B2402">
        <w:rPr>
          <w:rFonts w:eastAsia="Calibri" w:cs="Times New Roman"/>
          <w:iCs/>
          <w:lang w:val="en-US"/>
        </w:rPr>
        <w:t xml:space="preserve"> and the measures requested to repair the respective harm. Accordingly, the Court must observe the concurrence of these factors to rule </w:t>
      </w:r>
      <w:r w:rsidR="00445CD7" w:rsidRPr="007B2402">
        <w:rPr>
          <w:rFonts w:eastAsia="Calibri" w:cs="Times New Roman"/>
          <w:iCs/>
          <w:lang w:val="en-US"/>
        </w:rPr>
        <w:t>appropriately</w:t>
      </w:r>
      <w:r w:rsidR="00593954" w:rsidRPr="007B2402">
        <w:rPr>
          <w:rFonts w:eastAsia="Calibri" w:cs="Times New Roman"/>
          <w:iCs/>
          <w:lang w:val="en-US"/>
        </w:rPr>
        <w:t xml:space="preserve"> and pursuant to the law.</w:t>
      </w:r>
      <w:r w:rsidR="00B91D70" w:rsidRPr="007B2402">
        <w:rPr>
          <w:rFonts w:eastAsia="Calibri" w:cs="Times New Roman"/>
          <w:iCs/>
          <w:vertAlign w:val="superscript"/>
          <w:lang w:val="en-US"/>
        </w:rPr>
        <w:footnoteReference w:id="400"/>
      </w:r>
    </w:p>
    <w:p w14:paraId="57319279" w14:textId="77777777" w:rsidR="00B91D70" w:rsidRPr="007B2402" w:rsidRDefault="00B91D70" w:rsidP="00B91D70">
      <w:pPr>
        <w:spacing w:after="0" w:line="240" w:lineRule="auto"/>
        <w:jc w:val="both"/>
        <w:rPr>
          <w:rFonts w:eastAsia="Calibri" w:cs="Times New Roman"/>
          <w:iCs/>
          <w:lang w:val="en-US"/>
        </w:rPr>
      </w:pPr>
    </w:p>
    <w:p w14:paraId="23CD177B" w14:textId="2C34CBDE" w:rsidR="00B91D70" w:rsidRPr="007B2402" w:rsidRDefault="00593954" w:rsidP="00206213">
      <w:pPr>
        <w:numPr>
          <w:ilvl w:val="0"/>
          <w:numId w:val="5"/>
        </w:numPr>
        <w:spacing w:after="0" w:line="240" w:lineRule="auto"/>
        <w:jc w:val="both"/>
        <w:rPr>
          <w:rFonts w:eastAsia="Calibri" w:cs="Times New Roman"/>
          <w:lang w:val="en-US"/>
        </w:rPr>
      </w:pPr>
      <w:r w:rsidRPr="007B2402">
        <w:rPr>
          <w:rFonts w:eastAsia="Calibri" w:cs="Times New Roman"/>
          <w:iCs/>
          <w:lang w:val="en-US"/>
        </w:rPr>
        <w:t xml:space="preserve">Taking into account the violations declared in the preceding chapter, the Court will proceed to examine the claims presented by </w:t>
      </w:r>
      <w:r w:rsidR="00AF4344" w:rsidRPr="007B2402">
        <w:rPr>
          <w:rFonts w:eastAsia="Calibri" w:cs="Times New Roman"/>
          <w:iCs/>
          <w:lang w:val="en-US"/>
        </w:rPr>
        <w:t>the Commission</w:t>
      </w:r>
      <w:r w:rsidR="005B1590" w:rsidRPr="007B2402">
        <w:rPr>
          <w:rFonts w:eastAsia="Calibri" w:cs="Times New Roman"/>
          <w:iCs/>
          <w:lang w:val="en-US"/>
        </w:rPr>
        <w:t xml:space="preserve"> and the </w:t>
      </w:r>
      <w:r w:rsidRPr="007B2402">
        <w:rPr>
          <w:rFonts w:eastAsia="Calibri" w:cs="Times New Roman"/>
          <w:iCs/>
          <w:lang w:val="en-US"/>
        </w:rPr>
        <w:t xml:space="preserve">victims’ </w:t>
      </w:r>
      <w:r w:rsidR="005B1590" w:rsidRPr="007B2402">
        <w:rPr>
          <w:rFonts w:eastAsia="Calibri" w:cs="Times New Roman"/>
          <w:iCs/>
          <w:lang w:val="en-US"/>
        </w:rPr>
        <w:t>representatives</w:t>
      </w:r>
      <w:r w:rsidRPr="007B2402">
        <w:rPr>
          <w:rFonts w:eastAsia="Calibri" w:cs="Times New Roman"/>
          <w:iCs/>
          <w:lang w:val="en-US"/>
        </w:rPr>
        <w:t xml:space="preserve">, together with the arguments of the State, in light of the criteria established in the Court’s case law in relation to the nature and scope of the obligation to make reparation, in order to establish measures aimed at </w:t>
      </w:r>
      <w:r w:rsidR="00B42979" w:rsidRPr="007B2402">
        <w:rPr>
          <w:rFonts w:eastAsia="Calibri" w:cs="Times New Roman"/>
          <w:iCs/>
          <w:lang w:val="en-US"/>
        </w:rPr>
        <w:t>repairing</w:t>
      </w:r>
      <w:r w:rsidRPr="007B2402">
        <w:rPr>
          <w:rFonts w:eastAsia="Calibri" w:cs="Times New Roman"/>
          <w:iCs/>
          <w:lang w:val="en-US"/>
        </w:rPr>
        <w:t xml:space="preserve"> the harm caused to the victims.</w:t>
      </w:r>
      <w:r w:rsidR="00B91D70" w:rsidRPr="007B2402">
        <w:rPr>
          <w:rFonts w:eastAsia="Calibri" w:cs="Times New Roman"/>
          <w:iCs/>
          <w:szCs w:val="20"/>
          <w:vertAlign w:val="superscript"/>
          <w:lang w:val="en-US"/>
        </w:rPr>
        <w:footnoteReference w:id="401"/>
      </w:r>
    </w:p>
    <w:p w14:paraId="0E0A9644" w14:textId="77777777" w:rsidR="00B91D70" w:rsidRPr="007B2402" w:rsidRDefault="00B91D70" w:rsidP="00206213">
      <w:pPr>
        <w:spacing w:after="0" w:line="240" w:lineRule="auto"/>
        <w:ind w:left="720"/>
        <w:contextualSpacing/>
        <w:jc w:val="both"/>
        <w:rPr>
          <w:rFonts w:eastAsia="Calibri" w:cs="Times New Roman"/>
          <w:lang w:val="en-US"/>
        </w:rPr>
      </w:pPr>
    </w:p>
    <w:p w14:paraId="4733543E" w14:textId="7083EC1E" w:rsidR="00B91D70" w:rsidRPr="007B2402" w:rsidRDefault="00593954" w:rsidP="00206213">
      <w:pPr>
        <w:pStyle w:val="Ttulo2"/>
        <w:numPr>
          <w:ilvl w:val="0"/>
          <w:numId w:val="28"/>
        </w:numPr>
        <w:ind w:left="0" w:firstLine="0"/>
        <w:rPr>
          <w:b/>
          <w:lang w:val="en-US"/>
        </w:rPr>
      </w:pPr>
      <w:r w:rsidRPr="007B2402">
        <w:rPr>
          <w:b/>
          <w:lang w:val="en-US"/>
        </w:rPr>
        <w:t>Injured party</w:t>
      </w:r>
    </w:p>
    <w:p w14:paraId="1733A871" w14:textId="77777777" w:rsidR="00B91D70" w:rsidRPr="007B2402" w:rsidRDefault="00B91D70" w:rsidP="00206213">
      <w:pPr>
        <w:spacing w:after="0" w:line="240" w:lineRule="auto"/>
        <w:ind w:left="720"/>
        <w:contextualSpacing/>
        <w:jc w:val="both"/>
        <w:rPr>
          <w:rFonts w:eastAsia="Calibri" w:cs="Times New Roman"/>
          <w:lang w:val="en-US"/>
        </w:rPr>
      </w:pPr>
    </w:p>
    <w:p w14:paraId="0D59D0CA" w14:textId="154C4E01" w:rsidR="00B91D70" w:rsidRPr="007B2402" w:rsidRDefault="00593954" w:rsidP="00FB3FA2">
      <w:pPr>
        <w:numPr>
          <w:ilvl w:val="0"/>
          <w:numId w:val="5"/>
        </w:numPr>
        <w:spacing w:after="0" w:line="240" w:lineRule="auto"/>
        <w:jc w:val="both"/>
        <w:rPr>
          <w:rFonts w:eastAsia="Calibri" w:cs="Times New Roman"/>
          <w:iCs/>
          <w:lang w:val="en-US"/>
        </w:rPr>
      </w:pPr>
      <w:r w:rsidRPr="007B2402">
        <w:rPr>
          <w:rFonts w:eastAsia="Calibri" w:cs="Times New Roman"/>
          <w:iCs/>
          <w:lang w:val="en-US"/>
        </w:rPr>
        <w:t xml:space="preserve">The Court reiterates that, in the terms </w:t>
      </w:r>
      <w:r w:rsidR="006E2CFF" w:rsidRPr="007B2402">
        <w:rPr>
          <w:rFonts w:eastAsia="Calibri" w:cs="Times New Roman"/>
          <w:iCs/>
          <w:lang w:val="en-US"/>
        </w:rPr>
        <w:t>of Article</w:t>
      </w:r>
      <w:r w:rsidR="00B91D70" w:rsidRPr="007B2402">
        <w:rPr>
          <w:rFonts w:eastAsia="Calibri" w:cs="Times New Roman"/>
          <w:iCs/>
          <w:lang w:val="en-US"/>
        </w:rPr>
        <w:t xml:space="preserve"> 63</w:t>
      </w:r>
      <w:r w:rsidRPr="007B2402">
        <w:rPr>
          <w:rFonts w:eastAsia="Calibri" w:cs="Times New Roman"/>
          <w:iCs/>
          <w:lang w:val="en-US"/>
        </w:rPr>
        <w:t>(1)</w:t>
      </w:r>
      <w:r w:rsidR="00AF4344" w:rsidRPr="007B2402">
        <w:rPr>
          <w:rFonts w:eastAsia="Calibri" w:cs="Times New Roman"/>
          <w:iCs/>
          <w:lang w:val="en-US"/>
        </w:rPr>
        <w:t xml:space="preserve"> of the Convention</w:t>
      </w:r>
      <w:r w:rsidR="00B91D70" w:rsidRPr="007B2402">
        <w:rPr>
          <w:rFonts w:eastAsia="Calibri" w:cs="Times New Roman"/>
          <w:iCs/>
          <w:lang w:val="en-US"/>
        </w:rPr>
        <w:t xml:space="preserve">, </w:t>
      </w:r>
      <w:r w:rsidRPr="007B2402">
        <w:rPr>
          <w:rFonts w:eastAsia="Calibri" w:cs="Times New Roman"/>
          <w:iCs/>
          <w:lang w:val="en-US"/>
        </w:rPr>
        <w:t>it will consider those it has declared victims of the violation of any right recognized in</w:t>
      </w:r>
      <w:r w:rsidR="00B42979" w:rsidRPr="007B2402">
        <w:rPr>
          <w:rFonts w:eastAsia="Calibri" w:cs="Times New Roman"/>
          <w:iCs/>
          <w:lang w:val="en-US"/>
        </w:rPr>
        <w:t xml:space="preserve"> this instrument to be the injured parties</w:t>
      </w:r>
      <w:r w:rsidRPr="007B2402">
        <w:rPr>
          <w:rFonts w:eastAsia="Calibri" w:cs="Times New Roman"/>
          <w:iCs/>
          <w:lang w:val="en-US"/>
        </w:rPr>
        <w:t>.</w:t>
      </w:r>
      <w:r w:rsidR="00B91D70" w:rsidRPr="007B2402">
        <w:rPr>
          <w:rFonts w:eastAsia="Calibri" w:cs="Times New Roman"/>
          <w:iCs/>
          <w:vertAlign w:val="superscript"/>
          <w:lang w:val="en-US"/>
        </w:rPr>
        <w:footnoteReference w:id="402"/>
      </w:r>
      <w:r w:rsidRPr="007B2402">
        <w:rPr>
          <w:rFonts w:eastAsia="Calibri" w:cs="Times New Roman"/>
          <w:iCs/>
          <w:lang w:val="en-US"/>
        </w:rPr>
        <w:t xml:space="preserve"> Accordingly, the Court considers that </w:t>
      </w:r>
      <w:r w:rsidR="00B91D70" w:rsidRPr="007B2402">
        <w:rPr>
          <w:rFonts w:eastAsia="Calibri" w:cs="Times New Roman"/>
          <w:iCs/>
          <w:lang w:val="en-US"/>
        </w:rPr>
        <w:t>Clarice Herzog, Ivo Herzog, André Herzog</w:t>
      </w:r>
      <w:r w:rsidR="005B1590" w:rsidRPr="007B2402">
        <w:rPr>
          <w:rFonts w:eastAsia="Calibri" w:cs="Times New Roman"/>
          <w:iCs/>
          <w:lang w:val="en-US"/>
        </w:rPr>
        <w:t xml:space="preserve"> and </w:t>
      </w:r>
      <w:r w:rsidR="00B91D70" w:rsidRPr="007B2402">
        <w:rPr>
          <w:rFonts w:eastAsia="Calibri" w:cs="Times New Roman"/>
          <w:iCs/>
          <w:lang w:val="en-US"/>
        </w:rPr>
        <w:t>Zora Herzog</w:t>
      </w:r>
      <w:r w:rsidRPr="007B2402">
        <w:rPr>
          <w:rFonts w:eastAsia="Calibri" w:cs="Times New Roman"/>
          <w:iCs/>
          <w:lang w:val="en-US"/>
        </w:rPr>
        <w:t xml:space="preserve"> are the “injured parties” and, as victims of the violations declared in </w:t>
      </w:r>
      <w:r w:rsidRPr="007B2402">
        <w:rPr>
          <w:rFonts w:eastAsia="Calibri" w:cs="Times New Roman"/>
          <w:iCs/>
          <w:lang w:val="en-US"/>
        </w:rPr>
        <w:lastRenderedPageBreak/>
        <w:t>Chapter VII of this judgment, they will be considered beneficiaries of the reparations that the Court will now order.</w:t>
      </w:r>
    </w:p>
    <w:p w14:paraId="32684C6F" w14:textId="77777777" w:rsidR="0075618A" w:rsidRPr="007B2402" w:rsidRDefault="0075618A" w:rsidP="0075618A">
      <w:pPr>
        <w:spacing w:after="0" w:line="240" w:lineRule="auto"/>
        <w:jc w:val="both"/>
        <w:rPr>
          <w:rFonts w:eastAsia="Calibri" w:cs="Times New Roman"/>
          <w:iCs/>
          <w:lang w:val="en-US"/>
        </w:rPr>
      </w:pPr>
    </w:p>
    <w:p w14:paraId="49AB7D9E" w14:textId="1DA13101" w:rsidR="00B91D70" w:rsidRPr="007B2402" w:rsidRDefault="00593954" w:rsidP="008003BB">
      <w:pPr>
        <w:pStyle w:val="Ttulo2"/>
        <w:numPr>
          <w:ilvl w:val="0"/>
          <w:numId w:val="27"/>
        </w:numPr>
        <w:ind w:left="0" w:firstLine="0"/>
        <w:rPr>
          <w:b/>
          <w:lang w:val="en-US"/>
        </w:rPr>
      </w:pPr>
      <w:r w:rsidRPr="007B2402">
        <w:rPr>
          <w:b/>
          <w:lang w:val="en-US"/>
        </w:rPr>
        <w:t>Obligation to investigate</w:t>
      </w:r>
    </w:p>
    <w:p w14:paraId="52FF04FE" w14:textId="77777777" w:rsidR="00B91D70" w:rsidRPr="007B2402" w:rsidRDefault="00B91D70" w:rsidP="00B91D70">
      <w:pPr>
        <w:spacing w:after="0" w:line="240" w:lineRule="auto"/>
        <w:jc w:val="both"/>
        <w:rPr>
          <w:rFonts w:eastAsia="Calibri" w:cs="Times New Roman"/>
          <w:b/>
          <w:i/>
          <w:lang w:val="en-US"/>
        </w:rPr>
      </w:pPr>
    </w:p>
    <w:p w14:paraId="1C6F6203" w14:textId="624BC211" w:rsidR="00B91D70" w:rsidRPr="007B2402" w:rsidRDefault="00B91D70" w:rsidP="00E76FCD">
      <w:pPr>
        <w:pStyle w:val="Ttulo3"/>
        <w:numPr>
          <w:ilvl w:val="0"/>
          <w:numId w:val="18"/>
        </w:numPr>
        <w:rPr>
          <w:b/>
          <w:lang w:val="en-US"/>
        </w:rPr>
      </w:pPr>
      <w:bookmarkStart w:id="189" w:name="_Toc506496155"/>
      <w:bookmarkStart w:id="190" w:name="_Toc506984136"/>
      <w:r w:rsidRPr="007B2402">
        <w:rPr>
          <w:lang w:val="en-US"/>
        </w:rPr>
        <w:t>Investiga</w:t>
      </w:r>
      <w:r w:rsidR="00593954" w:rsidRPr="007B2402">
        <w:rPr>
          <w:lang w:val="en-US"/>
        </w:rPr>
        <w:t xml:space="preserve">tion of the facts, </w:t>
      </w:r>
      <w:r w:rsidR="00B42979" w:rsidRPr="007B2402">
        <w:rPr>
          <w:lang w:val="en-US"/>
        </w:rPr>
        <w:t xml:space="preserve">and </w:t>
      </w:r>
      <w:r w:rsidR="00593954" w:rsidRPr="007B2402">
        <w:rPr>
          <w:lang w:val="en-US"/>
        </w:rPr>
        <w:t>prosecution and punishment, as appropriate, of those responsible</w:t>
      </w:r>
      <w:r w:rsidR="00B42979" w:rsidRPr="007B2402">
        <w:rPr>
          <w:lang w:val="en-US"/>
        </w:rPr>
        <w:t>;</w:t>
      </w:r>
      <w:r w:rsidR="00593954" w:rsidRPr="007B2402">
        <w:rPr>
          <w:lang w:val="en-US"/>
        </w:rPr>
        <w:t xml:space="preserve"> non-applicability of the </w:t>
      </w:r>
      <w:r w:rsidR="00221E16" w:rsidRPr="007B2402">
        <w:rPr>
          <w:lang w:val="en-US"/>
        </w:rPr>
        <w:t>Amnesty Law</w:t>
      </w:r>
      <w:r w:rsidR="005B1590" w:rsidRPr="007B2402">
        <w:rPr>
          <w:lang w:val="en-US"/>
        </w:rPr>
        <w:t xml:space="preserve"> and </w:t>
      </w:r>
      <w:r w:rsidRPr="007B2402">
        <w:rPr>
          <w:lang w:val="en-US"/>
        </w:rPr>
        <w:t>obst</w:t>
      </w:r>
      <w:r w:rsidR="00593954" w:rsidRPr="007B2402">
        <w:rPr>
          <w:lang w:val="en-US"/>
        </w:rPr>
        <w:t>acles to the achievement of justice</w:t>
      </w:r>
      <w:bookmarkEnd w:id="189"/>
      <w:bookmarkEnd w:id="190"/>
    </w:p>
    <w:p w14:paraId="780FC97B" w14:textId="77777777" w:rsidR="00B91D70" w:rsidRPr="007B2402" w:rsidRDefault="00B91D70" w:rsidP="00B91D70">
      <w:pPr>
        <w:spacing w:after="0" w:line="240" w:lineRule="auto"/>
        <w:ind w:left="1713"/>
        <w:contextualSpacing/>
        <w:jc w:val="both"/>
        <w:rPr>
          <w:rFonts w:eastAsia="Calibri" w:cs="Times New Roman"/>
          <w:b/>
          <w:i/>
          <w:iCs/>
          <w:lang w:val="en-US"/>
        </w:rPr>
      </w:pPr>
    </w:p>
    <w:p w14:paraId="4337171C" w14:textId="1FD13295" w:rsidR="00BD4C8A" w:rsidRPr="007B2402" w:rsidRDefault="00AF4344" w:rsidP="00DB1F30">
      <w:pPr>
        <w:numPr>
          <w:ilvl w:val="0"/>
          <w:numId w:val="5"/>
        </w:numPr>
        <w:spacing w:after="0" w:line="240" w:lineRule="auto"/>
        <w:jc w:val="both"/>
        <w:rPr>
          <w:rFonts w:eastAsia="Calibri" w:cs="Times New Roman"/>
          <w:lang w:val="en-US"/>
        </w:rPr>
      </w:pPr>
      <w:r w:rsidRPr="007B2402">
        <w:rPr>
          <w:rFonts w:eastAsia="Calibri" w:cs="Times New Roman"/>
          <w:lang w:val="en-US"/>
        </w:rPr>
        <w:t xml:space="preserve">The </w:t>
      </w:r>
      <w:r w:rsidRPr="007B2402">
        <w:rPr>
          <w:rFonts w:eastAsia="Calibri" w:cs="Times New Roman"/>
          <w:b/>
          <w:bCs/>
          <w:i/>
          <w:iCs/>
          <w:lang w:val="en-US"/>
        </w:rPr>
        <w:t>Commission</w:t>
      </w:r>
      <w:r w:rsidR="00B91D70" w:rsidRPr="007B2402">
        <w:rPr>
          <w:rFonts w:eastAsia="Calibri" w:cs="Times New Roman"/>
          <w:b/>
          <w:i/>
          <w:lang w:val="en-US"/>
        </w:rPr>
        <w:t xml:space="preserve"> </w:t>
      </w:r>
      <w:r w:rsidR="00593954" w:rsidRPr="007B2402">
        <w:rPr>
          <w:rFonts w:eastAsia="Calibri" w:cs="Times New Roman"/>
          <w:lang w:val="en-US"/>
        </w:rPr>
        <w:t xml:space="preserve">asked that </w:t>
      </w:r>
      <w:r w:rsidR="00252491" w:rsidRPr="007B2402">
        <w:rPr>
          <w:rFonts w:eastAsia="Calibri" w:cs="Times New Roman"/>
          <w:lang w:val="en-US"/>
        </w:rPr>
        <w:t xml:space="preserve">the </w:t>
      </w:r>
      <w:r w:rsidR="00BD4C8A" w:rsidRPr="007B2402">
        <w:rPr>
          <w:rFonts w:eastAsia="Calibri" w:cs="Times New Roman"/>
          <w:lang w:val="en-US"/>
        </w:rPr>
        <w:t xml:space="preserve">criminal responsibility for the arbitrary detention, torture and murder </w:t>
      </w:r>
      <w:r w:rsidR="00252491" w:rsidRPr="007B2402">
        <w:rPr>
          <w:rFonts w:eastAsia="Calibri" w:cs="Times New Roman"/>
          <w:lang w:val="en-US"/>
        </w:rPr>
        <w:t xml:space="preserve">of </w:t>
      </w:r>
      <w:r w:rsidR="00B91D70" w:rsidRPr="007B2402">
        <w:rPr>
          <w:rFonts w:eastAsia="Calibri" w:cs="Times New Roman"/>
          <w:lang w:val="en-US"/>
        </w:rPr>
        <w:t>Vladimir Herzog</w:t>
      </w:r>
      <w:r w:rsidR="00BD4C8A" w:rsidRPr="007B2402">
        <w:rPr>
          <w:rFonts w:eastAsia="Calibri" w:cs="Times New Roman"/>
          <w:lang w:val="en-US"/>
        </w:rPr>
        <w:t xml:space="preserve"> should be determined by a thorough and impartial judicial investigation of the facts in accordance with due legal process in order to identify and punish those responsible for such violations, and that the results of the investigation should be </w:t>
      </w:r>
      <w:r w:rsidR="00DF1102" w:rsidRPr="007B2402">
        <w:rPr>
          <w:rFonts w:eastAsia="Calibri" w:cs="Times New Roman"/>
          <w:lang w:val="en-US"/>
        </w:rPr>
        <w:t>published.</w:t>
      </w:r>
    </w:p>
    <w:p w14:paraId="7F4804C8" w14:textId="77777777" w:rsidR="00B91D70" w:rsidRPr="007B2402" w:rsidRDefault="00B91D70" w:rsidP="00B91D70">
      <w:pPr>
        <w:spacing w:after="0" w:line="240" w:lineRule="auto"/>
        <w:jc w:val="both"/>
        <w:rPr>
          <w:rFonts w:eastAsia="Calibri" w:cs="Times New Roman"/>
          <w:lang w:val="en-US"/>
        </w:rPr>
      </w:pPr>
    </w:p>
    <w:p w14:paraId="08EC6E70" w14:textId="6478E142" w:rsidR="00B91D70" w:rsidRPr="007B2402" w:rsidRDefault="000251D5" w:rsidP="00DB1F30">
      <w:pPr>
        <w:numPr>
          <w:ilvl w:val="0"/>
          <w:numId w:val="5"/>
        </w:numPr>
        <w:spacing w:after="0" w:line="240" w:lineRule="auto"/>
        <w:jc w:val="both"/>
        <w:rPr>
          <w:rFonts w:eastAsia="Calibri" w:cs="Times New Roman"/>
          <w:lang w:val="en-US"/>
        </w:rPr>
      </w:pPr>
      <w:r w:rsidRPr="007B2402">
        <w:rPr>
          <w:rFonts w:eastAsia="Calibri" w:cs="Times New Roman"/>
          <w:lang w:val="en-US"/>
        </w:rPr>
        <w:t>The</w:t>
      </w:r>
      <w:r w:rsidR="00AF4344" w:rsidRPr="007B2402">
        <w:rPr>
          <w:rFonts w:eastAsia="Calibri" w:cs="Times New Roman"/>
          <w:lang w:val="en-US"/>
        </w:rPr>
        <w:t xml:space="preserve"> Commission</w:t>
      </w:r>
      <w:r w:rsidRPr="007B2402">
        <w:rPr>
          <w:rFonts w:eastAsia="Calibri" w:cs="Times New Roman"/>
          <w:lang w:val="en-US"/>
        </w:rPr>
        <w:t xml:space="preserve"> also recalled that </w:t>
      </w:r>
      <w:r w:rsidR="00AF4344" w:rsidRPr="007B2402">
        <w:rPr>
          <w:rFonts w:eastAsia="Calibri" w:cs="Times New Roman"/>
          <w:lang w:val="en-US"/>
        </w:rPr>
        <w:t>the State</w:t>
      </w:r>
      <w:r w:rsidR="00B91D70" w:rsidRPr="007B2402">
        <w:rPr>
          <w:rFonts w:eastAsia="Calibri" w:cs="Times New Roman"/>
          <w:lang w:val="en-US"/>
        </w:rPr>
        <w:t xml:space="preserve"> </w:t>
      </w:r>
      <w:r w:rsidRPr="007B2402">
        <w:rPr>
          <w:rFonts w:eastAsia="Calibri" w:cs="Times New Roman"/>
          <w:lang w:val="en-US"/>
        </w:rPr>
        <w:t>must take into account that</w:t>
      </w:r>
      <w:r w:rsidR="00B91D70" w:rsidRPr="007B2402">
        <w:rPr>
          <w:rFonts w:eastAsia="Calibri" w:cs="Times New Roman"/>
          <w:lang w:val="en-US"/>
        </w:rPr>
        <w:t xml:space="preserve"> </w:t>
      </w:r>
      <w:r w:rsidR="00810476" w:rsidRPr="007B2402">
        <w:rPr>
          <w:rFonts w:eastAsia="Calibri" w:cs="Times New Roman"/>
          <w:lang w:val="en-US"/>
        </w:rPr>
        <w:t>crimes against humanity</w:t>
      </w:r>
      <w:r w:rsidR="00B91D70" w:rsidRPr="007B2402">
        <w:rPr>
          <w:rFonts w:eastAsia="Calibri" w:cs="Times New Roman"/>
          <w:lang w:val="en-US"/>
        </w:rPr>
        <w:t xml:space="preserve"> </w:t>
      </w:r>
      <w:r w:rsidRPr="007B2402">
        <w:rPr>
          <w:rFonts w:eastAsia="Calibri" w:cs="Times New Roman"/>
          <w:lang w:val="en-US"/>
        </w:rPr>
        <w:t xml:space="preserve">were not subject to amnesties or statutes of limitations and that the State should take all necessary measures to ensure that </w:t>
      </w:r>
      <w:r w:rsidR="00513729" w:rsidRPr="007B2402">
        <w:rPr>
          <w:rFonts w:eastAsia="Calibri" w:cs="Times New Roman"/>
          <w:lang w:val="en-US"/>
        </w:rPr>
        <w:t xml:space="preserve">Law </w:t>
      </w:r>
      <w:r w:rsidRPr="007B2402">
        <w:rPr>
          <w:rFonts w:eastAsia="Calibri" w:cs="Times New Roman"/>
          <w:lang w:val="en-US"/>
        </w:rPr>
        <w:t>N</w:t>
      </w:r>
      <w:r w:rsidR="00B91D70" w:rsidRPr="007B2402">
        <w:rPr>
          <w:rFonts w:eastAsia="Calibri" w:cs="Times New Roman"/>
          <w:lang w:val="en-US"/>
        </w:rPr>
        <w:t>o. 6683/79 (</w:t>
      </w:r>
      <w:r w:rsidR="00221E16" w:rsidRPr="007B2402">
        <w:rPr>
          <w:rFonts w:eastAsia="Calibri" w:cs="Times New Roman"/>
          <w:lang w:val="en-US"/>
        </w:rPr>
        <w:t>Amnesty Law</w:t>
      </w:r>
      <w:r w:rsidR="00B91D70" w:rsidRPr="007B2402">
        <w:rPr>
          <w:rFonts w:eastAsia="Calibri" w:cs="Times New Roman"/>
          <w:lang w:val="en-US"/>
        </w:rPr>
        <w:t>)</w:t>
      </w:r>
      <w:r w:rsidR="005B1590" w:rsidRPr="007B2402">
        <w:rPr>
          <w:rFonts w:eastAsia="Calibri" w:cs="Times New Roman"/>
          <w:lang w:val="en-US"/>
        </w:rPr>
        <w:t xml:space="preserve"> </w:t>
      </w:r>
      <w:r w:rsidRPr="007B2402">
        <w:rPr>
          <w:rFonts w:eastAsia="Calibri" w:cs="Times New Roman"/>
          <w:lang w:val="en-US"/>
        </w:rPr>
        <w:t xml:space="preserve">as well as other provisions of criminal law, such as statutes of limitations, </w:t>
      </w:r>
      <w:r w:rsidRPr="007B2402">
        <w:rPr>
          <w:rFonts w:eastAsia="Calibri" w:cs="Times New Roman"/>
          <w:i/>
          <w:iCs/>
          <w:lang w:val="en-US"/>
        </w:rPr>
        <w:t>res judicata</w:t>
      </w:r>
      <w:r w:rsidRPr="007B2402">
        <w:rPr>
          <w:rFonts w:eastAsia="Calibri" w:cs="Times New Roman"/>
          <w:lang w:val="en-US"/>
        </w:rPr>
        <w:t xml:space="preserve">, the principles of non-retroactivity and </w:t>
      </w:r>
      <w:r w:rsidR="00B91D70" w:rsidRPr="007B2402">
        <w:rPr>
          <w:rFonts w:eastAsia="Calibri" w:cs="Times New Roman"/>
          <w:i/>
          <w:lang w:val="en-US"/>
        </w:rPr>
        <w:t>n</w:t>
      </w:r>
      <w:r w:rsidR="00D5730E" w:rsidRPr="007B2402">
        <w:rPr>
          <w:rFonts w:eastAsia="Calibri" w:cs="Times New Roman"/>
          <w:i/>
          <w:lang w:val="en-US"/>
        </w:rPr>
        <w:t>e</w:t>
      </w:r>
      <w:r w:rsidR="00B91D70" w:rsidRPr="007B2402">
        <w:rPr>
          <w:rFonts w:eastAsia="Calibri" w:cs="Times New Roman"/>
          <w:i/>
          <w:lang w:val="en-US"/>
        </w:rPr>
        <w:t xml:space="preserve"> bis in </w:t>
      </w:r>
      <w:r w:rsidR="00993DBA" w:rsidRPr="007B2402">
        <w:rPr>
          <w:rFonts w:eastAsia="Calibri" w:cs="Times New Roman"/>
          <w:i/>
          <w:lang w:val="en-US"/>
        </w:rPr>
        <w:t>idem</w:t>
      </w:r>
      <w:r w:rsidR="00B91D70" w:rsidRPr="007B2402">
        <w:rPr>
          <w:rFonts w:eastAsia="Calibri" w:cs="Times New Roman"/>
          <w:lang w:val="en-US"/>
        </w:rPr>
        <w:t xml:space="preserve">, </w:t>
      </w:r>
      <w:r w:rsidRPr="007B2402">
        <w:rPr>
          <w:rFonts w:eastAsia="Calibri" w:cs="Times New Roman"/>
          <w:lang w:val="en-US"/>
        </w:rPr>
        <w:t xml:space="preserve">do not continue to represent an obstacle for the criminal prosecution of serious human rights violations </w:t>
      </w:r>
      <w:r w:rsidR="007A6034" w:rsidRPr="007B2402">
        <w:rPr>
          <w:rFonts w:eastAsia="Calibri" w:cs="Times New Roman"/>
          <w:lang w:val="en-US"/>
        </w:rPr>
        <w:t>such as those of the instant case</w:t>
      </w:r>
      <w:r w:rsidR="0075618A" w:rsidRPr="007B2402">
        <w:rPr>
          <w:rFonts w:eastAsia="Calibri" w:cs="Times New Roman"/>
          <w:lang w:val="en-US"/>
        </w:rPr>
        <w:t>.</w:t>
      </w:r>
    </w:p>
    <w:p w14:paraId="715562E0" w14:textId="77777777" w:rsidR="00B91D70" w:rsidRPr="007B2402" w:rsidRDefault="00B91D70" w:rsidP="00B91D70">
      <w:pPr>
        <w:spacing w:after="0" w:line="240" w:lineRule="auto"/>
        <w:jc w:val="both"/>
        <w:rPr>
          <w:rFonts w:eastAsia="Calibri" w:cs="Times New Roman"/>
          <w:lang w:val="en-US"/>
        </w:rPr>
      </w:pPr>
    </w:p>
    <w:p w14:paraId="3391FE67" w14:textId="148BF673" w:rsidR="007A6034" w:rsidRPr="007B2402" w:rsidRDefault="005B1590" w:rsidP="00DB1F30">
      <w:pPr>
        <w:numPr>
          <w:ilvl w:val="0"/>
          <w:numId w:val="5"/>
        </w:numPr>
        <w:spacing w:after="0" w:line="240" w:lineRule="auto"/>
        <w:jc w:val="both"/>
        <w:rPr>
          <w:rFonts w:eastAsia="Calibri" w:cs="Times New Roman"/>
          <w:lang w:val="en-US"/>
        </w:rPr>
      </w:pPr>
      <w:r w:rsidRPr="007B2402">
        <w:rPr>
          <w:rFonts w:eastAsia="Calibri" w:cs="Times New Roman"/>
          <w:lang w:val="en-US"/>
        </w:rPr>
        <w:t xml:space="preserve">The </w:t>
      </w:r>
      <w:r w:rsidRPr="007B2402">
        <w:rPr>
          <w:rFonts w:eastAsia="Calibri" w:cs="Times New Roman"/>
          <w:b/>
          <w:bCs/>
          <w:i/>
          <w:iCs/>
          <w:lang w:val="en-US"/>
        </w:rPr>
        <w:t>representatives</w:t>
      </w:r>
      <w:r w:rsidR="00B91D70" w:rsidRPr="007B2402">
        <w:rPr>
          <w:rFonts w:eastAsia="Calibri" w:cs="Times New Roman"/>
          <w:b/>
          <w:i/>
          <w:lang w:val="en-US"/>
        </w:rPr>
        <w:t xml:space="preserve"> </w:t>
      </w:r>
      <w:r w:rsidR="007A6034" w:rsidRPr="007B2402">
        <w:rPr>
          <w:rFonts w:eastAsia="Calibri" w:cs="Times New Roman"/>
          <w:lang w:val="en-US"/>
        </w:rPr>
        <w:t>asked that</w:t>
      </w:r>
      <w:r w:rsidR="00B91D70" w:rsidRPr="007B2402">
        <w:rPr>
          <w:rFonts w:eastAsia="Calibri" w:cs="Times New Roman"/>
          <w:lang w:val="en-US"/>
        </w:rPr>
        <w:t xml:space="preserve"> </w:t>
      </w:r>
      <w:r w:rsidR="00AF4344" w:rsidRPr="007B2402">
        <w:rPr>
          <w:rFonts w:eastAsia="Calibri" w:cs="Times New Roman"/>
          <w:lang w:val="en-US"/>
        </w:rPr>
        <w:t>the State</w:t>
      </w:r>
      <w:r w:rsidR="00B91D70" w:rsidRPr="007B2402">
        <w:rPr>
          <w:rFonts w:eastAsia="Calibri" w:cs="Times New Roman"/>
          <w:lang w:val="en-US"/>
        </w:rPr>
        <w:t xml:space="preserve"> </w:t>
      </w:r>
      <w:r w:rsidR="007A6034" w:rsidRPr="007B2402">
        <w:rPr>
          <w:rFonts w:eastAsia="Calibri" w:cs="Times New Roman"/>
          <w:lang w:val="en-US"/>
        </w:rPr>
        <w:t xml:space="preserve">conduct an investigation into the facts in order to identify the masterminds, perpetrators and accomplices, prosecute them and punish them appropriately. The victim’s family should have full access and capacity to act at all procedural stages, pursuant to domestic law and the Convention. In addition, the results of the investigation must be disseminated widely and publicly, so that Brazilian society may know them. </w:t>
      </w:r>
    </w:p>
    <w:p w14:paraId="066DD04F" w14:textId="77777777" w:rsidR="00B91D70" w:rsidRPr="007B2402" w:rsidRDefault="00B91D70" w:rsidP="00B91D70">
      <w:pPr>
        <w:spacing w:after="0" w:line="240" w:lineRule="auto"/>
        <w:ind w:left="720"/>
        <w:contextualSpacing/>
        <w:jc w:val="both"/>
        <w:rPr>
          <w:rFonts w:eastAsia="Calibri" w:cs="Times New Roman"/>
          <w:lang w:val="en-US"/>
        </w:rPr>
      </w:pPr>
    </w:p>
    <w:p w14:paraId="3DDD1CDF" w14:textId="64B68290" w:rsidR="00B91D70" w:rsidRPr="007B2402" w:rsidRDefault="007A6034" w:rsidP="00DB1F30">
      <w:pPr>
        <w:numPr>
          <w:ilvl w:val="0"/>
          <w:numId w:val="5"/>
        </w:numPr>
        <w:spacing w:after="0" w:line="240" w:lineRule="auto"/>
        <w:jc w:val="both"/>
        <w:rPr>
          <w:rFonts w:eastAsia="Calibri" w:cs="Times New Roman"/>
          <w:lang w:val="en-US"/>
        </w:rPr>
      </w:pPr>
      <w:r w:rsidRPr="007B2402">
        <w:rPr>
          <w:rFonts w:eastAsia="Calibri" w:cs="Times New Roman"/>
          <w:lang w:val="en-US"/>
        </w:rPr>
        <w:t>The</w:t>
      </w:r>
      <w:r w:rsidR="005B1590" w:rsidRPr="007B2402">
        <w:rPr>
          <w:rFonts w:eastAsia="Calibri" w:cs="Times New Roman"/>
          <w:lang w:val="en-US"/>
        </w:rPr>
        <w:t xml:space="preserve"> representatives</w:t>
      </w:r>
      <w:r w:rsidR="00B91D70" w:rsidRPr="007B2402">
        <w:rPr>
          <w:rFonts w:eastAsia="Calibri" w:cs="Times New Roman"/>
          <w:b/>
          <w:i/>
          <w:lang w:val="en-US"/>
        </w:rPr>
        <w:t xml:space="preserve"> </w:t>
      </w:r>
      <w:r w:rsidRPr="007B2402">
        <w:rPr>
          <w:rFonts w:eastAsia="Calibri" w:cs="Times New Roman"/>
          <w:lang w:val="en-US"/>
        </w:rPr>
        <w:t>also asked</w:t>
      </w:r>
      <w:r w:rsidR="00B91D70" w:rsidRPr="007B2402">
        <w:rPr>
          <w:rFonts w:eastAsia="Calibri" w:cs="Times New Roman"/>
          <w:lang w:val="en-US"/>
        </w:rPr>
        <w:t xml:space="preserve"> </w:t>
      </w:r>
      <w:r w:rsidR="00AF4344" w:rsidRPr="007B2402">
        <w:rPr>
          <w:rFonts w:eastAsia="Calibri" w:cs="Times New Roman"/>
          <w:lang w:val="en-US"/>
        </w:rPr>
        <w:t>the Court</w:t>
      </w:r>
      <w:r w:rsidR="00B91D70" w:rsidRPr="007B2402">
        <w:rPr>
          <w:rFonts w:eastAsia="Calibri" w:cs="Times New Roman"/>
          <w:lang w:val="en-US"/>
        </w:rPr>
        <w:t xml:space="preserve"> </w:t>
      </w:r>
      <w:r w:rsidRPr="007B2402">
        <w:rPr>
          <w:rFonts w:eastAsia="Calibri" w:cs="Times New Roman"/>
          <w:lang w:val="en-US"/>
        </w:rPr>
        <w:t xml:space="preserve">to determine </w:t>
      </w:r>
      <w:r w:rsidR="00252491" w:rsidRPr="007B2402">
        <w:rPr>
          <w:rFonts w:eastAsia="Calibri" w:cs="Times New Roman"/>
          <w:lang w:val="en-US"/>
        </w:rPr>
        <w:t xml:space="preserve">that the State was obliged </w:t>
      </w:r>
      <w:r w:rsidRPr="007B2402">
        <w:rPr>
          <w:rFonts w:eastAsia="Calibri" w:cs="Times New Roman"/>
          <w:lang w:val="en-US"/>
        </w:rPr>
        <w:t xml:space="preserve">to </w:t>
      </w:r>
      <w:r w:rsidR="00252491" w:rsidRPr="007B2402">
        <w:rPr>
          <w:rFonts w:eastAsia="Calibri" w:cs="Times New Roman"/>
          <w:lang w:val="en-US"/>
        </w:rPr>
        <w:t>guarantee</w:t>
      </w:r>
      <w:r w:rsidRPr="007B2402">
        <w:rPr>
          <w:rFonts w:eastAsia="Calibri" w:cs="Times New Roman"/>
          <w:lang w:val="en-US"/>
        </w:rPr>
        <w:t xml:space="preserve"> that the </w:t>
      </w:r>
      <w:r w:rsidR="00221E16" w:rsidRPr="007B2402">
        <w:rPr>
          <w:rFonts w:eastAsia="Calibri" w:cs="Times New Roman"/>
          <w:lang w:val="en-US"/>
        </w:rPr>
        <w:t>Amnesty Law</w:t>
      </w:r>
      <w:r w:rsidR="00B91D70" w:rsidRPr="007B2402">
        <w:rPr>
          <w:rFonts w:eastAsia="Calibri" w:cs="Times New Roman"/>
          <w:lang w:val="en-US"/>
        </w:rPr>
        <w:t xml:space="preserve"> </w:t>
      </w:r>
      <w:r w:rsidRPr="007B2402">
        <w:rPr>
          <w:rFonts w:eastAsia="Calibri" w:cs="Times New Roman"/>
          <w:lang w:val="en-US"/>
        </w:rPr>
        <w:t>w</w:t>
      </w:r>
      <w:r w:rsidR="00252491" w:rsidRPr="007B2402">
        <w:rPr>
          <w:rFonts w:eastAsia="Calibri" w:cs="Times New Roman"/>
          <w:lang w:val="en-US"/>
        </w:rPr>
        <w:t>ould</w:t>
      </w:r>
      <w:r w:rsidRPr="007B2402">
        <w:rPr>
          <w:rFonts w:eastAsia="Calibri" w:cs="Times New Roman"/>
          <w:lang w:val="en-US"/>
        </w:rPr>
        <w:t xml:space="preserve"> not continue to be an obstacle to the investigation of the facts of this case, and </w:t>
      </w:r>
      <w:r w:rsidR="00252491" w:rsidRPr="007B2402">
        <w:rPr>
          <w:rFonts w:eastAsia="Calibri" w:cs="Times New Roman"/>
          <w:lang w:val="en-US"/>
        </w:rPr>
        <w:t xml:space="preserve">also that it ensure </w:t>
      </w:r>
      <w:r w:rsidRPr="007B2402">
        <w:rPr>
          <w:rFonts w:eastAsia="Calibri" w:cs="Times New Roman"/>
          <w:lang w:val="en-US"/>
        </w:rPr>
        <w:t>the investigation, criminal prosecution and punishment of all those responsible for the crimes denounced</w:t>
      </w:r>
      <w:r w:rsidR="00252491" w:rsidRPr="007B2402">
        <w:rPr>
          <w:rFonts w:eastAsia="Calibri" w:cs="Times New Roman"/>
          <w:lang w:val="en-US"/>
        </w:rPr>
        <w:t>. In addition, they asked that the Court</w:t>
      </w:r>
      <w:r w:rsidRPr="007B2402">
        <w:rPr>
          <w:rFonts w:eastAsia="Calibri" w:cs="Times New Roman"/>
          <w:lang w:val="en-US"/>
        </w:rPr>
        <w:t xml:space="preserve"> determin</w:t>
      </w:r>
      <w:r w:rsidR="00252491" w:rsidRPr="007B2402">
        <w:rPr>
          <w:rFonts w:eastAsia="Calibri" w:cs="Times New Roman"/>
          <w:lang w:val="en-US"/>
        </w:rPr>
        <w:t>e</w:t>
      </w:r>
      <w:r w:rsidRPr="007B2402">
        <w:rPr>
          <w:rFonts w:eastAsia="Calibri" w:cs="Times New Roman"/>
          <w:lang w:val="en-US"/>
        </w:rPr>
        <w:t xml:space="preserve"> that the Brazilian State must exercise control of the conventionality of its decisions </w:t>
      </w:r>
      <w:r w:rsidR="00252491" w:rsidRPr="007B2402">
        <w:rPr>
          <w:rFonts w:eastAsia="Calibri" w:cs="Times New Roman"/>
          <w:lang w:val="en-US"/>
        </w:rPr>
        <w:t xml:space="preserve">in order </w:t>
      </w:r>
      <w:r w:rsidRPr="007B2402">
        <w:rPr>
          <w:rFonts w:eastAsia="Calibri" w:cs="Times New Roman"/>
          <w:lang w:val="en-US"/>
        </w:rPr>
        <w:t xml:space="preserve">to </w:t>
      </w:r>
      <w:r w:rsidR="00252491" w:rsidRPr="007B2402">
        <w:rPr>
          <w:rFonts w:eastAsia="Calibri" w:cs="Times New Roman"/>
          <w:lang w:val="en-US"/>
        </w:rPr>
        <w:t xml:space="preserve">acknowledge </w:t>
      </w:r>
      <w:r w:rsidRPr="007B2402">
        <w:rPr>
          <w:rFonts w:eastAsia="Calibri" w:cs="Times New Roman"/>
          <w:lang w:val="en-US"/>
        </w:rPr>
        <w:t>that the Brazilian Amnesty Law ha</w:t>
      </w:r>
      <w:r w:rsidR="00252491" w:rsidRPr="007B2402">
        <w:rPr>
          <w:rFonts w:eastAsia="Calibri" w:cs="Times New Roman"/>
          <w:lang w:val="en-US"/>
        </w:rPr>
        <w:t>d</w:t>
      </w:r>
      <w:r w:rsidRPr="007B2402">
        <w:rPr>
          <w:rFonts w:eastAsia="Calibri" w:cs="Times New Roman"/>
          <w:lang w:val="en-US"/>
        </w:rPr>
        <w:t xml:space="preserve"> no legal force.  </w:t>
      </w:r>
    </w:p>
    <w:p w14:paraId="66A97D5D" w14:textId="77777777" w:rsidR="00B91D70" w:rsidRPr="007B2402" w:rsidRDefault="00B91D70" w:rsidP="00B91D70">
      <w:pPr>
        <w:spacing w:after="0" w:line="240" w:lineRule="auto"/>
        <w:ind w:left="720"/>
        <w:contextualSpacing/>
        <w:jc w:val="both"/>
        <w:rPr>
          <w:rFonts w:eastAsia="Calibri" w:cs="Times New Roman"/>
          <w:lang w:val="en-US"/>
        </w:rPr>
      </w:pPr>
    </w:p>
    <w:p w14:paraId="0F3B3746" w14:textId="062186E3" w:rsidR="00B91D70" w:rsidRPr="007B2402" w:rsidRDefault="00252491" w:rsidP="007A6034">
      <w:pPr>
        <w:numPr>
          <w:ilvl w:val="0"/>
          <w:numId w:val="5"/>
        </w:numPr>
        <w:spacing w:after="0" w:line="240" w:lineRule="auto"/>
        <w:jc w:val="both"/>
        <w:rPr>
          <w:rFonts w:eastAsia="Calibri" w:cs="Times New Roman"/>
          <w:lang w:val="en-US"/>
        </w:rPr>
      </w:pPr>
      <w:r w:rsidRPr="007B2402">
        <w:rPr>
          <w:rFonts w:eastAsia="Calibri" w:cs="Times New Roman"/>
          <w:lang w:val="en-US"/>
        </w:rPr>
        <w:t>Furthermore</w:t>
      </w:r>
      <w:r w:rsidR="007A6034" w:rsidRPr="007B2402">
        <w:rPr>
          <w:rFonts w:eastAsia="Calibri" w:cs="Times New Roman"/>
          <w:lang w:val="en-US"/>
        </w:rPr>
        <w:t xml:space="preserve">, they indicated that the whole judicial apparatus and other institution </w:t>
      </w:r>
      <w:r w:rsidR="00DF1102" w:rsidRPr="007B2402">
        <w:rPr>
          <w:rFonts w:eastAsia="Calibri" w:cs="Times New Roman"/>
          <w:lang w:val="en-US"/>
        </w:rPr>
        <w:t>of</w:t>
      </w:r>
      <w:r w:rsidR="007A6034" w:rsidRPr="007B2402">
        <w:rPr>
          <w:rFonts w:eastAsia="Calibri" w:cs="Times New Roman"/>
          <w:lang w:val="en-US"/>
        </w:rPr>
        <w:t xml:space="preserve"> the State </w:t>
      </w:r>
      <w:r w:rsidRPr="007B2402">
        <w:rPr>
          <w:rFonts w:eastAsia="Calibri" w:cs="Times New Roman"/>
          <w:lang w:val="en-US"/>
        </w:rPr>
        <w:t>must</w:t>
      </w:r>
      <w:r w:rsidR="007A6034" w:rsidRPr="007B2402">
        <w:rPr>
          <w:rFonts w:eastAsia="Calibri" w:cs="Times New Roman"/>
          <w:lang w:val="en-US"/>
        </w:rPr>
        <w:t xml:space="preserve"> be bound by the Court’s decisions </w:t>
      </w:r>
      <w:r w:rsidRPr="007B2402">
        <w:rPr>
          <w:rFonts w:eastAsia="Calibri" w:cs="Times New Roman"/>
          <w:lang w:val="en-US"/>
        </w:rPr>
        <w:t>when</w:t>
      </w:r>
      <w:r w:rsidR="007A6034" w:rsidRPr="007B2402">
        <w:rPr>
          <w:rFonts w:eastAsia="Calibri" w:cs="Times New Roman"/>
          <w:lang w:val="en-US"/>
        </w:rPr>
        <w:t xml:space="preserve"> settl</w:t>
      </w:r>
      <w:r w:rsidRPr="007B2402">
        <w:rPr>
          <w:rFonts w:eastAsia="Calibri" w:cs="Times New Roman"/>
          <w:lang w:val="en-US"/>
        </w:rPr>
        <w:t>ing</w:t>
      </w:r>
      <w:r w:rsidR="007A6034" w:rsidRPr="007B2402">
        <w:rPr>
          <w:rFonts w:eastAsia="Calibri" w:cs="Times New Roman"/>
          <w:lang w:val="en-US"/>
        </w:rPr>
        <w:t xml:space="preserve"> pending claims concerning the scope of the Amnesty Law for the criminal prosecution of gross human rights violations and </w:t>
      </w:r>
      <w:r w:rsidR="00844CE7" w:rsidRPr="007B2402">
        <w:rPr>
          <w:rFonts w:eastAsia="Calibri" w:cs="Times New Roman"/>
          <w:lang w:val="en-US"/>
        </w:rPr>
        <w:t>crimes against humanity</w:t>
      </w:r>
      <w:r w:rsidR="0075618A" w:rsidRPr="007B2402">
        <w:rPr>
          <w:rFonts w:eastAsia="Calibri" w:cs="Times New Roman"/>
          <w:lang w:val="en-US"/>
        </w:rPr>
        <w:t>.</w:t>
      </w:r>
    </w:p>
    <w:p w14:paraId="6DC42DC7" w14:textId="77777777" w:rsidR="00B91D70" w:rsidRPr="007B2402" w:rsidRDefault="00B91D70" w:rsidP="00B91D70">
      <w:pPr>
        <w:spacing w:after="0" w:line="240" w:lineRule="auto"/>
        <w:ind w:left="720"/>
        <w:contextualSpacing/>
        <w:jc w:val="both"/>
        <w:rPr>
          <w:rFonts w:eastAsia="Calibri" w:cs="Times New Roman"/>
          <w:lang w:val="en-US"/>
        </w:rPr>
      </w:pPr>
    </w:p>
    <w:p w14:paraId="1A1D11B9" w14:textId="345D8D61" w:rsidR="00B91D70" w:rsidRPr="007B2402" w:rsidRDefault="00B91D70" w:rsidP="007A6034">
      <w:pPr>
        <w:numPr>
          <w:ilvl w:val="0"/>
          <w:numId w:val="5"/>
        </w:numPr>
        <w:spacing w:after="0" w:line="240" w:lineRule="auto"/>
        <w:jc w:val="both"/>
        <w:rPr>
          <w:rFonts w:eastAsia="Calibri" w:cs="Times New Roman"/>
          <w:lang w:val="en-US"/>
        </w:rPr>
      </w:pPr>
      <w:r w:rsidRPr="007B2402">
        <w:rPr>
          <w:rFonts w:eastAsia="Calibri" w:cs="Times New Roman"/>
          <w:lang w:val="en-US"/>
        </w:rPr>
        <w:t>Final</w:t>
      </w:r>
      <w:r w:rsidR="007A6034" w:rsidRPr="007B2402">
        <w:rPr>
          <w:rFonts w:eastAsia="Calibri" w:cs="Times New Roman"/>
          <w:lang w:val="en-US"/>
        </w:rPr>
        <w:t xml:space="preserve">ly, they asked the Court to determine that the State may not use any provision of domestic law, or legal instrument such as the statute of limitations, </w:t>
      </w:r>
      <w:r w:rsidR="007A6034" w:rsidRPr="007B2402">
        <w:rPr>
          <w:rFonts w:eastAsia="Calibri" w:cs="Times New Roman"/>
          <w:i/>
          <w:iCs/>
          <w:lang w:val="en-US"/>
        </w:rPr>
        <w:t>res judicata</w:t>
      </w:r>
      <w:r w:rsidR="007A6034" w:rsidRPr="007B2402">
        <w:rPr>
          <w:rFonts w:eastAsia="Calibri" w:cs="Times New Roman"/>
          <w:lang w:val="en-US"/>
        </w:rPr>
        <w:t>, the principles of non-retroactivity of criminal law</w:t>
      </w:r>
      <w:r w:rsidR="00417ACD" w:rsidRPr="007B2402">
        <w:rPr>
          <w:rFonts w:eastAsia="Calibri" w:cs="Times New Roman"/>
          <w:lang w:val="en-US"/>
        </w:rPr>
        <w:t>s</w:t>
      </w:r>
      <w:r w:rsidR="007A6034" w:rsidRPr="007B2402">
        <w:rPr>
          <w:rFonts w:eastAsia="Calibri" w:cs="Times New Roman"/>
          <w:lang w:val="en-US"/>
        </w:rPr>
        <w:t xml:space="preserve"> and </w:t>
      </w:r>
      <w:r w:rsidR="007A6034" w:rsidRPr="007B2402">
        <w:rPr>
          <w:rFonts w:eastAsia="Calibri" w:cs="Times New Roman"/>
          <w:i/>
          <w:lang w:val="en-US"/>
        </w:rPr>
        <w:t>non bis in idem</w:t>
      </w:r>
      <w:r w:rsidR="007A6034" w:rsidRPr="007B2402">
        <w:rPr>
          <w:rFonts w:eastAsia="Calibri" w:cs="Times New Roman"/>
          <w:lang w:val="en-US"/>
        </w:rPr>
        <w:t xml:space="preserve">, or any similar mechanism that </w:t>
      </w:r>
      <w:r w:rsidR="00417ACD" w:rsidRPr="007B2402">
        <w:rPr>
          <w:rFonts w:eastAsia="Calibri" w:cs="Times New Roman"/>
          <w:lang w:val="en-US"/>
        </w:rPr>
        <w:t>excludes responsibility to waive its obligation to investigate, prosecute and punish those responsible for the gross violations of human rights that took place during the military dictatorship in Brazil</w:t>
      </w:r>
      <w:r w:rsidRPr="007B2402">
        <w:rPr>
          <w:rFonts w:eastAsia="Calibri" w:cs="Times New Roman"/>
          <w:lang w:val="en-US"/>
        </w:rPr>
        <w:t>.</w:t>
      </w:r>
      <w:r w:rsidR="00A62EB1" w:rsidRPr="007B2402">
        <w:rPr>
          <w:rFonts w:eastAsia="Calibri" w:cs="Times New Roman"/>
          <w:lang w:val="en-US"/>
        </w:rPr>
        <w:t xml:space="preserve"> </w:t>
      </w:r>
    </w:p>
    <w:p w14:paraId="683DA55F" w14:textId="77777777" w:rsidR="00B91D70" w:rsidRPr="007B2402" w:rsidRDefault="00B91D70" w:rsidP="00B91D70">
      <w:pPr>
        <w:spacing w:after="0" w:line="240" w:lineRule="auto"/>
        <w:ind w:left="720"/>
        <w:contextualSpacing/>
        <w:jc w:val="both"/>
        <w:rPr>
          <w:rFonts w:eastAsia="Calibri" w:cs="Times New Roman"/>
          <w:lang w:val="en-US"/>
        </w:rPr>
      </w:pPr>
    </w:p>
    <w:p w14:paraId="1FFE0C13" w14:textId="12F3F729" w:rsidR="00B91D70" w:rsidRPr="007B2402" w:rsidRDefault="00AF4344" w:rsidP="00DB1F30">
      <w:pPr>
        <w:numPr>
          <w:ilvl w:val="0"/>
          <w:numId w:val="5"/>
        </w:numPr>
        <w:spacing w:after="0" w:line="240" w:lineRule="auto"/>
        <w:jc w:val="both"/>
        <w:rPr>
          <w:rFonts w:eastAsia="Calibri" w:cs="Times New Roman"/>
          <w:lang w:val="en-US"/>
        </w:rPr>
      </w:pPr>
      <w:r w:rsidRPr="007B2402">
        <w:rPr>
          <w:rFonts w:eastAsia="Calibri" w:cs="Times New Roman"/>
          <w:lang w:val="en-US"/>
        </w:rPr>
        <w:t>The</w:t>
      </w:r>
      <w:r w:rsidRPr="007B2402">
        <w:rPr>
          <w:rFonts w:eastAsia="Calibri" w:cs="Times New Roman"/>
          <w:b/>
          <w:bCs/>
          <w:i/>
          <w:iCs/>
          <w:lang w:val="en-US"/>
        </w:rPr>
        <w:t xml:space="preserve"> State</w:t>
      </w:r>
      <w:r w:rsidR="00B02AAB" w:rsidRPr="007B2402">
        <w:rPr>
          <w:rFonts w:eastAsia="Calibri" w:cs="Times New Roman"/>
          <w:b/>
          <w:i/>
          <w:lang w:val="en-US"/>
        </w:rPr>
        <w:t xml:space="preserve"> </w:t>
      </w:r>
      <w:r w:rsidR="00417ACD" w:rsidRPr="007B2402">
        <w:rPr>
          <w:rFonts w:eastAsia="Calibri" w:cs="Times New Roman"/>
          <w:lang w:val="en-US"/>
        </w:rPr>
        <w:t xml:space="preserve">argued that this reparation referred to the facts relating to </w:t>
      </w:r>
      <w:r w:rsidR="00B91D70" w:rsidRPr="007B2402">
        <w:rPr>
          <w:rFonts w:eastAsia="Calibri" w:cs="Times New Roman"/>
          <w:lang w:val="en-US"/>
        </w:rPr>
        <w:t>Vladimir Herzog</w:t>
      </w:r>
      <w:r w:rsidR="00417ACD" w:rsidRPr="007B2402">
        <w:rPr>
          <w:rFonts w:eastAsia="Calibri" w:cs="Times New Roman"/>
          <w:lang w:val="en-US"/>
        </w:rPr>
        <w:t xml:space="preserve"> and, therefore, before Brazil had accepted the Court’s contentious jurisdiction. Consequently, the Court did not have temporal competence to examine it. The State also asserted that it was not the</w:t>
      </w:r>
      <w:r w:rsidR="00B91D70" w:rsidRPr="007B2402">
        <w:rPr>
          <w:rFonts w:eastAsia="Calibri" w:cs="Times New Roman"/>
          <w:lang w:val="en-US"/>
        </w:rPr>
        <w:t xml:space="preserve"> </w:t>
      </w:r>
      <w:r w:rsidR="00221E16" w:rsidRPr="007B2402">
        <w:rPr>
          <w:rFonts w:eastAsia="Calibri" w:cs="Times New Roman"/>
          <w:lang w:val="en-US"/>
        </w:rPr>
        <w:t>Amnesty Law</w:t>
      </w:r>
      <w:r w:rsidR="00B91D70" w:rsidRPr="007B2402">
        <w:rPr>
          <w:rFonts w:eastAsia="Calibri" w:cs="Times New Roman"/>
          <w:lang w:val="en-US"/>
        </w:rPr>
        <w:t xml:space="preserve"> </w:t>
      </w:r>
      <w:r w:rsidR="00417ACD" w:rsidRPr="007B2402">
        <w:rPr>
          <w:rFonts w:eastAsia="Calibri" w:cs="Times New Roman"/>
          <w:lang w:val="en-US"/>
        </w:rPr>
        <w:t xml:space="preserve">that made it impossible to open the investigation in 2008, and that the previous proceedings, in 1993, did not fall within the Court’s temporal competence. In </w:t>
      </w:r>
      <w:r w:rsidR="00417ACD" w:rsidRPr="007B2402">
        <w:rPr>
          <w:rFonts w:eastAsia="Calibri" w:cs="Times New Roman"/>
          <w:lang w:val="en-US"/>
        </w:rPr>
        <w:lastRenderedPageBreak/>
        <w:t xml:space="preserve">addition, it indicated that it had been shown that statutory limitations, </w:t>
      </w:r>
      <w:r w:rsidR="00417ACD" w:rsidRPr="007B2402">
        <w:rPr>
          <w:rFonts w:eastAsia="Calibri" w:cs="Times New Roman"/>
          <w:i/>
          <w:iCs/>
          <w:lang w:val="en-US"/>
        </w:rPr>
        <w:t>res judicata</w:t>
      </w:r>
      <w:r w:rsidR="00417ACD" w:rsidRPr="007B2402">
        <w:rPr>
          <w:rFonts w:eastAsia="Calibri" w:cs="Times New Roman"/>
          <w:lang w:val="en-US"/>
        </w:rPr>
        <w:t xml:space="preserve">, the principles of the non-retroactivity of criminal laws, and </w:t>
      </w:r>
      <w:r w:rsidR="00B91D70" w:rsidRPr="007B2402">
        <w:rPr>
          <w:rFonts w:eastAsia="Calibri" w:cs="Times New Roman"/>
          <w:i/>
          <w:lang w:val="en-US"/>
        </w:rPr>
        <w:t xml:space="preserve">non bis in </w:t>
      </w:r>
      <w:r w:rsidR="00993DBA" w:rsidRPr="007B2402">
        <w:rPr>
          <w:rFonts w:eastAsia="Calibri" w:cs="Times New Roman"/>
          <w:i/>
          <w:lang w:val="en-US"/>
        </w:rPr>
        <w:t>idem</w:t>
      </w:r>
      <w:r w:rsidR="00B91D70" w:rsidRPr="007B2402">
        <w:rPr>
          <w:rFonts w:eastAsia="Calibri" w:cs="Times New Roman"/>
          <w:lang w:val="en-US"/>
        </w:rPr>
        <w:t xml:space="preserve">, </w:t>
      </w:r>
      <w:r w:rsidR="00417ACD" w:rsidRPr="007B2402">
        <w:rPr>
          <w:rFonts w:eastAsia="Calibri" w:cs="Times New Roman"/>
          <w:lang w:val="en-US"/>
        </w:rPr>
        <w:t xml:space="preserve">conform to </w:t>
      </w:r>
      <w:r w:rsidRPr="007B2402">
        <w:rPr>
          <w:rFonts w:eastAsia="Calibri" w:cs="Times New Roman"/>
          <w:lang w:val="en-US"/>
        </w:rPr>
        <w:t>the Convention</w:t>
      </w:r>
      <w:r w:rsidR="0075618A" w:rsidRPr="007B2402">
        <w:rPr>
          <w:rFonts w:eastAsia="Calibri" w:cs="Times New Roman"/>
          <w:lang w:val="en-US"/>
        </w:rPr>
        <w:t>.</w:t>
      </w:r>
    </w:p>
    <w:p w14:paraId="7021F138" w14:textId="77777777" w:rsidR="00B91D70" w:rsidRPr="007B2402" w:rsidRDefault="00B91D70" w:rsidP="00B91D70">
      <w:pPr>
        <w:spacing w:after="0" w:line="240" w:lineRule="auto"/>
        <w:ind w:left="720"/>
        <w:contextualSpacing/>
        <w:jc w:val="both"/>
        <w:rPr>
          <w:rFonts w:eastAsia="Calibri" w:cs="Times New Roman"/>
          <w:lang w:val="en-US"/>
        </w:rPr>
      </w:pPr>
    </w:p>
    <w:p w14:paraId="612FD3A6" w14:textId="37800333" w:rsidR="00B91D70" w:rsidRPr="007B2402" w:rsidRDefault="00AF4344" w:rsidP="00417ACD">
      <w:pPr>
        <w:numPr>
          <w:ilvl w:val="0"/>
          <w:numId w:val="5"/>
        </w:numPr>
        <w:spacing w:after="0" w:line="240" w:lineRule="auto"/>
        <w:jc w:val="both"/>
        <w:rPr>
          <w:rFonts w:eastAsia="Calibri" w:cs="Times New Roman"/>
          <w:lang w:val="en-US"/>
        </w:rPr>
      </w:pPr>
      <w:r w:rsidRPr="007B2402">
        <w:rPr>
          <w:rFonts w:eastAsia="Calibri" w:cs="Times New Roman"/>
          <w:lang w:val="en-US"/>
        </w:rPr>
        <w:t>The Court</w:t>
      </w:r>
      <w:r w:rsidR="00B91D70" w:rsidRPr="007B2402">
        <w:rPr>
          <w:rFonts w:eastAsia="Calibri" w:cs="Times New Roman"/>
          <w:lang w:val="en-US"/>
        </w:rPr>
        <w:t xml:space="preserve"> rec</w:t>
      </w:r>
      <w:r w:rsidR="00417ACD" w:rsidRPr="007B2402">
        <w:rPr>
          <w:rFonts w:eastAsia="Calibri" w:cs="Times New Roman"/>
          <w:lang w:val="en-US"/>
        </w:rPr>
        <w:t xml:space="preserve">alls that, in Chapter </w:t>
      </w:r>
      <w:r w:rsidR="00B91D70" w:rsidRPr="007B2402">
        <w:rPr>
          <w:rFonts w:eastAsia="Calibri" w:cs="Times New Roman"/>
          <w:lang w:val="en-US"/>
        </w:rPr>
        <w:t>VII-1</w:t>
      </w:r>
      <w:r w:rsidR="00417ACD" w:rsidRPr="007B2402">
        <w:rPr>
          <w:rFonts w:eastAsia="Calibri" w:cs="Times New Roman"/>
          <w:lang w:val="en-US"/>
        </w:rPr>
        <w:t xml:space="preserve">, it declared the violation of the rights to </w:t>
      </w:r>
      <w:r w:rsidR="008B5281" w:rsidRPr="007B2402">
        <w:rPr>
          <w:rFonts w:eastAsia="Calibri" w:cs="Times New Roman"/>
          <w:lang w:val="en-US"/>
        </w:rPr>
        <w:t>judicial guarantee</w:t>
      </w:r>
      <w:r w:rsidR="00B91D70" w:rsidRPr="007B2402">
        <w:rPr>
          <w:rFonts w:eastAsia="Calibri" w:cs="Times New Roman"/>
          <w:lang w:val="en-US"/>
        </w:rPr>
        <w:t>s</w:t>
      </w:r>
      <w:r w:rsidR="005B1590" w:rsidRPr="007B2402">
        <w:rPr>
          <w:rFonts w:eastAsia="Calibri" w:cs="Times New Roman"/>
          <w:lang w:val="en-US"/>
        </w:rPr>
        <w:t xml:space="preserve"> and</w:t>
      </w:r>
      <w:r w:rsidR="00B91D70" w:rsidRPr="007B2402">
        <w:rPr>
          <w:rFonts w:eastAsia="Calibri" w:cs="Times New Roman"/>
          <w:lang w:val="en-US"/>
        </w:rPr>
        <w:t xml:space="preserve"> </w:t>
      </w:r>
      <w:r w:rsidR="008B5281" w:rsidRPr="007B2402">
        <w:rPr>
          <w:rFonts w:eastAsia="Calibri" w:cs="Times New Roman"/>
          <w:lang w:val="en-US"/>
        </w:rPr>
        <w:t>judicial protection</w:t>
      </w:r>
      <w:r w:rsidR="00B91D70" w:rsidRPr="007B2402">
        <w:rPr>
          <w:rFonts w:eastAsia="Calibri" w:cs="Times New Roman"/>
          <w:lang w:val="en-US"/>
        </w:rPr>
        <w:t xml:space="preserve"> </w:t>
      </w:r>
      <w:r w:rsidR="00417ACD" w:rsidRPr="007B2402">
        <w:rPr>
          <w:rFonts w:eastAsia="Calibri" w:cs="Times New Roman"/>
          <w:lang w:val="en-US"/>
        </w:rPr>
        <w:t xml:space="preserve">owing to the failure to investigate, prosecute and punish those responsible for the facts of this case. </w:t>
      </w:r>
      <w:r w:rsidR="00E9675F" w:rsidRPr="007B2402">
        <w:rPr>
          <w:rFonts w:eastAsia="Calibri" w:cs="Times New Roman"/>
          <w:lang w:val="en-US"/>
        </w:rPr>
        <w:t>Taking this into account, as well as its case law, the Court establishes that the State should conduct an effective criminal investigation into the facts of this case in order to clarify them, determine the corresponding criminal responsibilities and apply</w:t>
      </w:r>
      <w:r w:rsidR="004157E6" w:rsidRPr="007B2402">
        <w:rPr>
          <w:rFonts w:eastAsia="Calibri" w:cs="Times New Roman"/>
          <w:lang w:val="en-US"/>
        </w:rPr>
        <w:t xml:space="preserve"> </w:t>
      </w:r>
      <w:r w:rsidR="00A75421" w:rsidRPr="007B2402">
        <w:rPr>
          <w:rFonts w:eastAsia="Calibri" w:cs="Times New Roman"/>
          <w:lang w:val="en-US"/>
        </w:rPr>
        <w:t xml:space="preserve">effectively </w:t>
      </w:r>
      <w:r w:rsidR="004157E6" w:rsidRPr="007B2402">
        <w:rPr>
          <w:rFonts w:eastAsia="Calibri" w:cs="Times New Roman"/>
          <w:lang w:val="en-US"/>
        </w:rPr>
        <w:t>the punishments and consequences established by law.</w:t>
      </w:r>
      <w:r w:rsidR="00B91D70" w:rsidRPr="007B2402">
        <w:rPr>
          <w:rFonts w:eastAsia="Calibri" w:cs="Times New Roman"/>
          <w:szCs w:val="20"/>
          <w:vertAlign w:val="superscript"/>
          <w:lang w:val="en-US"/>
        </w:rPr>
        <w:footnoteReference w:id="403"/>
      </w:r>
    </w:p>
    <w:p w14:paraId="02D76D23" w14:textId="77777777" w:rsidR="00B91D70" w:rsidRPr="007B2402" w:rsidRDefault="00B91D70" w:rsidP="00B91D70">
      <w:pPr>
        <w:spacing w:after="0" w:line="240" w:lineRule="auto"/>
        <w:ind w:left="720"/>
        <w:contextualSpacing/>
        <w:jc w:val="both"/>
        <w:rPr>
          <w:rFonts w:eastAsia="Calibri" w:cs="Times New Roman"/>
          <w:lang w:val="en-US"/>
        </w:rPr>
      </w:pPr>
    </w:p>
    <w:p w14:paraId="1D82856C" w14:textId="45078688" w:rsidR="00B91D70" w:rsidRPr="007B2402" w:rsidRDefault="004157E6" w:rsidP="00DB1F30">
      <w:pPr>
        <w:numPr>
          <w:ilvl w:val="0"/>
          <w:numId w:val="5"/>
        </w:numPr>
        <w:spacing w:after="0" w:line="240" w:lineRule="auto"/>
        <w:jc w:val="both"/>
        <w:rPr>
          <w:rFonts w:eastAsia="Calibri" w:cs="Times New Roman"/>
          <w:lang w:val="en-US"/>
        </w:rPr>
      </w:pPr>
      <w:r w:rsidRPr="007B2402">
        <w:rPr>
          <w:rFonts w:eastAsia="Calibri" w:cs="Times New Roman"/>
          <w:lang w:val="en-US"/>
        </w:rPr>
        <w:t>On this basis, and as in other cases it has examined,</w:t>
      </w:r>
      <w:r w:rsidR="00B91D70" w:rsidRPr="007B2402">
        <w:rPr>
          <w:rFonts w:eastAsia="Calibri" w:cs="Times New Roman"/>
          <w:szCs w:val="20"/>
          <w:vertAlign w:val="superscript"/>
          <w:lang w:val="en-US"/>
        </w:rPr>
        <w:footnoteReference w:id="404"/>
      </w:r>
      <w:r w:rsidR="005B1590" w:rsidRPr="007B2402">
        <w:rPr>
          <w:rFonts w:eastAsia="Calibri" w:cs="Times New Roman"/>
          <w:lang w:val="en-US"/>
        </w:rPr>
        <w:t xml:space="preserve"> and </w:t>
      </w:r>
      <w:r w:rsidRPr="007B2402">
        <w:rPr>
          <w:rFonts w:eastAsia="Calibri" w:cs="Times New Roman"/>
          <w:lang w:val="en-US"/>
        </w:rPr>
        <w:t xml:space="preserve">considering the nature of the torture and murder of Vladimir Herzog as a </w:t>
      </w:r>
      <w:r w:rsidR="00810476" w:rsidRPr="007B2402">
        <w:rPr>
          <w:rFonts w:eastAsia="Calibri" w:cs="Times New Roman"/>
          <w:lang w:val="en-US"/>
        </w:rPr>
        <w:t>crime against humanity</w:t>
      </w:r>
      <w:r w:rsidR="00B91D70" w:rsidRPr="007B2402">
        <w:rPr>
          <w:rFonts w:eastAsia="Calibri" w:cs="Times New Roman"/>
          <w:lang w:val="en-US"/>
        </w:rPr>
        <w:t xml:space="preserve"> </w:t>
      </w:r>
      <w:r w:rsidR="005B1590" w:rsidRPr="007B2402">
        <w:rPr>
          <w:rFonts w:eastAsia="Calibri" w:cs="Times New Roman"/>
          <w:lang w:val="en-US"/>
        </w:rPr>
        <w:t>and</w:t>
      </w:r>
      <w:r w:rsidRPr="007B2402">
        <w:rPr>
          <w:rFonts w:eastAsia="Calibri" w:cs="Times New Roman"/>
          <w:lang w:val="en-US"/>
        </w:rPr>
        <w:t xml:space="preserve"> the legal consequences of such conducts under </w:t>
      </w:r>
      <w:r w:rsidR="002F0987" w:rsidRPr="007B2402">
        <w:rPr>
          <w:rFonts w:eastAsia="Calibri" w:cs="Times New Roman"/>
          <w:lang w:val="en-US"/>
        </w:rPr>
        <w:t>international law</w:t>
      </w:r>
      <w:r w:rsidR="00B91D70" w:rsidRPr="007B2402">
        <w:rPr>
          <w:rFonts w:eastAsia="Calibri" w:cs="Times New Roman"/>
          <w:lang w:val="en-US"/>
        </w:rPr>
        <w:t xml:space="preserve"> (</w:t>
      </w:r>
      <w:r w:rsidR="00B91D70" w:rsidRPr="007B2402">
        <w:rPr>
          <w:rFonts w:eastAsia="Calibri" w:cs="Times New Roman"/>
          <w:i/>
          <w:lang w:val="en-US"/>
        </w:rPr>
        <w:t xml:space="preserve">supra </w:t>
      </w:r>
      <w:r w:rsidR="00892CA3" w:rsidRPr="007B2402">
        <w:rPr>
          <w:rFonts w:eastAsia="Calibri" w:cs="Times New Roman"/>
          <w:lang w:val="en-US"/>
        </w:rPr>
        <w:t>paras.</w:t>
      </w:r>
      <w:r w:rsidR="0075618A" w:rsidRPr="007B2402">
        <w:rPr>
          <w:rFonts w:eastAsia="Calibri" w:cs="Times New Roman"/>
          <w:lang w:val="en-US"/>
        </w:rPr>
        <w:t xml:space="preserve"> 230 </w:t>
      </w:r>
      <w:r w:rsidRPr="007B2402">
        <w:rPr>
          <w:rFonts w:eastAsia="Calibri" w:cs="Times New Roman"/>
          <w:lang w:val="en-US"/>
        </w:rPr>
        <w:t>to</w:t>
      </w:r>
      <w:r w:rsidR="0075618A" w:rsidRPr="007B2402">
        <w:rPr>
          <w:rFonts w:eastAsia="Calibri" w:cs="Times New Roman"/>
          <w:lang w:val="en-US"/>
        </w:rPr>
        <w:t xml:space="preserve"> 232</w:t>
      </w:r>
      <w:r w:rsidR="00B91D70" w:rsidRPr="007B2402">
        <w:rPr>
          <w:rFonts w:eastAsia="Calibri" w:cs="Times New Roman"/>
          <w:lang w:val="en-US"/>
        </w:rPr>
        <w:t xml:space="preserve">), </w:t>
      </w:r>
      <w:r w:rsidR="00AF4344" w:rsidRPr="007B2402">
        <w:rPr>
          <w:rFonts w:eastAsia="Calibri" w:cs="Times New Roman"/>
          <w:lang w:val="en-US"/>
        </w:rPr>
        <w:t>the Court</w:t>
      </w:r>
      <w:r w:rsidR="00B91D70" w:rsidRPr="007B2402">
        <w:rPr>
          <w:rFonts w:eastAsia="Calibri" w:cs="Times New Roman"/>
          <w:lang w:val="en-US"/>
        </w:rPr>
        <w:t xml:space="preserve"> </w:t>
      </w:r>
      <w:r w:rsidRPr="007B2402">
        <w:rPr>
          <w:rFonts w:eastAsia="Calibri" w:cs="Times New Roman"/>
          <w:lang w:val="en-US"/>
        </w:rPr>
        <w:t>establishes that</w:t>
      </w:r>
      <w:r w:rsidR="00B91D70" w:rsidRPr="007B2402">
        <w:rPr>
          <w:rFonts w:eastAsia="Calibri" w:cs="Times New Roman"/>
          <w:lang w:val="en-US"/>
        </w:rPr>
        <w:t xml:space="preserve"> </w:t>
      </w:r>
      <w:r w:rsidR="00AF4344" w:rsidRPr="007B2402">
        <w:rPr>
          <w:rFonts w:eastAsia="Calibri" w:cs="Times New Roman"/>
          <w:lang w:val="en-US"/>
        </w:rPr>
        <w:t>the State</w:t>
      </w:r>
      <w:r w:rsidR="00B91D70" w:rsidRPr="007B2402">
        <w:rPr>
          <w:rFonts w:eastAsia="Calibri" w:cs="Times New Roman"/>
          <w:lang w:val="en-US"/>
        </w:rPr>
        <w:t xml:space="preserve"> </w:t>
      </w:r>
      <w:r w:rsidRPr="007B2402">
        <w:rPr>
          <w:rFonts w:eastAsia="Calibri" w:cs="Times New Roman"/>
          <w:lang w:val="en-US"/>
        </w:rPr>
        <w:t xml:space="preserve">must re-open, with due diligence, the appropriate investigation and criminal proceedings for the </w:t>
      </w:r>
      <w:r w:rsidR="002E293F" w:rsidRPr="007B2402">
        <w:rPr>
          <w:rFonts w:eastAsia="Calibri" w:cs="Times New Roman"/>
          <w:lang w:val="en-US"/>
        </w:rPr>
        <w:t>events of</w:t>
      </w:r>
      <w:r w:rsidR="00221E16" w:rsidRPr="007B2402">
        <w:rPr>
          <w:rFonts w:eastAsia="Calibri" w:cs="Times New Roman"/>
          <w:lang w:val="en-US"/>
        </w:rPr>
        <w:t xml:space="preserve"> October 25,</w:t>
      </w:r>
      <w:r w:rsidR="00B91D70" w:rsidRPr="007B2402">
        <w:rPr>
          <w:rFonts w:eastAsia="Calibri" w:cs="Times New Roman"/>
          <w:lang w:val="en-US"/>
        </w:rPr>
        <w:t xml:space="preserve"> 1975</w:t>
      </w:r>
      <w:r w:rsidRPr="007B2402">
        <w:rPr>
          <w:rFonts w:eastAsia="Calibri" w:cs="Times New Roman"/>
          <w:lang w:val="en-US"/>
        </w:rPr>
        <w:t xml:space="preserve">, in order to identify prosecute and punish, as appropriate, those responsible for </w:t>
      </w:r>
      <w:r w:rsidR="008B5281" w:rsidRPr="007B2402">
        <w:rPr>
          <w:rFonts w:eastAsia="Calibri" w:cs="Times New Roman"/>
          <w:lang w:val="en-US"/>
        </w:rPr>
        <w:t>the torture and murder of Vladimir Herzog</w:t>
      </w:r>
      <w:r w:rsidR="002577D3" w:rsidRPr="007B2402">
        <w:rPr>
          <w:rFonts w:eastAsia="Calibri" w:cs="Times New Roman"/>
          <w:lang w:val="en-US"/>
        </w:rPr>
        <w:t>,</w:t>
      </w:r>
      <w:r w:rsidRPr="007B2402">
        <w:rPr>
          <w:rFonts w:eastAsia="Calibri" w:cs="Times New Roman"/>
          <w:lang w:val="en-US"/>
        </w:rPr>
        <w:t xml:space="preserve"> within a reasonable time. In </w:t>
      </w:r>
      <w:r w:rsidR="00B91D70" w:rsidRPr="007B2402">
        <w:rPr>
          <w:rFonts w:eastAsia="Calibri" w:cs="Times New Roman"/>
          <w:lang w:val="en-US"/>
        </w:rPr>
        <w:t xml:space="preserve">particular, </w:t>
      </w:r>
      <w:r w:rsidR="00AF4344" w:rsidRPr="007B2402">
        <w:rPr>
          <w:rFonts w:eastAsia="Calibri" w:cs="Times New Roman"/>
          <w:lang w:val="en-US"/>
        </w:rPr>
        <w:t>the State</w:t>
      </w:r>
      <w:r w:rsidR="00B91D70" w:rsidRPr="007B2402">
        <w:rPr>
          <w:rFonts w:eastAsia="Calibri" w:cs="Times New Roman"/>
          <w:lang w:val="en-US"/>
        </w:rPr>
        <w:t xml:space="preserve"> </w:t>
      </w:r>
      <w:r w:rsidRPr="007B2402">
        <w:rPr>
          <w:rFonts w:eastAsia="Calibri" w:cs="Times New Roman"/>
          <w:lang w:val="en-US"/>
        </w:rPr>
        <w:t>must</w:t>
      </w:r>
      <w:r w:rsidR="00B91D70" w:rsidRPr="007B2402">
        <w:rPr>
          <w:rFonts w:eastAsia="Calibri" w:cs="Times New Roman"/>
          <w:lang w:val="en-US"/>
        </w:rPr>
        <w:t xml:space="preserve">: </w:t>
      </w:r>
    </w:p>
    <w:p w14:paraId="3345526F" w14:textId="77777777" w:rsidR="00B91D70" w:rsidRPr="007B2402" w:rsidRDefault="00B91D70" w:rsidP="00B91D70">
      <w:pPr>
        <w:spacing w:after="0" w:line="240" w:lineRule="auto"/>
        <w:ind w:left="720"/>
        <w:contextualSpacing/>
        <w:jc w:val="both"/>
        <w:rPr>
          <w:rFonts w:eastAsia="Calibri" w:cs="Times New Roman"/>
          <w:lang w:val="en-US"/>
        </w:rPr>
      </w:pPr>
    </w:p>
    <w:p w14:paraId="057840C6" w14:textId="6B1F8FBF" w:rsidR="00B91D70" w:rsidRPr="007B2402" w:rsidRDefault="00B91D70" w:rsidP="00D84E85">
      <w:pPr>
        <w:spacing w:after="60" w:line="240" w:lineRule="auto"/>
        <w:ind w:left="720"/>
        <w:jc w:val="both"/>
        <w:rPr>
          <w:rFonts w:eastAsia="Calibri" w:cs="Times New Roman"/>
          <w:lang w:val="en-US"/>
        </w:rPr>
      </w:pPr>
      <w:r w:rsidRPr="007B2402">
        <w:rPr>
          <w:rFonts w:eastAsia="Calibri" w:cs="Times New Roman"/>
          <w:lang w:val="en-US"/>
        </w:rPr>
        <w:t xml:space="preserve">a) </w:t>
      </w:r>
      <w:r w:rsidR="004157E6" w:rsidRPr="007B2402">
        <w:rPr>
          <w:rFonts w:eastAsia="Calibri" w:cs="Times New Roman"/>
          <w:lang w:val="en-US"/>
        </w:rPr>
        <w:t xml:space="preserve">Conduct the pertinent investigations taking into account the pattern of human rights violations that existed at the time </w:t>
      </w:r>
      <w:r w:rsidRPr="007B2402">
        <w:rPr>
          <w:rFonts w:eastAsia="Calibri" w:cs="Times New Roman"/>
          <w:lang w:val="en-US"/>
        </w:rPr>
        <w:t>(</w:t>
      </w:r>
      <w:r w:rsidRPr="007B2402">
        <w:rPr>
          <w:rFonts w:eastAsia="Calibri" w:cs="Times New Roman"/>
          <w:i/>
          <w:lang w:val="en-US"/>
        </w:rPr>
        <w:t xml:space="preserve">supra </w:t>
      </w:r>
      <w:r w:rsidR="00892CA3" w:rsidRPr="007B2402">
        <w:rPr>
          <w:rFonts w:eastAsia="Calibri" w:cs="Times New Roman"/>
          <w:lang w:val="en-US"/>
        </w:rPr>
        <w:t>paras.</w:t>
      </w:r>
      <w:r w:rsidR="0075618A" w:rsidRPr="007B2402">
        <w:rPr>
          <w:rFonts w:eastAsia="Calibri" w:cs="Times New Roman"/>
          <w:lang w:val="en-US"/>
        </w:rPr>
        <w:t xml:space="preserve"> 23</w:t>
      </w:r>
      <w:r w:rsidR="00962A4B" w:rsidRPr="007B2402">
        <w:rPr>
          <w:rFonts w:eastAsia="Calibri" w:cs="Times New Roman"/>
          <w:lang w:val="en-US"/>
        </w:rPr>
        <w:t xml:space="preserve">8 </w:t>
      </w:r>
      <w:r w:rsidR="004157E6" w:rsidRPr="007B2402">
        <w:rPr>
          <w:rFonts w:eastAsia="Calibri" w:cs="Times New Roman"/>
          <w:lang w:val="en-US"/>
        </w:rPr>
        <w:t>to</w:t>
      </w:r>
      <w:r w:rsidR="00962A4B" w:rsidRPr="007B2402">
        <w:rPr>
          <w:rFonts w:eastAsia="Calibri" w:cs="Times New Roman"/>
          <w:lang w:val="en-US"/>
        </w:rPr>
        <w:t xml:space="preserve"> 240</w:t>
      </w:r>
      <w:r w:rsidRPr="007B2402">
        <w:rPr>
          <w:rFonts w:eastAsia="Calibri" w:cs="Times New Roman"/>
          <w:lang w:val="en-US"/>
        </w:rPr>
        <w:t xml:space="preserve">), </w:t>
      </w:r>
      <w:r w:rsidR="004157E6" w:rsidRPr="007B2402">
        <w:rPr>
          <w:rFonts w:eastAsia="Calibri" w:cs="Times New Roman"/>
          <w:lang w:val="en-US"/>
        </w:rPr>
        <w:t xml:space="preserve">so that the pertinent investigations and proceedings are conducted taking into </w:t>
      </w:r>
      <w:r w:rsidR="00A75421" w:rsidRPr="007B2402">
        <w:rPr>
          <w:rFonts w:eastAsia="Calibri" w:cs="Times New Roman"/>
          <w:lang w:val="en-US"/>
        </w:rPr>
        <w:t>consideration</w:t>
      </w:r>
      <w:r w:rsidR="004157E6" w:rsidRPr="007B2402">
        <w:rPr>
          <w:rFonts w:eastAsia="Calibri" w:cs="Times New Roman"/>
          <w:lang w:val="en-US"/>
        </w:rPr>
        <w:t xml:space="preserve"> the complexity of these facts and the context in which they occurred;</w:t>
      </w:r>
    </w:p>
    <w:p w14:paraId="7159943D" w14:textId="3C8A86D1" w:rsidR="00B91D70" w:rsidRPr="007B2402" w:rsidRDefault="00B91D70" w:rsidP="00D84E85">
      <w:pPr>
        <w:spacing w:after="60" w:line="240" w:lineRule="auto"/>
        <w:ind w:left="720"/>
        <w:jc w:val="both"/>
        <w:rPr>
          <w:rFonts w:eastAsia="Calibri" w:cs="Times New Roman"/>
          <w:lang w:val="en-US"/>
        </w:rPr>
      </w:pPr>
      <w:r w:rsidRPr="007B2402">
        <w:rPr>
          <w:rFonts w:eastAsia="Calibri" w:cs="Times New Roman"/>
          <w:lang w:val="en-US"/>
        </w:rPr>
        <w:t xml:space="preserve">b) </w:t>
      </w:r>
      <w:r w:rsidR="004157E6" w:rsidRPr="007B2402">
        <w:rPr>
          <w:rFonts w:eastAsia="Calibri" w:cs="Times New Roman"/>
          <w:lang w:val="en-US"/>
        </w:rPr>
        <w:t>D</w:t>
      </w:r>
      <w:r w:rsidRPr="007B2402">
        <w:rPr>
          <w:rFonts w:eastAsia="Calibri" w:cs="Times New Roman"/>
          <w:lang w:val="en-US"/>
        </w:rPr>
        <w:t>etermin</w:t>
      </w:r>
      <w:r w:rsidR="004157E6" w:rsidRPr="007B2402">
        <w:rPr>
          <w:rFonts w:eastAsia="Calibri" w:cs="Times New Roman"/>
          <w:lang w:val="en-US"/>
        </w:rPr>
        <w:t xml:space="preserve">e the perpetrators and masterminds of </w:t>
      </w:r>
      <w:r w:rsidR="008B5281" w:rsidRPr="007B2402">
        <w:rPr>
          <w:rFonts w:eastAsia="Calibri" w:cs="Times New Roman"/>
          <w:lang w:val="en-US"/>
        </w:rPr>
        <w:t>the torture and death of Vladimir Herzog</w:t>
      </w:r>
      <w:r w:rsidRPr="007B2402">
        <w:rPr>
          <w:rFonts w:eastAsia="Calibri" w:cs="Times New Roman"/>
          <w:lang w:val="en-US"/>
        </w:rPr>
        <w:t xml:space="preserve">. </w:t>
      </w:r>
      <w:r w:rsidR="004157E6" w:rsidRPr="007B2402">
        <w:rPr>
          <w:rFonts w:eastAsia="Calibri" w:cs="Times New Roman"/>
          <w:lang w:val="en-US"/>
        </w:rPr>
        <w:t>Moreover, since a</w:t>
      </w:r>
      <w:r w:rsidRPr="007B2402">
        <w:rPr>
          <w:rFonts w:eastAsia="Calibri" w:cs="Times New Roman"/>
          <w:lang w:val="en-US"/>
        </w:rPr>
        <w:t xml:space="preserve"> </w:t>
      </w:r>
      <w:r w:rsidR="00810476" w:rsidRPr="007B2402">
        <w:rPr>
          <w:rFonts w:eastAsia="Calibri" w:cs="Times New Roman"/>
          <w:lang w:val="en-US"/>
        </w:rPr>
        <w:t>crime against humanity</w:t>
      </w:r>
      <w:r w:rsidR="004157E6" w:rsidRPr="007B2402">
        <w:rPr>
          <w:rFonts w:eastAsia="Calibri" w:cs="Times New Roman"/>
          <w:lang w:val="en-US"/>
        </w:rPr>
        <w:t xml:space="preserve"> is involved</w:t>
      </w:r>
      <w:r w:rsidRPr="007B2402">
        <w:rPr>
          <w:rFonts w:eastAsia="Calibri" w:cs="Times New Roman"/>
          <w:lang w:val="en-US"/>
        </w:rPr>
        <w:t xml:space="preserve">, </w:t>
      </w:r>
      <w:r w:rsidR="00AF4344" w:rsidRPr="007B2402">
        <w:rPr>
          <w:rFonts w:eastAsia="Calibri" w:cs="Times New Roman"/>
          <w:lang w:val="en-US"/>
        </w:rPr>
        <w:t>the State</w:t>
      </w:r>
      <w:r w:rsidRPr="007B2402">
        <w:rPr>
          <w:rFonts w:eastAsia="Calibri" w:cs="Times New Roman"/>
          <w:lang w:val="en-US"/>
        </w:rPr>
        <w:t xml:space="preserve"> </w:t>
      </w:r>
      <w:r w:rsidR="004157E6" w:rsidRPr="007B2402">
        <w:rPr>
          <w:rFonts w:eastAsia="Calibri" w:cs="Times New Roman"/>
          <w:lang w:val="en-US"/>
        </w:rPr>
        <w:t xml:space="preserve">may not apply the </w:t>
      </w:r>
      <w:r w:rsidR="00221E16" w:rsidRPr="007B2402">
        <w:rPr>
          <w:rFonts w:eastAsia="Calibri" w:cs="Times New Roman"/>
          <w:lang w:val="en-US"/>
        </w:rPr>
        <w:t>Amnesty Law</w:t>
      </w:r>
      <w:r w:rsidRPr="007B2402">
        <w:rPr>
          <w:rFonts w:eastAsia="Calibri" w:cs="Times New Roman"/>
          <w:lang w:val="en-US"/>
        </w:rPr>
        <w:t xml:space="preserve"> </w:t>
      </w:r>
      <w:r w:rsidR="004157E6" w:rsidRPr="007B2402">
        <w:rPr>
          <w:rFonts w:eastAsia="Calibri" w:cs="Times New Roman"/>
          <w:lang w:val="en-US"/>
        </w:rPr>
        <w:t xml:space="preserve">to </w:t>
      </w:r>
      <w:r w:rsidR="00A75421" w:rsidRPr="007B2402">
        <w:rPr>
          <w:rFonts w:eastAsia="Calibri" w:cs="Times New Roman"/>
          <w:lang w:val="en-US"/>
        </w:rPr>
        <w:t>b</w:t>
      </w:r>
      <w:r w:rsidR="004157E6" w:rsidRPr="007B2402">
        <w:rPr>
          <w:rFonts w:eastAsia="Calibri" w:cs="Times New Roman"/>
          <w:lang w:val="en-US"/>
        </w:rPr>
        <w:t xml:space="preserve">enefit the perpetrators, or any other similar provision, statute of limitations, </w:t>
      </w:r>
      <w:r w:rsidR="004157E6" w:rsidRPr="007B2402">
        <w:rPr>
          <w:rFonts w:eastAsia="Calibri" w:cs="Times New Roman"/>
          <w:i/>
          <w:iCs/>
          <w:lang w:val="en-US"/>
        </w:rPr>
        <w:t>res judicata</w:t>
      </w:r>
      <w:r w:rsidRPr="007B2402">
        <w:rPr>
          <w:rFonts w:eastAsia="Calibri" w:cs="Times New Roman"/>
          <w:lang w:val="en-US"/>
        </w:rPr>
        <w:t xml:space="preserve">, </w:t>
      </w:r>
      <w:r w:rsidRPr="007B2402">
        <w:rPr>
          <w:rFonts w:eastAsia="Calibri" w:cs="Times New Roman"/>
          <w:i/>
          <w:lang w:val="en-US"/>
        </w:rPr>
        <w:t>ne bis in idem</w:t>
      </w:r>
      <w:r w:rsidRPr="007B2402">
        <w:rPr>
          <w:rFonts w:eastAsia="Calibri" w:cs="Times New Roman"/>
          <w:lang w:val="en-US"/>
        </w:rPr>
        <w:t xml:space="preserve"> o</w:t>
      </w:r>
      <w:r w:rsidR="004157E6" w:rsidRPr="007B2402">
        <w:rPr>
          <w:rFonts w:eastAsia="Calibri" w:cs="Times New Roman"/>
          <w:lang w:val="en-US"/>
        </w:rPr>
        <w:t>r any similar means of excluding responsibility to waive this obligation</w:t>
      </w:r>
      <w:r w:rsidRPr="007B2402">
        <w:rPr>
          <w:rFonts w:eastAsia="Calibri" w:cs="Times New Roman"/>
          <w:lang w:val="en-US"/>
        </w:rPr>
        <w:t xml:space="preserve">, </w:t>
      </w:r>
      <w:r w:rsidR="00221E16" w:rsidRPr="007B2402">
        <w:rPr>
          <w:rFonts w:eastAsia="Calibri" w:cs="Times New Roman"/>
          <w:lang w:val="en-US"/>
        </w:rPr>
        <w:t>in the terms of</w:t>
      </w:r>
      <w:r w:rsidR="0075618A" w:rsidRPr="007B2402">
        <w:rPr>
          <w:rFonts w:eastAsia="Calibri" w:cs="Times New Roman"/>
          <w:lang w:val="en-US"/>
        </w:rPr>
        <w:t xml:space="preserve"> </w:t>
      </w:r>
      <w:r w:rsidR="00221E16" w:rsidRPr="007B2402">
        <w:rPr>
          <w:rFonts w:eastAsia="Calibri" w:cs="Times New Roman"/>
          <w:lang w:val="en-US"/>
        </w:rPr>
        <w:t>paragraphs</w:t>
      </w:r>
      <w:r w:rsidR="0075618A" w:rsidRPr="007B2402">
        <w:rPr>
          <w:rFonts w:eastAsia="Calibri" w:cs="Times New Roman"/>
          <w:lang w:val="en-US"/>
        </w:rPr>
        <w:t xml:space="preserve"> 260 </w:t>
      </w:r>
      <w:r w:rsidR="004157E6" w:rsidRPr="007B2402">
        <w:rPr>
          <w:rFonts w:eastAsia="Calibri" w:cs="Times New Roman"/>
          <w:lang w:val="en-US"/>
        </w:rPr>
        <w:t>to</w:t>
      </w:r>
      <w:r w:rsidR="0075618A" w:rsidRPr="007B2402">
        <w:rPr>
          <w:rFonts w:eastAsia="Calibri" w:cs="Times New Roman"/>
          <w:lang w:val="en-US"/>
        </w:rPr>
        <w:t xml:space="preserve"> 310</w:t>
      </w:r>
      <w:r w:rsidRPr="007B2402">
        <w:rPr>
          <w:rFonts w:eastAsia="Calibri" w:cs="Times New Roman"/>
          <w:lang w:val="en-US"/>
        </w:rPr>
        <w:t xml:space="preserve"> </w:t>
      </w:r>
      <w:r w:rsidR="004157E6" w:rsidRPr="007B2402">
        <w:rPr>
          <w:rFonts w:eastAsia="Calibri" w:cs="Times New Roman"/>
          <w:lang w:val="en-US"/>
        </w:rPr>
        <w:t>of this judgment;</w:t>
      </w:r>
    </w:p>
    <w:p w14:paraId="1498DDBA" w14:textId="4A089424" w:rsidR="00B91D70" w:rsidRPr="007B2402" w:rsidRDefault="00B91D70" w:rsidP="00D84E85">
      <w:pPr>
        <w:spacing w:after="60" w:line="240" w:lineRule="auto"/>
        <w:ind w:left="2340" w:hanging="1620"/>
        <w:jc w:val="both"/>
        <w:rPr>
          <w:rFonts w:eastAsia="Calibri" w:cs="Times New Roman"/>
          <w:lang w:val="en-US"/>
        </w:rPr>
      </w:pPr>
      <w:r w:rsidRPr="007B2402">
        <w:rPr>
          <w:rFonts w:eastAsia="Calibri" w:cs="Times New Roman"/>
          <w:lang w:val="en-US"/>
        </w:rPr>
        <w:t xml:space="preserve">c) </w:t>
      </w:r>
      <w:r w:rsidR="004157E6" w:rsidRPr="007B2402">
        <w:rPr>
          <w:rFonts w:eastAsia="Calibri" w:cs="Times New Roman"/>
          <w:lang w:val="en-US"/>
        </w:rPr>
        <w:t>Ensure that</w:t>
      </w:r>
      <w:r w:rsidRPr="007B2402">
        <w:rPr>
          <w:rFonts w:eastAsia="Calibri" w:cs="Times New Roman"/>
          <w:lang w:val="en-US"/>
        </w:rPr>
        <w:t>:</w:t>
      </w:r>
      <w:r w:rsidR="00D84E85" w:rsidRPr="007B2402">
        <w:rPr>
          <w:rFonts w:eastAsia="Calibri" w:cs="Times New Roman"/>
          <w:lang w:val="en-US"/>
        </w:rPr>
        <w:t xml:space="preserve"> </w:t>
      </w:r>
      <w:r w:rsidR="004157E6" w:rsidRPr="007B2402">
        <w:rPr>
          <w:rFonts w:eastAsia="Calibri" w:cs="Times New Roman"/>
          <w:lang w:val="en-US"/>
        </w:rPr>
        <w:t>(</w:t>
      </w:r>
      <w:r w:rsidRPr="007B2402">
        <w:rPr>
          <w:rFonts w:eastAsia="Calibri" w:cs="Times New Roman"/>
          <w:lang w:val="en-US"/>
        </w:rPr>
        <w:t xml:space="preserve">i) </w:t>
      </w:r>
      <w:r w:rsidR="004157E6" w:rsidRPr="007B2402">
        <w:rPr>
          <w:rFonts w:eastAsia="Calibri" w:cs="Times New Roman"/>
          <w:lang w:val="en-US"/>
        </w:rPr>
        <w:t>the competent authorit</w:t>
      </w:r>
      <w:r w:rsidR="00EB74D7" w:rsidRPr="007B2402">
        <w:rPr>
          <w:rFonts w:eastAsia="Calibri" w:cs="Times New Roman"/>
          <w:lang w:val="en-US"/>
        </w:rPr>
        <w:t>i</w:t>
      </w:r>
      <w:r w:rsidR="004157E6" w:rsidRPr="007B2402">
        <w:rPr>
          <w:rFonts w:eastAsia="Calibri" w:cs="Times New Roman"/>
          <w:lang w:val="en-US"/>
        </w:rPr>
        <w:t xml:space="preserve">es conduct the corresponding investigations </w:t>
      </w:r>
      <w:r w:rsidRPr="007B2402">
        <w:rPr>
          <w:rFonts w:eastAsia="Calibri" w:cs="Times New Roman"/>
          <w:i/>
          <w:lang w:val="en-US"/>
        </w:rPr>
        <w:t>ex officio</w:t>
      </w:r>
      <w:r w:rsidR="005B1590" w:rsidRPr="007B2402">
        <w:rPr>
          <w:rFonts w:eastAsia="Calibri" w:cs="Times New Roman"/>
          <w:lang w:val="en-US"/>
        </w:rPr>
        <w:t xml:space="preserve"> and </w:t>
      </w:r>
      <w:r w:rsidR="00EB74D7" w:rsidRPr="007B2402">
        <w:rPr>
          <w:rFonts w:eastAsia="Calibri" w:cs="Times New Roman"/>
          <w:lang w:val="en-US"/>
        </w:rPr>
        <w:t>that, to this end, they have available and use all the necessary scientific and logistical resources to gather and process the evidence and, in particular, have authority to access the pertinent documentation and information to investigate the facts denounced and conduct promptly those actions and inquiries that are essential to clarify what happened to the person who died and those who disappeared in this case;</w:t>
      </w:r>
      <w:r w:rsidRPr="007B2402">
        <w:rPr>
          <w:rFonts w:eastAsia="Calibri" w:cs="Times New Roman"/>
          <w:lang w:val="en-US"/>
        </w:rPr>
        <w:t xml:space="preserve"> </w:t>
      </w:r>
    </w:p>
    <w:p w14:paraId="477EDBE5" w14:textId="0E98BF45" w:rsidR="00B91D70" w:rsidRPr="007B2402" w:rsidRDefault="008003BB" w:rsidP="00D84E85">
      <w:pPr>
        <w:spacing w:after="60" w:line="240" w:lineRule="auto"/>
        <w:ind w:left="2340" w:hanging="1489"/>
        <w:jc w:val="both"/>
        <w:rPr>
          <w:rFonts w:eastAsia="Calibri" w:cs="Times New Roman"/>
          <w:lang w:val="en-US"/>
        </w:rPr>
      </w:pPr>
      <w:r w:rsidRPr="007B2402">
        <w:rPr>
          <w:rFonts w:eastAsia="Calibri" w:cs="Times New Roman"/>
          <w:lang w:val="en-US"/>
        </w:rPr>
        <w:tab/>
      </w:r>
      <w:r w:rsidR="00D84E85" w:rsidRPr="007B2402">
        <w:rPr>
          <w:rFonts w:eastAsia="Calibri" w:cs="Times New Roman"/>
          <w:lang w:val="en-US"/>
        </w:rPr>
        <w:t>(</w:t>
      </w:r>
      <w:r w:rsidR="00B91D70" w:rsidRPr="007B2402">
        <w:rPr>
          <w:rFonts w:eastAsia="Calibri" w:cs="Times New Roman"/>
          <w:lang w:val="en-US"/>
        </w:rPr>
        <w:t xml:space="preserve">ii) </w:t>
      </w:r>
      <w:r w:rsidR="00EB74D7" w:rsidRPr="007B2402">
        <w:rPr>
          <w:rFonts w:eastAsia="Calibri" w:cs="Times New Roman"/>
          <w:lang w:val="en-US"/>
        </w:rPr>
        <w:t>those who take part in the investigation, including the victims’ families, the witnesses and the agents of justice, have due guarantees for their safety, and</w:t>
      </w:r>
    </w:p>
    <w:p w14:paraId="68C6CA4A" w14:textId="14EE78DC" w:rsidR="00B91D70" w:rsidRPr="007B2402" w:rsidRDefault="00B91D70" w:rsidP="00D84E85">
      <w:pPr>
        <w:spacing w:after="60" w:line="240" w:lineRule="auto"/>
        <w:ind w:left="2340" w:hanging="1489"/>
        <w:jc w:val="both"/>
        <w:rPr>
          <w:rFonts w:eastAsia="Calibri" w:cs="Times New Roman"/>
          <w:lang w:val="en-US"/>
        </w:rPr>
      </w:pPr>
      <w:r w:rsidRPr="007B2402">
        <w:rPr>
          <w:rFonts w:eastAsia="Calibri" w:cs="Times New Roman"/>
          <w:lang w:val="en-US"/>
        </w:rPr>
        <w:tab/>
      </w:r>
      <w:r w:rsidR="00D84E85" w:rsidRPr="007B2402">
        <w:rPr>
          <w:rFonts w:eastAsia="Calibri" w:cs="Times New Roman"/>
          <w:lang w:val="en-US"/>
        </w:rPr>
        <w:t>(</w:t>
      </w:r>
      <w:r w:rsidRPr="007B2402">
        <w:rPr>
          <w:rFonts w:eastAsia="Calibri" w:cs="Times New Roman"/>
          <w:lang w:val="en-US"/>
        </w:rPr>
        <w:t xml:space="preserve">iii) </w:t>
      </w:r>
      <w:r w:rsidR="00EB74D7" w:rsidRPr="007B2402">
        <w:rPr>
          <w:rFonts w:eastAsia="Calibri" w:cs="Times New Roman"/>
          <w:lang w:val="en-US"/>
        </w:rPr>
        <w:t>the authorities refrain from obstructing the investigation procedure.</w:t>
      </w:r>
    </w:p>
    <w:p w14:paraId="2D4B5A84" w14:textId="6EA25F91" w:rsidR="00B91D70" w:rsidRPr="007B2402" w:rsidRDefault="00B91D70" w:rsidP="00D84E85">
      <w:pPr>
        <w:spacing w:after="60" w:line="240" w:lineRule="auto"/>
        <w:ind w:left="720"/>
        <w:jc w:val="both"/>
        <w:rPr>
          <w:rFonts w:eastAsia="Calibri" w:cs="Times New Roman"/>
          <w:lang w:val="en-US"/>
        </w:rPr>
      </w:pPr>
      <w:r w:rsidRPr="007B2402">
        <w:rPr>
          <w:rFonts w:eastAsia="Calibri" w:cs="Times New Roman"/>
          <w:lang w:val="en-US"/>
        </w:rPr>
        <w:lastRenderedPageBreak/>
        <w:t xml:space="preserve">d) </w:t>
      </w:r>
      <w:r w:rsidR="00D84E85" w:rsidRPr="007B2402">
        <w:rPr>
          <w:rFonts w:eastAsia="Calibri" w:cs="Times New Roman"/>
          <w:lang w:val="en-US"/>
        </w:rPr>
        <w:t>Ensure full access and capacity to act to the victims and their families at all stages of these investigations</w:t>
      </w:r>
      <w:r w:rsidR="00466A5C" w:rsidRPr="007B2402">
        <w:rPr>
          <w:rFonts w:eastAsia="Calibri" w:cs="Times New Roman"/>
          <w:lang w:val="en-US"/>
        </w:rPr>
        <w:t>, pursuant to domestic law and the provisions</w:t>
      </w:r>
      <w:r w:rsidRPr="007B2402">
        <w:rPr>
          <w:rFonts w:eastAsia="Calibri" w:cs="Times New Roman"/>
          <w:lang w:val="en-US"/>
        </w:rPr>
        <w:t xml:space="preserve"> </w:t>
      </w:r>
      <w:r w:rsidR="00AF4344" w:rsidRPr="007B2402">
        <w:rPr>
          <w:rFonts w:eastAsia="Calibri" w:cs="Times New Roman"/>
          <w:lang w:val="en-US"/>
        </w:rPr>
        <w:t>of the American Convention</w:t>
      </w:r>
      <w:r w:rsidR="00E76FCD" w:rsidRPr="007B2402">
        <w:rPr>
          <w:rFonts w:eastAsia="Calibri" w:cs="Times New Roman"/>
          <w:lang w:val="en-US"/>
        </w:rPr>
        <w:t>,</w:t>
      </w:r>
      <w:r w:rsidR="005B1590" w:rsidRPr="007B2402">
        <w:rPr>
          <w:rFonts w:eastAsia="Calibri" w:cs="Times New Roman"/>
          <w:lang w:val="en-US"/>
        </w:rPr>
        <w:t xml:space="preserve"> and </w:t>
      </w:r>
    </w:p>
    <w:p w14:paraId="3EDC476E" w14:textId="59F763B3" w:rsidR="00B91D70" w:rsidRPr="007B2402" w:rsidRDefault="00B91D70" w:rsidP="00D84E85">
      <w:pPr>
        <w:spacing w:after="0" w:line="240" w:lineRule="auto"/>
        <w:ind w:left="720"/>
        <w:jc w:val="both"/>
        <w:rPr>
          <w:rFonts w:eastAsia="Calibri" w:cs="Times New Roman"/>
          <w:lang w:val="en-US"/>
        </w:rPr>
      </w:pPr>
      <w:r w:rsidRPr="007B2402">
        <w:rPr>
          <w:rFonts w:eastAsia="Calibri" w:cs="Times New Roman"/>
          <w:lang w:val="en-US"/>
        </w:rPr>
        <w:t>e)</w:t>
      </w:r>
      <w:r w:rsidR="00466A5C" w:rsidRPr="007B2402">
        <w:rPr>
          <w:rFonts w:eastAsia="Calibri" w:cs="Times New Roman"/>
          <w:lang w:val="en-US"/>
        </w:rPr>
        <w:t xml:space="preserve"> Ensure that the investigations and proceedings based on the facts of this case are at all times conducted in the ordinary jurisdiction</w:t>
      </w:r>
      <w:r w:rsidR="00E76FCD" w:rsidRPr="007B2402">
        <w:rPr>
          <w:rFonts w:eastAsia="Calibri" w:cs="Times New Roman"/>
          <w:lang w:val="en-US"/>
        </w:rPr>
        <w:t>.</w:t>
      </w:r>
      <w:r w:rsidRPr="007B2402">
        <w:rPr>
          <w:rFonts w:eastAsia="Calibri" w:cs="Times New Roman"/>
          <w:lang w:val="en-US"/>
        </w:rPr>
        <w:t xml:space="preserve"> </w:t>
      </w:r>
    </w:p>
    <w:p w14:paraId="23AD19C2" w14:textId="77777777" w:rsidR="00B91D70" w:rsidRPr="007B2402" w:rsidRDefault="00B91D70" w:rsidP="00C40582">
      <w:pPr>
        <w:spacing w:after="0" w:line="240" w:lineRule="auto"/>
        <w:ind w:left="851"/>
        <w:jc w:val="both"/>
        <w:rPr>
          <w:rFonts w:eastAsia="Calibri" w:cs="Times New Roman"/>
          <w:lang w:val="en-US"/>
        </w:rPr>
      </w:pPr>
    </w:p>
    <w:p w14:paraId="2F7DA8C4" w14:textId="0DF67D4C" w:rsidR="00206213" w:rsidRPr="007B2402" w:rsidRDefault="00466A5C" w:rsidP="00206213">
      <w:pPr>
        <w:pStyle w:val="Ttulo2"/>
        <w:numPr>
          <w:ilvl w:val="0"/>
          <w:numId w:val="27"/>
        </w:numPr>
        <w:ind w:left="0" w:firstLine="0"/>
        <w:rPr>
          <w:b/>
          <w:lang w:val="en-US"/>
        </w:rPr>
      </w:pPr>
      <w:r w:rsidRPr="007B2402">
        <w:rPr>
          <w:b/>
          <w:lang w:val="en-US"/>
        </w:rPr>
        <w:t>Measures of non-repetition</w:t>
      </w:r>
    </w:p>
    <w:p w14:paraId="72C87E7A" w14:textId="77777777" w:rsidR="00206213" w:rsidRPr="007B2402" w:rsidRDefault="00206213" w:rsidP="00206213">
      <w:pPr>
        <w:pStyle w:val="TDC1"/>
        <w:tabs>
          <w:tab w:val="clear" w:pos="9508"/>
        </w:tabs>
        <w:spacing w:after="0"/>
        <w:rPr>
          <w:rFonts w:eastAsiaTheme="minorHAnsi" w:cstheme="minorBidi"/>
          <w:noProof w:val="0"/>
          <w:szCs w:val="22"/>
          <w:lang w:val="en-US" w:eastAsia="en-US"/>
        </w:rPr>
      </w:pPr>
    </w:p>
    <w:p w14:paraId="3920948B" w14:textId="5E79F86E" w:rsidR="00B91D70" w:rsidRPr="007B2402" w:rsidRDefault="00466A5C" w:rsidP="00206213">
      <w:pPr>
        <w:pStyle w:val="Ttulo3"/>
        <w:numPr>
          <w:ilvl w:val="0"/>
          <w:numId w:val="42"/>
        </w:numPr>
        <w:ind w:left="1134" w:hanging="425"/>
        <w:rPr>
          <w:lang w:val="en-US"/>
        </w:rPr>
      </w:pPr>
      <w:bookmarkStart w:id="191" w:name="_Toc506496157"/>
      <w:bookmarkStart w:id="192" w:name="_Toc506984138"/>
      <w:r w:rsidRPr="007B2402">
        <w:rPr>
          <w:lang w:val="en-US"/>
        </w:rPr>
        <w:t>Non-applicability of statutory limitations to</w:t>
      </w:r>
      <w:r w:rsidR="00E76FCD" w:rsidRPr="007B2402">
        <w:rPr>
          <w:lang w:val="en-US"/>
        </w:rPr>
        <w:t xml:space="preserve"> </w:t>
      </w:r>
      <w:r w:rsidR="00810476" w:rsidRPr="007B2402">
        <w:rPr>
          <w:lang w:val="en-US"/>
        </w:rPr>
        <w:t>crimes against humanity</w:t>
      </w:r>
      <w:bookmarkEnd w:id="191"/>
      <w:bookmarkEnd w:id="192"/>
    </w:p>
    <w:p w14:paraId="31EF7C60" w14:textId="77777777" w:rsidR="00B91D70" w:rsidRPr="007B2402" w:rsidRDefault="00B91D70" w:rsidP="00B91D70">
      <w:pPr>
        <w:spacing w:after="0" w:line="240" w:lineRule="auto"/>
        <w:jc w:val="both"/>
        <w:rPr>
          <w:rFonts w:eastAsia="Calibri" w:cs="Times New Roman"/>
          <w:lang w:val="en-US"/>
        </w:rPr>
      </w:pPr>
    </w:p>
    <w:p w14:paraId="07443DC0" w14:textId="52DC60F2" w:rsidR="00B91D70" w:rsidRPr="007B2402" w:rsidRDefault="00AF4344" w:rsidP="00FB3FA2">
      <w:pPr>
        <w:numPr>
          <w:ilvl w:val="0"/>
          <w:numId w:val="5"/>
        </w:numPr>
        <w:spacing w:after="0" w:line="240" w:lineRule="auto"/>
        <w:jc w:val="both"/>
        <w:rPr>
          <w:rFonts w:eastAsia="Calibri" w:cs="Times New Roman"/>
          <w:lang w:val="en-US"/>
        </w:rPr>
      </w:pPr>
      <w:r w:rsidRPr="007B2402">
        <w:rPr>
          <w:rFonts w:eastAsia="Calibri" w:cs="Times New Roman"/>
          <w:lang w:val="en-US"/>
        </w:rPr>
        <w:t xml:space="preserve">The </w:t>
      </w:r>
      <w:r w:rsidRPr="007B2402">
        <w:rPr>
          <w:rFonts w:eastAsia="Calibri" w:cs="Times New Roman"/>
          <w:b/>
          <w:bCs/>
          <w:i/>
          <w:iCs/>
          <w:lang w:val="en-US"/>
        </w:rPr>
        <w:t>Commission</w:t>
      </w:r>
      <w:r w:rsidR="00B91D70" w:rsidRPr="007B2402">
        <w:rPr>
          <w:rFonts w:eastAsia="Calibri" w:cs="Times New Roman"/>
          <w:b/>
          <w:i/>
          <w:lang w:val="en-US"/>
        </w:rPr>
        <w:t xml:space="preserve"> </w:t>
      </w:r>
      <w:r w:rsidR="00466A5C" w:rsidRPr="007B2402">
        <w:rPr>
          <w:rFonts w:eastAsia="Calibri" w:cs="Times New Roman"/>
          <w:lang w:val="en-US"/>
        </w:rPr>
        <w:t>asked that</w:t>
      </w:r>
      <w:r w:rsidR="00B91D70" w:rsidRPr="007B2402">
        <w:rPr>
          <w:rFonts w:eastAsia="Calibri" w:cs="Times New Roman"/>
          <w:lang w:val="en-US"/>
        </w:rPr>
        <w:t xml:space="preserve"> </w:t>
      </w:r>
      <w:r w:rsidRPr="007B2402">
        <w:rPr>
          <w:rFonts w:eastAsia="Calibri" w:cs="Times New Roman"/>
          <w:lang w:val="en-US"/>
        </w:rPr>
        <w:t>the State</w:t>
      </w:r>
      <w:r w:rsidR="00B91D70" w:rsidRPr="007B2402">
        <w:rPr>
          <w:rFonts w:eastAsia="Calibri" w:cs="Times New Roman"/>
          <w:lang w:val="en-US"/>
        </w:rPr>
        <w:t xml:space="preserve"> </w:t>
      </w:r>
      <w:r w:rsidR="00466A5C" w:rsidRPr="007B2402">
        <w:rPr>
          <w:rFonts w:eastAsia="Calibri" w:cs="Times New Roman"/>
          <w:lang w:val="en-US"/>
        </w:rPr>
        <w:t xml:space="preserve">take into account that the </w:t>
      </w:r>
      <w:r w:rsidR="00810476" w:rsidRPr="007B2402">
        <w:rPr>
          <w:rFonts w:eastAsia="Calibri" w:cs="Times New Roman"/>
          <w:lang w:val="en-US"/>
        </w:rPr>
        <w:t>crimes against humanity</w:t>
      </w:r>
      <w:r w:rsidR="00B91D70" w:rsidRPr="007B2402">
        <w:rPr>
          <w:rFonts w:eastAsia="Calibri" w:cs="Times New Roman"/>
          <w:lang w:val="en-US"/>
        </w:rPr>
        <w:t xml:space="preserve"> </w:t>
      </w:r>
      <w:r w:rsidR="00466A5C" w:rsidRPr="007B2402">
        <w:rPr>
          <w:rFonts w:eastAsia="Calibri" w:cs="Times New Roman"/>
          <w:lang w:val="en-US"/>
        </w:rPr>
        <w:t>that occurred in this case, such as torture, are not subject to statut</w:t>
      </w:r>
      <w:r w:rsidR="00A75421" w:rsidRPr="007B2402">
        <w:rPr>
          <w:rFonts w:eastAsia="Calibri" w:cs="Times New Roman"/>
          <w:lang w:val="en-US"/>
        </w:rPr>
        <w:t>ory</w:t>
      </w:r>
      <w:r w:rsidR="00466A5C" w:rsidRPr="007B2402">
        <w:rPr>
          <w:rFonts w:eastAsia="Calibri" w:cs="Times New Roman"/>
          <w:lang w:val="en-US"/>
        </w:rPr>
        <w:t xml:space="preserve"> limitations.</w:t>
      </w:r>
    </w:p>
    <w:p w14:paraId="668CEA8E" w14:textId="77777777" w:rsidR="0075618A" w:rsidRPr="007B2402" w:rsidRDefault="0075618A" w:rsidP="0075618A">
      <w:pPr>
        <w:spacing w:after="0" w:line="240" w:lineRule="auto"/>
        <w:jc w:val="both"/>
        <w:rPr>
          <w:rFonts w:eastAsia="Calibri" w:cs="Times New Roman"/>
          <w:lang w:val="en-US"/>
        </w:rPr>
      </w:pPr>
    </w:p>
    <w:p w14:paraId="6001A273" w14:textId="03C996B2" w:rsidR="00B91D70" w:rsidRPr="007B2402" w:rsidRDefault="005B1590" w:rsidP="00466A5C">
      <w:pPr>
        <w:numPr>
          <w:ilvl w:val="0"/>
          <w:numId w:val="5"/>
        </w:numPr>
        <w:spacing w:after="0" w:line="240" w:lineRule="auto"/>
        <w:jc w:val="both"/>
        <w:rPr>
          <w:rFonts w:eastAsia="Calibri" w:cs="Times New Roman"/>
          <w:lang w:val="en-US"/>
        </w:rPr>
      </w:pPr>
      <w:r w:rsidRPr="007B2402">
        <w:rPr>
          <w:rFonts w:eastAsia="Calibri" w:cs="Times New Roman"/>
          <w:lang w:val="en-US"/>
        </w:rPr>
        <w:t xml:space="preserve">The </w:t>
      </w:r>
      <w:r w:rsidRPr="007B2402">
        <w:rPr>
          <w:rFonts w:eastAsia="Calibri" w:cs="Times New Roman"/>
          <w:b/>
          <w:bCs/>
          <w:i/>
          <w:iCs/>
          <w:lang w:val="en-US"/>
        </w:rPr>
        <w:t>representatives</w:t>
      </w:r>
      <w:r w:rsidR="00B91D70" w:rsidRPr="007B2402">
        <w:rPr>
          <w:rFonts w:eastAsia="Calibri" w:cs="Times New Roman"/>
          <w:b/>
          <w:i/>
          <w:lang w:val="en-US"/>
        </w:rPr>
        <w:t xml:space="preserve"> </w:t>
      </w:r>
      <w:r w:rsidR="00466A5C" w:rsidRPr="007B2402">
        <w:rPr>
          <w:rFonts w:eastAsia="Calibri" w:cs="Times New Roman"/>
          <w:lang w:val="en-US"/>
        </w:rPr>
        <w:t>asked</w:t>
      </w:r>
      <w:r w:rsidR="00B91D70" w:rsidRPr="007B2402">
        <w:rPr>
          <w:rFonts w:eastAsia="Calibri" w:cs="Times New Roman"/>
          <w:lang w:val="en-US"/>
        </w:rPr>
        <w:t xml:space="preserve"> </w:t>
      </w:r>
      <w:r w:rsidR="00AF4344" w:rsidRPr="007B2402">
        <w:rPr>
          <w:rFonts w:eastAsia="Calibri" w:cs="Times New Roman"/>
          <w:lang w:val="en-US"/>
        </w:rPr>
        <w:t>the Court</w:t>
      </w:r>
      <w:r w:rsidR="00B91D70" w:rsidRPr="007B2402">
        <w:rPr>
          <w:rFonts w:eastAsia="Calibri" w:cs="Times New Roman"/>
          <w:lang w:val="en-US"/>
        </w:rPr>
        <w:t xml:space="preserve"> </w:t>
      </w:r>
      <w:r w:rsidR="00466A5C" w:rsidRPr="007B2402">
        <w:rPr>
          <w:rFonts w:eastAsia="Calibri" w:cs="Times New Roman"/>
          <w:lang w:val="en-US"/>
        </w:rPr>
        <w:t xml:space="preserve">to </w:t>
      </w:r>
      <w:r w:rsidR="00B91D70" w:rsidRPr="007B2402">
        <w:rPr>
          <w:rFonts w:eastAsia="Calibri" w:cs="Times New Roman"/>
          <w:lang w:val="en-US"/>
        </w:rPr>
        <w:t xml:space="preserve">determine </w:t>
      </w:r>
      <w:r w:rsidR="00466A5C" w:rsidRPr="007B2402">
        <w:rPr>
          <w:rFonts w:eastAsia="Calibri" w:cs="Times New Roman"/>
          <w:lang w:val="en-US"/>
        </w:rPr>
        <w:t>that</w:t>
      </w:r>
      <w:r w:rsidR="00B91D70" w:rsidRPr="007B2402">
        <w:rPr>
          <w:rFonts w:eastAsia="Calibri" w:cs="Times New Roman"/>
          <w:lang w:val="en-US"/>
        </w:rPr>
        <w:t xml:space="preserve"> </w:t>
      </w:r>
      <w:r w:rsidR="00AF4344" w:rsidRPr="007B2402">
        <w:rPr>
          <w:rFonts w:eastAsia="Calibri" w:cs="Times New Roman"/>
          <w:lang w:val="en-US"/>
        </w:rPr>
        <w:t>the State</w:t>
      </w:r>
      <w:r w:rsidR="00B91D70" w:rsidRPr="007B2402">
        <w:rPr>
          <w:rFonts w:eastAsia="Calibri" w:cs="Times New Roman"/>
          <w:lang w:val="en-US"/>
        </w:rPr>
        <w:t xml:space="preserve"> </w:t>
      </w:r>
      <w:r w:rsidR="00466A5C" w:rsidRPr="007B2402">
        <w:rPr>
          <w:rFonts w:eastAsia="Calibri" w:cs="Times New Roman"/>
          <w:lang w:val="en-US"/>
        </w:rPr>
        <w:t>must take the necessary legislative measures to adapt its domestic law to the international parameters for the protection of the individual, and ensure that no statutory limitations can be applied to the crime of torture</w:t>
      </w:r>
      <w:r w:rsidR="00B91D70" w:rsidRPr="007B2402">
        <w:rPr>
          <w:rFonts w:eastAsia="Calibri" w:cs="Times New Roman"/>
          <w:lang w:val="en-US"/>
        </w:rPr>
        <w:t xml:space="preserve">. </w:t>
      </w:r>
    </w:p>
    <w:p w14:paraId="39C1FC5B" w14:textId="77777777" w:rsidR="00B91D70" w:rsidRPr="007B2402" w:rsidRDefault="00B91D70" w:rsidP="00B91D70">
      <w:pPr>
        <w:spacing w:after="0" w:line="240" w:lineRule="auto"/>
        <w:ind w:left="720"/>
        <w:contextualSpacing/>
        <w:jc w:val="both"/>
        <w:rPr>
          <w:rFonts w:eastAsia="Calibri" w:cs="Times New Roman"/>
          <w:lang w:val="en-US"/>
        </w:rPr>
      </w:pPr>
    </w:p>
    <w:p w14:paraId="61FAFC15" w14:textId="1BCCF5E1" w:rsidR="00B91D70" w:rsidRPr="007B2402" w:rsidRDefault="00AF4344" w:rsidP="00466A5C">
      <w:pPr>
        <w:numPr>
          <w:ilvl w:val="0"/>
          <w:numId w:val="5"/>
        </w:numPr>
        <w:spacing w:after="0" w:line="240" w:lineRule="auto"/>
        <w:jc w:val="both"/>
        <w:rPr>
          <w:rFonts w:eastAsia="Calibri" w:cs="Times New Roman"/>
          <w:lang w:val="en-US"/>
        </w:rPr>
      </w:pPr>
      <w:r w:rsidRPr="007B2402">
        <w:rPr>
          <w:rFonts w:eastAsia="Calibri" w:cs="Times New Roman"/>
          <w:lang w:val="en-US"/>
        </w:rPr>
        <w:t xml:space="preserve">The </w:t>
      </w:r>
      <w:r w:rsidRPr="007B2402">
        <w:rPr>
          <w:rFonts w:eastAsia="Calibri" w:cs="Times New Roman"/>
          <w:b/>
          <w:bCs/>
          <w:i/>
          <w:iCs/>
          <w:lang w:val="en-US"/>
        </w:rPr>
        <w:t>State</w:t>
      </w:r>
      <w:r w:rsidR="00B91D70" w:rsidRPr="007B2402">
        <w:rPr>
          <w:rFonts w:eastAsia="Calibri" w:cs="Times New Roman"/>
          <w:b/>
          <w:i/>
          <w:lang w:val="en-US"/>
        </w:rPr>
        <w:t xml:space="preserve"> </w:t>
      </w:r>
      <w:r w:rsidR="00B91D70" w:rsidRPr="007B2402">
        <w:rPr>
          <w:rFonts w:eastAsia="Calibri" w:cs="Times New Roman"/>
          <w:lang w:val="en-US"/>
        </w:rPr>
        <w:t>consider</w:t>
      </w:r>
      <w:r w:rsidR="00466A5C" w:rsidRPr="007B2402">
        <w:rPr>
          <w:rFonts w:eastAsia="Calibri" w:cs="Times New Roman"/>
          <w:lang w:val="en-US"/>
        </w:rPr>
        <w:t xml:space="preserve">ed that it was inappropriate and unnecessary to enact a law, because such a law could only establish an obligation of means, but not of results. Furthermore, the enactment of laws depended on the vote of the democratically elected representatives. It also asserted that the Brazilian Senate was processing a bill to amend the Brazilian Penal Code </w:t>
      </w:r>
      <w:r w:rsidR="00A75421" w:rsidRPr="007B2402">
        <w:rPr>
          <w:rFonts w:eastAsia="Calibri" w:cs="Times New Roman"/>
          <w:lang w:val="en-US"/>
        </w:rPr>
        <w:t>in order to</w:t>
      </w:r>
      <w:r w:rsidR="00466A5C" w:rsidRPr="007B2402">
        <w:rPr>
          <w:rFonts w:eastAsia="Calibri" w:cs="Times New Roman"/>
          <w:lang w:val="en-US"/>
        </w:rPr>
        <w:t xml:space="preserve"> establish that the crime of torture was not subject to statutory limitations or amnesties, and bail could not be granted. </w:t>
      </w:r>
      <w:r w:rsidR="009F5A1E" w:rsidRPr="007B2402">
        <w:rPr>
          <w:rFonts w:eastAsia="Calibri" w:cs="Times New Roman"/>
          <w:lang w:val="en-US"/>
        </w:rPr>
        <w:t>The Executive had also submitted a bill that codified the crime of genocide</w:t>
      </w:r>
      <w:r w:rsidR="00A75421" w:rsidRPr="007B2402">
        <w:rPr>
          <w:rFonts w:eastAsia="Calibri" w:cs="Times New Roman"/>
          <w:lang w:val="en-US"/>
        </w:rPr>
        <w:t>,</w:t>
      </w:r>
      <w:r w:rsidR="009F5A1E" w:rsidRPr="007B2402">
        <w:rPr>
          <w:rFonts w:eastAsia="Calibri" w:cs="Times New Roman"/>
          <w:lang w:val="en-US"/>
        </w:rPr>
        <w:t xml:space="preserve"> and defined </w:t>
      </w:r>
      <w:r w:rsidR="00810476" w:rsidRPr="007B2402">
        <w:rPr>
          <w:rFonts w:eastAsia="Calibri" w:cs="Times New Roman"/>
          <w:lang w:val="en-US"/>
        </w:rPr>
        <w:t>crimes against humanity</w:t>
      </w:r>
      <w:r w:rsidR="00B91D70" w:rsidRPr="007B2402">
        <w:rPr>
          <w:rFonts w:eastAsia="Calibri" w:cs="Times New Roman"/>
          <w:lang w:val="en-US"/>
        </w:rPr>
        <w:t xml:space="preserve">, </w:t>
      </w:r>
      <w:r w:rsidR="009A4C38" w:rsidRPr="007B2402">
        <w:rPr>
          <w:rFonts w:eastAsia="Calibri" w:cs="Times New Roman"/>
          <w:lang w:val="en-US"/>
        </w:rPr>
        <w:t>war crimes</w:t>
      </w:r>
      <w:r w:rsidR="005B1590" w:rsidRPr="007B2402">
        <w:rPr>
          <w:rFonts w:eastAsia="Calibri" w:cs="Times New Roman"/>
          <w:lang w:val="en-US"/>
        </w:rPr>
        <w:t xml:space="preserve"> and </w:t>
      </w:r>
      <w:r w:rsidR="009F5A1E" w:rsidRPr="007B2402">
        <w:rPr>
          <w:rFonts w:eastAsia="Calibri" w:cs="Times New Roman"/>
          <w:lang w:val="en-US"/>
        </w:rPr>
        <w:t xml:space="preserve">crimes against the administration of justice </w:t>
      </w:r>
      <w:r w:rsidR="00A75421" w:rsidRPr="007B2402">
        <w:rPr>
          <w:rFonts w:eastAsia="Calibri" w:cs="Times New Roman"/>
          <w:lang w:val="en-US"/>
        </w:rPr>
        <w:t>as established by</w:t>
      </w:r>
      <w:r w:rsidR="009F5A1E" w:rsidRPr="007B2402">
        <w:rPr>
          <w:rFonts w:eastAsia="Calibri" w:cs="Times New Roman"/>
          <w:lang w:val="en-US"/>
        </w:rPr>
        <w:t xml:space="preserve"> the </w:t>
      </w:r>
      <w:r w:rsidR="003B752F" w:rsidRPr="007B2402">
        <w:rPr>
          <w:rFonts w:eastAsia="Calibri" w:cs="Times New Roman"/>
          <w:lang w:val="en-US"/>
        </w:rPr>
        <w:t>International Criminal Court</w:t>
      </w:r>
      <w:r w:rsidR="00B91D70" w:rsidRPr="007B2402">
        <w:rPr>
          <w:rFonts w:eastAsia="Calibri" w:cs="Times New Roman"/>
          <w:lang w:val="en-US"/>
        </w:rPr>
        <w:t xml:space="preserve">. </w:t>
      </w:r>
    </w:p>
    <w:p w14:paraId="74A5A757" w14:textId="77777777" w:rsidR="00B91D70" w:rsidRPr="007B2402" w:rsidRDefault="00B91D70" w:rsidP="008003BB">
      <w:pPr>
        <w:pStyle w:val="Prrafodelista"/>
        <w:rPr>
          <w:rFonts w:eastAsia="Calibri" w:cs="Times New Roman"/>
          <w:noProof w:val="0"/>
          <w:szCs w:val="22"/>
          <w:lang w:val="en-US"/>
        </w:rPr>
      </w:pPr>
    </w:p>
    <w:p w14:paraId="12119C29" w14:textId="1983CD8D" w:rsidR="00B91D70" w:rsidRPr="007B2402" w:rsidRDefault="009F5A1E" w:rsidP="009F5A1E">
      <w:pPr>
        <w:numPr>
          <w:ilvl w:val="0"/>
          <w:numId w:val="5"/>
        </w:numPr>
        <w:spacing w:after="0" w:line="240" w:lineRule="auto"/>
        <w:jc w:val="both"/>
        <w:rPr>
          <w:rFonts w:eastAsia="Calibri" w:cs="Times New Roman"/>
          <w:lang w:val="en-US"/>
        </w:rPr>
      </w:pPr>
      <w:r w:rsidRPr="007B2402">
        <w:rPr>
          <w:rFonts w:eastAsia="Calibri" w:cs="Times New Roman"/>
          <w:lang w:val="en-US"/>
        </w:rPr>
        <w:t xml:space="preserve">Regarding the non-applicability of statutory limitations to </w:t>
      </w:r>
      <w:r w:rsidR="00810476" w:rsidRPr="007B2402">
        <w:rPr>
          <w:rFonts w:eastAsia="Calibri" w:cs="Times New Roman"/>
          <w:lang w:val="en-US"/>
        </w:rPr>
        <w:t>crimes against humanity</w:t>
      </w:r>
      <w:r w:rsidR="00B91D70" w:rsidRPr="007B2402">
        <w:rPr>
          <w:rFonts w:eastAsia="Calibri" w:cs="Times New Roman"/>
          <w:lang w:val="en-US"/>
        </w:rPr>
        <w:t xml:space="preserve">, </w:t>
      </w:r>
      <w:r w:rsidRPr="007B2402">
        <w:rPr>
          <w:rFonts w:eastAsia="Calibri" w:cs="Times New Roman"/>
          <w:lang w:val="en-US"/>
        </w:rPr>
        <w:t xml:space="preserve">in Chapter VII-1, </w:t>
      </w:r>
      <w:r w:rsidR="00AF4344" w:rsidRPr="007B2402">
        <w:rPr>
          <w:rFonts w:eastAsia="Calibri" w:cs="Times New Roman"/>
          <w:lang w:val="en-US"/>
        </w:rPr>
        <w:t>the Court</w:t>
      </w:r>
      <w:r w:rsidR="00B91D70" w:rsidRPr="007B2402">
        <w:rPr>
          <w:rFonts w:eastAsia="Calibri" w:cs="Times New Roman"/>
          <w:lang w:val="en-US"/>
        </w:rPr>
        <w:t xml:space="preserve"> conclu</w:t>
      </w:r>
      <w:r w:rsidRPr="007B2402">
        <w:rPr>
          <w:rFonts w:eastAsia="Calibri" w:cs="Times New Roman"/>
          <w:lang w:val="en-US"/>
        </w:rPr>
        <w:t xml:space="preserve">ded that the application of the statute of limitations in this case represented a violation of Article 2 of the American Convention, because it was decisive in maintaining the facts that had been verified in impunity. The Court has also verified the imprescriptible nature of crimes against humanity in </w:t>
      </w:r>
      <w:r w:rsidR="002F0987" w:rsidRPr="007B2402">
        <w:rPr>
          <w:rFonts w:eastAsia="Calibri" w:cs="Times New Roman"/>
          <w:lang w:val="en-US"/>
        </w:rPr>
        <w:t>international law</w:t>
      </w:r>
      <w:r w:rsidR="005F20BB" w:rsidRPr="007B2402">
        <w:rPr>
          <w:rFonts w:eastAsia="Calibri" w:cs="Times New Roman"/>
          <w:lang w:val="en-US"/>
        </w:rPr>
        <w:t xml:space="preserve"> (</w:t>
      </w:r>
      <w:r w:rsidR="005F20BB" w:rsidRPr="007B2402">
        <w:rPr>
          <w:rFonts w:eastAsia="Calibri" w:cs="Times New Roman"/>
          <w:i/>
          <w:lang w:val="en-US"/>
        </w:rPr>
        <w:t>supra</w:t>
      </w:r>
      <w:r w:rsidR="0075618A" w:rsidRPr="007B2402">
        <w:rPr>
          <w:rFonts w:eastAsia="Calibri" w:cs="Times New Roman"/>
          <w:lang w:val="en-US"/>
        </w:rPr>
        <w:t xml:space="preserve"> </w:t>
      </w:r>
      <w:r w:rsidR="005B1590" w:rsidRPr="007B2402">
        <w:rPr>
          <w:rFonts w:eastAsia="Calibri" w:cs="Times New Roman"/>
          <w:lang w:val="en-US"/>
        </w:rPr>
        <w:t>para.</w:t>
      </w:r>
      <w:r w:rsidR="0075618A" w:rsidRPr="007B2402">
        <w:rPr>
          <w:rFonts w:eastAsia="Calibri" w:cs="Times New Roman"/>
          <w:lang w:val="en-US"/>
        </w:rPr>
        <w:t xml:space="preserve"> 214</w:t>
      </w:r>
      <w:r w:rsidR="005F20BB" w:rsidRPr="007B2402">
        <w:rPr>
          <w:rFonts w:eastAsia="Calibri" w:cs="Times New Roman"/>
          <w:lang w:val="en-US"/>
        </w:rPr>
        <w:t xml:space="preserve">). </w:t>
      </w:r>
      <w:r w:rsidRPr="007B2402">
        <w:rPr>
          <w:rFonts w:eastAsia="Calibri" w:cs="Times New Roman"/>
          <w:lang w:val="en-US"/>
        </w:rPr>
        <w:t>In addition, the Court recalls that, according to its consistent case law,</w:t>
      </w:r>
      <w:r w:rsidRPr="007B2402">
        <w:rPr>
          <w:rFonts w:eastAsia="Calibri" w:cs="Times New Roman"/>
          <w:szCs w:val="20"/>
          <w:vertAlign w:val="superscript"/>
          <w:lang w:val="en-US"/>
        </w:rPr>
        <w:footnoteReference w:id="405"/>
      </w:r>
      <w:r w:rsidRPr="007B2402">
        <w:rPr>
          <w:rFonts w:eastAsia="Calibri" w:cs="Times New Roman"/>
          <w:lang w:val="en-US"/>
        </w:rPr>
        <w:t xml:space="preserve"> no statutory limitations can be applied to crimes that involve gross violations of human rights </w:t>
      </w:r>
      <w:r w:rsidR="005B1590" w:rsidRPr="007B2402">
        <w:rPr>
          <w:rFonts w:eastAsia="Calibri" w:cs="Times New Roman"/>
          <w:lang w:val="en-US"/>
        </w:rPr>
        <w:t xml:space="preserve">and </w:t>
      </w:r>
      <w:r w:rsidR="00810476" w:rsidRPr="007B2402">
        <w:rPr>
          <w:rFonts w:eastAsia="Calibri" w:cs="Times New Roman"/>
          <w:lang w:val="en-US"/>
        </w:rPr>
        <w:t>crimes against humanity</w:t>
      </w:r>
      <w:r w:rsidR="00B91D70" w:rsidRPr="007B2402">
        <w:rPr>
          <w:rFonts w:eastAsia="Calibri" w:cs="Times New Roman"/>
          <w:lang w:val="en-US"/>
        </w:rPr>
        <w:t xml:space="preserve"> (</w:t>
      </w:r>
      <w:r w:rsidR="00B91D70" w:rsidRPr="007B2402">
        <w:rPr>
          <w:rFonts w:eastAsia="Calibri" w:cs="Times New Roman"/>
          <w:i/>
          <w:lang w:val="en-US"/>
        </w:rPr>
        <w:t xml:space="preserve">supra </w:t>
      </w:r>
      <w:r w:rsidR="005B1590" w:rsidRPr="007B2402">
        <w:rPr>
          <w:rFonts w:eastAsia="Calibri" w:cs="Times New Roman"/>
          <w:lang w:val="en-US"/>
        </w:rPr>
        <w:t>para.</w:t>
      </w:r>
      <w:r w:rsidR="00B91D70" w:rsidRPr="007B2402">
        <w:rPr>
          <w:rFonts w:eastAsia="Calibri" w:cs="Times New Roman"/>
          <w:lang w:val="en-US"/>
        </w:rPr>
        <w:t xml:space="preserve"> </w:t>
      </w:r>
      <w:r w:rsidR="0075618A" w:rsidRPr="007B2402">
        <w:rPr>
          <w:rFonts w:eastAsia="Calibri" w:cs="Times New Roman"/>
          <w:lang w:val="en-US"/>
        </w:rPr>
        <w:t>261</w:t>
      </w:r>
      <w:r w:rsidR="00B91D70" w:rsidRPr="007B2402">
        <w:rPr>
          <w:rFonts w:eastAsia="Calibri" w:cs="Times New Roman"/>
          <w:lang w:val="en-US"/>
        </w:rPr>
        <w:t xml:space="preserve">). </w:t>
      </w:r>
      <w:r w:rsidRPr="007B2402">
        <w:rPr>
          <w:rFonts w:eastAsia="Calibri" w:cs="Times New Roman"/>
          <w:lang w:val="en-US"/>
        </w:rPr>
        <w:t>Consequently</w:t>
      </w:r>
      <w:r w:rsidR="00B91D70" w:rsidRPr="007B2402">
        <w:rPr>
          <w:rFonts w:eastAsia="Calibri" w:cs="Times New Roman"/>
          <w:lang w:val="en-US"/>
        </w:rPr>
        <w:t xml:space="preserve">, </w:t>
      </w:r>
      <w:r w:rsidR="00AF4344" w:rsidRPr="007B2402">
        <w:rPr>
          <w:rFonts w:eastAsia="Calibri" w:cs="Times New Roman"/>
          <w:lang w:val="en-US"/>
        </w:rPr>
        <w:t>Brazil</w:t>
      </w:r>
      <w:r w:rsidR="00B91D70" w:rsidRPr="007B2402">
        <w:rPr>
          <w:rFonts w:eastAsia="Calibri" w:cs="Times New Roman"/>
          <w:lang w:val="en-US"/>
        </w:rPr>
        <w:t xml:space="preserve"> </w:t>
      </w:r>
      <w:r w:rsidRPr="007B2402">
        <w:rPr>
          <w:rFonts w:eastAsia="Calibri" w:cs="Times New Roman"/>
          <w:lang w:val="en-US"/>
        </w:rPr>
        <w:t xml:space="preserve">may not apply statutory limitations or any other mechanism that excludes responsibility to this and other similar cases, </w:t>
      </w:r>
      <w:r w:rsidR="00221E16" w:rsidRPr="007B2402">
        <w:rPr>
          <w:rFonts w:eastAsia="Calibri" w:cs="Times New Roman"/>
          <w:lang w:val="en-US"/>
        </w:rPr>
        <w:t>in the terms of</w:t>
      </w:r>
      <w:r w:rsidR="00B91D70" w:rsidRPr="007B2402">
        <w:rPr>
          <w:rFonts w:eastAsia="Calibri" w:cs="Times New Roman"/>
          <w:lang w:val="en-US"/>
        </w:rPr>
        <w:t xml:space="preserve"> </w:t>
      </w:r>
      <w:r w:rsidR="00221E16" w:rsidRPr="007B2402">
        <w:rPr>
          <w:rFonts w:eastAsia="Calibri" w:cs="Times New Roman"/>
          <w:lang w:val="en-US"/>
        </w:rPr>
        <w:t>paragraphs</w:t>
      </w:r>
      <w:r w:rsidR="00B91D70" w:rsidRPr="007B2402">
        <w:rPr>
          <w:rFonts w:eastAsia="Calibri" w:cs="Times New Roman"/>
          <w:lang w:val="en-US"/>
        </w:rPr>
        <w:t xml:space="preserve"> </w:t>
      </w:r>
      <w:r w:rsidR="0075618A" w:rsidRPr="007B2402">
        <w:rPr>
          <w:rFonts w:eastAsia="Calibri" w:cs="Times New Roman"/>
          <w:lang w:val="en-US"/>
        </w:rPr>
        <w:t>311</w:t>
      </w:r>
      <w:r w:rsidR="00B91D70" w:rsidRPr="007B2402">
        <w:rPr>
          <w:rFonts w:eastAsia="Calibri" w:cs="Times New Roman"/>
          <w:lang w:val="en-US"/>
        </w:rPr>
        <w:t xml:space="preserve"> a</w:t>
      </w:r>
      <w:r w:rsidRPr="007B2402">
        <w:rPr>
          <w:rFonts w:eastAsia="Calibri" w:cs="Times New Roman"/>
          <w:lang w:val="en-US"/>
        </w:rPr>
        <w:t>nd</w:t>
      </w:r>
      <w:r w:rsidR="00B91D70" w:rsidRPr="007B2402">
        <w:rPr>
          <w:rFonts w:eastAsia="Calibri" w:cs="Times New Roman"/>
          <w:lang w:val="en-US"/>
        </w:rPr>
        <w:t xml:space="preserve"> </w:t>
      </w:r>
      <w:r w:rsidR="0075618A" w:rsidRPr="007B2402">
        <w:rPr>
          <w:rFonts w:eastAsia="Calibri" w:cs="Times New Roman"/>
          <w:lang w:val="en-US"/>
        </w:rPr>
        <w:t>312</w:t>
      </w:r>
      <w:r w:rsidR="00B91D70" w:rsidRPr="007B2402">
        <w:rPr>
          <w:rFonts w:eastAsia="Calibri" w:cs="Times New Roman"/>
          <w:lang w:val="en-US"/>
        </w:rPr>
        <w:t xml:space="preserve"> </w:t>
      </w:r>
      <w:r w:rsidR="00221E16" w:rsidRPr="007B2402">
        <w:rPr>
          <w:rFonts w:eastAsia="Calibri" w:cs="Times New Roman"/>
          <w:lang w:val="en-US"/>
        </w:rPr>
        <w:t>of this judgment</w:t>
      </w:r>
      <w:r w:rsidRPr="007B2402">
        <w:rPr>
          <w:rFonts w:eastAsia="Calibri" w:cs="Times New Roman"/>
          <w:lang w:val="en-US"/>
        </w:rPr>
        <w:t>. Consequently, the Court considers that Brazil must take the most appropriate measures</w:t>
      </w:r>
      <w:r w:rsidR="00F9134E" w:rsidRPr="007B2402">
        <w:rPr>
          <w:rFonts w:eastAsia="Calibri" w:cs="Times New Roman"/>
          <w:lang w:val="en-US"/>
        </w:rPr>
        <w:t>,</w:t>
      </w:r>
      <w:r w:rsidRPr="007B2402">
        <w:rPr>
          <w:rFonts w:eastAsia="Calibri" w:cs="Times New Roman"/>
          <w:lang w:val="en-US"/>
        </w:rPr>
        <w:t xml:space="preserve"> in keeping with its institutions</w:t>
      </w:r>
      <w:r w:rsidR="00F9134E" w:rsidRPr="007B2402">
        <w:rPr>
          <w:rFonts w:eastAsia="Calibri" w:cs="Times New Roman"/>
          <w:lang w:val="en-US"/>
        </w:rPr>
        <w:t>,</w:t>
      </w:r>
      <w:r w:rsidRPr="007B2402">
        <w:rPr>
          <w:rFonts w:eastAsia="Calibri" w:cs="Times New Roman"/>
          <w:lang w:val="en-US"/>
        </w:rPr>
        <w:t xml:space="preserve"> to recognize, without exception, the imprescriptibility of actions filed based on </w:t>
      </w:r>
      <w:r w:rsidR="00844CE7" w:rsidRPr="007B2402">
        <w:rPr>
          <w:rFonts w:eastAsia="Calibri" w:cs="Times New Roman"/>
          <w:lang w:val="en-US"/>
        </w:rPr>
        <w:t>crimes against humanity</w:t>
      </w:r>
      <w:r w:rsidR="004B23AB" w:rsidRPr="007B2402">
        <w:rPr>
          <w:rFonts w:eastAsia="Calibri" w:cs="Times New Roman"/>
          <w:lang w:val="en-US"/>
        </w:rPr>
        <w:t xml:space="preserve"> </w:t>
      </w:r>
      <w:r w:rsidRPr="007B2402">
        <w:rPr>
          <w:rFonts w:eastAsia="Calibri" w:cs="Times New Roman"/>
          <w:lang w:val="en-US"/>
        </w:rPr>
        <w:t xml:space="preserve">and </w:t>
      </w:r>
      <w:r w:rsidR="00955D71" w:rsidRPr="007B2402">
        <w:rPr>
          <w:rFonts w:eastAsia="Calibri" w:cs="Times New Roman"/>
          <w:lang w:val="en-US"/>
        </w:rPr>
        <w:t>crimes under international</w:t>
      </w:r>
      <w:r w:rsidRPr="007B2402">
        <w:rPr>
          <w:rFonts w:eastAsia="Calibri" w:cs="Times New Roman"/>
          <w:lang w:val="en-US"/>
        </w:rPr>
        <w:t xml:space="preserve"> law, pursuant to this judgment and to the relevant international standards.</w:t>
      </w:r>
    </w:p>
    <w:p w14:paraId="48A08592" w14:textId="77777777" w:rsidR="00B91D70" w:rsidRPr="007B2402" w:rsidRDefault="00B91D70" w:rsidP="005A2F5C">
      <w:pPr>
        <w:pStyle w:val="Prrafodelista"/>
        <w:rPr>
          <w:rFonts w:eastAsia="Calibri" w:cs="Times New Roman"/>
          <w:noProof w:val="0"/>
          <w:szCs w:val="22"/>
          <w:lang w:val="en-US"/>
        </w:rPr>
      </w:pPr>
    </w:p>
    <w:p w14:paraId="5131001D" w14:textId="61B4BF51" w:rsidR="00B91D70" w:rsidRPr="007B2402" w:rsidRDefault="009F5A1E" w:rsidP="008003BB">
      <w:pPr>
        <w:pStyle w:val="Ttulo2"/>
        <w:numPr>
          <w:ilvl w:val="0"/>
          <w:numId w:val="27"/>
        </w:numPr>
        <w:ind w:left="0" w:firstLine="0"/>
        <w:rPr>
          <w:b/>
          <w:lang w:val="en-US"/>
        </w:rPr>
      </w:pPr>
      <w:r w:rsidRPr="007B2402">
        <w:rPr>
          <w:b/>
          <w:lang w:val="en-US"/>
        </w:rPr>
        <w:t>Measures of satisfaction</w:t>
      </w:r>
    </w:p>
    <w:p w14:paraId="5FDE3CB6" w14:textId="77777777" w:rsidR="00B91D70" w:rsidRPr="007B2402" w:rsidRDefault="00B91D70" w:rsidP="00B91D70">
      <w:pPr>
        <w:spacing w:after="0" w:line="240" w:lineRule="auto"/>
        <w:jc w:val="both"/>
        <w:rPr>
          <w:rFonts w:eastAsia="Calibri" w:cs="Times New Roman"/>
          <w:i/>
          <w:lang w:val="en-US"/>
        </w:rPr>
      </w:pPr>
    </w:p>
    <w:p w14:paraId="6BCC0CB3" w14:textId="61B5CBA4" w:rsidR="00B91D70" w:rsidRPr="007B2402" w:rsidRDefault="009F5A1E" w:rsidP="00C40582">
      <w:pPr>
        <w:pStyle w:val="Ttulo3"/>
        <w:numPr>
          <w:ilvl w:val="0"/>
          <w:numId w:val="38"/>
        </w:numPr>
        <w:ind w:left="1134" w:hanging="425"/>
        <w:rPr>
          <w:lang w:val="en-US"/>
        </w:rPr>
      </w:pPr>
      <w:bookmarkStart w:id="193" w:name="_Toc506496159"/>
      <w:bookmarkStart w:id="194" w:name="_Toc506984140"/>
      <w:r w:rsidRPr="007B2402">
        <w:rPr>
          <w:lang w:val="en-US"/>
        </w:rPr>
        <w:t>Acknowledgement of international responsibility by the State</w:t>
      </w:r>
      <w:bookmarkEnd w:id="193"/>
      <w:bookmarkEnd w:id="194"/>
    </w:p>
    <w:p w14:paraId="0E100F2A" w14:textId="77777777" w:rsidR="00B91D70" w:rsidRPr="007B2402" w:rsidRDefault="00B91D70" w:rsidP="00B91D70">
      <w:pPr>
        <w:spacing w:after="0" w:line="240" w:lineRule="auto"/>
        <w:ind w:left="720"/>
        <w:contextualSpacing/>
        <w:jc w:val="both"/>
        <w:rPr>
          <w:rFonts w:eastAsia="Calibri" w:cs="Times New Roman"/>
          <w:lang w:val="en-US"/>
        </w:rPr>
      </w:pPr>
    </w:p>
    <w:p w14:paraId="19227389" w14:textId="4B1EAE81" w:rsidR="00B91D70" w:rsidRPr="007B2402" w:rsidRDefault="00AF4344" w:rsidP="00DB1F30">
      <w:pPr>
        <w:numPr>
          <w:ilvl w:val="0"/>
          <w:numId w:val="5"/>
        </w:numPr>
        <w:spacing w:after="0" w:line="240" w:lineRule="auto"/>
        <w:jc w:val="both"/>
        <w:rPr>
          <w:rFonts w:eastAsia="Calibri" w:cs="Times New Roman"/>
          <w:lang w:val="en-US"/>
        </w:rPr>
      </w:pPr>
      <w:r w:rsidRPr="007B2402">
        <w:rPr>
          <w:rFonts w:eastAsia="Calibri" w:cs="Times New Roman"/>
          <w:lang w:val="en-US"/>
        </w:rPr>
        <w:t xml:space="preserve">The </w:t>
      </w:r>
      <w:r w:rsidRPr="007B2402">
        <w:rPr>
          <w:rFonts w:eastAsia="Calibri" w:cs="Times New Roman"/>
          <w:b/>
          <w:bCs/>
          <w:i/>
          <w:iCs/>
          <w:lang w:val="en-US"/>
        </w:rPr>
        <w:t>Commission</w:t>
      </w:r>
      <w:r w:rsidR="00B91D70" w:rsidRPr="007B2402">
        <w:rPr>
          <w:rFonts w:eastAsia="Calibri" w:cs="Times New Roman"/>
          <w:b/>
          <w:i/>
          <w:lang w:val="en-US"/>
        </w:rPr>
        <w:t xml:space="preserve"> </w:t>
      </w:r>
      <w:r w:rsidR="009F5A1E" w:rsidRPr="007B2402">
        <w:rPr>
          <w:rFonts w:eastAsia="Calibri" w:cs="Times New Roman"/>
          <w:lang w:val="en-US"/>
        </w:rPr>
        <w:t xml:space="preserve">asked that the State acknowledge its responsibility for the arbitrary detention, torture and murder of </w:t>
      </w:r>
      <w:r w:rsidR="00B91D70" w:rsidRPr="007B2402">
        <w:rPr>
          <w:rFonts w:eastAsia="Calibri" w:cs="Times New Roman"/>
          <w:lang w:val="en-US"/>
        </w:rPr>
        <w:t>Vladimir Herzog,</w:t>
      </w:r>
      <w:r w:rsidR="005B1590" w:rsidRPr="007B2402">
        <w:rPr>
          <w:rFonts w:eastAsia="Calibri" w:cs="Times New Roman"/>
          <w:lang w:val="en-US"/>
        </w:rPr>
        <w:t xml:space="preserve"> and </w:t>
      </w:r>
      <w:r w:rsidR="009F5A1E" w:rsidRPr="007B2402">
        <w:rPr>
          <w:rFonts w:eastAsia="Calibri" w:cs="Times New Roman"/>
          <w:lang w:val="en-US"/>
        </w:rPr>
        <w:t>for the anguish caused to his family.</w:t>
      </w:r>
      <w:r w:rsidR="00B91D70" w:rsidRPr="007B2402">
        <w:rPr>
          <w:rFonts w:eastAsia="Calibri" w:cs="Times New Roman"/>
          <w:lang w:val="en-US"/>
        </w:rPr>
        <w:t xml:space="preserve"> </w:t>
      </w:r>
    </w:p>
    <w:p w14:paraId="59B707DD" w14:textId="77777777" w:rsidR="00B91D70" w:rsidRPr="007B2402" w:rsidRDefault="00B91D70" w:rsidP="00B91D70">
      <w:pPr>
        <w:spacing w:after="0" w:line="240" w:lineRule="auto"/>
        <w:jc w:val="both"/>
        <w:rPr>
          <w:rFonts w:eastAsia="Calibri" w:cs="Times New Roman"/>
          <w:lang w:val="en-US"/>
        </w:rPr>
      </w:pPr>
    </w:p>
    <w:p w14:paraId="5DB592DC" w14:textId="20BED1D3" w:rsidR="00B91D70" w:rsidRPr="007B2402" w:rsidRDefault="005B1590" w:rsidP="00306F6E">
      <w:pPr>
        <w:numPr>
          <w:ilvl w:val="0"/>
          <w:numId w:val="5"/>
        </w:numPr>
        <w:spacing w:after="0" w:line="240" w:lineRule="auto"/>
        <w:jc w:val="both"/>
        <w:rPr>
          <w:rFonts w:eastAsia="Calibri" w:cs="Times New Roman"/>
          <w:lang w:val="en-US"/>
        </w:rPr>
      </w:pPr>
      <w:r w:rsidRPr="007B2402">
        <w:rPr>
          <w:rFonts w:eastAsia="Calibri" w:cs="Times New Roman"/>
          <w:lang w:val="en-US"/>
        </w:rPr>
        <w:lastRenderedPageBreak/>
        <w:t xml:space="preserve">The </w:t>
      </w:r>
      <w:r w:rsidRPr="007B2402">
        <w:rPr>
          <w:rFonts w:eastAsia="Calibri" w:cs="Times New Roman"/>
          <w:b/>
          <w:bCs/>
          <w:i/>
          <w:iCs/>
          <w:lang w:val="en-US"/>
        </w:rPr>
        <w:t>representatives</w:t>
      </w:r>
      <w:r w:rsidR="00B91D70" w:rsidRPr="007B2402">
        <w:rPr>
          <w:rFonts w:eastAsia="Calibri" w:cs="Times New Roman"/>
          <w:b/>
          <w:i/>
          <w:lang w:val="en-US"/>
        </w:rPr>
        <w:t xml:space="preserve"> </w:t>
      </w:r>
      <w:r w:rsidR="00306F6E" w:rsidRPr="007B2402">
        <w:rPr>
          <w:rFonts w:eastAsia="Calibri" w:cs="Times New Roman"/>
          <w:lang w:val="en-US"/>
        </w:rPr>
        <w:t>requested that</w:t>
      </w:r>
      <w:r w:rsidR="00B91D70" w:rsidRPr="007B2402">
        <w:rPr>
          <w:rFonts w:eastAsia="Calibri" w:cs="Times New Roman"/>
          <w:lang w:val="en-US"/>
        </w:rPr>
        <w:t xml:space="preserve"> </w:t>
      </w:r>
      <w:r w:rsidR="00AF4344" w:rsidRPr="007B2402">
        <w:rPr>
          <w:rFonts w:eastAsia="Calibri" w:cs="Times New Roman"/>
          <w:lang w:val="en-US"/>
        </w:rPr>
        <w:t>the</w:t>
      </w:r>
      <w:r w:rsidR="00306F6E" w:rsidRPr="007B2402">
        <w:rPr>
          <w:rFonts w:eastAsia="Calibri" w:cs="Times New Roman"/>
          <w:lang w:val="en-US"/>
        </w:rPr>
        <w:t xml:space="preserve"> Brazilian</w:t>
      </w:r>
      <w:r w:rsidR="00AF4344" w:rsidRPr="007B2402">
        <w:rPr>
          <w:rFonts w:eastAsia="Calibri" w:cs="Times New Roman"/>
          <w:lang w:val="en-US"/>
        </w:rPr>
        <w:t xml:space="preserve"> State</w:t>
      </w:r>
      <w:r w:rsidR="00306F6E" w:rsidRPr="007B2402">
        <w:rPr>
          <w:rFonts w:eastAsia="Calibri" w:cs="Times New Roman"/>
          <w:lang w:val="en-US"/>
        </w:rPr>
        <w:t xml:space="preserve"> organize a public act to acknowledge international responsibility during which the Armed Forces </w:t>
      </w:r>
      <w:r w:rsidR="00F9134E" w:rsidRPr="007B2402">
        <w:rPr>
          <w:rFonts w:eastAsia="Calibri" w:cs="Times New Roman"/>
          <w:lang w:val="en-US"/>
        </w:rPr>
        <w:t xml:space="preserve">should </w:t>
      </w:r>
      <w:r w:rsidR="00306F6E" w:rsidRPr="007B2402">
        <w:rPr>
          <w:rFonts w:eastAsia="Calibri" w:cs="Times New Roman"/>
          <w:lang w:val="en-US"/>
        </w:rPr>
        <w:t xml:space="preserve">make an official apology for the arbitrary detention, torture and murder of Vladimir Herzog. </w:t>
      </w:r>
      <w:r w:rsidR="00F9134E" w:rsidRPr="007B2402">
        <w:rPr>
          <w:rFonts w:eastAsia="Calibri" w:cs="Times New Roman"/>
          <w:lang w:val="en-US"/>
        </w:rPr>
        <w:t>The State</w:t>
      </w:r>
      <w:r w:rsidR="00306F6E" w:rsidRPr="007B2402">
        <w:rPr>
          <w:rFonts w:eastAsia="Calibri" w:cs="Times New Roman"/>
          <w:lang w:val="en-US"/>
        </w:rPr>
        <w:t xml:space="preserve"> should acknowledge responsibility for acts and omissions, especially owing to the denial of justice. They considered that senior representatives of the public powers and the Armed Forces should take part in the act, and that it should be prepared and organized with the participation of the victims.</w:t>
      </w:r>
    </w:p>
    <w:p w14:paraId="19CFD924" w14:textId="77777777" w:rsidR="00B91D70" w:rsidRPr="007B2402" w:rsidRDefault="00B91D70" w:rsidP="00B91D70">
      <w:pPr>
        <w:spacing w:after="0" w:line="240" w:lineRule="auto"/>
        <w:ind w:left="720"/>
        <w:contextualSpacing/>
        <w:jc w:val="both"/>
        <w:rPr>
          <w:rFonts w:eastAsia="Calibri" w:cs="Times New Roman"/>
          <w:lang w:val="en-US"/>
        </w:rPr>
      </w:pPr>
    </w:p>
    <w:p w14:paraId="18CE471F" w14:textId="13DE824F" w:rsidR="00306F6E" w:rsidRPr="007B2402" w:rsidRDefault="00AF4344" w:rsidP="00DB1F30">
      <w:pPr>
        <w:numPr>
          <w:ilvl w:val="0"/>
          <w:numId w:val="5"/>
        </w:numPr>
        <w:spacing w:after="0" w:line="240" w:lineRule="auto"/>
        <w:jc w:val="both"/>
        <w:rPr>
          <w:rFonts w:eastAsia="Calibri" w:cs="Times New Roman"/>
          <w:lang w:val="en-US"/>
        </w:rPr>
      </w:pPr>
      <w:r w:rsidRPr="007B2402">
        <w:rPr>
          <w:rFonts w:eastAsia="Calibri" w:cs="Times New Roman"/>
          <w:lang w:val="en-US"/>
        </w:rPr>
        <w:t xml:space="preserve">The </w:t>
      </w:r>
      <w:r w:rsidRPr="007B2402">
        <w:rPr>
          <w:rFonts w:eastAsia="Calibri" w:cs="Times New Roman"/>
          <w:b/>
          <w:bCs/>
          <w:i/>
          <w:iCs/>
          <w:lang w:val="en-US"/>
        </w:rPr>
        <w:t>State</w:t>
      </w:r>
      <w:r w:rsidR="00B91D70" w:rsidRPr="007B2402">
        <w:rPr>
          <w:rFonts w:eastAsia="Calibri" w:cs="Times New Roman"/>
          <w:b/>
          <w:i/>
          <w:lang w:val="en-US"/>
        </w:rPr>
        <w:t xml:space="preserve"> </w:t>
      </w:r>
      <w:r w:rsidR="00B91D70" w:rsidRPr="007B2402">
        <w:rPr>
          <w:rFonts w:eastAsia="Calibri" w:cs="Times New Roman"/>
          <w:lang w:val="en-US"/>
        </w:rPr>
        <w:t>a</w:t>
      </w:r>
      <w:r w:rsidR="00F9134E" w:rsidRPr="007B2402">
        <w:rPr>
          <w:rFonts w:eastAsia="Calibri" w:cs="Times New Roman"/>
          <w:lang w:val="en-US"/>
        </w:rPr>
        <w:t>rgue</w:t>
      </w:r>
      <w:r w:rsidR="00306F6E" w:rsidRPr="007B2402">
        <w:rPr>
          <w:rFonts w:eastAsia="Calibri" w:cs="Times New Roman"/>
          <w:lang w:val="en-US"/>
        </w:rPr>
        <w:t xml:space="preserve">d that </w:t>
      </w:r>
      <w:r w:rsidR="00F9134E" w:rsidRPr="007B2402">
        <w:rPr>
          <w:rFonts w:eastAsia="Calibri" w:cs="Times New Roman"/>
          <w:lang w:val="en-US"/>
        </w:rPr>
        <w:t>the State’s</w:t>
      </w:r>
      <w:r w:rsidR="00306F6E" w:rsidRPr="007B2402">
        <w:rPr>
          <w:rFonts w:eastAsia="Calibri" w:cs="Times New Roman"/>
          <w:lang w:val="en-US"/>
        </w:rPr>
        <w:t xml:space="preserve"> responsibility for the </w:t>
      </w:r>
      <w:r w:rsidR="00BA4292" w:rsidRPr="007B2402">
        <w:rPr>
          <w:rFonts w:eastAsia="Calibri" w:cs="Times New Roman"/>
          <w:lang w:val="en-US"/>
        </w:rPr>
        <w:t xml:space="preserve">arbitrary </w:t>
      </w:r>
      <w:r w:rsidR="00811602" w:rsidRPr="007B2402">
        <w:rPr>
          <w:rFonts w:eastAsia="Calibri" w:cs="Times New Roman"/>
          <w:lang w:val="en-US"/>
        </w:rPr>
        <w:t>detention</w:t>
      </w:r>
      <w:r w:rsidR="00BA4292" w:rsidRPr="007B2402">
        <w:rPr>
          <w:rFonts w:eastAsia="Calibri" w:cs="Times New Roman"/>
          <w:lang w:val="en-US"/>
        </w:rPr>
        <w:t>, torture and death</w:t>
      </w:r>
      <w:r w:rsidR="00B91D70" w:rsidRPr="007B2402">
        <w:rPr>
          <w:rFonts w:eastAsia="Calibri" w:cs="Times New Roman"/>
          <w:lang w:val="en-US"/>
        </w:rPr>
        <w:t xml:space="preserve"> </w:t>
      </w:r>
      <w:r w:rsidR="00306F6E" w:rsidRPr="007B2402">
        <w:rPr>
          <w:rFonts w:eastAsia="Calibri" w:cs="Times New Roman"/>
          <w:lang w:val="en-US"/>
        </w:rPr>
        <w:t>of</w:t>
      </w:r>
      <w:r w:rsidR="00B91D70" w:rsidRPr="007B2402">
        <w:rPr>
          <w:rFonts w:eastAsia="Calibri" w:cs="Times New Roman"/>
          <w:lang w:val="en-US"/>
        </w:rPr>
        <w:t xml:space="preserve"> Vladimir Herzog </w:t>
      </w:r>
      <w:r w:rsidR="00306F6E" w:rsidRPr="007B2402">
        <w:rPr>
          <w:rFonts w:eastAsia="Calibri" w:cs="Times New Roman"/>
          <w:lang w:val="en-US"/>
        </w:rPr>
        <w:t xml:space="preserve">had been acknowledged by the </w:t>
      </w:r>
      <w:r w:rsidR="00F9134E" w:rsidRPr="007B2402">
        <w:rPr>
          <w:rFonts w:eastAsia="Calibri" w:cs="Times New Roman"/>
          <w:lang w:val="en-US"/>
        </w:rPr>
        <w:t>delivery</w:t>
      </w:r>
      <w:r w:rsidR="00306F6E" w:rsidRPr="007B2402">
        <w:rPr>
          <w:rFonts w:eastAsia="Calibri" w:cs="Times New Roman"/>
          <w:lang w:val="en-US"/>
        </w:rPr>
        <w:t xml:space="preserve"> of the death certificate during a ceremony of the Amnesty Caravan in 2013. It </w:t>
      </w:r>
      <w:r w:rsidR="00F9134E" w:rsidRPr="007B2402">
        <w:rPr>
          <w:rFonts w:eastAsia="Calibri" w:cs="Times New Roman"/>
          <w:lang w:val="en-US"/>
        </w:rPr>
        <w:t>indicated</w:t>
      </w:r>
      <w:r w:rsidR="00306F6E" w:rsidRPr="007B2402">
        <w:rPr>
          <w:rFonts w:eastAsia="Calibri" w:cs="Times New Roman"/>
          <w:lang w:val="en-US"/>
        </w:rPr>
        <w:t xml:space="preserve"> that the request for an apology from the Armed Forces was not possible because </w:t>
      </w:r>
      <w:r w:rsidR="00F9134E" w:rsidRPr="007B2402">
        <w:rPr>
          <w:rFonts w:eastAsia="Calibri" w:cs="Times New Roman"/>
          <w:lang w:val="en-US"/>
        </w:rPr>
        <w:t>this</w:t>
      </w:r>
      <w:r w:rsidR="00306F6E" w:rsidRPr="007B2402">
        <w:rPr>
          <w:rFonts w:eastAsia="Calibri" w:cs="Times New Roman"/>
          <w:lang w:val="en-US"/>
        </w:rPr>
        <w:t xml:space="preserve"> refer</w:t>
      </w:r>
      <w:r w:rsidR="00F9134E" w:rsidRPr="007B2402">
        <w:rPr>
          <w:rFonts w:eastAsia="Calibri" w:cs="Times New Roman"/>
          <w:lang w:val="en-US"/>
        </w:rPr>
        <w:t>red</w:t>
      </w:r>
      <w:r w:rsidR="00306F6E" w:rsidRPr="007B2402">
        <w:rPr>
          <w:rFonts w:eastAsia="Calibri" w:cs="Times New Roman"/>
          <w:lang w:val="en-US"/>
        </w:rPr>
        <w:t xml:space="preserve"> to facts prior to 1998 and, therefore, </w:t>
      </w:r>
      <w:r w:rsidR="00F9134E" w:rsidRPr="007B2402">
        <w:rPr>
          <w:rFonts w:eastAsia="Calibri" w:cs="Times New Roman"/>
          <w:lang w:val="en-US"/>
        </w:rPr>
        <w:t>before</w:t>
      </w:r>
      <w:r w:rsidR="00306F6E" w:rsidRPr="007B2402">
        <w:rPr>
          <w:rFonts w:eastAsia="Calibri" w:cs="Times New Roman"/>
          <w:lang w:val="en-US"/>
        </w:rPr>
        <w:t xml:space="preserve"> the State</w:t>
      </w:r>
      <w:r w:rsidR="00F9134E" w:rsidRPr="007B2402">
        <w:rPr>
          <w:rFonts w:eastAsia="Calibri" w:cs="Times New Roman"/>
          <w:lang w:val="en-US"/>
        </w:rPr>
        <w:t xml:space="preserve"> had</w:t>
      </w:r>
      <w:r w:rsidR="00306F6E" w:rsidRPr="007B2402">
        <w:rPr>
          <w:rFonts w:eastAsia="Calibri" w:cs="Times New Roman"/>
          <w:lang w:val="en-US"/>
        </w:rPr>
        <w:t xml:space="preserve"> accept</w:t>
      </w:r>
      <w:r w:rsidR="00F9134E" w:rsidRPr="007B2402">
        <w:rPr>
          <w:rFonts w:eastAsia="Calibri" w:cs="Times New Roman"/>
          <w:lang w:val="en-US"/>
        </w:rPr>
        <w:t>ed</w:t>
      </w:r>
      <w:r w:rsidR="00306F6E" w:rsidRPr="007B2402">
        <w:rPr>
          <w:rFonts w:eastAsia="Calibri" w:cs="Times New Roman"/>
          <w:lang w:val="en-US"/>
        </w:rPr>
        <w:t xml:space="preserve"> the Court’s jurisdiction.</w:t>
      </w:r>
    </w:p>
    <w:p w14:paraId="412395CE" w14:textId="77777777" w:rsidR="00B91D70" w:rsidRPr="007B2402" w:rsidRDefault="00B91D70" w:rsidP="00B91D70">
      <w:pPr>
        <w:spacing w:after="0" w:line="240" w:lineRule="auto"/>
        <w:ind w:left="720"/>
        <w:contextualSpacing/>
        <w:jc w:val="both"/>
        <w:rPr>
          <w:rFonts w:eastAsia="Calibri" w:cs="Times New Roman"/>
          <w:lang w:val="en-US"/>
        </w:rPr>
      </w:pPr>
    </w:p>
    <w:p w14:paraId="0D36E751" w14:textId="4936103A" w:rsidR="00B91D70" w:rsidRPr="007B2402" w:rsidRDefault="00AF4344" w:rsidP="00306F6E">
      <w:pPr>
        <w:numPr>
          <w:ilvl w:val="0"/>
          <w:numId w:val="5"/>
        </w:numPr>
        <w:spacing w:after="0" w:line="240" w:lineRule="auto"/>
        <w:jc w:val="both"/>
        <w:rPr>
          <w:rFonts w:eastAsia="Calibri" w:cs="Times New Roman"/>
          <w:lang w:val="en-US"/>
        </w:rPr>
      </w:pPr>
      <w:r w:rsidRPr="007B2402">
        <w:rPr>
          <w:rFonts w:eastAsia="Calibri" w:cs="Times New Roman"/>
          <w:lang w:val="en-US"/>
        </w:rPr>
        <w:t>The Court</w:t>
      </w:r>
      <w:r w:rsidR="00B91D70" w:rsidRPr="007B2402">
        <w:rPr>
          <w:rFonts w:eastAsia="Calibri" w:cs="Times New Roman"/>
          <w:lang w:val="en-US"/>
        </w:rPr>
        <w:t xml:space="preserve"> </w:t>
      </w:r>
      <w:r w:rsidR="00306F6E" w:rsidRPr="007B2402">
        <w:rPr>
          <w:rFonts w:eastAsia="Calibri" w:cs="Times New Roman"/>
          <w:lang w:val="en-US"/>
        </w:rPr>
        <w:t xml:space="preserve">finds it necessary that the State organize a public act to acknowledge international responsibility for the facts of this case in honor of the memory of Vladimir Herzog and to apologize for the failure to investigate, prosecute and punish those responsible for his torture and death. During this act, mention should be made of the human rights violations declared in this judgment. Also, it should take place </w:t>
      </w:r>
      <w:r w:rsidR="00F9134E" w:rsidRPr="007B2402">
        <w:rPr>
          <w:rFonts w:eastAsia="Calibri" w:cs="Times New Roman"/>
          <w:lang w:val="en-US"/>
        </w:rPr>
        <w:t>in</w:t>
      </w:r>
      <w:r w:rsidR="00306F6E" w:rsidRPr="007B2402">
        <w:rPr>
          <w:rFonts w:eastAsia="Calibri" w:cs="Times New Roman"/>
          <w:lang w:val="en-US"/>
        </w:rPr>
        <w:t xml:space="preserve"> a public ceremony in the presence of senior officials of the State and the Armed Forces, and the victims. The State and the victims and/or their representatives must agree on how to comply with th</w:t>
      </w:r>
      <w:r w:rsidR="00F9134E" w:rsidRPr="007B2402">
        <w:rPr>
          <w:rFonts w:eastAsia="Calibri" w:cs="Times New Roman"/>
          <w:lang w:val="en-US"/>
        </w:rPr>
        <w:t>is</w:t>
      </w:r>
      <w:r w:rsidR="00306F6E" w:rsidRPr="007B2402">
        <w:rPr>
          <w:rFonts w:eastAsia="Calibri" w:cs="Times New Roman"/>
          <w:lang w:val="en-US"/>
        </w:rPr>
        <w:t xml:space="preserve"> public act of acknowledgment, and also on the </w:t>
      </w:r>
      <w:r w:rsidR="00C86826" w:rsidRPr="007B2402">
        <w:rPr>
          <w:rFonts w:eastAsia="Calibri" w:cs="Times New Roman"/>
          <w:lang w:val="en-US"/>
        </w:rPr>
        <w:t>details, such as the date and place.</w:t>
      </w:r>
      <w:r w:rsidR="00B91D70" w:rsidRPr="007B2402">
        <w:rPr>
          <w:rFonts w:eastAsia="Calibri" w:cs="Times New Roman"/>
          <w:szCs w:val="20"/>
          <w:vertAlign w:val="superscript"/>
          <w:lang w:val="en-US"/>
        </w:rPr>
        <w:footnoteReference w:id="406"/>
      </w:r>
    </w:p>
    <w:p w14:paraId="0E54BBFC" w14:textId="77777777" w:rsidR="00B91D70" w:rsidRPr="007B2402" w:rsidRDefault="00B91D70" w:rsidP="00B91D70">
      <w:pPr>
        <w:spacing w:after="0" w:line="240" w:lineRule="auto"/>
        <w:ind w:left="720"/>
        <w:contextualSpacing/>
        <w:jc w:val="both"/>
        <w:rPr>
          <w:rFonts w:eastAsia="Calibri" w:cs="Times New Roman"/>
          <w:lang w:val="en-US"/>
        </w:rPr>
      </w:pPr>
    </w:p>
    <w:p w14:paraId="63BC76CE" w14:textId="24A4CE67" w:rsidR="00B91D70" w:rsidRPr="007B2402" w:rsidRDefault="00B91D70" w:rsidP="00C40582">
      <w:pPr>
        <w:pStyle w:val="Ttulo3"/>
        <w:numPr>
          <w:ilvl w:val="0"/>
          <w:numId w:val="39"/>
        </w:numPr>
        <w:ind w:left="1134" w:hanging="425"/>
        <w:rPr>
          <w:lang w:val="en-US"/>
        </w:rPr>
      </w:pPr>
      <w:bookmarkStart w:id="195" w:name="_Toc506496160"/>
      <w:bookmarkStart w:id="196" w:name="_Toc506984141"/>
      <w:r w:rsidRPr="007B2402">
        <w:rPr>
          <w:lang w:val="en-US"/>
        </w:rPr>
        <w:t>Publica</w:t>
      </w:r>
      <w:r w:rsidR="00C86826" w:rsidRPr="007B2402">
        <w:rPr>
          <w:lang w:val="en-US"/>
        </w:rPr>
        <w:t>tion of the judgment</w:t>
      </w:r>
      <w:bookmarkEnd w:id="195"/>
      <w:bookmarkEnd w:id="196"/>
    </w:p>
    <w:p w14:paraId="5026A8E2" w14:textId="77777777" w:rsidR="00B91D70" w:rsidRPr="007B2402" w:rsidRDefault="00B91D70" w:rsidP="00B91D70">
      <w:pPr>
        <w:spacing w:after="0" w:line="240" w:lineRule="auto"/>
        <w:ind w:left="720"/>
        <w:contextualSpacing/>
        <w:jc w:val="both"/>
        <w:rPr>
          <w:rFonts w:eastAsia="Calibri" w:cs="Times New Roman"/>
          <w:lang w:val="en-US"/>
        </w:rPr>
      </w:pPr>
    </w:p>
    <w:p w14:paraId="7629BD17" w14:textId="3A194BC6" w:rsidR="00B91D70" w:rsidRPr="007B2402" w:rsidRDefault="005B1590" w:rsidP="00DB1F30">
      <w:pPr>
        <w:numPr>
          <w:ilvl w:val="0"/>
          <w:numId w:val="5"/>
        </w:numPr>
        <w:spacing w:after="0" w:line="240" w:lineRule="auto"/>
        <w:jc w:val="both"/>
        <w:rPr>
          <w:rFonts w:eastAsia="Calibri" w:cs="Times New Roman"/>
          <w:lang w:val="en-US"/>
        </w:rPr>
      </w:pPr>
      <w:r w:rsidRPr="007B2402">
        <w:rPr>
          <w:rFonts w:eastAsia="Calibri" w:cs="Times New Roman"/>
          <w:iCs/>
          <w:lang w:val="en-US"/>
        </w:rPr>
        <w:t xml:space="preserve">The </w:t>
      </w:r>
      <w:r w:rsidRPr="007B2402">
        <w:rPr>
          <w:rFonts w:eastAsia="Calibri" w:cs="Times New Roman"/>
          <w:b/>
          <w:bCs/>
          <w:i/>
          <w:lang w:val="en-US"/>
        </w:rPr>
        <w:t>representatives</w:t>
      </w:r>
      <w:r w:rsidR="00B91D70" w:rsidRPr="007B2402">
        <w:rPr>
          <w:rFonts w:eastAsia="Calibri" w:cs="Times New Roman"/>
          <w:iCs/>
          <w:lang w:val="en-US"/>
        </w:rPr>
        <w:t xml:space="preserve"> </w:t>
      </w:r>
      <w:r w:rsidR="00591BF7" w:rsidRPr="007B2402">
        <w:rPr>
          <w:rFonts w:eastAsia="Calibri" w:cs="Times New Roman"/>
          <w:iCs/>
          <w:lang w:val="en-US"/>
        </w:rPr>
        <w:t>asked that</w:t>
      </w:r>
      <w:r w:rsidR="00B91D70" w:rsidRPr="007B2402">
        <w:rPr>
          <w:rFonts w:eastAsia="Calibri" w:cs="Times New Roman"/>
          <w:iCs/>
          <w:lang w:val="en-US"/>
        </w:rPr>
        <w:t xml:space="preserve"> </w:t>
      </w:r>
      <w:r w:rsidR="00AF4344" w:rsidRPr="007B2402">
        <w:rPr>
          <w:rFonts w:eastAsia="Calibri" w:cs="Times New Roman"/>
          <w:iCs/>
          <w:lang w:val="en-US"/>
        </w:rPr>
        <w:t>the State</w:t>
      </w:r>
      <w:r w:rsidR="00B91D70" w:rsidRPr="007B2402">
        <w:rPr>
          <w:rFonts w:eastAsia="Calibri" w:cs="Times New Roman"/>
          <w:iCs/>
          <w:lang w:val="en-US"/>
        </w:rPr>
        <w:t xml:space="preserve"> </w:t>
      </w:r>
      <w:r w:rsidR="00591BF7" w:rsidRPr="007B2402">
        <w:rPr>
          <w:rFonts w:eastAsia="Calibri" w:cs="Times New Roman"/>
          <w:iCs/>
          <w:lang w:val="en-US"/>
        </w:rPr>
        <w:t>publish the sections of the judgment that refer to the proven facts</w:t>
      </w:r>
      <w:r w:rsidR="00B91D70" w:rsidRPr="007B2402">
        <w:rPr>
          <w:rFonts w:eastAsia="Calibri" w:cs="Times New Roman"/>
          <w:iCs/>
          <w:lang w:val="en-US"/>
        </w:rPr>
        <w:t xml:space="preserve">, </w:t>
      </w:r>
      <w:r w:rsidR="00591BF7" w:rsidRPr="007B2402">
        <w:rPr>
          <w:rFonts w:eastAsia="Calibri" w:cs="Times New Roman"/>
          <w:iCs/>
          <w:lang w:val="en-US"/>
        </w:rPr>
        <w:t xml:space="preserve">the analysis of the violations of </w:t>
      </w:r>
      <w:r w:rsidR="00AF4344" w:rsidRPr="007B2402">
        <w:rPr>
          <w:rFonts w:eastAsia="Calibri" w:cs="Times New Roman"/>
          <w:iCs/>
          <w:lang w:val="en-US"/>
        </w:rPr>
        <w:t>the American Convention</w:t>
      </w:r>
      <w:r w:rsidR="00F9134E" w:rsidRPr="007B2402">
        <w:rPr>
          <w:rFonts w:eastAsia="Calibri" w:cs="Times New Roman"/>
          <w:iCs/>
          <w:lang w:val="en-US"/>
        </w:rPr>
        <w:t>,</w:t>
      </w:r>
      <w:r w:rsidRPr="007B2402">
        <w:rPr>
          <w:rFonts w:eastAsia="Calibri" w:cs="Times New Roman"/>
          <w:iCs/>
          <w:lang w:val="en-US"/>
        </w:rPr>
        <w:t xml:space="preserve"> and </w:t>
      </w:r>
      <w:r w:rsidR="00591BF7" w:rsidRPr="007B2402">
        <w:rPr>
          <w:rFonts w:eastAsia="Calibri" w:cs="Times New Roman"/>
          <w:iCs/>
          <w:lang w:val="en-US"/>
        </w:rPr>
        <w:t>the operative paragraphs in two national newspapers.</w:t>
      </w:r>
    </w:p>
    <w:p w14:paraId="3A481723" w14:textId="77777777" w:rsidR="00B91D70" w:rsidRPr="007B2402" w:rsidRDefault="00B91D70" w:rsidP="00B91D70">
      <w:pPr>
        <w:spacing w:after="0" w:line="240" w:lineRule="auto"/>
        <w:jc w:val="both"/>
        <w:rPr>
          <w:rFonts w:eastAsia="Calibri" w:cs="Times New Roman"/>
          <w:lang w:val="en-US"/>
        </w:rPr>
      </w:pPr>
    </w:p>
    <w:p w14:paraId="7AAC763F" w14:textId="3396911A" w:rsidR="00B91D70" w:rsidRPr="007B2402" w:rsidRDefault="00AF4344" w:rsidP="00591BF7">
      <w:pPr>
        <w:numPr>
          <w:ilvl w:val="0"/>
          <w:numId w:val="5"/>
        </w:numPr>
        <w:spacing w:after="0" w:line="240" w:lineRule="auto"/>
        <w:jc w:val="both"/>
        <w:rPr>
          <w:rFonts w:eastAsia="Calibri" w:cs="Times New Roman"/>
          <w:lang w:val="en-US"/>
        </w:rPr>
      </w:pPr>
      <w:r w:rsidRPr="007B2402">
        <w:rPr>
          <w:rFonts w:eastAsia="Calibri" w:cs="Times New Roman"/>
          <w:iCs/>
          <w:lang w:val="en-US"/>
        </w:rPr>
        <w:t xml:space="preserve">The </w:t>
      </w:r>
      <w:r w:rsidRPr="007B2402">
        <w:rPr>
          <w:rFonts w:eastAsia="Calibri" w:cs="Times New Roman"/>
          <w:b/>
          <w:bCs/>
          <w:i/>
          <w:lang w:val="en-US"/>
        </w:rPr>
        <w:t>State</w:t>
      </w:r>
      <w:r w:rsidR="00B91D70" w:rsidRPr="007B2402">
        <w:rPr>
          <w:rFonts w:eastAsia="Calibri" w:cs="Times New Roman"/>
          <w:b/>
          <w:i/>
          <w:iCs/>
          <w:lang w:val="en-US"/>
        </w:rPr>
        <w:t xml:space="preserve"> </w:t>
      </w:r>
      <w:r w:rsidR="00591BF7" w:rsidRPr="007B2402">
        <w:rPr>
          <w:rFonts w:eastAsia="Calibri" w:cs="Times New Roman"/>
          <w:iCs/>
          <w:lang w:val="en-US"/>
        </w:rPr>
        <w:t xml:space="preserve">acknowledged the relevance of the publication of the Court’s judgments and mentioned that it keeps the judgments delivered in the cases of </w:t>
      </w:r>
      <w:r w:rsidR="00591BF7" w:rsidRPr="007B2402">
        <w:rPr>
          <w:rFonts w:eastAsia="Calibri" w:cs="Times New Roman"/>
          <w:i/>
          <w:iCs/>
          <w:lang w:val="en-US"/>
        </w:rPr>
        <w:t>Sétimo Garibaldi</w:t>
      </w:r>
      <w:r w:rsidR="00591BF7" w:rsidRPr="007B2402">
        <w:rPr>
          <w:rFonts w:eastAsia="Calibri" w:cs="Times New Roman"/>
          <w:iCs/>
          <w:lang w:val="en-US"/>
        </w:rPr>
        <w:t xml:space="preserve"> and </w:t>
      </w:r>
      <w:r w:rsidR="00591BF7" w:rsidRPr="007B2402">
        <w:rPr>
          <w:rFonts w:eastAsia="Calibri" w:cs="Times New Roman"/>
          <w:i/>
          <w:iCs/>
          <w:lang w:val="en-US"/>
        </w:rPr>
        <w:t>Gomes Lund et al.</w:t>
      </w:r>
      <w:r w:rsidR="00591BF7" w:rsidRPr="007B2402">
        <w:rPr>
          <w:rFonts w:eastAsia="Calibri" w:cs="Times New Roman"/>
          <w:iCs/>
          <w:lang w:val="en-US"/>
        </w:rPr>
        <w:t xml:space="preserve"> on the website of the Special </w:t>
      </w:r>
      <w:r w:rsidR="00591BF7" w:rsidRPr="007B2402">
        <w:rPr>
          <w:rFonts w:eastAsia="Calibri" w:cs="Verdana"/>
          <w:bCs/>
          <w:iCs/>
          <w:noProof/>
          <w:szCs w:val="20"/>
          <w:lang w:val="en-US"/>
        </w:rPr>
        <w:t>Secretariat for Human Rights</w:t>
      </w:r>
      <w:r w:rsidR="00591BF7" w:rsidRPr="007B2402">
        <w:rPr>
          <w:rFonts w:eastAsia="Calibri" w:cs="Times New Roman"/>
          <w:iCs/>
          <w:lang w:val="en-US"/>
        </w:rPr>
        <w:t xml:space="preserve">. The State undertook to publish this judgment in the same terms as those two cases. In addition, regarding the publication in national newspapers, the State referred to the high cost of such publications and proposed that, instead of publishing the judgment in national newspapers, the Court order its publication on official websites and its dissemination by the social networks of </w:t>
      </w:r>
      <w:r w:rsidR="00F9134E" w:rsidRPr="007B2402">
        <w:rPr>
          <w:rFonts w:eastAsia="Calibri" w:cs="Times New Roman"/>
          <w:iCs/>
          <w:lang w:val="en-US"/>
        </w:rPr>
        <w:t>g</w:t>
      </w:r>
      <w:r w:rsidR="00591BF7" w:rsidRPr="007B2402">
        <w:rPr>
          <w:rFonts w:eastAsia="Calibri" w:cs="Times New Roman"/>
          <w:iCs/>
          <w:lang w:val="en-US"/>
        </w:rPr>
        <w:t xml:space="preserve">overnment agencies. The State considered that this proposal </w:t>
      </w:r>
      <w:r w:rsidR="00C1759E" w:rsidRPr="007B2402">
        <w:rPr>
          <w:rFonts w:eastAsia="Calibri" w:cs="Times New Roman"/>
          <w:iCs/>
          <w:lang w:val="en-US"/>
        </w:rPr>
        <w:t>w</w:t>
      </w:r>
      <w:r w:rsidR="00591BF7" w:rsidRPr="007B2402">
        <w:rPr>
          <w:rFonts w:eastAsia="Calibri" w:cs="Times New Roman"/>
          <w:iCs/>
          <w:lang w:val="en-US"/>
        </w:rPr>
        <w:t xml:space="preserve">ould </w:t>
      </w:r>
      <w:r w:rsidR="00F9134E" w:rsidRPr="007B2402">
        <w:rPr>
          <w:rFonts w:eastAsia="Calibri" w:cs="Times New Roman"/>
          <w:iCs/>
          <w:lang w:val="en-US"/>
        </w:rPr>
        <w:t>ensure</w:t>
      </w:r>
      <w:r w:rsidR="00C1759E" w:rsidRPr="007B2402">
        <w:rPr>
          <w:rFonts w:eastAsia="Calibri" w:cs="Times New Roman"/>
          <w:iCs/>
          <w:lang w:val="en-US"/>
        </w:rPr>
        <w:t xml:space="preserve"> that</w:t>
      </w:r>
      <w:r w:rsidR="00F9134E" w:rsidRPr="007B2402">
        <w:rPr>
          <w:rFonts w:eastAsia="Calibri" w:cs="Times New Roman"/>
          <w:iCs/>
          <w:lang w:val="en-US"/>
        </w:rPr>
        <w:t xml:space="preserve"> the judgment had</w:t>
      </w:r>
      <w:r w:rsidR="00C1759E" w:rsidRPr="007B2402">
        <w:rPr>
          <w:rFonts w:eastAsia="Calibri" w:cs="Times New Roman"/>
          <w:iCs/>
          <w:lang w:val="en-US"/>
        </w:rPr>
        <w:t xml:space="preserve"> </w:t>
      </w:r>
      <w:r w:rsidR="00F9134E" w:rsidRPr="007B2402">
        <w:rPr>
          <w:rFonts w:eastAsia="Calibri" w:cs="Times New Roman"/>
          <w:iCs/>
          <w:lang w:val="en-US"/>
        </w:rPr>
        <w:t>widespread</w:t>
      </w:r>
      <w:r w:rsidR="00591BF7" w:rsidRPr="007B2402">
        <w:rPr>
          <w:rFonts w:eastAsia="Calibri" w:cs="Times New Roman"/>
          <w:iCs/>
          <w:lang w:val="en-US"/>
        </w:rPr>
        <w:t xml:space="preserve"> impact</w:t>
      </w:r>
      <w:r w:rsidR="00F9134E" w:rsidRPr="007B2402">
        <w:rPr>
          <w:rFonts w:eastAsia="Calibri" w:cs="Times New Roman"/>
          <w:iCs/>
          <w:lang w:val="en-US"/>
        </w:rPr>
        <w:t>.</w:t>
      </w:r>
    </w:p>
    <w:p w14:paraId="45415B9A" w14:textId="77777777" w:rsidR="00B91D70" w:rsidRPr="007B2402" w:rsidRDefault="00B91D70" w:rsidP="00B91D70">
      <w:pPr>
        <w:spacing w:after="0" w:line="240" w:lineRule="auto"/>
        <w:ind w:left="720"/>
        <w:contextualSpacing/>
        <w:jc w:val="both"/>
        <w:rPr>
          <w:rFonts w:eastAsia="Calibri" w:cs="Verdana"/>
          <w:bCs/>
          <w:iCs/>
          <w:noProof/>
          <w:szCs w:val="20"/>
          <w:lang w:val="en-US"/>
        </w:rPr>
      </w:pPr>
    </w:p>
    <w:p w14:paraId="77640194" w14:textId="53208E7B" w:rsidR="00B91D70" w:rsidRPr="007B2402" w:rsidRDefault="00AF4344" w:rsidP="00DB1F30">
      <w:pPr>
        <w:numPr>
          <w:ilvl w:val="0"/>
          <w:numId w:val="5"/>
        </w:numPr>
        <w:spacing w:after="0" w:line="240" w:lineRule="auto"/>
        <w:jc w:val="both"/>
        <w:rPr>
          <w:rFonts w:eastAsia="Calibri" w:cs="Times New Roman"/>
          <w:lang w:val="en-US"/>
        </w:rPr>
      </w:pPr>
      <w:r w:rsidRPr="007B2402">
        <w:rPr>
          <w:rFonts w:eastAsia="Calibri" w:cs="Verdana"/>
          <w:bCs/>
          <w:iCs/>
          <w:noProof/>
          <w:szCs w:val="20"/>
          <w:lang w:val="en-US"/>
        </w:rPr>
        <w:t>The Court</w:t>
      </w:r>
      <w:r w:rsidR="00B91D70" w:rsidRPr="007B2402">
        <w:rPr>
          <w:rFonts w:eastAsia="Calibri" w:cs="Verdana"/>
          <w:bCs/>
          <w:iCs/>
          <w:noProof/>
          <w:szCs w:val="20"/>
          <w:lang w:val="en-US"/>
        </w:rPr>
        <w:t xml:space="preserve"> </w:t>
      </w:r>
      <w:r w:rsidR="00591BF7" w:rsidRPr="007B2402">
        <w:rPr>
          <w:rFonts w:eastAsia="Calibri" w:cs="Verdana"/>
          <w:bCs/>
          <w:iCs/>
          <w:noProof/>
          <w:szCs w:val="20"/>
          <w:lang w:val="en-US"/>
        </w:rPr>
        <w:t>establishes, as it has in other cases,</w:t>
      </w:r>
      <w:r w:rsidR="00B91D70" w:rsidRPr="007B2402">
        <w:rPr>
          <w:rFonts w:eastAsia="Batang" w:cs="Verdana"/>
          <w:bCs/>
          <w:iCs/>
          <w:noProof/>
          <w:szCs w:val="20"/>
          <w:vertAlign w:val="superscript"/>
          <w:lang w:val="en-US"/>
        </w:rPr>
        <w:footnoteReference w:id="407"/>
      </w:r>
      <w:r w:rsidR="00B91D70" w:rsidRPr="007B2402">
        <w:rPr>
          <w:rFonts w:eastAsia="Calibri" w:cs="Verdana"/>
          <w:bCs/>
          <w:iCs/>
          <w:noProof/>
          <w:szCs w:val="20"/>
          <w:lang w:val="en-US"/>
        </w:rPr>
        <w:t xml:space="preserve"> </w:t>
      </w:r>
      <w:r w:rsidR="00591BF7" w:rsidRPr="007B2402">
        <w:rPr>
          <w:rFonts w:eastAsia="Calibri" w:cs="Verdana"/>
          <w:bCs/>
          <w:iCs/>
          <w:noProof/>
          <w:szCs w:val="20"/>
          <w:lang w:val="en-US"/>
        </w:rPr>
        <w:t>that</w:t>
      </w:r>
      <w:r w:rsidR="00B91D70" w:rsidRPr="007B2402">
        <w:rPr>
          <w:rFonts w:eastAsia="Calibri" w:cs="Verdana"/>
          <w:bCs/>
          <w:iCs/>
          <w:noProof/>
          <w:szCs w:val="20"/>
          <w:lang w:val="en-US"/>
        </w:rPr>
        <w:t xml:space="preserve"> </w:t>
      </w:r>
      <w:r w:rsidRPr="007B2402">
        <w:rPr>
          <w:rFonts w:eastAsia="Calibri" w:cs="Verdana"/>
          <w:bCs/>
          <w:iCs/>
          <w:noProof/>
          <w:szCs w:val="20"/>
          <w:lang w:val="en-US"/>
        </w:rPr>
        <w:t>the State</w:t>
      </w:r>
      <w:r w:rsidR="00B91D70" w:rsidRPr="007B2402">
        <w:rPr>
          <w:rFonts w:eastAsia="Calibri" w:cs="Verdana"/>
          <w:bCs/>
          <w:iCs/>
          <w:noProof/>
          <w:szCs w:val="20"/>
          <w:lang w:val="en-US"/>
        </w:rPr>
        <w:t xml:space="preserve"> </w:t>
      </w:r>
      <w:r w:rsidR="00591BF7" w:rsidRPr="007B2402">
        <w:rPr>
          <w:rFonts w:eastAsia="Calibri" w:cs="Verdana"/>
          <w:bCs/>
          <w:iCs/>
          <w:noProof/>
          <w:szCs w:val="20"/>
          <w:lang w:val="en-US"/>
        </w:rPr>
        <w:t xml:space="preserve">should publish, </w:t>
      </w:r>
      <w:r w:rsidR="00C1759E" w:rsidRPr="007B2402">
        <w:rPr>
          <w:rFonts w:eastAsia="Calibri" w:cs="Verdana"/>
          <w:bCs/>
          <w:iCs/>
          <w:noProof/>
          <w:szCs w:val="20"/>
          <w:lang w:val="en-US"/>
        </w:rPr>
        <w:t>wi</w:t>
      </w:r>
      <w:r w:rsidR="00591BF7" w:rsidRPr="007B2402">
        <w:rPr>
          <w:rFonts w:eastAsia="Calibri" w:cs="Verdana"/>
          <w:bCs/>
          <w:iCs/>
          <w:noProof/>
          <w:szCs w:val="20"/>
          <w:lang w:val="en-US"/>
        </w:rPr>
        <w:t>thin six months of notification of this judgment: (</w:t>
      </w:r>
      <w:r w:rsidR="00B91D70" w:rsidRPr="007B2402">
        <w:rPr>
          <w:rFonts w:eastAsia="Calibri" w:cs="Verdana"/>
          <w:bCs/>
          <w:iCs/>
          <w:noProof/>
          <w:szCs w:val="20"/>
          <w:lang w:val="en-US"/>
        </w:rPr>
        <w:t xml:space="preserve">a) </w:t>
      </w:r>
      <w:r w:rsidR="00591BF7" w:rsidRPr="007B2402">
        <w:rPr>
          <w:rFonts w:eastAsia="Calibri" w:cs="Verdana"/>
          <w:bCs/>
          <w:iCs/>
          <w:noProof/>
          <w:szCs w:val="20"/>
          <w:lang w:val="en-US"/>
        </w:rPr>
        <w:t>the entire judgment, once, in the Official Gazette</w:t>
      </w:r>
      <w:r w:rsidR="00C1759E" w:rsidRPr="007B2402">
        <w:rPr>
          <w:rFonts w:eastAsia="Calibri" w:cs="Verdana"/>
          <w:bCs/>
          <w:iCs/>
          <w:noProof/>
          <w:szCs w:val="20"/>
          <w:lang w:val="en-US"/>
        </w:rPr>
        <w:t>,</w:t>
      </w:r>
      <w:r w:rsidR="00591BF7" w:rsidRPr="007B2402">
        <w:rPr>
          <w:rFonts w:eastAsia="Calibri" w:cs="Verdana"/>
          <w:bCs/>
          <w:iCs/>
          <w:noProof/>
          <w:szCs w:val="20"/>
          <w:lang w:val="en-US"/>
        </w:rPr>
        <w:t xml:space="preserve"> in a legible and appropriate font size</w:t>
      </w:r>
      <w:r w:rsidR="00B91D70" w:rsidRPr="007B2402">
        <w:rPr>
          <w:rFonts w:eastAsia="Calibri" w:cs="Verdana"/>
          <w:bCs/>
          <w:iCs/>
          <w:noProof/>
          <w:szCs w:val="20"/>
          <w:lang w:val="en-US"/>
        </w:rPr>
        <w:t xml:space="preserve">; </w:t>
      </w:r>
      <w:r w:rsidR="00591BF7" w:rsidRPr="007B2402">
        <w:rPr>
          <w:rFonts w:eastAsia="Calibri" w:cs="Verdana"/>
          <w:bCs/>
          <w:iCs/>
          <w:noProof/>
          <w:szCs w:val="20"/>
          <w:lang w:val="en-US"/>
        </w:rPr>
        <w:t>(</w:t>
      </w:r>
      <w:r w:rsidR="00B91D70" w:rsidRPr="007B2402">
        <w:rPr>
          <w:rFonts w:eastAsia="Calibri" w:cs="Verdana"/>
          <w:bCs/>
          <w:iCs/>
          <w:noProof/>
          <w:szCs w:val="20"/>
          <w:lang w:val="en-US"/>
        </w:rPr>
        <w:t xml:space="preserve">b) </w:t>
      </w:r>
      <w:r w:rsidR="00591BF7" w:rsidRPr="007B2402">
        <w:rPr>
          <w:rFonts w:eastAsia="Calibri" w:cs="Verdana"/>
          <w:bCs/>
          <w:iCs/>
          <w:noProof/>
          <w:szCs w:val="20"/>
          <w:lang w:val="en-US"/>
        </w:rPr>
        <w:t xml:space="preserve">the official summary of this judgment prepared by </w:t>
      </w:r>
      <w:r w:rsidRPr="007B2402">
        <w:rPr>
          <w:rFonts w:eastAsia="Calibri" w:cs="Verdana"/>
          <w:bCs/>
          <w:iCs/>
          <w:noProof/>
          <w:szCs w:val="20"/>
          <w:lang w:val="en-US"/>
        </w:rPr>
        <w:t>the Court</w:t>
      </w:r>
      <w:r w:rsidR="00B91D70" w:rsidRPr="007B2402">
        <w:rPr>
          <w:rFonts w:eastAsia="Calibri" w:cs="Verdana"/>
          <w:bCs/>
          <w:iCs/>
          <w:noProof/>
          <w:szCs w:val="20"/>
          <w:lang w:val="en-US"/>
        </w:rPr>
        <w:t xml:space="preserve">, </w:t>
      </w:r>
      <w:r w:rsidR="00591BF7" w:rsidRPr="007B2402">
        <w:rPr>
          <w:rFonts w:eastAsia="Calibri" w:cs="Verdana"/>
          <w:bCs/>
          <w:iCs/>
          <w:noProof/>
          <w:szCs w:val="20"/>
          <w:lang w:val="en-US"/>
        </w:rPr>
        <w:t>once</w:t>
      </w:r>
      <w:r w:rsidR="00B91D70" w:rsidRPr="007B2402">
        <w:rPr>
          <w:rFonts w:eastAsia="Calibri" w:cs="Verdana"/>
          <w:bCs/>
          <w:iCs/>
          <w:noProof/>
          <w:szCs w:val="20"/>
          <w:lang w:val="en-US"/>
        </w:rPr>
        <w:t xml:space="preserve">, </w:t>
      </w:r>
      <w:r w:rsidR="00591BF7" w:rsidRPr="007B2402">
        <w:rPr>
          <w:rFonts w:eastAsia="Calibri" w:cs="Verdana"/>
          <w:bCs/>
          <w:iCs/>
          <w:noProof/>
          <w:szCs w:val="20"/>
          <w:lang w:val="en-US"/>
        </w:rPr>
        <w:t>in a national newspaper with widespread circulation, and (c)  the entire judgment and its summary, availa</w:t>
      </w:r>
      <w:r w:rsidR="00C1759E" w:rsidRPr="007B2402">
        <w:rPr>
          <w:rFonts w:eastAsia="Calibri" w:cs="Verdana"/>
          <w:bCs/>
          <w:iCs/>
          <w:noProof/>
          <w:szCs w:val="20"/>
          <w:lang w:val="en-US"/>
        </w:rPr>
        <w:t>b</w:t>
      </w:r>
      <w:r w:rsidR="00591BF7" w:rsidRPr="007B2402">
        <w:rPr>
          <w:rFonts w:eastAsia="Calibri" w:cs="Verdana"/>
          <w:bCs/>
          <w:iCs/>
          <w:noProof/>
          <w:szCs w:val="20"/>
          <w:lang w:val="en-US"/>
        </w:rPr>
        <w:t>le for at least one year, on the official website</w:t>
      </w:r>
      <w:r w:rsidR="00C1759E" w:rsidRPr="007B2402">
        <w:rPr>
          <w:rFonts w:eastAsia="Calibri" w:cs="Verdana"/>
          <w:bCs/>
          <w:iCs/>
          <w:noProof/>
          <w:szCs w:val="20"/>
          <w:lang w:val="en-US"/>
        </w:rPr>
        <w:t>s</w:t>
      </w:r>
      <w:r w:rsidR="00591BF7" w:rsidRPr="007B2402">
        <w:rPr>
          <w:rFonts w:eastAsia="Calibri" w:cs="Verdana"/>
          <w:bCs/>
          <w:iCs/>
          <w:noProof/>
          <w:szCs w:val="20"/>
          <w:lang w:val="en-US"/>
        </w:rPr>
        <w:t xml:space="preserve"> of the Special Secretariat for Human Rights </w:t>
      </w:r>
      <w:r w:rsidR="00125B7E" w:rsidRPr="007B2402">
        <w:rPr>
          <w:rFonts w:eastAsia="Calibri" w:cs="Verdana"/>
          <w:bCs/>
          <w:iCs/>
          <w:noProof/>
          <w:szCs w:val="20"/>
          <w:lang w:val="en-US"/>
        </w:rPr>
        <w:t xml:space="preserve">of the Ministry of Justice and Citizenship, and the Brazilian Army, in a manner accessible to the public, and </w:t>
      </w:r>
      <w:r w:rsidR="00C1759E" w:rsidRPr="007B2402">
        <w:rPr>
          <w:rFonts w:eastAsia="Calibri" w:cs="Verdana"/>
          <w:bCs/>
          <w:iCs/>
          <w:noProof/>
          <w:szCs w:val="20"/>
          <w:lang w:val="en-US"/>
        </w:rPr>
        <w:t xml:space="preserve">its </w:t>
      </w:r>
      <w:r w:rsidR="00125B7E" w:rsidRPr="007B2402">
        <w:rPr>
          <w:rFonts w:eastAsia="Calibri" w:cs="Times New Roman"/>
          <w:iCs/>
          <w:lang w:val="en-US"/>
        </w:rPr>
        <w:t>disseminat</w:t>
      </w:r>
      <w:r w:rsidR="00C1759E" w:rsidRPr="007B2402">
        <w:rPr>
          <w:rFonts w:eastAsia="Calibri" w:cs="Times New Roman"/>
          <w:iCs/>
          <w:lang w:val="en-US"/>
        </w:rPr>
        <w:t>ion</w:t>
      </w:r>
      <w:r w:rsidR="00125B7E" w:rsidRPr="007B2402">
        <w:rPr>
          <w:rFonts w:eastAsia="Calibri" w:cs="Times New Roman"/>
          <w:iCs/>
          <w:lang w:val="en-US"/>
        </w:rPr>
        <w:t xml:space="preserve"> </w:t>
      </w:r>
      <w:r w:rsidR="00C1759E" w:rsidRPr="007B2402">
        <w:rPr>
          <w:rFonts w:eastAsia="Calibri" w:cs="Times New Roman"/>
          <w:iCs/>
          <w:lang w:val="en-US"/>
        </w:rPr>
        <w:t>by</w:t>
      </w:r>
      <w:r w:rsidR="00125B7E" w:rsidRPr="007B2402">
        <w:rPr>
          <w:rFonts w:eastAsia="Calibri" w:cs="Times New Roman"/>
          <w:iCs/>
          <w:lang w:val="en-US"/>
        </w:rPr>
        <w:t xml:space="preserve"> social networks, as follows: the </w:t>
      </w:r>
      <w:r w:rsidR="00B91D70" w:rsidRPr="007B2402">
        <w:rPr>
          <w:rFonts w:eastAsia="Calibri" w:cs="Times New Roman"/>
          <w:iCs/>
          <w:lang w:val="en-US"/>
        </w:rPr>
        <w:t>Twitter</w:t>
      </w:r>
      <w:r w:rsidR="005B1590" w:rsidRPr="007B2402">
        <w:rPr>
          <w:rFonts w:eastAsia="Calibri" w:cs="Times New Roman"/>
          <w:iCs/>
          <w:lang w:val="en-US"/>
        </w:rPr>
        <w:t xml:space="preserve"> and </w:t>
      </w:r>
      <w:r w:rsidR="00B91D70" w:rsidRPr="007B2402">
        <w:rPr>
          <w:rFonts w:eastAsia="Calibri" w:cs="Times New Roman"/>
          <w:iCs/>
          <w:lang w:val="en-US"/>
        </w:rPr>
        <w:t xml:space="preserve">Facebook </w:t>
      </w:r>
      <w:r w:rsidR="00125B7E" w:rsidRPr="007B2402">
        <w:rPr>
          <w:rFonts w:eastAsia="Calibri" w:cs="Times New Roman"/>
          <w:iCs/>
          <w:lang w:val="en-US"/>
        </w:rPr>
        <w:t xml:space="preserve">pages of the </w:t>
      </w:r>
      <w:r w:rsidR="00125B7E" w:rsidRPr="007B2402">
        <w:rPr>
          <w:rFonts w:eastAsia="Calibri" w:cs="Verdana"/>
          <w:bCs/>
          <w:iCs/>
          <w:noProof/>
          <w:szCs w:val="20"/>
          <w:lang w:val="en-US"/>
        </w:rPr>
        <w:t xml:space="preserve">Special Secretariat for Human Rights and </w:t>
      </w:r>
      <w:r w:rsidR="00125B7E" w:rsidRPr="007B2402">
        <w:rPr>
          <w:rFonts w:eastAsia="Calibri" w:cs="Verdana"/>
          <w:bCs/>
          <w:iCs/>
          <w:noProof/>
          <w:szCs w:val="20"/>
          <w:lang w:val="en-US"/>
        </w:rPr>
        <w:lastRenderedPageBreak/>
        <w:t xml:space="preserve">of the Army must promote the website where the judgment and its summary are located by means of a weekly post for one year. </w:t>
      </w:r>
    </w:p>
    <w:p w14:paraId="529D746A" w14:textId="77777777" w:rsidR="00B91D70" w:rsidRPr="007B2402" w:rsidRDefault="00B91D70" w:rsidP="00B91D70">
      <w:pPr>
        <w:spacing w:after="0" w:line="240" w:lineRule="auto"/>
        <w:ind w:left="720"/>
        <w:contextualSpacing/>
        <w:jc w:val="both"/>
        <w:rPr>
          <w:rFonts w:eastAsia="Calibri" w:cs="Verdana"/>
          <w:bCs/>
          <w:iCs/>
          <w:noProof/>
          <w:szCs w:val="20"/>
          <w:lang w:val="en-US"/>
        </w:rPr>
      </w:pPr>
    </w:p>
    <w:p w14:paraId="7D87E4D7" w14:textId="2F986540" w:rsidR="00B91D70" w:rsidRPr="007B2402" w:rsidRDefault="00AF4344" w:rsidP="00DB1F30">
      <w:pPr>
        <w:numPr>
          <w:ilvl w:val="0"/>
          <w:numId w:val="5"/>
        </w:numPr>
        <w:spacing w:after="0" w:line="240" w:lineRule="auto"/>
        <w:jc w:val="both"/>
        <w:rPr>
          <w:rFonts w:eastAsia="Calibri" w:cs="Times New Roman"/>
          <w:lang w:val="en-US"/>
        </w:rPr>
      </w:pPr>
      <w:r w:rsidRPr="007B2402">
        <w:rPr>
          <w:rFonts w:eastAsia="Calibri" w:cs="Verdana"/>
          <w:bCs/>
          <w:iCs/>
          <w:noProof/>
          <w:szCs w:val="20"/>
          <w:lang w:val="en-US"/>
        </w:rPr>
        <w:t>The State</w:t>
      </w:r>
      <w:r w:rsidR="00B91D70" w:rsidRPr="007B2402">
        <w:rPr>
          <w:rFonts w:eastAsia="Calibri" w:cs="Verdana"/>
          <w:bCs/>
          <w:iCs/>
          <w:noProof/>
          <w:szCs w:val="20"/>
          <w:lang w:val="en-US"/>
        </w:rPr>
        <w:t xml:space="preserve"> </w:t>
      </w:r>
      <w:r w:rsidR="00125B7E" w:rsidRPr="007B2402">
        <w:rPr>
          <w:rFonts w:eastAsia="Calibri" w:cs="Verdana"/>
          <w:bCs/>
          <w:iCs/>
          <w:noProof/>
          <w:szCs w:val="20"/>
          <w:lang w:val="en-US"/>
        </w:rPr>
        <w:t xml:space="preserve">must advise this Court immediately when it has made each of the publications ordered in subparagraphs (a) and (b) of </w:t>
      </w:r>
      <w:r w:rsidR="00221E16" w:rsidRPr="007B2402">
        <w:rPr>
          <w:rFonts w:eastAsia="Calibri" w:cs="Verdana"/>
          <w:bCs/>
          <w:iCs/>
          <w:noProof/>
          <w:szCs w:val="20"/>
          <w:lang w:val="en-US"/>
        </w:rPr>
        <w:t>paragaph</w:t>
      </w:r>
      <w:r w:rsidR="00B91D70" w:rsidRPr="007B2402">
        <w:rPr>
          <w:rFonts w:eastAsia="Calibri" w:cs="Verdana"/>
          <w:bCs/>
          <w:iCs/>
          <w:noProof/>
          <w:szCs w:val="20"/>
          <w:lang w:val="en-US"/>
        </w:rPr>
        <w:t xml:space="preserve"> </w:t>
      </w:r>
      <w:r w:rsidR="0075618A" w:rsidRPr="007B2402">
        <w:rPr>
          <w:rFonts w:eastAsia="Calibri" w:cs="Verdana"/>
          <w:bCs/>
          <w:iCs/>
          <w:noProof/>
          <w:szCs w:val="20"/>
          <w:lang w:val="en-US"/>
        </w:rPr>
        <w:t>383</w:t>
      </w:r>
      <w:r w:rsidR="00B91D70" w:rsidRPr="007B2402">
        <w:rPr>
          <w:rFonts w:eastAsia="Calibri" w:cs="Verdana"/>
          <w:bCs/>
          <w:iCs/>
          <w:noProof/>
          <w:szCs w:val="20"/>
          <w:lang w:val="en-US"/>
        </w:rPr>
        <w:t>, i</w:t>
      </w:r>
      <w:r w:rsidR="00125B7E" w:rsidRPr="007B2402">
        <w:rPr>
          <w:rFonts w:eastAsia="Calibri" w:cs="Verdana"/>
          <w:bCs/>
          <w:iCs/>
          <w:noProof/>
          <w:szCs w:val="20"/>
          <w:lang w:val="en-US"/>
        </w:rPr>
        <w:t xml:space="preserve">rrespective of the one-year time frame for presenting its first report required in the tenth operative paragraph of this judgment. In addition, in the report required in the thirteenth operative paragraph, the State must present evidence of all the weekly posts on social networks ordered in subparagraph (c) of </w:t>
      </w:r>
      <w:r w:rsidR="00221E16" w:rsidRPr="007B2402">
        <w:rPr>
          <w:rFonts w:eastAsia="Calibri" w:cs="Times New Roman"/>
          <w:iCs/>
          <w:lang w:val="en-US"/>
        </w:rPr>
        <w:t>parag</w:t>
      </w:r>
      <w:r w:rsidR="00125B7E" w:rsidRPr="007B2402">
        <w:rPr>
          <w:rFonts w:eastAsia="Calibri" w:cs="Times New Roman"/>
          <w:iCs/>
          <w:lang w:val="en-US"/>
        </w:rPr>
        <w:t>r</w:t>
      </w:r>
      <w:r w:rsidR="00221E16" w:rsidRPr="007B2402">
        <w:rPr>
          <w:rFonts w:eastAsia="Calibri" w:cs="Times New Roman"/>
          <w:iCs/>
          <w:lang w:val="en-US"/>
        </w:rPr>
        <w:t>aph</w:t>
      </w:r>
      <w:r w:rsidR="00B91D70" w:rsidRPr="007B2402">
        <w:rPr>
          <w:rFonts w:eastAsia="Calibri" w:cs="Times New Roman"/>
          <w:iCs/>
          <w:lang w:val="en-US"/>
        </w:rPr>
        <w:t xml:space="preserve"> </w:t>
      </w:r>
      <w:r w:rsidR="0075618A" w:rsidRPr="007B2402">
        <w:rPr>
          <w:rFonts w:eastAsia="Calibri" w:cs="Times New Roman"/>
          <w:iCs/>
          <w:lang w:val="en-US"/>
        </w:rPr>
        <w:t xml:space="preserve">383 </w:t>
      </w:r>
      <w:r w:rsidR="00125B7E" w:rsidRPr="007B2402">
        <w:rPr>
          <w:rFonts w:eastAsia="Calibri" w:cs="Times New Roman"/>
          <w:iCs/>
          <w:lang w:val="en-US"/>
        </w:rPr>
        <w:t>of this judgment.</w:t>
      </w:r>
      <w:r w:rsidR="00B91D70" w:rsidRPr="007B2402">
        <w:rPr>
          <w:rFonts w:eastAsia="Calibri" w:cs="Times New Roman"/>
          <w:iCs/>
          <w:lang w:val="en-US"/>
        </w:rPr>
        <w:t xml:space="preserve"> </w:t>
      </w:r>
    </w:p>
    <w:p w14:paraId="6163003E" w14:textId="77777777" w:rsidR="00B91D70" w:rsidRPr="007B2402" w:rsidRDefault="00B91D70" w:rsidP="00B91D70">
      <w:pPr>
        <w:spacing w:after="0" w:line="240" w:lineRule="auto"/>
        <w:ind w:left="720"/>
        <w:contextualSpacing/>
        <w:jc w:val="both"/>
        <w:rPr>
          <w:rFonts w:eastAsia="Calibri" w:cs="Times New Roman"/>
          <w:lang w:val="en-US"/>
        </w:rPr>
      </w:pPr>
    </w:p>
    <w:p w14:paraId="2E0D3958" w14:textId="30EA19F6" w:rsidR="007C2388" w:rsidRPr="007B2402" w:rsidRDefault="00125B7E" w:rsidP="007C2388">
      <w:pPr>
        <w:pStyle w:val="Ttulo2"/>
        <w:numPr>
          <w:ilvl w:val="0"/>
          <w:numId w:val="27"/>
        </w:numPr>
        <w:ind w:left="0" w:firstLine="0"/>
        <w:rPr>
          <w:b/>
          <w:lang w:val="en-US"/>
        </w:rPr>
      </w:pPr>
      <w:bookmarkStart w:id="197" w:name="_Toc506984142"/>
      <w:r w:rsidRPr="007B2402">
        <w:rPr>
          <w:b/>
          <w:lang w:val="en-US"/>
        </w:rPr>
        <w:t>Other measures of reparation requested by</w:t>
      </w:r>
      <w:r w:rsidR="007C2388" w:rsidRPr="007B2402">
        <w:rPr>
          <w:b/>
          <w:lang w:val="en-US"/>
        </w:rPr>
        <w:t xml:space="preserve"> </w:t>
      </w:r>
      <w:r w:rsidR="005B1590" w:rsidRPr="007B2402">
        <w:rPr>
          <w:b/>
          <w:lang w:val="en-US"/>
        </w:rPr>
        <w:t>the representatives</w:t>
      </w:r>
      <w:bookmarkEnd w:id="197"/>
    </w:p>
    <w:p w14:paraId="4C5DB13F" w14:textId="77777777" w:rsidR="007C2388" w:rsidRPr="007B2402" w:rsidRDefault="007C2388" w:rsidP="007C2388">
      <w:pPr>
        <w:spacing w:after="0" w:line="240" w:lineRule="auto"/>
        <w:ind w:left="1713"/>
        <w:contextualSpacing/>
        <w:jc w:val="both"/>
        <w:rPr>
          <w:rFonts w:eastAsia="Calibri" w:cs="Times New Roman"/>
          <w:b/>
          <w:szCs w:val="20"/>
          <w:lang w:val="en-US"/>
        </w:rPr>
      </w:pPr>
    </w:p>
    <w:p w14:paraId="21DD4184" w14:textId="614A3892" w:rsidR="00560541" w:rsidRPr="007B2402" w:rsidRDefault="005B1590" w:rsidP="007C2388">
      <w:pPr>
        <w:numPr>
          <w:ilvl w:val="0"/>
          <w:numId w:val="5"/>
        </w:numPr>
        <w:spacing w:after="0" w:line="240" w:lineRule="auto"/>
        <w:jc w:val="both"/>
        <w:rPr>
          <w:rFonts w:eastAsia="Calibri" w:cs="Times New Roman"/>
          <w:b/>
          <w:szCs w:val="20"/>
          <w:lang w:val="en-US"/>
        </w:rPr>
      </w:pPr>
      <w:r w:rsidRPr="007B2402">
        <w:rPr>
          <w:rFonts w:eastAsia="Calibri" w:cs="Times New Roman"/>
          <w:szCs w:val="20"/>
          <w:lang w:val="en-US"/>
        </w:rPr>
        <w:t xml:space="preserve">The </w:t>
      </w:r>
      <w:r w:rsidRPr="007B2402">
        <w:rPr>
          <w:rFonts w:eastAsia="Calibri" w:cs="Times New Roman"/>
          <w:b/>
          <w:bCs/>
          <w:i/>
          <w:iCs/>
          <w:szCs w:val="20"/>
          <w:lang w:val="en-US"/>
        </w:rPr>
        <w:t>representatives</w:t>
      </w:r>
      <w:r w:rsidR="007C2388" w:rsidRPr="007B2402">
        <w:rPr>
          <w:rFonts w:eastAsia="Calibri" w:cs="Times New Roman"/>
          <w:b/>
          <w:i/>
          <w:szCs w:val="20"/>
          <w:lang w:val="en-US"/>
        </w:rPr>
        <w:t xml:space="preserve"> </w:t>
      </w:r>
      <w:r w:rsidR="00560541" w:rsidRPr="007B2402">
        <w:rPr>
          <w:rFonts w:eastAsia="Calibri" w:cs="Times New Roman"/>
          <w:szCs w:val="20"/>
          <w:lang w:val="en-US"/>
        </w:rPr>
        <w:t xml:space="preserve">asked the Court to require the State: (i) to reinforce the measures of protection for individuals in the custody of the State; to ensure the effective implementation of the National Mechanism for Prevention of Torture, and to ensure the transparency and independence of the National Committee to Prevent and Combat Torture; (ii) to ensure the autonomy of forensic experts and to prepare a national protocol of due diligence to combat torture; (iii) to grant land in </w:t>
      </w:r>
      <w:r w:rsidR="00560541" w:rsidRPr="007B2402">
        <w:rPr>
          <w:rFonts w:eastAsia="Calibri" w:cs="Times New Roman"/>
          <w:lang w:val="en-US"/>
        </w:rPr>
        <w:t xml:space="preserve">São Paulo to build </w:t>
      </w:r>
      <w:r w:rsidR="005C3C64" w:rsidRPr="007B2402">
        <w:rPr>
          <w:rFonts w:eastAsia="Calibri" w:cs="Times New Roman"/>
          <w:lang w:val="en-US"/>
        </w:rPr>
        <w:t>a</w:t>
      </w:r>
      <w:r w:rsidR="00560541" w:rsidRPr="007B2402">
        <w:rPr>
          <w:rFonts w:eastAsia="Calibri" w:cs="Times New Roman"/>
          <w:lang w:val="en-US"/>
        </w:rPr>
        <w:t xml:space="preserve"> museum; (iv) to strengthen the Program for the Protection of Human Rights Defenders so that it becomes an effective public policy to protect human rights defenders and also communicators; (v) to ensure that all State institutions and authorities are obliged to cooperate by supplying information and full access to all the </w:t>
      </w:r>
      <w:r w:rsidR="005C3C64" w:rsidRPr="007B2402">
        <w:rPr>
          <w:rFonts w:eastAsia="Calibri" w:cs="Times New Roman"/>
          <w:lang w:val="en-US"/>
        </w:rPr>
        <w:t>file</w:t>
      </w:r>
      <w:r w:rsidR="00560541" w:rsidRPr="007B2402">
        <w:rPr>
          <w:rFonts w:eastAsia="Calibri" w:cs="Times New Roman"/>
          <w:lang w:val="en-US"/>
        </w:rPr>
        <w:t xml:space="preserve">s and records that may contain information on crimes, </w:t>
      </w:r>
      <w:r w:rsidR="005C3C64" w:rsidRPr="007B2402">
        <w:rPr>
          <w:rFonts w:eastAsia="Calibri" w:cs="Times New Roman"/>
          <w:lang w:val="en-US"/>
        </w:rPr>
        <w:t xml:space="preserve">the </w:t>
      </w:r>
      <w:r w:rsidR="00560541" w:rsidRPr="007B2402">
        <w:rPr>
          <w:rFonts w:eastAsia="Calibri" w:cs="Times New Roman"/>
          <w:lang w:val="en-US"/>
        </w:rPr>
        <w:t xml:space="preserve">individuals involved and </w:t>
      </w:r>
      <w:r w:rsidR="005C3C64" w:rsidRPr="007B2402">
        <w:rPr>
          <w:rFonts w:eastAsia="Calibri" w:cs="Times New Roman"/>
          <w:lang w:val="en-US"/>
        </w:rPr>
        <w:t xml:space="preserve">the </w:t>
      </w:r>
      <w:r w:rsidR="00560541" w:rsidRPr="007B2402">
        <w:rPr>
          <w:rFonts w:eastAsia="Calibri" w:cs="Times New Roman"/>
          <w:lang w:val="en-US"/>
        </w:rPr>
        <w:t xml:space="preserve">victims, and that </w:t>
      </w:r>
      <w:r w:rsidR="005C3C64" w:rsidRPr="007B2402">
        <w:rPr>
          <w:rFonts w:eastAsia="Calibri" w:cs="Times New Roman"/>
          <w:lang w:val="en-US"/>
        </w:rPr>
        <w:t xml:space="preserve">it </w:t>
      </w:r>
      <w:r w:rsidR="00560541" w:rsidRPr="007B2402">
        <w:rPr>
          <w:rFonts w:eastAsia="Calibri" w:cs="Times New Roman"/>
          <w:lang w:val="en-US"/>
        </w:rPr>
        <w:t>open investigative and administrative proceedings that lead to the recovery of documentation that is missing or has been destroyed, and determine the guilty parties.</w:t>
      </w:r>
    </w:p>
    <w:p w14:paraId="70F65230" w14:textId="77777777" w:rsidR="007C2388" w:rsidRPr="007B2402" w:rsidRDefault="007C2388" w:rsidP="007C2388">
      <w:pPr>
        <w:spacing w:after="0" w:line="240" w:lineRule="auto"/>
        <w:jc w:val="both"/>
        <w:rPr>
          <w:rFonts w:eastAsia="Calibri" w:cs="Times New Roman"/>
          <w:b/>
          <w:szCs w:val="20"/>
          <w:lang w:val="en-US"/>
        </w:rPr>
      </w:pPr>
    </w:p>
    <w:p w14:paraId="1A872182" w14:textId="739B7073" w:rsidR="00560541" w:rsidRPr="007B2402" w:rsidRDefault="00AF4344" w:rsidP="007C2388">
      <w:pPr>
        <w:numPr>
          <w:ilvl w:val="0"/>
          <w:numId w:val="5"/>
        </w:numPr>
        <w:spacing w:after="0" w:line="240" w:lineRule="auto"/>
        <w:jc w:val="both"/>
        <w:rPr>
          <w:rFonts w:eastAsia="Calibri" w:cs="Times New Roman"/>
          <w:b/>
          <w:szCs w:val="20"/>
          <w:lang w:val="en-US"/>
        </w:rPr>
      </w:pPr>
      <w:r w:rsidRPr="007B2402">
        <w:rPr>
          <w:rFonts w:eastAsia="Calibri" w:cs="Times New Roman"/>
          <w:szCs w:val="20"/>
          <w:lang w:val="en-US"/>
        </w:rPr>
        <w:t xml:space="preserve">The </w:t>
      </w:r>
      <w:r w:rsidRPr="007B2402">
        <w:rPr>
          <w:rFonts w:eastAsia="Calibri" w:cs="Times New Roman"/>
          <w:b/>
          <w:bCs/>
          <w:i/>
          <w:iCs/>
          <w:szCs w:val="20"/>
          <w:lang w:val="en-US"/>
        </w:rPr>
        <w:t>State</w:t>
      </w:r>
      <w:r w:rsidR="007C2388" w:rsidRPr="007B2402">
        <w:rPr>
          <w:rFonts w:eastAsia="Calibri" w:cs="Times New Roman"/>
          <w:b/>
          <w:bCs/>
          <w:i/>
          <w:iCs/>
          <w:szCs w:val="20"/>
          <w:lang w:val="en-US"/>
        </w:rPr>
        <w:t xml:space="preserve"> </w:t>
      </w:r>
      <w:r w:rsidR="00560541" w:rsidRPr="007B2402">
        <w:rPr>
          <w:rFonts w:eastAsia="Calibri" w:cs="Times New Roman"/>
          <w:szCs w:val="20"/>
          <w:lang w:val="en-US"/>
        </w:rPr>
        <w:t>argued that</w:t>
      </w:r>
      <w:r w:rsidR="006C72BA" w:rsidRPr="007B2402">
        <w:rPr>
          <w:rFonts w:eastAsia="Calibri" w:cs="Times New Roman"/>
          <w:szCs w:val="20"/>
          <w:lang w:val="en-US"/>
        </w:rPr>
        <w:t>:</w:t>
      </w:r>
      <w:r w:rsidR="007C2388" w:rsidRPr="007B2402">
        <w:rPr>
          <w:rFonts w:eastAsia="Calibri" w:cs="Times New Roman"/>
          <w:szCs w:val="20"/>
          <w:lang w:val="en-US"/>
        </w:rPr>
        <w:t xml:space="preserve"> </w:t>
      </w:r>
      <w:r w:rsidR="00560541" w:rsidRPr="007B2402">
        <w:rPr>
          <w:rFonts w:eastAsia="Calibri" w:cs="Times New Roman"/>
          <w:szCs w:val="20"/>
          <w:lang w:val="en-US"/>
        </w:rPr>
        <w:t>(</w:t>
      </w:r>
      <w:r w:rsidR="007C2388" w:rsidRPr="007B2402">
        <w:rPr>
          <w:rFonts w:eastAsia="Calibri" w:cs="Times New Roman"/>
          <w:szCs w:val="20"/>
          <w:lang w:val="en-US"/>
        </w:rPr>
        <w:t xml:space="preserve">i) </w:t>
      </w:r>
      <w:r w:rsidR="00560541" w:rsidRPr="007B2402">
        <w:rPr>
          <w:rFonts w:eastAsia="Calibri" w:cs="Times New Roman"/>
          <w:szCs w:val="20"/>
          <w:lang w:val="en-US"/>
        </w:rPr>
        <w:t xml:space="preserve">crimes of torture </w:t>
      </w:r>
      <w:r w:rsidR="005C3C64" w:rsidRPr="007B2402">
        <w:rPr>
          <w:rFonts w:eastAsia="Calibri" w:cs="Times New Roman"/>
          <w:szCs w:val="20"/>
          <w:lang w:val="en-US"/>
        </w:rPr>
        <w:t>we</w:t>
      </w:r>
      <w:r w:rsidR="00560541" w:rsidRPr="007B2402">
        <w:rPr>
          <w:rFonts w:eastAsia="Calibri" w:cs="Times New Roman"/>
          <w:szCs w:val="20"/>
          <w:lang w:val="en-US"/>
        </w:rPr>
        <w:t xml:space="preserve">re not the purpose of this case, and </w:t>
      </w:r>
      <w:r w:rsidR="005C3C64" w:rsidRPr="007B2402">
        <w:rPr>
          <w:rFonts w:eastAsia="Calibri" w:cs="Times New Roman"/>
          <w:szCs w:val="20"/>
          <w:lang w:val="en-US"/>
        </w:rPr>
        <w:t>described</w:t>
      </w:r>
      <w:r w:rsidR="00560541" w:rsidRPr="007B2402">
        <w:rPr>
          <w:rFonts w:eastAsia="Calibri" w:cs="Times New Roman"/>
          <w:szCs w:val="20"/>
          <w:lang w:val="en-US"/>
        </w:rPr>
        <w:t xml:space="preserve"> </w:t>
      </w:r>
      <w:r w:rsidR="005C3C64" w:rsidRPr="007B2402">
        <w:rPr>
          <w:rFonts w:eastAsia="Calibri" w:cs="Times New Roman"/>
          <w:szCs w:val="20"/>
          <w:lang w:val="en-US"/>
        </w:rPr>
        <w:t>the</w:t>
      </w:r>
      <w:r w:rsidR="00560541" w:rsidRPr="007B2402">
        <w:rPr>
          <w:rFonts w:eastAsia="Calibri" w:cs="Times New Roman"/>
          <w:szCs w:val="20"/>
          <w:lang w:val="en-US"/>
        </w:rPr>
        <w:t xml:space="preserve"> legal framework, </w:t>
      </w:r>
      <w:r w:rsidR="005C3C64" w:rsidRPr="007B2402">
        <w:rPr>
          <w:rFonts w:eastAsia="Calibri" w:cs="Times New Roman"/>
          <w:szCs w:val="20"/>
          <w:lang w:val="en-US"/>
        </w:rPr>
        <w:t xml:space="preserve">and </w:t>
      </w:r>
      <w:r w:rsidR="00560541" w:rsidRPr="007B2402">
        <w:rPr>
          <w:rFonts w:eastAsia="Calibri" w:cs="Times New Roman"/>
          <w:szCs w:val="20"/>
          <w:lang w:val="en-US"/>
        </w:rPr>
        <w:t>current public policies and actions to prevent and combat torture and other cruel, inhuman or degrading treatment or punishment in Brazil; (ii) the request was not legally admissible because the Federal Government c</w:t>
      </w:r>
      <w:r w:rsidR="005C3C64" w:rsidRPr="007B2402">
        <w:rPr>
          <w:rFonts w:eastAsia="Calibri" w:cs="Times New Roman"/>
          <w:szCs w:val="20"/>
          <w:lang w:val="en-US"/>
        </w:rPr>
        <w:t xml:space="preserve">ould </w:t>
      </w:r>
      <w:r w:rsidR="00560541" w:rsidRPr="007B2402">
        <w:rPr>
          <w:rFonts w:eastAsia="Calibri" w:cs="Times New Roman"/>
          <w:szCs w:val="20"/>
          <w:lang w:val="en-US"/>
        </w:rPr>
        <w:t xml:space="preserve">not oblige the federated states to amend </w:t>
      </w:r>
      <w:r w:rsidR="005C3C64" w:rsidRPr="007B2402">
        <w:rPr>
          <w:rFonts w:eastAsia="Calibri" w:cs="Times New Roman"/>
          <w:szCs w:val="20"/>
          <w:lang w:val="en-US"/>
        </w:rPr>
        <w:t>their</w:t>
      </w:r>
      <w:r w:rsidR="00560541" w:rsidRPr="007B2402">
        <w:rPr>
          <w:rFonts w:eastAsia="Calibri" w:cs="Times New Roman"/>
          <w:szCs w:val="20"/>
          <w:lang w:val="en-US"/>
        </w:rPr>
        <w:t xml:space="preserve"> laws. It also asserted that initiatives </w:t>
      </w:r>
      <w:r w:rsidR="005C3C64" w:rsidRPr="007B2402">
        <w:rPr>
          <w:rFonts w:eastAsia="Calibri" w:cs="Times New Roman"/>
          <w:szCs w:val="20"/>
          <w:lang w:val="en-US"/>
        </w:rPr>
        <w:t xml:space="preserve">had already been implemented </w:t>
      </w:r>
      <w:r w:rsidR="00560541" w:rsidRPr="007B2402">
        <w:rPr>
          <w:rFonts w:eastAsia="Calibri" w:cs="Times New Roman"/>
          <w:szCs w:val="20"/>
          <w:lang w:val="en-US"/>
        </w:rPr>
        <w:t>to create of an autonomous career in the federated states; (iii) it ha</w:t>
      </w:r>
      <w:r w:rsidR="005C3C64" w:rsidRPr="007B2402">
        <w:rPr>
          <w:rFonts w:eastAsia="Calibri" w:cs="Times New Roman"/>
          <w:szCs w:val="20"/>
          <w:lang w:val="en-US"/>
        </w:rPr>
        <w:t>d</w:t>
      </w:r>
      <w:r w:rsidR="00560541" w:rsidRPr="007B2402">
        <w:rPr>
          <w:rFonts w:eastAsia="Calibri" w:cs="Times New Roman"/>
          <w:szCs w:val="20"/>
          <w:lang w:val="en-US"/>
        </w:rPr>
        <w:t xml:space="preserve"> implemented memory and truth policies; (iv) the </w:t>
      </w:r>
      <w:r w:rsidR="00560541" w:rsidRPr="007B2402">
        <w:rPr>
          <w:rFonts w:eastAsia="Calibri" w:cs="Times New Roman"/>
          <w:lang w:val="en-US"/>
        </w:rPr>
        <w:t>Program for the Protection of Human Rights Defenders ha</w:t>
      </w:r>
      <w:r w:rsidR="005C3C64" w:rsidRPr="007B2402">
        <w:rPr>
          <w:rFonts w:eastAsia="Calibri" w:cs="Times New Roman"/>
          <w:lang w:val="en-US"/>
        </w:rPr>
        <w:t>d</w:t>
      </w:r>
      <w:r w:rsidR="00560541" w:rsidRPr="007B2402">
        <w:rPr>
          <w:rFonts w:eastAsia="Calibri" w:cs="Times New Roman"/>
          <w:lang w:val="en-US"/>
        </w:rPr>
        <w:t xml:space="preserve"> its own methodology and criteria</w:t>
      </w:r>
      <w:r w:rsidR="0063740A" w:rsidRPr="007B2402">
        <w:rPr>
          <w:rFonts w:eastAsia="Calibri" w:cs="Times New Roman"/>
          <w:lang w:val="en-US"/>
        </w:rPr>
        <w:t xml:space="preserve"> and also </w:t>
      </w:r>
      <w:r w:rsidR="005C3C64" w:rsidRPr="007B2402">
        <w:rPr>
          <w:rFonts w:eastAsia="Calibri" w:cs="Times New Roman"/>
          <w:lang w:val="en-US"/>
        </w:rPr>
        <w:t>included</w:t>
      </w:r>
      <w:r w:rsidR="0063740A" w:rsidRPr="007B2402">
        <w:rPr>
          <w:rFonts w:eastAsia="Calibri" w:cs="Times New Roman"/>
          <w:lang w:val="en-US"/>
        </w:rPr>
        <w:t xml:space="preserve"> cases of communicators; it also asserted that the request to strengthen th</w:t>
      </w:r>
      <w:r w:rsidR="005C3C64" w:rsidRPr="007B2402">
        <w:rPr>
          <w:rFonts w:eastAsia="Calibri" w:cs="Times New Roman"/>
          <w:lang w:val="en-US"/>
        </w:rPr>
        <w:t>e Program was</w:t>
      </w:r>
      <w:r w:rsidR="0063740A" w:rsidRPr="007B2402">
        <w:rPr>
          <w:rFonts w:eastAsia="Calibri" w:cs="Times New Roman"/>
          <w:lang w:val="en-US"/>
        </w:rPr>
        <w:t xml:space="preserve"> very general and would not </w:t>
      </w:r>
      <w:r w:rsidR="005C3C64" w:rsidRPr="007B2402">
        <w:rPr>
          <w:rFonts w:eastAsia="Calibri" w:cs="Times New Roman"/>
          <w:lang w:val="en-US"/>
        </w:rPr>
        <w:t>permit compliance</w:t>
      </w:r>
      <w:r w:rsidR="0063740A" w:rsidRPr="007B2402">
        <w:rPr>
          <w:rFonts w:eastAsia="Calibri" w:cs="Times New Roman"/>
          <w:lang w:val="en-US"/>
        </w:rPr>
        <w:t xml:space="preserve">, because </w:t>
      </w:r>
      <w:r w:rsidR="009554EB" w:rsidRPr="007B2402">
        <w:rPr>
          <w:rFonts w:eastAsia="Calibri" w:cs="Times New Roman"/>
          <w:lang w:val="en-US"/>
        </w:rPr>
        <w:t>the Program</w:t>
      </w:r>
      <w:r w:rsidR="005C3C64" w:rsidRPr="007B2402">
        <w:rPr>
          <w:rFonts w:eastAsia="Calibri" w:cs="Times New Roman"/>
          <w:lang w:val="en-US"/>
        </w:rPr>
        <w:t xml:space="preserve"> was very</w:t>
      </w:r>
      <w:r w:rsidR="0063740A" w:rsidRPr="007B2402">
        <w:rPr>
          <w:rFonts w:eastAsia="Calibri" w:cs="Times New Roman"/>
          <w:lang w:val="en-US"/>
        </w:rPr>
        <w:t xml:space="preserve"> effective</w:t>
      </w:r>
      <w:r w:rsidR="009554EB" w:rsidRPr="007B2402">
        <w:rPr>
          <w:rFonts w:eastAsia="Calibri" w:cs="Times New Roman"/>
          <w:lang w:val="en-US"/>
        </w:rPr>
        <w:t xml:space="preserve"> now</w:t>
      </w:r>
      <w:r w:rsidR="0063740A" w:rsidRPr="007B2402">
        <w:rPr>
          <w:rFonts w:eastAsia="Calibri" w:cs="Times New Roman"/>
          <w:lang w:val="en-US"/>
        </w:rPr>
        <w:t xml:space="preserve">, and (v) the allegations </w:t>
      </w:r>
      <w:r w:rsidR="009554EB" w:rsidRPr="007B2402">
        <w:rPr>
          <w:rFonts w:eastAsia="Calibri" w:cs="Times New Roman"/>
          <w:lang w:val="en-US"/>
        </w:rPr>
        <w:t>relating to</w:t>
      </w:r>
      <w:r w:rsidR="0063740A" w:rsidRPr="007B2402">
        <w:rPr>
          <w:rFonts w:eastAsia="Calibri" w:cs="Times New Roman"/>
          <w:lang w:val="en-US"/>
        </w:rPr>
        <w:t xml:space="preserve"> denial of access to and reconstruction of documents </w:t>
      </w:r>
      <w:r w:rsidR="009554EB" w:rsidRPr="007B2402">
        <w:rPr>
          <w:rFonts w:eastAsia="Calibri" w:cs="Times New Roman"/>
          <w:lang w:val="en-US"/>
        </w:rPr>
        <w:t>we</w:t>
      </w:r>
      <w:r w:rsidR="0063740A" w:rsidRPr="007B2402">
        <w:rPr>
          <w:rFonts w:eastAsia="Calibri" w:cs="Times New Roman"/>
          <w:lang w:val="en-US"/>
        </w:rPr>
        <w:t>re very general.</w:t>
      </w:r>
    </w:p>
    <w:p w14:paraId="2A4A18FB" w14:textId="77777777" w:rsidR="007C2388" w:rsidRPr="007B2402" w:rsidRDefault="007C2388" w:rsidP="007C2388">
      <w:pPr>
        <w:spacing w:after="0" w:line="240" w:lineRule="auto"/>
        <w:ind w:left="720"/>
        <w:contextualSpacing/>
        <w:jc w:val="both"/>
        <w:rPr>
          <w:rFonts w:eastAsia="Calibri" w:cs="Times New Roman"/>
          <w:b/>
          <w:szCs w:val="20"/>
          <w:lang w:val="en-US"/>
        </w:rPr>
      </w:pPr>
    </w:p>
    <w:p w14:paraId="59E2B5C5" w14:textId="4465434F" w:rsidR="0063740A" w:rsidRPr="007B2402" w:rsidRDefault="0063740A" w:rsidP="000A6DAF">
      <w:pPr>
        <w:numPr>
          <w:ilvl w:val="0"/>
          <w:numId w:val="5"/>
        </w:numPr>
        <w:spacing w:after="0" w:line="240" w:lineRule="auto"/>
        <w:jc w:val="both"/>
        <w:rPr>
          <w:rFonts w:eastAsia="Calibri" w:cs="Times New Roman"/>
          <w:iCs/>
          <w:szCs w:val="20"/>
          <w:lang w:val="en-US"/>
        </w:rPr>
      </w:pPr>
      <w:r w:rsidRPr="007B2402">
        <w:rPr>
          <w:rFonts w:eastAsia="Calibri" w:cs="Times New Roman"/>
          <w:szCs w:val="20"/>
          <w:lang w:val="en-US"/>
        </w:rPr>
        <w:t>In this regard, the Court considers that the National Mechanism for the Prevention of Torture has already been implemented and appreciates the initiatives taken by Brazil to preserve the right of Vladimir Herzog</w:t>
      </w:r>
      <w:r w:rsidR="009554EB" w:rsidRPr="007B2402">
        <w:rPr>
          <w:rFonts w:eastAsia="Calibri" w:cs="Times New Roman"/>
          <w:szCs w:val="20"/>
          <w:lang w:val="en-US"/>
        </w:rPr>
        <w:t xml:space="preserve"> to be remembered. Consequently,</w:t>
      </w:r>
      <w:r w:rsidRPr="007B2402">
        <w:rPr>
          <w:rFonts w:eastAsia="Calibri" w:cs="Times New Roman"/>
          <w:szCs w:val="20"/>
          <w:lang w:val="en-US"/>
        </w:rPr>
        <w:t xml:space="preserve"> it finds that it is not appropriate to issue additional measures of reparation in this regard. Also, the autonomy of forensic experts and the preparation or implementation of a national protocol of </w:t>
      </w:r>
      <w:r w:rsidR="00DF1102" w:rsidRPr="007B2402">
        <w:rPr>
          <w:rFonts w:eastAsia="Calibri" w:cs="Times New Roman"/>
          <w:szCs w:val="20"/>
          <w:lang w:val="en-US"/>
        </w:rPr>
        <w:t>due</w:t>
      </w:r>
      <w:r w:rsidRPr="007B2402">
        <w:rPr>
          <w:rFonts w:eastAsia="Calibri" w:cs="Times New Roman"/>
          <w:szCs w:val="20"/>
          <w:lang w:val="en-US"/>
        </w:rPr>
        <w:t xml:space="preserve"> diligence to combat torture has not been</w:t>
      </w:r>
      <w:r w:rsidR="009554EB" w:rsidRPr="007B2402">
        <w:rPr>
          <w:rFonts w:eastAsia="Calibri" w:cs="Times New Roman"/>
          <w:szCs w:val="20"/>
          <w:lang w:val="en-US"/>
        </w:rPr>
        <w:t xml:space="preserve"> part of the</w:t>
      </w:r>
      <w:r w:rsidRPr="007B2402">
        <w:rPr>
          <w:rFonts w:eastAsia="Calibri" w:cs="Times New Roman"/>
          <w:szCs w:val="20"/>
          <w:lang w:val="en-US"/>
        </w:rPr>
        <w:t xml:space="preserve"> subject</w:t>
      </w:r>
      <w:r w:rsidR="009554EB" w:rsidRPr="007B2402">
        <w:rPr>
          <w:rFonts w:eastAsia="Calibri" w:cs="Times New Roman"/>
          <w:szCs w:val="20"/>
          <w:lang w:val="en-US"/>
        </w:rPr>
        <w:t xml:space="preserve"> matter</w:t>
      </w:r>
      <w:r w:rsidRPr="007B2402">
        <w:rPr>
          <w:rFonts w:eastAsia="Calibri" w:cs="Times New Roman"/>
          <w:szCs w:val="20"/>
          <w:lang w:val="en-US"/>
        </w:rPr>
        <w:t xml:space="preserve"> of this case; thus, the Court considers this request inadmissible. Regarding the other measures of reparation requested, the Court considers that they were not the subject of this case </w:t>
      </w:r>
      <w:r w:rsidR="009554EB" w:rsidRPr="007B2402">
        <w:rPr>
          <w:rFonts w:eastAsia="Calibri" w:cs="Times New Roman"/>
          <w:szCs w:val="20"/>
          <w:lang w:val="en-US"/>
        </w:rPr>
        <w:t>and, accordingly,</w:t>
      </w:r>
      <w:r w:rsidRPr="007B2402">
        <w:rPr>
          <w:rFonts w:eastAsia="Calibri" w:cs="Times New Roman"/>
          <w:szCs w:val="20"/>
          <w:lang w:val="en-US"/>
        </w:rPr>
        <w:t xml:space="preserve"> finds those requ</w:t>
      </w:r>
      <w:r w:rsidR="009554EB" w:rsidRPr="007B2402">
        <w:rPr>
          <w:rFonts w:eastAsia="Calibri" w:cs="Times New Roman"/>
          <w:szCs w:val="20"/>
          <w:lang w:val="en-US"/>
        </w:rPr>
        <w:t>ests</w:t>
      </w:r>
      <w:r w:rsidRPr="007B2402">
        <w:rPr>
          <w:rFonts w:eastAsia="Calibri" w:cs="Times New Roman"/>
          <w:szCs w:val="20"/>
          <w:lang w:val="en-US"/>
        </w:rPr>
        <w:t xml:space="preserve"> inadmissible.</w:t>
      </w:r>
    </w:p>
    <w:p w14:paraId="1C2F16CD" w14:textId="77777777" w:rsidR="00206213" w:rsidRPr="007B2402" w:rsidRDefault="00206213" w:rsidP="00206213">
      <w:pPr>
        <w:spacing w:after="0" w:line="240" w:lineRule="auto"/>
        <w:jc w:val="both"/>
        <w:rPr>
          <w:rFonts w:eastAsia="Calibri" w:cs="Times New Roman"/>
          <w:iCs/>
          <w:szCs w:val="20"/>
          <w:lang w:val="en-US"/>
        </w:rPr>
      </w:pPr>
    </w:p>
    <w:p w14:paraId="0B39C296" w14:textId="209AE7F9" w:rsidR="00B91D70" w:rsidRPr="007B2402" w:rsidRDefault="0063740A" w:rsidP="007C2388">
      <w:pPr>
        <w:pStyle w:val="Ttulo2"/>
        <w:numPr>
          <w:ilvl w:val="0"/>
          <w:numId w:val="27"/>
        </w:numPr>
        <w:ind w:left="0" w:firstLine="0"/>
        <w:rPr>
          <w:b/>
          <w:lang w:val="en-US"/>
        </w:rPr>
      </w:pPr>
      <w:r w:rsidRPr="007B2402">
        <w:rPr>
          <w:b/>
          <w:lang w:val="en-US"/>
        </w:rPr>
        <w:t>Compensation</w:t>
      </w:r>
    </w:p>
    <w:p w14:paraId="41EAAA71" w14:textId="77777777" w:rsidR="00B91D70" w:rsidRPr="007B2402" w:rsidRDefault="00B91D70" w:rsidP="00B91D70">
      <w:pPr>
        <w:spacing w:after="0" w:line="240" w:lineRule="auto"/>
        <w:ind w:left="720"/>
        <w:contextualSpacing/>
        <w:jc w:val="both"/>
        <w:rPr>
          <w:rFonts w:eastAsia="Calibri" w:cs="Times New Roman"/>
          <w:lang w:val="en-US"/>
        </w:rPr>
      </w:pPr>
    </w:p>
    <w:p w14:paraId="6299827F" w14:textId="3077BD1E" w:rsidR="00B91D70" w:rsidRPr="007B2402" w:rsidRDefault="0063740A" w:rsidP="007C2388">
      <w:pPr>
        <w:pStyle w:val="Ttulo3"/>
        <w:numPr>
          <w:ilvl w:val="0"/>
          <w:numId w:val="40"/>
        </w:numPr>
        <w:rPr>
          <w:lang w:val="en-US"/>
        </w:rPr>
      </w:pPr>
      <w:r w:rsidRPr="007B2402">
        <w:rPr>
          <w:lang w:val="en-US"/>
        </w:rPr>
        <w:t>Pecuniary damage</w:t>
      </w:r>
    </w:p>
    <w:p w14:paraId="36302CFC" w14:textId="77777777" w:rsidR="00B91D70" w:rsidRPr="007B2402" w:rsidRDefault="00B91D70" w:rsidP="00B91D70">
      <w:pPr>
        <w:spacing w:after="0" w:line="240" w:lineRule="auto"/>
        <w:ind w:left="720"/>
        <w:contextualSpacing/>
        <w:jc w:val="both"/>
        <w:rPr>
          <w:rFonts w:eastAsia="Calibri" w:cs="Times New Roman"/>
          <w:lang w:val="en-US"/>
        </w:rPr>
      </w:pPr>
    </w:p>
    <w:p w14:paraId="7037FB57" w14:textId="43E33BA9" w:rsidR="00B91D70" w:rsidRPr="007B2402" w:rsidRDefault="00AF4344" w:rsidP="00FB3FA2">
      <w:pPr>
        <w:numPr>
          <w:ilvl w:val="0"/>
          <w:numId w:val="5"/>
        </w:numPr>
        <w:spacing w:after="0" w:line="240" w:lineRule="auto"/>
        <w:contextualSpacing/>
        <w:jc w:val="both"/>
        <w:rPr>
          <w:rFonts w:eastAsia="Calibri" w:cs="Times New Roman"/>
          <w:lang w:val="en-US"/>
        </w:rPr>
      </w:pPr>
      <w:r w:rsidRPr="007B2402">
        <w:rPr>
          <w:rFonts w:eastAsia="Calibri" w:cs="Times New Roman"/>
          <w:lang w:val="en-US"/>
        </w:rPr>
        <w:lastRenderedPageBreak/>
        <w:t xml:space="preserve">The </w:t>
      </w:r>
      <w:r w:rsidRPr="007B2402">
        <w:rPr>
          <w:rFonts w:eastAsia="Calibri" w:cs="Times New Roman"/>
          <w:b/>
          <w:bCs/>
          <w:i/>
          <w:iCs/>
          <w:lang w:val="en-US"/>
        </w:rPr>
        <w:t>Commission</w:t>
      </w:r>
      <w:r w:rsidR="00B91D70" w:rsidRPr="007B2402">
        <w:rPr>
          <w:rFonts w:eastAsia="Calibri" w:cs="Times New Roman"/>
          <w:b/>
          <w:i/>
          <w:lang w:val="en-US"/>
        </w:rPr>
        <w:t xml:space="preserve"> </w:t>
      </w:r>
      <w:r w:rsidR="0063740A" w:rsidRPr="007B2402">
        <w:rPr>
          <w:rFonts w:eastAsia="Calibri" w:cs="Times New Roman"/>
          <w:lang w:val="en-US"/>
        </w:rPr>
        <w:t>requested payment of compensation for</w:t>
      </w:r>
      <w:r w:rsidR="00B91D70" w:rsidRPr="007B2402">
        <w:rPr>
          <w:rFonts w:eastAsia="Calibri" w:cs="Times New Roman"/>
          <w:lang w:val="en-US"/>
        </w:rPr>
        <w:t xml:space="preserve"> </w:t>
      </w:r>
      <w:r w:rsidR="0063740A" w:rsidRPr="007B2402">
        <w:rPr>
          <w:rFonts w:eastAsia="Calibri" w:cs="Times New Roman"/>
          <w:lang w:val="en-US"/>
        </w:rPr>
        <w:t>pecuniary and non-pecuniary damage</w:t>
      </w:r>
      <w:r w:rsidR="00B91D70" w:rsidRPr="007B2402">
        <w:rPr>
          <w:rFonts w:eastAsia="Calibri" w:cs="Times New Roman"/>
          <w:lang w:val="en-US"/>
        </w:rPr>
        <w:t xml:space="preserve"> </w:t>
      </w:r>
      <w:r w:rsidR="0063740A" w:rsidRPr="007B2402">
        <w:rPr>
          <w:rFonts w:eastAsia="Calibri" w:cs="Times New Roman"/>
          <w:lang w:val="en-US"/>
        </w:rPr>
        <w:t xml:space="preserve">to the victims in his </w:t>
      </w:r>
      <w:r w:rsidR="00DF1102" w:rsidRPr="007B2402">
        <w:rPr>
          <w:rFonts w:eastAsia="Calibri" w:cs="Times New Roman"/>
          <w:lang w:val="en-US"/>
        </w:rPr>
        <w:t>case.</w:t>
      </w:r>
    </w:p>
    <w:p w14:paraId="5B72CFAB" w14:textId="77777777" w:rsidR="00D635CE" w:rsidRPr="007B2402" w:rsidRDefault="00D635CE" w:rsidP="00D635CE">
      <w:pPr>
        <w:spacing w:after="0" w:line="240" w:lineRule="auto"/>
        <w:contextualSpacing/>
        <w:jc w:val="both"/>
        <w:rPr>
          <w:rFonts w:eastAsia="Calibri" w:cs="Times New Roman"/>
          <w:lang w:val="en-US"/>
        </w:rPr>
      </w:pPr>
    </w:p>
    <w:p w14:paraId="2EB23583" w14:textId="1ED107B7" w:rsidR="00B91D70" w:rsidRPr="007B2402" w:rsidRDefault="005B1590" w:rsidP="00DB1F30">
      <w:pPr>
        <w:numPr>
          <w:ilvl w:val="0"/>
          <w:numId w:val="5"/>
        </w:numPr>
        <w:spacing w:after="0" w:line="240" w:lineRule="auto"/>
        <w:jc w:val="both"/>
        <w:rPr>
          <w:rFonts w:eastAsia="Calibri" w:cs="Times New Roman"/>
          <w:lang w:val="en-US"/>
        </w:rPr>
      </w:pPr>
      <w:r w:rsidRPr="007B2402">
        <w:rPr>
          <w:rFonts w:eastAsia="Calibri" w:cs="Times New Roman"/>
          <w:lang w:val="en-US"/>
        </w:rPr>
        <w:t xml:space="preserve">The </w:t>
      </w:r>
      <w:r w:rsidRPr="007B2402">
        <w:rPr>
          <w:rFonts w:eastAsia="Calibri" w:cs="Times New Roman"/>
          <w:b/>
          <w:bCs/>
          <w:i/>
          <w:iCs/>
          <w:lang w:val="en-US"/>
        </w:rPr>
        <w:t>representatives</w:t>
      </w:r>
      <w:r w:rsidR="00B91D70" w:rsidRPr="007B2402">
        <w:rPr>
          <w:rFonts w:eastAsia="Calibri" w:cs="Times New Roman"/>
          <w:b/>
          <w:i/>
          <w:lang w:val="en-US"/>
        </w:rPr>
        <w:t xml:space="preserve"> </w:t>
      </w:r>
      <w:r w:rsidR="00D65D32" w:rsidRPr="007B2402">
        <w:rPr>
          <w:rFonts w:eastAsia="Calibri" w:cs="Times New Roman"/>
          <w:lang w:val="en-US"/>
        </w:rPr>
        <w:t>requested payment of</w:t>
      </w:r>
      <w:r w:rsidR="00B91D70" w:rsidRPr="007B2402">
        <w:rPr>
          <w:rFonts w:eastAsia="Calibri" w:cs="Times New Roman"/>
          <w:lang w:val="en-US"/>
        </w:rPr>
        <w:t xml:space="preserve"> </w:t>
      </w:r>
      <w:r w:rsidR="00B91D70" w:rsidRPr="007B2402">
        <w:rPr>
          <w:rFonts w:eastAsia="Calibri" w:cs="Times New Roman"/>
          <w:iCs/>
          <w:lang w:val="en-US"/>
        </w:rPr>
        <w:t>US$</w:t>
      </w:r>
      <w:r w:rsidR="00B91D70" w:rsidRPr="007B2402">
        <w:rPr>
          <w:rFonts w:eastAsia="Calibri" w:cs="Times New Roman"/>
          <w:lang w:val="en-US"/>
        </w:rPr>
        <w:t>4</w:t>
      </w:r>
      <w:r w:rsidR="00D65D32" w:rsidRPr="007B2402">
        <w:rPr>
          <w:rFonts w:eastAsia="Calibri" w:cs="Times New Roman"/>
          <w:lang w:val="en-US"/>
        </w:rPr>
        <w:t>,</w:t>
      </w:r>
      <w:r w:rsidR="00B91D70" w:rsidRPr="007B2402">
        <w:rPr>
          <w:rFonts w:eastAsia="Calibri" w:cs="Times New Roman"/>
          <w:lang w:val="en-US"/>
        </w:rPr>
        <w:t>936</w:t>
      </w:r>
      <w:r w:rsidR="00D65D32" w:rsidRPr="007B2402">
        <w:rPr>
          <w:rFonts w:eastAsia="Calibri" w:cs="Times New Roman"/>
          <w:lang w:val="en-US"/>
        </w:rPr>
        <w:t>,</w:t>
      </w:r>
      <w:r w:rsidR="00B91D70" w:rsidRPr="007B2402">
        <w:rPr>
          <w:rFonts w:eastAsia="Calibri" w:cs="Times New Roman"/>
          <w:lang w:val="en-US"/>
        </w:rPr>
        <w:t>691</w:t>
      </w:r>
      <w:r w:rsidR="00D65D32" w:rsidRPr="007B2402">
        <w:rPr>
          <w:rFonts w:eastAsia="Calibri" w:cs="Times New Roman"/>
          <w:lang w:val="en-US"/>
        </w:rPr>
        <w:t>.</w:t>
      </w:r>
      <w:r w:rsidR="00B91D70" w:rsidRPr="007B2402">
        <w:rPr>
          <w:rFonts w:eastAsia="Calibri" w:cs="Times New Roman"/>
          <w:lang w:val="en-US"/>
        </w:rPr>
        <w:t xml:space="preserve">26 </w:t>
      </w:r>
      <w:r w:rsidR="00D65D32" w:rsidRPr="007B2402">
        <w:rPr>
          <w:rFonts w:eastAsia="Calibri" w:cs="Times New Roman"/>
          <w:lang w:val="en-US"/>
        </w:rPr>
        <w:t xml:space="preserve">to </w:t>
      </w:r>
      <w:r w:rsidR="006531BE" w:rsidRPr="007B2402">
        <w:rPr>
          <w:rFonts w:eastAsia="Calibri" w:cs="Times New Roman"/>
          <w:lang w:val="en-US"/>
        </w:rPr>
        <w:t>Vladi</w:t>
      </w:r>
      <w:r w:rsidR="00B91D70" w:rsidRPr="007B2402">
        <w:rPr>
          <w:rFonts w:eastAsia="Calibri" w:cs="Times New Roman"/>
          <w:lang w:val="en-US"/>
        </w:rPr>
        <w:t>mir Herzog</w:t>
      </w:r>
      <w:r w:rsidR="00D65D32" w:rsidRPr="007B2402">
        <w:rPr>
          <w:rFonts w:eastAsia="Calibri" w:cs="Times New Roman"/>
          <w:lang w:val="en-US"/>
        </w:rPr>
        <w:t>’s family</w:t>
      </w:r>
      <w:r w:rsidR="00B91D70" w:rsidRPr="007B2402">
        <w:rPr>
          <w:rFonts w:eastAsia="Calibri" w:cs="Times New Roman"/>
          <w:lang w:val="en-US"/>
        </w:rPr>
        <w:t xml:space="preserve"> </w:t>
      </w:r>
      <w:r w:rsidR="00D65D32" w:rsidRPr="007B2402">
        <w:rPr>
          <w:rFonts w:eastAsia="Calibri" w:cs="Times New Roman"/>
          <w:lang w:val="en-US"/>
        </w:rPr>
        <w:t>for los</w:t>
      </w:r>
      <w:r w:rsidR="009554EB" w:rsidRPr="007B2402">
        <w:rPr>
          <w:rFonts w:eastAsia="Calibri" w:cs="Times New Roman"/>
          <w:lang w:val="en-US"/>
        </w:rPr>
        <w:t>s</w:t>
      </w:r>
      <w:r w:rsidR="00D65D32" w:rsidRPr="007B2402">
        <w:rPr>
          <w:rFonts w:eastAsia="Calibri" w:cs="Times New Roman"/>
          <w:lang w:val="en-US"/>
        </w:rPr>
        <w:t xml:space="preserve"> of earnings, on the basis that</w:t>
      </w:r>
      <w:r w:rsidR="009554EB" w:rsidRPr="007B2402">
        <w:rPr>
          <w:rFonts w:eastAsia="Calibri" w:cs="Times New Roman"/>
          <w:lang w:val="en-US"/>
        </w:rPr>
        <w:t>, at the time,</w:t>
      </w:r>
      <w:r w:rsidR="00D65D32" w:rsidRPr="007B2402">
        <w:rPr>
          <w:rFonts w:eastAsia="Calibri" w:cs="Times New Roman"/>
          <w:lang w:val="en-US"/>
        </w:rPr>
        <w:t xml:space="preserve"> he received a salary of </w:t>
      </w:r>
      <w:r w:rsidR="00B91D70" w:rsidRPr="007B2402">
        <w:rPr>
          <w:rFonts w:eastAsia="Calibri" w:cs="Times New Roman"/>
          <w:lang w:val="en-US"/>
        </w:rPr>
        <w:t>Cr$15</w:t>
      </w:r>
      <w:r w:rsidR="00D65D32" w:rsidRPr="007B2402">
        <w:rPr>
          <w:rFonts w:eastAsia="Calibri" w:cs="Times New Roman"/>
          <w:lang w:val="en-US"/>
        </w:rPr>
        <w:t>,</w:t>
      </w:r>
      <w:r w:rsidR="00B91D70" w:rsidRPr="007B2402">
        <w:rPr>
          <w:rFonts w:eastAsia="Calibri" w:cs="Times New Roman"/>
          <w:lang w:val="en-US"/>
        </w:rPr>
        <w:t>870</w:t>
      </w:r>
      <w:r w:rsidR="00D65D32" w:rsidRPr="007B2402">
        <w:rPr>
          <w:rFonts w:eastAsia="Calibri" w:cs="Times New Roman"/>
          <w:lang w:val="en-US"/>
        </w:rPr>
        <w:t>.</w:t>
      </w:r>
      <w:r w:rsidR="00B91D70" w:rsidRPr="007B2402">
        <w:rPr>
          <w:rFonts w:eastAsia="Calibri" w:cs="Times New Roman"/>
          <w:lang w:val="en-US"/>
        </w:rPr>
        <w:t>00</w:t>
      </w:r>
      <w:r w:rsidR="00D65D32" w:rsidRPr="007B2402">
        <w:rPr>
          <w:rFonts w:eastAsia="Calibri" w:cs="Times New Roman"/>
          <w:lang w:val="en-US"/>
        </w:rPr>
        <w:t xml:space="preserve">, </w:t>
      </w:r>
      <w:r w:rsidR="009554EB" w:rsidRPr="007B2402">
        <w:rPr>
          <w:rFonts w:eastAsia="Calibri" w:cs="Times New Roman"/>
          <w:lang w:val="en-US"/>
        </w:rPr>
        <w:t>which today</w:t>
      </w:r>
      <w:r w:rsidR="00D65D32" w:rsidRPr="007B2402">
        <w:rPr>
          <w:rFonts w:eastAsia="Calibri" w:cs="Times New Roman"/>
          <w:lang w:val="en-US"/>
        </w:rPr>
        <w:t xml:space="preserve"> is equal to approximately </w:t>
      </w:r>
      <w:r w:rsidR="00B91D70" w:rsidRPr="007B2402">
        <w:rPr>
          <w:rFonts w:eastAsia="Calibri" w:cs="Times New Roman"/>
          <w:lang w:val="en-US"/>
        </w:rPr>
        <w:t>R$36</w:t>
      </w:r>
      <w:r w:rsidR="00D65D32" w:rsidRPr="007B2402">
        <w:rPr>
          <w:rFonts w:eastAsia="Calibri" w:cs="Times New Roman"/>
          <w:lang w:val="en-US"/>
        </w:rPr>
        <w:t>,</w:t>
      </w:r>
      <w:r w:rsidR="00B91D70" w:rsidRPr="007B2402">
        <w:rPr>
          <w:rFonts w:eastAsia="Calibri" w:cs="Times New Roman"/>
          <w:lang w:val="en-US"/>
        </w:rPr>
        <w:t>446</w:t>
      </w:r>
      <w:r w:rsidR="00D635CE" w:rsidRPr="007B2402">
        <w:rPr>
          <w:rFonts w:eastAsia="Calibri" w:cs="Times New Roman"/>
          <w:lang w:val="en-US"/>
        </w:rPr>
        <w:t>.00</w:t>
      </w:r>
      <w:r w:rsidR="00B91D70" w:rsidRPr="007B2402">
        <w:rPr>
          <w:rFonts w:eastAsia="Calibri" w:cs="Times New Roman"/>
          <w:lang w:val="en-US"/>
        </w:rPr>
        <w:t xml:space="preserve"> </w:t>
      </w:r>
      <w:r w:rsidR="00D65D32" w:rsidRPr="007B2402">
        <w:rPr>
          <w:rFonts w:eastAsia="Calibri" w:cs="Times New Roman"/>
          <w:lang w:val="en-US"/>
        </w:rPr>
        <w:t>a month</w:t>
      </w:r>
      <w:r w:rsidR="00B91D70" w:rsidRPr="007B2402">
        <w:rPr>
          <w:rFonts w:eastAsia="Calibri" w:cs="Times New Roman"/>
          <w:lang w:val="en-US"/>
        </w:rPr>
        <w:t>,</w:t>
      </w:r>
      <w:r w:rsidRPr="007B2402">
        <w:rPr>
          <w:rFonts w:eastAsia="Calibri" w:cs="Times New Roman"/>
          <w:lang w:val="en-US"/>
        </w:rPr>
        <w:t xml:space="preserve"> and </w:t>
      </w:r>
      <w:r w:rsidR="00D65D32" w:rsidRPr="007B2402">
        <w:rPr>
          <w:rFonts w:eastAsia="Calibri" w:cs="Times New Roman"/>
          <w:lang w:val="en-US"/>
        </w:rPr>
        <w:t>that life expectancy for a man in Brazil today in 71 years. They also asked the Court to establish, in equity, the value of indirect damage to the family</w:t>
      </w:r>
      <w:r w:rsidR="00D635CE" w:rsidRPr="007B2402">
        <w:rPr>
          <w:rFonts w:eastAsia="Calibri" w:cs="Times New Roman"/>
          <w:lang w:val="en-US"/>
        </w:rPr>
        <w:t>.</w:t>
      </w:r>
    </w:p>
    <w:p w14:paraId="05BBB4A4" w14:textId="15974077" w:rsidR="00B91D70" w:rsidRPr="007B2402" w:rsidRDefault="00B91D70" w:rsidP="00B91D70">
      <w:pPr>
        <w:spacing w:after="0" w:line="240" w:lineRule="auto"/>
        <w:ind w:left="720"/>
        <w:contextualSpacing/>
        <w:jc w:val="both"/>
        <w:rPr>
          <w:rFonts w:eastAsia="Calibri" w:cs="Times New Roman"/>
          <w:lang w:val="en-US"/>
        </w:rPr>
      </w:pPr>
    </w:p>
    <w:p w14:paraId="0D0DA716" w14:textId="0C42D6DA" w:rsidR="00B91D70" w:rsidRPr="007B2402" w:rsidRDefault="00AF4344" w:rsidP="00D65D32">
      <w:pPr>
        <w:numPr>
          <w:ilvl w:val="0"/>
          <w:numId w:val="5"/>
        </w:numPr>
        <w:spacing w:after="0" w:line="240" w:lineRule="auto"/>
        <w:jc w:val="both"/>
        <w:rPr>
          <w:rFonts w:eastAsia="Calibri" w:cs="Times New Roman"/>
          <w:lang w:val="en-US"/>
        </w:rPr>
      </w:pPr>
      <w:r w:rsidRPr="007B2402">
        <w:rPr>
          <w:rFonts w:eastAsia="Calibri" w:cs="Times New Roman"/>
          <w:lang w:val="en-US"/>
        </w:rPr>
        <w:t xml:space="preserve">The </w:t>
      </w:r>
      <w:r w:rsidRPr="007B2402">
        <w:rPr>
          <w:rFonts w:eastAsia="Calibri" w:cs="Times New Roman"/>
          <w:b/>
          <w:bCs/>
          <w:i/>
          <w:iCs/>
          <w:lang w:val="en-US"/>
        </w:rPr>
        <w:t>State</w:t>
      </w:r>
      <w:r w:rsidR="00B91D70" w:rsidRPr="007B2402">
        <w:rPr>
          <w:rFonts w:eastAsia="Calibri" w:cs="Times New Roman"/>
          <w:b/>
          <w:i/>
          <w:lang w:val="en-US"/>
        </w:rPr>
        <w:t xml:space="preserve"> </w:t>
      </w:r>
      <w:r w:rsidR="00B91D70" w:rsidRPr="007B2402">
        <w:rPr>
          <w:rFonts w:eastAsia="Calibri" w:cs="Times New Roman"/>
          <w:lang w:val="en-US"/>
        </w:rPr>
        <w:t>a</w:t>
      </w:r>
      <w:r w:rsidR="00D65D32" w:rsidRPr="007B2402">
        <w:rPr>
          <w:rFonts w:eastAsia="Calibri" w:cs="Times New Roman"/>
          <w:lang w:val="en-US"/>
        </w:rPr>
        <w:t xml:space="preserve">rgued that, first, the violations suffered by </w:t>
      </w:r>
      <w:r w:rsidR="00B91D70" w:rsidRPr="007B2402">
        <w:rPr>
          <w:rFonts w:eastAsia="Calibri" w:cs="Times New Roman"/>
          <w:lang w:val="en-US"/>
        </w:rPr>
        <w:t xml:space="preserve">Vladimir Herzog </w:t>
      </w:r>
      <w:r w:rsidR="00D65D32" w:rsidRPr="007B2402">
        <w:rPr>
          <w:rFonts w:eastAsia="Calibri" w:cs="Times New Roman"/>
          <w:lang w:val="en-US"/>
        </w:rPr>
        <w:t xml:space="preserve">fell outside the Court’s temporal competence, which prevented it from establishing reparations as a result of those facts. It also argued that the final amount of a payment to victims established in Law </w:t>
      </w:r>
      <w:r w:rsidR="00B91D70" w:rsidRPr="007B2402">
        <w:rPr>
          <w:rFonts w:eastAsia="Calibri" w:cs="Times New Roman"/>
          <w:lang w:val="en-US"/>
        </w:rPr>
        <w:t xml:space="preserve">9140/95 </w:t>
      </w:r>
      <w:r w:rsidR="00D65D32" w:rsidRPr="007B2402">
        <w:rPr>
          <w:rFonts w:eastAsia="Calibri" w:cs="Times New Roman"/>
          <w:lang w:val="en-US"/>
        </w:rPr>
        <w:t>had already been considered adequate in the case of</w:t>
      </w:r>
      <w:r w:rsidR="00B91D70" w:rsidRPr="007B2402">
        <w:rPr>
          <w:rFonts w:eastAsia="Calibri" w:cs="Times New Roman"/>
          <w:lang w:val="en-US"/>
        </w:rPr>
        <w:t xml:space="preserve"> </w:t>
      </w:r>
      <w:r w:rsidR="00B91D70" w:rsidRPr="007B2402">
        <w:rPr>
          <w:rFonts w:eastAsia="Calibri" w:cs="Times New Roman"/>
          <w:i/>
          <w:lang w:val="en-US"/>
        </w:rPr>
        <w:t>Gomes Lund</w:t>
      </w:r>
      <w:r w:rsidR="005B1590" w:rsidRPr="007B2402">
        <w:rPr>
          <w:rFonts w:eastAsia="Calibri" w:cs="Times New Roman"/>
          <w:i/>
          <w:lang w:val="en-US"/>
        </w:rPr>
        <w:t xml:space="preserve"> </w:t>
      </w:r>
      <w:r w:rsidR="00892CA3" w:rsidRPr="007B2402">
        <w:rPr>
          <w:rFonts w:eastAsia="Calibri" w:cs="Times New Roman"/>
          <w:i/>
          <w:lang w:val="en-US"/>
        </w:rPr>
        <w:t>et al.</w:t>
      </w:r>
      <w:r w:rsidR="00B02AAB" w:rsidRPr="007B2402">
        <w:rPr>
          <w:rFonts w:eastAsia="Calibri" w:cs="Times New Roman"/>
          <w:i/>
          <w:lang w:val="en-US"/>
        </w:rPr>
        <w:t xml:space="preserve"> </w:t>
      </w:r>
      <w:r w:rsidR="00D65D32" w:rsidRPr="007B2402">
        <w:rPr>
          <w:rFonts w:eastAsia="Calibri" w:cs="Times New Roman"/>
          <w:lang w:val="en-US"/>
        </w:rPr>
        <w:t xml:space="preserve">Consequently, it asked the Court to reject the request for compensation for </w:t>
      </w:r>
      <w:r w:rsidR="0063740A" w:rsidRPr="007B2402">
        <w:rPr>
          <w:rFonts w:eastAsia="Calibri" w:cs="Times New Roman"/>
          <w:lang w:val="en-US"/>
        </w:rPr>
        <w:t>pecuniary damage</w:t>
      </w:r>
      <w:r w:rsidR="00D635CE" w:rsidRPr="007B2402">
        <w:rPr>
          <w:rFonts w:eastAsia="Calibri" w:cs="Times New Roman"/>
          <w:lang w:val="en-US"/>
        </w:rPr>
        <w:t>.</w:t>
      </w:r>
    </w:p>
    <w:p w14:paraId="5FCFB09C" w14:textId="77777777" w:rsidR="00B91D70" w:rsidRPr="007B2402" w:rsidRDefault="00B91D70" w:rsidP="00B91D70">
      <w:pPr>
        <w:spacing w:after="0" w:line="240" w:lineRule="auto"/>
        <w:ind w:left="720"/>
        <w:contextualSpacing/>
        <w:jc w:val="both"/>
        <w:rPr>
          <w:rFonts w:eastAsia="Calibri" w:cs="Times New Roman"/>
          <w:lang w:val="en-US"/>
        </w:rPr>
      </w:pPr>
    </w:p>
    <w:p w14:paraId="3DB744A9" w14:textId="24F0945F" w:rsidR="000917C2" w:rsidRPr="007B2402" w:rsidRDefault="00AF4344" w:rsidP="00B91D70">
      <w:pPr>
        <w:numPr>
          <w:ilvl w:val="0"/>
          <w:numId w:val="5"/>
        </w:numPr>
        <w:spacing w:after="0" w:line="240" w:lineRule="auto"/>
        <w:jc w:val="both"/>
        <w:rPr>
          <w:rFonts w:eastAsia="Calibri" w:cs="Times New Roman"/>
          <w:lang w:val="en-US"/>
        </w:rPr>
      </w:pPr>
      <w:r w:rsidRPr="007B2402">
        <w:rPr>
          <w:rFonts w:eastAsia="Calibri" w:cs="Times New Roman"/>
          <w:lang w:val="en-US"/>
        </w:rPr>
        <w:t>The Court</w:t>
      </w:r>
      <w:r w:rsidR="00B91D70" w:rsidRPr="007B2402">
        <w:rPr>
          <w:rFonts w:eastAsia="Calibri" w:cs="Times New Roman"/>
          <w:lang w:val="en-US"/>
        </w:rPr>
        <w:t xml:space="preserve"> </w:t>
      </w:r>
      <w:r w:rsidR="00D65D32" w:rsidRPr="007B2402">
        <w:rPr>
          <w:rFonts w:eastAsia="Calibri" w:cs="Times New Roman"/>
          <w:lang w:val="en-US"/>
        </w:rPr>
        <w:t>recalls that</w:t>
      </w:r>
      <w:r w:rsidR="00B91D70" w:rsidRPr="007B2402">
        <w:rPr>
          <w:rFonts w:eastAsia="Calibri" w:cs="Times New Roman"/>
          <w:lang w:val="en-US"/>
        </w:rPr>
        <w:t xml:space="preserve"> Vladimir Herzog </w:t>
      </w:r>
      <w:r w:rsidR="00D65D32" w:rsidRPr="007B2402">
        <w:rPr>
          <w:rFonts w:eastAsia="Calibri" w:cs="Times New Roman"/>
          <w:lang w:val="en-US"/>
        </w:rPr>
        <w:t>is not a victim in this case</w:t>
      </w:r>
      <w:r w:rsidR="009554EB" w:rsidRPr="007B2402">
        <w:rPr>
          <w:rFonts w:eastAsia="Calibri" w:cs="Times New Roman"/>
          <w:lang w:val="en-US"/>
        </w:rPr>
        <w:t xml:space="preserve">; thus, </w:t>
      </w:r>
      <w:r w:rsidR="00D65D32" w:rsidRPr="007B2402">
        <w:rPr>
          <w:rFonts w:eastAsia="Calibri" w:cs="Times New Roman"/>
          <w:lang w:val="en-US"/>
        </w:rPr>
        <w:t xml:space="preserve">there is no causal </w:t>
      </w:r>
      <w:r w:rsidR="009554EB" w:rsidRPr="007B2402">
        <w:rPr>
          <w:rFonts w:eastAsia="Calibri" w:cs="Times New Roman"/>
          <w:lang w:val="en-US"/>
        </w:rPr>
        <w:t>n</w:t>
      </w:r>
      <w:r w:rsidR="00D65D32" w:rsidRPr="007B2402">
        <w:rPr>
          <w:rFonts w:eastAsia="Calibri" w:cs="Times New Roman"/>
          <w:lang w:val="en-US"/>
        </w:rPr>
        <w:t>exus between the request to pay compensation for loss of earnings and the purpose of this case</w:t>
      </w:r>
      <w:r w:rsidR="00B91D70" w:rsidRPr="007B2402">
        <w:rPr>
          <w:rFonts w:eastAsia="Calibri" w:cs="Times New Roman"/>
          <w:lang w:val="en-US"/>
        </w:rPr>
        <w:t xml:space="preserve">. </w:t>
      </w:r>
    </w:p>
    <w:p w14:paraId="3AD1E821" w14:textId="77777777" w:rsidR="000917C2" w:rsidRPr="007B2402" w:rsidRDefault="000917C2" w:rsidP="000917C2">
      <w:pPr>
        <w:pStyle w:val="Prrafodelista"/>
        <w:rPr>
          <w:rFonts w:eastAsia="Calibri" w:cs="Times New Roman"/>
          <w:lang w:val="en-US"/>
        </w:rPr>
      </w:pPr>
    </w:p>
    <w:p w14:paraId="21C30093" w14:textId="2C709C50" w:rsidR="00B91D70" w:rsidRPr="007B2402" w:rsidRDefault="00D65D32" w:rsidP="00D65D32">
      <w:pPr>
        <w:numPr>
          <w:ilvl w:val="0"/>
          <w:numId w:val="5"/>
        </w:numPr>
        <w:spacing w:after="0" w:line="240" w:lineRule="auto"/>
        <w:jc w:val="both"/>
        <w:rPr>
          <w:rFonts w:eastAsia="Calibri" w:cs="Times New Roman"/>
          <w:lang w:val="en-US"/>
        </w:rPr>
      </w:pPr>
      <w:r w:rsidRPr="007B2402">
        <w:rPr>
          <w:rFonts w:eastAsia="Calibri" w:cs="Times New Roman"/>
          <w:lang w:val="en-US"/>
        </w:rPr>
        <w:t>With regard to indirect damage, the representatives have not submitted any evidence about the expenditure</w:t>
      </w:r>
      <w:r w:rsidR="009C3C16" w:rsidRPr="007B2402">
        <w:rPr>
          <w:rFonts w:eastAsia="Calibri" w:cs="Times New Roman"/>
          <w:lang w:val="en-US"/>
        </w:rPr>
        <w:t xml:space="preserve"> involved</w:t>
      </w:r>
      <w:r w:rsidRPr="007B2402">
        <w:rPr>
          <w:rFonts w:eastAsia="Calibri" w:cs="Times New Roman"/>
          <w:lang w:val="en-US"/>
        </w:rPr>
        <w:t xml:space="preserve">. However, owing to the search to obtain justice, it is natural that Vladimir Herzog’s family had expenses arising from the numerous steps they took during 20 years to advance the case before the domestic and the international courts. Consequently, the Court finds it pertinent to establish compensation, in equity, of </w:t>
      </w:r>
      <w:r w:rsidR="00B91D70" w:rsidRPr="007B2402">
        <w:rPr>
          <w:rFonts w:eastAsia="Calibri" w:cs="Times New Roman"/>
          <w:lang w:val="en-US"/>
        </w:rPr>
        <w:t>US$20</w:t>
      </w:r>
      <w:r w:rsidRPr="007B2402">
        <w:rPr>
          <w:rFonts w:eastAsia="Calibri" w:cs="Times New Roman"/>
          <w:lang w:val="en-US"/>
        </w:rPr>
        <w:t>,000.00</w:t>
      </w:r>
      <w:r w:rsidR="00B91D70" w:rsidRPr="007B2402">
        <w:rPr>
          <w:rFonts w:eastAsia="Calibri" w:cs="Times New Roman"/>
          <w:lang w:val="en-US"/>
        </w:rPr>
        <w:t xml:space="preserve"> (</w:t>
      </w:r>
      <w:r w:rsidRPr="007B2402">
        <w:rPr>
          <w:rFonts w:eastAsia="Calibri" w:cs="Times New Roman"/>
          <w:lang w:val="en-US"/>
        </w:rPr>
        <w:t>twenty</w:t>
      </w:r>
      <w:r w:rsidR="00B91D70" w:rsidRPr="007B2402">
        <w:rPr>
          <w:rFonts w:eastAsia="Calibri" w:cs="Times New Roman"/>
          <w:lang w:val="en-US"/>
        </w:rPr>
        <w:t xml:space="preserve"> </w:t>
      </w:r>
      <w:r w:rsidRPr="007B2402">
        <w:rPr>
          <w:rFonts w:eastAsia="Calibri" w:cs="Times New Roman"/>
          <w:lang w:val="en-US"/>
        </w:rPr>
        <w:t xml:space="preserve">thousand United States dollars) for indirect damage, which should be delivered directly to </w:t>
      </w:r>
      <w:r w:rsidR="00B91D70" w:rsidRPr="007B2402">
        <w:rPr>
          <w:rFonts w:eastAsia="Calibri" w:cs="Times New Roman"/>
          <w:lang w:val="en-US"/>
        </w:rPr>
        <w:t>Clarice</w:t>
      </w:r>
      <w:r w:rsidR="00D635CE" w:rsidRPr="007B2402">
        <w:rPr>
          <w:rFonts w:eastAsia="Calibri" w:cs="Times New Roman"/>
          <w:lang w:val="en-US"/>
        </w:rPr>
        <w:t xml:space="preserve"> Herzog</w:t>
      </w:r>
      <w:r w:rsidR="00B91D70" w:rsidRPr="007B2402">
        <w:rPr>
          <w:rFonts w:eastAsia="Calibri" w:cs="Times New Roman"/>
          <w:lang w:val="en-US"/>
        </w:rPr>
        <w:t xml:space="preserve">, </w:t>
      </w:r>
      <w:r w:rsidRPr="007B2402">
        <w:rPr>
          <w:rFonts w:eastAsia="Calibri" w:cs="Times New Roman"/>
          <w:lang w:val="en-US"/>
        </w:rPr>
        <w:t>in representation of all the victims in this case.</w:t>
      </w:r>
    </w:p>
    <w:p w14:paraId="50F9BEEC" w14:textId="77777777" w:rsidR="00B91D70" w:rsidRPr="007B2402" w:rsidRDefault="00B91D70" w:rsidP="00B91D70">
      <w:pPr>
        <w:spacing w:after="0" w:line="240" w:lineRule="auto"/>
        <w:jc w:val="both"/>
        <w:rPr>
          <w:rFonts w:eastAsia="Calibri" w:cs="Times New Roman"/>
          <w:i/>
          <w:lang w:val="en-US"/>
        </w:rPr>
      </w:pPr>
    </w:p>
    <w:p w14:paraId="181E546E" w14:textId="728E0118" w:rsidR="00B91D70" w:rsidRPr="007B2402" w:rsidRDefault="0063740A" w:rsidP="007C2388">
      <w:pPr>
        <w:pStyle w:val="Ttulo3"/>
        <w:numPr>
          <w:ilvl w:val="0"/>
          <w:numId w:val="41"/>
        </w:numPr>
        <w:ind w:left="993" w:hanging="284"/>
        <w:rPr>
          <w:lang w:val="en-US"/>
        </w:rPr>
      </w:pPr>
      <w:r w:rsidRPr="007B2402">
        <w:rPr>
          <w:lang w:val="en-US"/>
        </w:rPr>
        <w:t>Non-pecuniary damage</w:t>
      </w:r>
    </w:p>
    <w:p w14:paraId="5E99BAA1" w14:textId="77777777" w:rsidR="00B91D70" w:rsidRPr="007B2402" w:rsidRDefault="00B91D70" w:rsidP="00B91D70">
      <w:pPr>
        <w:spacing w:after="0" w:line="240" w:lineRule="auto"/>
        <w:ind w:left="720"/>
        <w:contextualSpacing/>
        <w:jc w:val="both"/>
        <w:rPr>
          <w:rFonts w:eastAsia="Calibri" w:cs="Times New Roman"/>
          <w:lang w:val="en-US"/>
        </w:rPr>
      </w:pPr>
    </w:p>
    <w:p w14:paraId="4A9994F2" w14:textId="282CF14F" w:rsidR="00B91D70" w:rsidRPr="007B2402" w:rsidRDefault="00AF4344" w:rsidP="00DB1F30">
      <w:pPr>
        <w:numPr>
          <w:ilvl w:val="0"/>
          <w:numId w:val="5"/>
        </w:numPr>
        <w:spacing w:after="0" w:line="240" w:lineRule="auto"/>
        <w:jc w:val="both"/>
        <w:rPr>
          <w:rFonts w:eastAsia="Calibri" w:cs="Times New Roman"/>
          <w:lang w:val="en-US"/>
        </w:rPr>
      </w:pPr>
      <w:r w:rsidRPr="007B2402">
        <w:rPr>
          <w:rFonts w:eastAsia="Calibri" w:cs="Times New Roman"/>
          <w:lang w:val="en-US"/>
        </w:rPr>
        <w:t xml:space="preserve">The </w:t>
      </w:r>
      <w:r w:rsidRPr="007B2402">
        <w:rPr>
          <w:rFonts w:eastAsia="Calibri" w:cs="Times New Roman"/>
          <w:b/>
          <w:bCs/>
          <w:i/>
          <w:iCs/>
          <w:lang w:val="en-US"/>
        </w:rPr>
        <w:t>Commission</w:t>
      </w:r>
      <w:r w:rsidR="00B91D70" w:rsidRPr="007B2402">
        <w:rPr>
          <w:rFonts w:eastAsia="Calibri" w:cs="Times New Roman"/>
          <w:b/>
          <w:i/>
          <w:lang w:val="en-US"/>
        </w:rPr>
        <w:t xml:space="preserve"> </w:t>
      </w:r>
      <w:r w:rsidR="00D65D32" w:rsidRPr="007B2402">
        <w:rPr>
          <w:rFonts w:eastAsia="Calibri" w:cs="Times New Roman"/>
          <w:lang w:val="en-US"/>
        </w:rPr>
        <w:t xml:space="preserve">requested payment of compensation for </w:t>
      </w:r>
      <w:r w:rsidR="0063740A" w:rsidRPr="007B2402">
        <w:rPr>
          <w:rFonts w:eastAsia="Calibri" w:cs="Times New Roman"/>
          <w:lang w:val="en-US"/>
        </w:rPr>
        <w:t xml:space="preserve">pecuniary </w:t>
      </w:r>
      <w:r w:rsidR="00D65D32" w:rsidRPr="007B2402">
        <w:rPr>
          <w:rFonts w:eastAsia="Calibri" w:cs="Times New Roman"/>
          <w:lang w:val="en-US"/>
        </w:rPr>
        <w:t xml:space="preserve">and non-pecuniary </w:t>
      </w:r>
      <w:r w:rsidR="0063740A" w:rsidRPr="007B2402">
        <w:rPr>
          <w:rFonts w:eastAsia="Calibri" w:cs="Times New Roman"/>
          <w:lang w:val="en-US"/>
        </w:rPr>
        <w:t>damage</w:t>
      </w:r>
      <w:r w:rsidR="00B91D70" w:rsidRPr="007B2402">
        <w:rPr>
          <w:rFonts w:eastAsia="Calibri" w:cs="Times New Roman"/>
          <w:lang w:val="en-US"/>
        </w:rPr>
        <w:t xml:space="preserve"> </w:t>
      </w:r>
      <w:r w:rsidR="00D65D32" w:rsidRPr="007B2402">
        <w:rPr>
          <w:rFonts w:eastAsia="Calibri" w:cs="Times New Roman"/>
          <w:lang w:val="en-US"/>
        </w:rPr>
        <w:t>to the victims in this case</w:t>
      </w:r>
      <w:r w:rsidR="00B91D70" w:rsidRPr="007B2402">
        <w:rPr>
          <w:rFonts w:eastAsia="Calibri" w:cs="Times New Roman"/>
          <w:lang w:val="en-US"/>
        </w:rPr>
        <w:t>.</w:t>
      </w:r>
    </w:p>
    <w:p w14:paraId="00F3D552" w14:textId="77777777" w:rsidR="00B91D70" w:rsidRPr="007B2402" w:rsidRDefault="00B91D70" w:rsidP="00B91D70">
      <w:pPr>
        <w:spacing w:after="0" w:line="240" w:lineRule="auto"/>
        <w:jc w:val="both"/>
        <w:rPr>
          <w:rFonts w:eastAsia="Calibri" w:cs="Times New Roman"/>
          <w:lang w:val="en-US"/>
        </w:rPr>
      </w:pPr>
    </w:p>
    <w:p w14:paraId="254B5041" w14:textId="6CB3C826" w:rsidR="00B91D70" w:rsidRPr="007B2402" w:rsidRDefault="00B02AAB" w:rsidP="00DB1F30">
      <w:pPr>
        <w:numPr>
          <w:ilvl w:val="0"/>
          <w:numId w:val="5"/>
        </w:numPr>
        <w:spacing w:after="0" w:line="240" w:lineRule="auto"/>
        <w:jc w:val="both"/>
        <w:rPr>
          <w:rFonts w:eastAsia="Calibri" w:cs="Times New Roman"/>
          <w:lang w:val="en-US"/>
        </w:rPr>
      </w:pPr>
      <w:r w:rsidRPr="007B2402">
        <w:rPr>
          <w:rFonts w:eastAsia="Calibri" w:cs="Times New Roman"/>
          <w:lang w:val="en-US"/>
        </w:rPr>
        <w:t xml:space="preserve"> </w:t>
      </w:r>
      <w:r w:rsidR="005B1590" w:rsidRPr="007B2402">
        <w:rPr>
          <w:rFonts w:eastAsia="Calibri" w:cs="Times New Roman"/>
          <w:lang w:val="en-US"/>
        </w:rPr>
        <w:t xml:space="preserve">The </w:t>
      </w:r>
      <w:r w:rsidR="005B1590" w:rsidRPr="007B2402">
        <w:rPr>
          <w:rFonts w:eastAsia="Calibri" w:cs="Times New Roman"/>
          <w:b/>
          <w:bCs/>
          <w:i/>
          <w:iCs/>
          <w:lang w:val="en-US"/>
        </w:rPr>
        <w:t>representatives</w:t>
      </w:r>
      <w:r w:rsidR="00B91D70" w:rsidRPr="007B2402">
        <w:rPr>
          <w:rFonts w:eastAsia="Calibri" w:cs="Times New Roman"/>
          <w:b/>
          <w:i/>
          <w:lang w:val="en-US"/>
        </w:rPr>
        <w:t xml:space="preserve"> </w:t>
      </w:r>
      <w:r w:rsidR="00D65D32" w:rsidRPr="007B2402">
        <w:rPr>
          <w:rFonts w:eastAsia="Calibri" w:cs="Times New Roman"/>
          <w:lang w:val="en-US"/>
        </w:rPr>
        <w:t>requested payment of</w:t>
      </w:r>
      <w:r w:rsidR="00B91D70" w:rsidRPr="007B2402">
        <w:rPr>
          <w:rFonts w:eastAsia="Calibri" w:cs="Times New Roman"/>
          <w:lang w:val="en-US"/>
        </w:rPr>
        <w:t xml:space="preserve"> </w:t>
      </w:r>
      <w:r w:rsidR="00B91D70" w:rsidRPr="007B2402">
        <w:rPr>
          <w:rFonts w:eastAsia="Calibri" w:cs="Times New Roman"/>
          <w:iCs/>
          <w:lang w:val="en-US"/>
        </w:rPr>
        <w:t>US$</w:t>
      </w:r>
      <w:r w:rsidR="00B91D70" w:rsidRPr="007B2402">
        <w:rPr>
          <w:rFonts w:eastAsia="Calibri" w:cs="Times New Roman"/>
          <w:lang w:val="en-US"/>
        </w:rPr>
        <w:t>40</w:t>
      </w:r>
      <w:r w:rsidR="00D65D32" w:rsidRPr="007B2402">
        <w:rPr>
          <w:rFonts w:eastAsia="Calibri" w:cs="Times New Roman"/>
          <w:lang w:val="en-US"/>
        </w:rPr>
        <w:t>,000.00</w:t>
      </w:r>
      <w:r w:rsidR="00B91D70" w:rsidRPr="007B2402">
        <w:rPr>
          <w:rFonts w:eastAsia="Calibri" w:cs="Times New Roman"/>
          <w:lang w:val="en-US"/>
        </w:rPr>
        <w:t xml:space="preserve"> </w:t>
      </w:r>
      <w:r w:rsidR="00D65D32" w:rsidRPr="007B2402">
        <w:rPr>
          <w:rFonts w:eastAsia="Calibri" w:cs="Times New Roman"/>
          <w:lang w:val="en-US"/>
        </w:rPr>
        <w:t xml:space="preserve">to each victim as compensation for non-pecuniary damage </w:t>
      </w:r>
      <w:r w:rsidR="009C3C16" w:rsidRPr="007B2402">
        <w:rPr>
          <w:rFonts w:eastAsia="Calibri" w:cs="Times New Roman"/>
          <w:lang w:val="en-US"/>
        </w:rPr>
        <w:t>as a result of</w:t>
      </w:r>
      <w:r w:rsidR="00D65D32" w:rsidRPr="007B2402">
        <w:rPr>
          <w:rFonts w:eastAsia="Calibri" w:cs="Times New Roman"/>
          <w:lang w:val="en-US"/>
        </w:rPr>
        <w:t xml:space="preserve"> the State’s failure to comply with its obligation to guarantee the integrity and freedom of expression of </w:t>
      </w:r>
      <w:r w:rsidR="00B91D70" w:rsidRPr="007B2402">
        <w:rPr>
          <w:rFonts w:eastAsia="Calibri" w:cs="Times New Roman"/>
          <w:lang w:val="en-US"/>
        </w:rPr>
        <w:t xml:space="preserve">Vladimir Herzog, </w:t>
      </w:r>
      <w:r w:rsidR="009C3C16" w:rsidRPr="007B2402">
        <w:rPr>
          <w:rFonts w:eastAsia="Calibri" w:cs="Times New Roman"/>
          <w:lang w:val="en-US"/>
        </w:rPr>
        <w:t>and</w:t>
      </w:r>
      <w:r w:rsidR="00D65D32" w:rsidRPr="007B2402">
        <w:rPr>
          <w:rFonts w:eastAsia="Calibri" w:cs="Times New Roman"/>
          <w:lang w:val="en-US"/>
        </w:rPr>
        <w:t xml:space="preserve"> the denial of justice, truth and reparation to his family</w:t>
      </w:r>
      <w:r w:rsidR="00D635CE" w:rsidRPr="007B2402">
        <w:rPr>
          <w:rFonts w:eastAsia="Calibri" w:cs="Times New Roman"/>
          <w:lang w:val="en-US"/>
        </w:rPr>
        <w:t>.</w:t>
      </w:r>
    </w:p>
    <w:p w14:paraId="5552A08F" w14:textId="77777777" w:rsidR="00B91D70" w:rsidRPr="007B2402" w:rsidRDefault="00B91D70" w:rsidP="00B91D70">
      <w:pPr>
        <w:spacing w:after="0" w:line="240" w:lineRule="auto"/>
        <w:jc w:val="both"/>
        <w:rPr>
          <w:rFonts w:eastAsia="Calibri" w:cs="Times New Roman"/>
          <w:lang w:val="en-US"/>
        </w:rPr>
      </w:pPr>
    </w:p>
    <w:p w14:paraId="5DE67636" w14:textId="1BF3D35C" w:rsidR="00B91D70" w:rsidRPr="007B2402" w:rsidRDefault="00AF4344" w:rsidP="00DB1F30">
      <w:pPr>
        <w:numPr>
          <w:ilvl w:val="0"/>
          <w:numId w:val="5"/>
        </w:numPr>
        <w:spacing w:after="0" w:line="240" w:lineRule="auto"/>
        <w:jc w:val="both"/>
        <w:rPr>
          <w:rFonts w:eastAsia="Calibri" w:cs="Times New Roman"/>
          <w:lang w:val="en-US"/>
        </w:rPr>
      </w:pPr>
      <w:r w:rsidRPr="007B2402">
        <w:rPr>
          <w:rFonts w:eastAsia="Calibri" w:cs="Times New Roman"/>
          <w:lang w:val="en-US"/>
        </w:rPr>
        <w:t xml:space="preserve">The </w:t>
      </w:r>
      <w:r w:rsidRPr="007B2402">
        <w:rPr>
          <w:rFonts w:eastAsia="Calibri" w:cs="Times New Roman"/>
          <w:b/>
          <w:bCs/>
          <w:i/>
          <w:iCs/>
          <w:lang w:val="en-US"/>
        </w:rPr>
        <w:t>State</w:t>
      </w:r>
      <w:r w:rsidR="00B91D70" w:rsidRPr="007B2402">
        <w:rPr>
          <w:rFonts w:eastAsia="Calibri" w:cs="Times New Roman"/>
          <w:b/>
          <w:i/>
          <w:lang w:val="en-US"/>
        </w:rPr>
        <w:t xml:space="preserve"> </w:t>
      </w:r>
      <w:r w:rsidR="00B91D70" w:rsidRPr="007B2402">
        <w:rPr>
          <w:rFonts w:eastAsia="Calibri" w:cs="Times New Roman"/>
          <w:lang w:val="en-US"/>
        </w:rPr>
        <w:t>reiter</w:t>
      </w:r>
      <w:r w:rsidR="00D65D32" w:rsidRPr="007B2402">
        <w:rPr>
          <w:rFonts w:eastAsia="Calibri" w:cs="Times New Roman"/>
          <w:lang w:val="en-US"/>
        </w:rPr>
        <w:t xml:space="preserve">ated </w:t>
      </w:r>
      <w:r w:rsidR="009C3C16" w:rsidRPr="007B2402">
        <w:rPr>
          <w:rFonts w:eastAsia="Calibri" w:cs="Times New Roman"/>
          <w:lang w:val="en-US"/>
        </w:rPr>
        <w:t>its</w:t>
      </w:r>
      <w:r w:rsidR="00D65D32" w:rsidRPr="007B2402">
        <w:rPr>
          <w:rFonts w:eastAsia="Calibri" w:cs="Times New Roman"/>
          <w:lang w:val="en-US"/>
        </w:rPr>
        <w:t xml:space="preserve"> arguments in relation to the pecuniary damage and asked the Court to reject the request to pay</w:t>
      </w:r>
      <w:r w:rsidR="00B91D70" w:rsidRPr="007B2402">
        <w:rPr>
          <w:rFonts w:eastAsia="Calibri" w:cs="Times New Roman"/>
          <w:lang w:val="en-US"/>
        </w:rPr>
        <w:t xml:space="preserve"> </w:t>
      </w:r>
      <w:r w:rsidR="00D65D32" w:rsidRPr="007B2402">
        <w:rPr>
          <w:rFonts w:eastAsia="Calibri" w:cs="Times New Roman"/>
          <w:lang w:val="en-US"/>
        </w:rPr>
        <w:t>n</w:t>
      </w:r>
      <w:r w:rsidR="0063740A" w:rsidRPr="007B2402">
        <w:rPr>
          <w:rFonts w:eastAsia="Calibri" w:cs="Times New Roman"/>
          <w:lang w:val="en-US"/>
        </w:rPr>
        <w:t>on-pecuniary damage</w:t>
      </w:r>
      <w:r w:rsidR="00D635CE" w:rsidRPr="007B2402">
        <w:rPr>
          <w:rFonts w:eastAsia="Calibri" w:cs="Times New Roman"/>
          <w:lang w:val="en-US"/>
        </w:rPr>
        <w:t>.</w:t>
      </w:r>
    </w:p>
    <w:p w14:paraId="6D51D91F" w14:textId="77777777" w:rsidR="00B91D70" w:rsidRPr="007B2402" w:rsidRDefault="00B91D70" w:rsidP="00B91D70">
      <w:pPr>
        <w:spacing w:after="0" w:line="240" w:lineRule="auto"/>
        <w:ind w:left="720"/>
        <w:contextualSpacing/>
        <w:jc w:val="both"/>
        <w:rPr>
          <w:rFonts w:eastAsia="Calibri" w:cs="Times New Roman"/>
          <w:lang w:val="en-US"/>
        </w:rPr>
      </w:pPr>
    </w:p>
    <w:p w14:paraId="288786FB" w14:textId="0CB2C585" w:rsidR="005F015D" w:rsidRPr="007B2402" w:rsidRDefault="00AF4344" w:rsidP="00D65D32">
      <w:pPr>
        <w:numPr>
          <w:ilvl w:val="0"/>
          <w:numId w:val="5"/>
        </w:numPr>
        <w:spacing w:after="0" w:line="240" w:lineRule="auto"/>
        <w:jc w:val="both"/>
        <w:rPr>
          <w:rFonts w:eastAsia="Calibri" w:cs="Times New Roman"/>
          <w:lang w:val="en-US"/>
        </w:rPr>
      </w:pPr>
      <w:r w:rsidRPr="007B2402">
        <w:rPr>
          <w:rFonts w:eastAsia="Calibri" w:cs="Times New Roman"/>
          <w:lang w:val="en-US"/>
        </w:rPr>
        <w:t>The Court</w:t>
      </w:r>
      <w:r w:rsidR="00B91D70" w:rsidRPr="007B2402">
        <w:rPr>
          <w:rFonts w:eastAsia="Calibri" w:cs="Times New Roman"/>
          <w:lang w:val="en-US"/>
        </w:rPr>
        <w:t xml:space="preserve"> rec</w:t>
      </w:r>
      <w:r w:rsidR="00D65D32" w:rsidRPr="007B2402">
        <w:rPr>
          <w:rFonts w:eastAsia="Calibri" w:cs="Times New Roman"/>
          <w:lang w:val="en-US"/>
        </w:rPr>
        <w:t xml:space="preserve">alls that the violations suffered by </w:t>
      </w:r>
      <w:r w:rsidR="00B91D70" w:rsidRPr="007B2402">
        <w:rPr>
          <w:rFonts w:eastAsia="Calibri" w:cs="Times New Roman"/>
          <w:lang w:val="en-US"/>
        </w:rPr>
        <w:t xml:space="preserve">Vladimir Herzog </w:t>
      </w:r>
      <w:r w:rsidR="00D65D32" w:rsidRPr="007B2402">
        <w:rPr>
          <w:rFonts w:eastAsia="Calibri" w:cs="Times New Roman"/>
          <w:lang w:val="en-US"/>
        </w:rPr>
        <w:t>fall outside the Court’s temporal competence; therefore, the Court finds this request inadmissible. Nevertheless, in its case law, the Court has developed the concept of non-pecuniary damage and has established that this “may include the suffering and anguish caused to the direct victim and his next of kin, the impairment of values of great significance for the individual, and also the alterations of a non-pecuniary nature in the living conditions of the victim or his family.</w:t>
      </w:r>
      <w:r w:rsidR="00B91D70" w:rsidRPr="007B2402">
        <w:rPr>
          <w:rFonts w:eastAsia="MS Mincho" w:cs="Times New Roman"/>
          <w:szCs w:val="20"/>
          <w:lang w:val="en-US" w:eastAsia="es-CR" w:bidi="en-US"/>
        </w:rPr>
        <w:t>”</w:t>
      </w:r>
      <w:r w:rsidR="00B91D70" w:rsidRPr="007B2402">
        <w:rPr>
          <w:rFonts w:eastAsia="MS Mincho" w:cs="Times New Roman"/>
          <w:szCs w:val="20"/>
          <w:vertAlign w:val="superscript"/>
          <w:lang w:val="en-US" w:eastAsia="es-CR" w:bidi="en-US"/>
        </w:rPr>
        <w:footnoteReference w:id="408"/>
      </w:r>
      <w:r w:rsidR="00D65D32" w:rsidRPr="007B2402">
        <w:rPr>
          <w:rFonts w:eastAsia="MS Mincho" w:cs="Verdana"/>
          <w:szCs w:val="20"/>
          <w:lang w:val="en-US" w:eastAsia="es-CR" w:bidi="en-US"/>
        </w:rPr>
        <w:t xml:space="preserve"> Based on the circumstances of this case, the violations committed, the suffering caused and </w:t>
      </w:r>
      <w:r w:rsidR="005F015D" w:rsidRPr="007B2402">
        <w:rPr>
          <w:rFonts w:eastAsia="MS Mincho" w:cs="Verdana"/>
          <w:szCs w:val="20"/>
          <w:lang w:val="en-US" w:eastAsia="es-CR" w:bidi="en-US"/>
        </w:rPr>
        <w:t xml:space="preserve">experienced at different levels, the time that has elapsed, the denial of justice, the proven violations of personal integrity, and the other consequences of a non-pecuniary nature that </w:t>
      </w:r>
      <w:r w:rsidR="005F015D" w:rsidRPr="007B2402">
        <w:rPr>
          <w:rFonts w:eastAsia="MS Mincho" w:cs="Verdana"/>
          <w:szCs w:val="20"/>
          <w:lang w:val="en-US" w:eastAsia="es-CR" w:bidi="en-US"/>
        </w:rPr>
        <w:lastRenderedPageBreak/>
        <w:t>they suffered, the Court will now establish, in equity, compensation for non-pecuniary damage in favor of the victims, which should be paid directly to each of them.</w:t>
      </w:r>
    </w:p>
    <w:p w14:paraId="72521E34" w14:textId="77777777" w:rsidR="005F015D" w:rsidRPr="007B2402" w:rsidRDefault="005F015D" w:rsidP="005F015D">
      <w:pPr>
        <w:pStyle w:val="Prrafodelista"/>
        <w:rPr>
          <w:rFonts w:eastAsia="MS Mincho" w:cs="Verdana"/>
          <w:szCs w:val="20"/>
          <w:lang w:val="en-US" w:eastAsia="es-CR" w:bidi="en-US"/>
        </w:rPr>
      </w:pPr>
    </w:p>
    <w:p w14:paraId="05BFFAFE" w14:textId="42D7E3A6" w:rsidR="00B91D70" w:rsidRPr="007B2402" w:rsidRDefault="00AF4344" w:rsidP="00DB1F30">
      <w:pPr>
        <w:numPr>
          <w:ilvl w:val="0"/>
          <w:numId w:val="5"/>
        </w:numPr>
        <w:spacing w:after="0" w:line="240" w:lineRule="auto"/>
        <w:contextualSpacing/>
        <w:jc w:val="both"/>
        <w:rPr>
          <w:rFonts w:eastAsia="Calibri" w:cs="Times New Roman"/>
          <w:lang w:val="en-US"/>
        </w:rPr>
      </w:pPr>
      <w:r w:rsidRPr="007B2402">
        <w:rPr>
          <w:rFonts w:eastAsia="Calibri" w:cs="Times New Roman"/>
          <w:lang w:val="en-US"/>
        </w:rPr>
        <w:t>The Court</w:t>
      </w:r>
      <w:r w:rsidR="00B91D70" w:rsidRPr="007B2402">
        <w:rPr>
          <w:rFonts w:eastAsia="Calibri" w:cs="Times New Roman"/>
          <w:lang w:val="en-US"/>
        </w:rPr>
        <w:t xml:space="preserve"> </w:t>
      </w:r>
      <w:r w:rsidR="005F015D" w:rsidRPr="007B2402">
        <w:rPr>
          <w:rFonts w:eastAsia="Calibri" w:cs="Times New Roman"/>
          <w:lang w:val="en-US"/>
        </w:rPr>
        <w:t xml:space="preserve">finds that the victims in this case were affected by the denial of justice and truth, and this has caused them great suffering that had an impact on their family dynamics. Consequently, the Court establishes, in equity, the sum of </w:t>
      </w:r>
      <w:r w:rsidR="00B91D70" w:rsidRPr="007B2402">
        <w:rPr>
          <w:rFonts w:eastAsia="Calibri" w:cs="Times New Roman"/>
          <w:lang w:val="en-US"/>
        </w:rPr>
        <w:t>US$</w:t>
      </w:r>
      <w:r w:rsidR="00711CF6" w:rsidRPr="007B2402">
        <w:rPr>
          <w:rFonts w:eastAsia="Calibri" w:cs="Times New Roman"/>
          <w:lang w:val="en-US"/>
        </w:rPr>
        <w:t>4</w:t>
      </w:r>
      <w:r w:rsidR="00B91D70" w:rsidRPr="007B2402">
        <w:rPr>
          <w:rFonts w:eastAsia="Calibri" w:cs="Times New Roman"/>
          <w:lang w:val="en-US"/>
        </w:rPr>
        <w:t>0</w:t>
      </w:r>
      <w:r w:rsidR="00D65D32" w:rsidRPr="007B2402">
        <w:rPr>
          <w:rFonts w:eastAsia="Calibri" w:cs="Times New Roman"/>
          <w:lang w:val="en-US"/>
        </w:rPr>
        <w:t>,000.00</w:t>
      </w:r>
      <w:r w:rsidR="00B91D70" w:rsidRPr="007B2402">
        <w:rPr>
          <w:rFonts w:eastAsia="Calibri" w:cs="Times New Roman"/>
          <w:lang w:val="en-US"/>
        </w:rPr>
        <w:t xml:space="preserve"> (</w:t>
      </w:r>
      <w:r w:rsidR="005F015D" w:rsidRPr="007B2402">
        <w:rPr>
          <w:rFonts w:eastAsia="Calibri" w:cs="Times New Roman"/>
          <w:lang w:val="en-US"/>
        </w:rPr>
        <w:t>forty</w:t>
      </w:r>
      <w:r w:rsidR="00711CF6" w:rsidRPr="007B2402">
        <w:rPr>
          <w:rFonts w:eastAsia="Calibri" w:cs="Times New Roman"/>
          <w:lang w:val="en-US"/>
        </w:rPr>
        <w:t xml:space="preserve"> </w:t>
      </w:r>
      <w:r w:rsidR="00D65D32" w:rsidRPr="007B2402">
        <w:rPr>
          <w:rFonts w:eastAsia="Calibri" w:cs="Times New Roman"/>
          <w:lang w:val="en-US"/>
        </w:rPr>
        <w:t>thousand United States dollars</w:t>
      </w:r>
      <w:r w:rsidR="005F015D" w:rsidRPr="007B2402">
        <w:rPr>
          <w:rFonts w:eastAsia="Calibri" w:cs="Times New Roman"/>
          <w:lang w:val="en-US"/>
        </w:rPr>
        <w:t xml:space="preserve">) each for non-pecuniary damage in favor of </w:t>
      </w:r>
      <w:r w:rsidR="00B91D70" w:rsidRPr="007B2402">
        <w:rPr>
          <w:rFonts w:eastAsia="Calibri" w:cs="Times New Roman"/>
          <w:lang w:val="en-US"/>
        </w:rPr>
        <w:t>Clarice, André</w:t>
      </w:r>
      <w:r w:rsidR="00711CF6" w:rsidRPr="007B2402">
        <w:rPr>
          <w:rFonts w:eastAsia="Calibri" w:cs="Times New Roman"/>
          <w:lang w:val="en-US"/>
        </w:rPr>
        <w:t>,</w:t>
      </w:r>
      <w:r w:rsidR="00B91D70" w:rsidRPr="007B2402">
        <w:rPr>
          <w:rFonts w:eastAsia="Calibri" w:cs="Times New Roman"/>
          <w:lang w:val="en-US"/>
        </w:rPr>
        <w:t xml:space="preserve"> Ivo</w:t>
      </w:r>
      <w:r w:rsidR="005B1590" w:rsidRPr="007B2402">
        <w:rPr>
          <w:rFonts w:eastAsia="Calibri" w:cs="Times New Roman"/>
          <w:lang w:val="en-US"/>
        </w:rPr>
        <w:t xml:space="preserve"> and </w:t>
      </w:r>
      <w:r w:rsidR="00711CF6" w:rsidRPr="007B2402">
        <w:rPr>
          <w:rFonts w:eastAsia="Calibri" w:cs="Times New Roman"/>
          <w:lang w:val="en-US"/>
        </w:rPr>
        <w:t xml:space="preserve">Zora </w:t>
      </w:r>
      <w:r w:rsidR="00B91D70" w:rsidRPr="007B2402">
        <w:rPr>
          <w:rFonts w:eastAsia="Calibri" w:cs="Times New Roman"/>
          <w:lang w:val="en-US"/>
        </w:rPr>
        <w:t xml:space="preserve">Herzog. </w:t>
      </w:r>
      <w:r w:rsidR="005F015D" w:rsidRPr="007B2402">
        <w:rPr>
          <w:rFonts w:eastAsia="Calibri" w:cs="Times New Roman"/>
          <w:lang w:val="en-US"/>
        </w:rPr>
        <w:t>With regard to</w:t>
      </w:r>
      <w:r w:rsidR="00B91D70" w:rsidRPr="007B2402">
        <w:rPr>
          <w:rFonts w:eastAsia="Calibri" w:cs="Times New Roman"/>
          <w:lang w:val="en-US"/>
        </w:rPr>
        <w:t xml:space="preserve"> Zora Herzog, </w:t>
      </w:r>
      <w:r w:rsidR="005F015D" w:rsidRPr="007B2402">
        <w:rPr>
          <w:rFonts w:eastAsia="Calibri" w:cs="Times New Roman"/>
          <w:lang w:val="en-US"/>
        </w:rPr>
        <w:t>who died in 2006, the amount established in this paragraph must be paid directly to her heirs</w:t>
      </w:r>
      <w:r w:rsidR="00B91D70" w:rsidRPr="007B2402">
        <w:rPr>
          <w:rFonts w:eastAsia="Calibri" w:cs="Times New Roman"/>
          <w:lang w:val="en-US"/>
        </w:rPr>
        <w:t xml:space="preserve">. </w:t>
      </w:r>
    </w:p>
    <w:p w14:paraId="310C9095" w14:textId="77777777" w:rsidR="00B91D70" w:rsidRPr="007B2402" w:rsidRDefault="00B91D70" w:rsidP="00B91D70">
      <w:pPr>
        <w:spacing w:after="0" w:line="240" w:lineRule="auto"/>
        <w:ind w:left="720"/>
        <w:contextualSpacing/>
        <w:jc w:val="both"/>
        <w:rPr>
          <w:rFonts w:eastAsia="Calibri" w:cs="Times New Roman"/>
          <w:lang w:val="en-US"/>
        </w:rPr>
      </w:pPr>
    </w:p>
    <w:p w14:paraId="4A136158" w14:textId="2A299E7E" w:rsidR="00B91D70" w:rsidRPr="007B2402" w:rsidRDefault="0063740A" w:rsidP="006531BE">
      <w:pPr>
        <w:pStyle w:val="Ttulo2"/>
        <w:numPr>
          <w:ilvl w:val="0"/>
          <w:numId w:val="27"/>
        </w:numPr>
        <w:ind w:left="0" w:firstLine="0"/>
        <w:rPr>
          <w:b/>
          <w:lang w:val="en-US"/>
        </w:rPr>
      </w:pPr>
      <w:r w:rsidRPr="007B2402">
        <w:rPr>
          <w:b/>
          <w:lang w:val="en-US"/>
        </w:rPr>
        <w:t>Costs and expenses</w:t>
      </w:r>
    </w:p>
    <w:p w14:paraId="648A562B" w14:textId="77777777" w:rsidR="00B91D70" w:rsidRPr="007B2402" w:rsidRDefault="00B91D70" w:rsidP="00B91D70">
      <w:pPr>
        <w:spacing w:after="0" w:line="240" w:lineRule="auto"/>
        <w:ind w:left="720"/>
        <w:contextualSpacing/>
        <w:jc w:val="both"/>
        <w:rPr>
          <w:rFonts w:eastAsia="Calibri" w:cs="Times New Roman"/>
          <w:lang w:val="en-US"/>
        </w:rPr>
      </w:pPr>
    </w:p>
    <w:p w14:paraId="2A188A5C" w14:textId="313292C7" w:rsidR="00B91D70" w:rsidRPr="007B2402" w:rsidRDefault="005B1590" w:rsidP="00DB1F30">
      <w:pPr>
        <w:numPr>
          <w:ilvl w:val="0"/>
          <w:numId w:val="5"/>
        </w:numPr>
        <w:spacing w:after="0" w:line="240" w:lineRule="auto"/>
        <w:jc w:val="both"/>
        <w:rPr>
          <w:rFonts w:eastAsia="Calibri" w:cs="Times New Roman"/>
          <w:lang w:val="en-US"/>
        </w:rPr>
      </w:pPr>
      <w:r w:rsidRPr="007B2402">
        <w:rPr>
          <w:rFonts w:eastAsia="Calibri" w:cs="Times New Roman"/>
          <w:iCs/>
          <w:lang w:val="en-US"/>
        </w:rPr>
        <w:t xml:space="preserve">The </w:t>
      </w:r>
      <w:r w:rsidRPr="007B2402">
        <w:rPr>
          <w:rFonts w:eastAsia="Calibri" w:cs="Times New Roman"/>
          <w:b/>
          <w:bCs/>
          <w:i/>
          <w:lang w:val="en-US"/>
        </w:rPr>
        <w:t>representatives</w:t>
      </w:r>
      <w:r w:rsidR="00B91D70" w:rsidRPr="007B2402">
        <w:rPr>
          <w:rFonts w:eastAsia="Calibri" w:cs="Times New Roman"/>
          <w:b/>
          <w:bCs/>
          <w:i/>
          <w:iCs/>
          <w:lang w:val="en-US"/>
        </w:rPr>
        <w:t xml:space="preserve"> </w:t>
      </w:r>
      <w:r w:rsidR="005F015D" w:rsidRPr="007B2402">
        <w:rPr>
          <w:rFonts w:eastAsia="Calibri" w:cs="Times New Roman"/>
          <w:iCs/>
          <w:lang w:val="en-US"/>
        </w:rPr>
        <w:t xml:space="preserve">requested payment of the expenses incurred in the processing of these proceedings, from the submission of the petition before </w:t>
      </w:r>
      <w:r w:rsidR="00AF4344" w:rsidRPr="007B2402">
        <w:rPr>
          <w:rFonts w:eastAsia="Calibri" w:cs="Times New Roman"/>
          <w:iCs/>
          <w:lang w:val="en-US"/>
        </w:rPr>
        <w:t>the Commission</w:t>
      </w:r>
      <w:r w:rsidR="00B91D70" w:rsidRPr="007B2402">
        <w:rPr>
          <w:rFonts w:eastAsia="Calibri" w:cs="Times New Roman"/>
          <w:iCs/>
          <w:lang w:val="en-US"/>
        </w:rPr>
        <w:t xml:space="preserve"> </w:t>
      </w:r>
      <w:r w:rsidR="005F015D" w:rsidRPr="007B2402">
        <w:rPr>
          <w:rFonts w:eastAsia="Calibri" w:cs="Times New Roman"/>
          <w:iCs/>
          <w:lang w:val="en-US"/>
        </w:rPr>
        <w:t xml:space="preserve">and including the procedures carried out before </w:t>
      </w:r>
      <w:r w:rsidR="00AF4344" w:rsidRPr="007B2402">
        <w:rPr>
          <w:rFonts w:eastAsia="Calibri" w:cs="Times New Roman"/>
          <w:iCs/>
          <w:lang w:val="en-US"/>
        </w:rPr>
        <w:t>the Court</w:t>
      </w:r>
      <w:r w:rsidR="00B91D70" w:rsidRPr="007B2402">
        <w:rPr>
          <w:rFonts w:eastAsia="Calibri" w:cs="Times New Roman"/>
          <w:iCs/>
          <w:lang w:val="en-US"/>
        </w:rPr>
        <w:t>.</w:t>
      </w:r>
    </w:p>
    <w:p w14:paraId="0A80C3FE" w14:textId="77777777" w:rsidR="00B91D70" w:rsidRPr="007B2402" w:rsidRDefault="00B91D70" w:rsidP="00B91D70">
      <w:pPr>
        <w:spacing w:after="0" w:line="240" w:lineRule="auto"/>
        <w:ind w:left="720"/>
        <w:contextualSpacing/>
        <w:jc w:val="both"/>
        <w:rPr>
          <w:rFonts w:eastAsia="Calibri" w:cs="Times New Roman"/>
          <w:lang w:val="en-US"/>
        </w:rPr>
      </w:pPr>
    </w:p>
    <w:p w14:paraId="08EB8F37" w14:textId="7B5F45E7" w:rsidR="00B91D70" w:rsidRPr="007B2402" w:rsidRDefault="005F015D" w:rsidP="006531BE">
      <w:pPr>
        <w:numPr>
          <w:ilvl w:val="0"/>
          <w:numId w:val="5"/>
        </w:numPr>
        <w:spacing w:after="0" w:line="240" w:lineRule="auto"/>
        <w:jc w:val="both"/>
        <w:rPr>
          <w:rFonts w:eastAsia="Calibri" w:cs="Times New Roman"/>
          <w:lang w:val="en-US"/>
        </w:rPr>
      </w:pPr>
      <w:r w:rsidRPr="007B2402">
        <w:rPr>
          <w:rFonts w:eastAsia="Calibri" w:cs="Times New Roman"/>
          <w:iCs/>
          <w:lang w:val="en-US"/>
        </w:rPr>
        <w:t>The costs and expenses of</w:t>
      </w:r>
      <w:r w:rsidR="00B91D70" w:rsidRPr="007B2402">
        <w:rPr>
          <w:rFonts w:eastAsia="Calibri" w:cs="Times New Roman"/>
          <w:iCs/>
          <w:lang w:val="en-US"/>
        </w:rPr>
        <w:t xml:space="preserve"> CEJIL </w:t>
      </w:r>
      <w:r w:rsidRPr="007B2402">
        <w:rPr>
          <w:rFonts w:eastAsia="Calibri" w:cs="Times New Roman"/>
          <w:iCs/>
          <w:lang w:val="en-US"/>
        </w:rPr>
        <w:t>amounted to</w:t>
      </w:r>
      <w:r w:rsidR="00B91D70" w:rsidRPr="007B2402">
        <w:rPr>
          <w:rFonts w:eastAsia="Calibri" w:cs="Times New Roman"/>
          <w:iCs/>
          <w:lang w:val="en-US"/>
        </w:rPr>
        <w:t xml:space="preserve"> US$161</w:t>
      </w:r>
      <w:r w:rsidRPr="007B2402">
        <w:rPr>
          <w:rFonts w:eastAsia="Calibri" w:cs="Times New Roman"/>
          <w:iCs/>
          <w:lang w:val="en-US"/>
        </w:rPr>
        <w:t>,</w:t>
      </w:r>
      <w:r w:rsidR="00B91D70" w:rsidRPr="007B2402">
        <w:rPr>
          <w:rFonts w:eastAsia="Calibri" w:cs="Times New Roman"/>
          <w:iCs/>
          <w:lang w:val="en-US"/>
        </w:rPr>
        <w:t>237</w:t>
      </w:r>
      <w:r w:rsidRPr="007B2402">
        <w:rPr>
          <w:rFonts w:eastAsia="Calibri" w:cs="Times New Roman"/>
          <w:iCs/>
          <w:lang w:val="en-US"/>
        </w:rPr>
        <w:t>.</w:t>
      </w:r>
      <w:r w:rsidR="00B91D70" w:rsidRPr="007B2402">
        <w:rPr>
          <w:rFonts w:eastAsia="Calibri" w:cs="Times New Roman"/>
          <w:iCs/>
          <w:lang w:val="en-US"/>
        </w:rPr>
        <w:t xml:space="preserve">50. </w:t>
      </w:r>
      <w:r w:rsidR="005B1590" w:rsidRPr="007B2402">
        <w:rPr>
          <w:rFonts w:eastAsia="Calibri" w:cs="Times New Roman"/>
          <w:iCs/>
          <w:lang w:val="en-US"/>
        </w:rPr>
        <w:t>The representatives</w:t>
      </w:r>
      <w:r w:rsidR="00B91D70" w:rsidRPr="007B2402">
        <w:rPr>
          <w:rFonts w:eastAsia="Calibri" w:cs="Times New Roman"/>
          <w:iCs/>
          <w:lang w:val="en-US"/>
        </w:rPr>
        <w:t xml:space="preserve"> </w:t>
      </w:r>
      <w:r w:rsidRPr="007B2402">
        <w:rPr>
          <w:rFonts w:eastAsia="Calibri" w:cs="Times New Roman"/>
          <w:iCs/>
          <w:lang w:val="en-US"/>
        </w:rPr>
        <w:t>broke this sum down as follows</w:t>
      </w:r>
      <w:r w:rsidR="00B91D70" w:rsidRPr="007B2402">
        <w:rPr>
          <w:rFonts w:eastAsia="Calibri" w:cs="Times New Roman"/>
          <w:iCs/>
          <w:lang w:val="en-US"/>
        </w:rPr>
        <w:t xml:space="preserve">: </w:t>
      </w:r>
      <w:r w:rsidRPr="007B2402">
        <w:rPr>
          <w:rFonts w:eastAsia="Calibri" w:cs="Times New Roman"/>
          <w:iCs/>
          <w:lang w:val="en-US"/>
        </w:rPr>
        <w:t>(</w:t>
      </w:r>
      <w:r w:rsidR="00B91D70" w:rsidRPr="007B2402">
        <w:rPr>
          <w:rFonts w:eastAsia="Calibri" w:cs="Times New Roman"/>
          <w:iCs/>
          <w:lang w:val="en-US"/>
        </w:rPr>
        <w:t>i) US$14</w:t>
      </w:r>
      <w:r w:rsidRPr="007B2402">
        <w:rPr>
          <w:rFonts w:eastAsia="Calibri" w:cs="Times New Roman"/>
          <w:iCs/>
          <w:lang w:val="en-US"/>
        </w:rPr>
        <w:t>,</w:t>
      </w:r>
      <w:r w:rsidR="00B91D70" w:rsidRPr="007B2402">
        <w:rPr>
          <w:rFonts w:eastAsia="Calibri" w:cs="Times New Roman"/>
          <w:iCs/>
          <w:lang w:val="en-US"/>
        </w:rPr>
        <w:t>241</w:t>
      </w:r>
      <w:r w:rsidRPr="007B2402">
        <w:rPr>
          <w:rFonts w:eastAsia="Calibri" w:cs="Times New Roman"/>
          <w:iCs/>
          <w:lang w:val="en-US"/>
        </w:rPr>
        <w:t>.</w:t>
      </w:r>
      <w:r w:rsidR="00B91D70" w:rsidRPr="007B2402">
        <w:rPr>
          <w:rFonts w:eastAsia="Calibri" w:cs="Times New Roman"/>
          <w:iCs/>
          <w:lang w:val="en-US"/>
        </w:rPr>
        <w:t xml:space="preserve">13 </w:t>
      </w:r>
      <w:r w:rsidRPr="007B2402">
        <w:rPr>
          <w:rFonts w:eastAsia="Calibri" w:cs="Times New Roman"/>
          <w:iCs/>
          <w:lang w:val="en-US"/>
        </w:rPr>
        <w:t>for meetings and travel</w:t>
      </w:r>
      <w:r w:rsidR="00B91D70" w:rsidRPr="007B2402">
        <w:rPr>
          <w:rFonts w:eastAsia="Calibri" w:cs="Times New Roman"/>
          <w:iCs/>
          <w:lang w:val="en-US"/>
        </w:rPr>
        <w:t xml:space="preserve">; </w:t>
      </w:r>
      <w:r w:rsidRPr="007B2402">
        <w:rPr>
          <w:rFonts w:eastAsia="Calibri" w:cs="Times New Roman"/>
          <w:iCs/>
          <w:lang w:val="en-US"/>
        </w:rPr>
        <w:t>(</w:t>
      </w:r>
      <w:r w:rsidR="00B91D70" w:rsidRPr="007B2402">
        <w:rPr>
          <w:rFonts w:eastAsia="Calibri" w:cs="Times New Roman"/>
          <w:iCs/>
          <w:lang w:val="en-US"/>
        </w:rPr>
        <w:t>ii) US$190</w:t>
      </w:r>
      <w:r w:rsidRPr="007B2402">
        <w:rPr>
          <w:rFonts w:eastAsia="Calibri" w:cs="Times New Roman"/>
          <w:iCs/>
          <w:lang w:val="en-US"/>
        </w:rPr>
        <w:t>.</w:t>
      </w:r>
      <w:r w:rsidR="00B91D70" w:rsidRPr="007B2402">
        <w:rPr>
          <w:rFonts w:eastAsia="Calibri" w:cs="Times New Roman"/>
          <w:iCs/>
          <w:lang w:val="en-US"/>
        </w:rPr>
        <w:t xml:space="preserve">11 </w:t>
      </w:r>
      <w:r w:rsidRPr="007B2402">
        <w:rPr>
          <w:rFonts w:eastAsia="Calibri" w:cs="Times New Roman"/>
          <w:iCs/>
          <w:lang w:val="en-US"/>
        </w:rPr>
        <w:t>f</w:t>
      </w:r>
      <w:r w:rsidR="00B91D70" w:rsidRPr="007B2402">
        <w:rPr>
          <w:rFonts w:eastAsia="Calibri" w:cs="Times New Roman"/>
          <w:iCs/>
          <w:lang w:val="en-US"/>
        </w:rPr>
        <w:t xml:space="preserve">or </w:t>
      </w:r>
      <w:r w:rsidRPr="007B2402">
        <w:rPr>
          <w:rFonts w:eastAsia="Calibri" w:cs="Times New Roman"/>
          <w:iCs/>
          <w:lang w:val="en-US"/>
        </w:rPr>
        <w:t>mailing correspondence and photocopies</w:t>
      </w:r>
      <w:r w:rsidR="00B91D70" w:rsidRPr="007B2402">
        <w:rPr>
          <w:rFonts w:eastAsia="Calibri" w:cs="Times New Roman"/>
          <w:iCs/>
          <w:lang w:val="en-US"/>
        </w:rPr>
        <w:t xml:space="preserve">; </w:t>
      </w:r>
      <w:r w:rsidRPr="007B2402">
        <w:rPr>
          <w:rFonts w:eastAsia="Calibri" w:cs="Times New Roman"/>
          <w:iCs/>
          <w:lang w:val="en-US"/>
        </w:rPr>
        <w:t>(</w:t>
      </w:r>
      <w:r w:rsidR="00B91D70" w:rsidRPr="007B2402">
        <w:rPr>
          <w:rFonts w:eastAsia="Calibri" w:cs="Times New Roman"/>
          <w:iCs/>
          <w:lang w:val="en-US"/>
        </w:rPr>
        <w:t>iii) US$977</w:t>
      </w:r>
      <w:r w:rsidRPr="007B2402">
        <w:rPr>
          <w:rFonts w:eastAsia="Calibri" w:cs="Times New Roman"/>
          <w:iCs/>
          <w:lang w:val="en-US"/>
        </w:rPr>
        <w:t>.</w:t>
      </w:r>
      <w:r w:rsidR="00B91D70" w:rsidRPr="007B2402">
        <w:rPr>
          <w:rFonts w:eastAsia="Calibri" w:cs="Times New Roman"/>
          <w:iCs/>
          <w:lang w:val="en-US"/>
        </w:rPr>
        <w:t xml:space="preserve">30 </w:t>
      </w:r>
      <w:r w:rsidRPr="007B2402">
        <w:rPr>
          <w:rFonts w:eastAsia="Calibri" w:cs="Times New Roman"/>
          <w:iCs/>
          <w:lang w:val="en-US"/>
        </w:rPr>
        <w:t>for research material and stationery; (</w:t>
      </w:r>
      <w:r w:rsidR="00B91D70" w:rsidRPr="007B2402">
        <w:rPr>
          <w:rFonts w:eastAsia="Calibri" w:cs="Times New Roman"/>
          <w:iCs/>
          <w:lang w:val="en-US"/>
        </w:rPr>
        <w:t>iv) US$145</w:t>
      </w:r>
      <w:r w:rsidRPr="007B2402">
        <w:rPr>
          <w:rFonts w:eastAsia="Calibri" w:cs="Times New Roman"/>
          <w:iCs/>
          <w:lang w:val="en-US"/>
        </w:rPr>
        <w:t>,</w:t>
      </w:r>
      <w:r w:rsidR="00B91D70" w:rsidRPr="007B2402">
        <w:rPr>
          <w:rFonts w:eastAsia="Calibri" w:cs="Times New Roman"/>
          <w:iCs/>
          <w:lang w:val="en-US"/>
        </w:rPr>
        <w:t>239</w:t>
      </w:r>
      <w:r w:rsidRPr="007B2402">
        <w:rPr>
          <w:rFonts w:eastAsia="Calibri" w:cs="Times New Roman"/>
          <w:iCs/>
          <w:lang w:val="en-US"/>
        </w:rPr>
        <w:t>.</w:t>
      </w:r>
      <w:r w:rsidR="00B91D70" w:rsidRPr="007B2402">
        <w:rPr>
          <w:rFonts w:eastAsia="Calibri" w:cs="Times New Roman"/>
          <w:iCs/>
          <w:lang w:val="en-US"/>
        </w:rPr>
        <w:t xml:space="preserve">62 </w:t>
      </w:r>
      <w:r w:rsidRPr="007B2402">
        <w:rPr>
          <w:rFonts w:eastAsia="Calibri" w:cs="Times New Roman"/>
          <w:iCs/>
          <w:lang w:val="en-US"/>
        </w:rPr>
        <w:t>f</w:t>
      </w:r>
      <w:r w:rsidR="00B91D70" w:rsidRPr="007B2402">
        <w:rPr>
          <w:rFonts w:eastAsia="Calibri" w:cs="Times New Roman"/>
          <w:iCs/>
          <w:lang w:val="en-US"/>
        </w:rPr>
        <w:t>or salari</w:t>
      </w:r>
      <w:r w:rsidRPr="007B2402">
        <w:rPr>
          <w:rFonts w:eastAsia="Calibri" w:cs="Times New Roman"/>
          <w:iCs/>
          <w:lang w:val="en-US"/>
        </w:rPr>
        <w:t>e</w:t>
      </w:r>
      <w:r w:rsidR="00B91D70" w:rsidRPr="007B2402">
        <w:rPr>
          <w:rFonts w:eastAsia="Calibri" w:cs="Times New Roman"/>
          <w:iCs/>
          <w:lang w:val="en-US"/>
        </w:rPr>
        <w:t>s,</w:t>
      </w:r>
      <w:r w:rsidR="005B1590" w:rsidRPr="007B2402">
        <w:rPr>
          <w:rFonts w:eastAsia="Calibri" w:cs="Times New Roman"/>
          <w:iCs/>
          <w:lang w:val="en-US"/>
        </w:rPr>
        <w:t xml:space="preserve"> and </w:t>
      </w:r>
      <w:r w:rsidRPr="007B2402">
        <w:rPr>
          <w:rFonts w:eastAsia="Calibri" w:cs="Times New Roman"/>
          <w:iCs/>
          <w:lang w:val="en-US"/>
        </w:rPr>
        <w:t>(</w:t>
      </w:r>
      <w:r w:rsidR="00B91D70" w:rsidRPr="007B2402">
        <w:rPr>
          <w:rFonts w:eastAsia="Calibri" w:cs="Times New Roman"/>
          <w:iCs/>
          <w:lang w:val="en-US"/>
        </w:rPr>
        <w:t>v) US$589</w:t>
      </w:r>
      <w:r w:rsidRPr="007B2402">
        <w:rPr>
          <w:rFonts w:eastAsia="Calibri" w:cs="Times New Roman"/>
          <w:iCs/>
          <w:lang w:val="en-US"/>
        </w:rPr>
        <w:t>.</w:t>
      </w:r>
      <w:r w:rsidR="00B91D70" w:rsidRPr="007B2402">
        <w:rPr>
          <w:rFonts w:eastAsia="Calibri" w:cs="Times New Roman"/>
          <w:iCs/>
          <w:lang w:val="en-US"/>
        </w:rPr>
        <w:t xml:space="preserve">34 </w:t>
      </w:r>
      <w:r w:rsidRPr="007B2402">
        <w:rPr>
          <w:rFonts w:eastAsia="Calibri" w:cs="Times New Roman"/>
          <w:iCs/>
          <w:lang w:val="en-US"/>
        </w:rPr>
        <w:t xml:space="preserve">for notary expenses and translations. </w:t>
      </w:r>
    </w:p>
    <w:p w14:paraId="4FE1DD56" w14:textId="77777777" w:rsidR="00B91D70" w:rsidRPr="007B2402" w:rsidRDefault="00B91D70" w:rsidP="00B91D70">
      <w:pPr>
        <w:spacing w:after="0" w:line="240" w:lineRule="auto"/>
        <w:jc w:val="both"/>
        <w:rPr>
          <w:rFonts w:eastAsia="Calibri" w:cs="Times New Roman"/>
          <w:lang w:val="en-US"/>
        </w:rPr>
      </w:pPr>
    </w:p>
    <w:p w14:paraId="0C2D6AE4" w14:textId="7AA151F1" w:rsidR="00C740D8" w:rsidRPr="007B2402" w:rsidRDefault="00B91D70" w:rsidP="005F015D">
      <w:pPr>
        <w:numPr>
          <w:ilvl w:val="0"/>
          <w:numId w:val="5"/>
        </w:numPr>
        <w:spacing w:after="0" w:line="240" w:lineRule="auto"/>
        <w:jc w:val="both"/>
        <w:rPr>
          <w:rFonts w:eastAsia="Calibri" w:cs="Times New Roman"/>
          <w:lang w:val="en-US"/>
        </w:rPr>
      </w:pPr>
      <w:r w:rsidRPr="007B2402">
        <w:rPr>
          <w:rFonts w:eastAsia="Calibri" w:cs="Times New Roman"/>
          <w:b/>
          <w:i/>
          <w:lang w:val="en-US"/>
        </w:rPr>
        <w:t xml:space="preserve"> </w:t>
      </w:r>
      <w:r w:rsidR="00AF4344" w:rsidRPr="007B2402">
        <w:rPr>
          <w:rFonts w:eastAsia="Calibri" w:cs="Times New Roman"/>
          <w:iCs/>
          <w:lang w:val="en-US"/>
        </w:rPr>
        <w:t xml:space="preserve">The </w:t>
      </w:r>
      <w:r w:rsidR="00AF4344" w:rsidRPr="007B2402">
        <w:rPr>
          <w:rFonts w:eastAsia="Calibri" w:cs="Times New Roman"/>
          <w:b/>
          <w:bCs/>
          <w:i/>
          <w:lang w:val="en-US"/>
        </w:rPr>
        <w:t>State</w:t>
      </w:r>
      <w:r w:rsidRPr="007B2402">
        <w:rPr>
          <w:rFonts w:eastAsia="Calibri" w:cs="Times New Roman"/>
          <w:iCs/>
          <w:lang w:val="en-US"/>
        </w:rPr>
        <w:t xml:space="preserve"> </w:t>
      </w:r>
      <w:r w:rsidR="005F015D" w:rsidRPr="007B2402">
        <w:rPr>
          <w:rFonts w:eastAsia="Calibri" w:cs="Times New Roman"/>
          <w:iCs/>
          <w:lang w:val="en-US"/>
        </w:rPr>
        <w:t>asked that, if the Court did not declare its international responsibility, it should not</w:t>
      </w:r>
      <w:r w:rsidR="00C740D8" w:rsidRPr="007B2402">
        <w:rPr>
          <w:rFonts w:eastAsia="Calibri" w:cs="Times New Roman"/>
          <w:iCs/>
          <w:lang w:val="en-US"/>
        </w:rPr>
        <w:t xml:space="preserve"> be</w:t>
      </w:r>
      <w:r w:rsidR="005F015D" w:rsidRPr="007B2402">
        <w:rPr>
          <w:rFonts w:eastAsia="Calibri" w:cs="Times New Roman"/>
          <w:iCs/>
          <w:lang w:val="en-US"/>
        </w:rPr>
        <w:t xml:space="preserve"> </w:t>
      </w:r>
      <w:r w:rsidR="00C740D8" w:rsidRPr="007B2402">
        <w:rPr>
          <w:rFonts w:eastAsia="Calibri" w:cs="Times New Roman"/>
          <w:iCs/>
          <w:lang w:val="en-US"/>
        </w:rPr>
        <w:t>sentenced to pay any amount for costs and expenses. However, if it was sentenced to pay</w:t>
      </w:r>
      <w:r w:rsidR="00C740D8" w:rsidRPr="007B2402">
        <w:rPr>
          <w:rFonts w:eastAsia="Calibri" w:cs="Times New Roman"/>
          <w:lang w:val="en-US"/>
        </w:rPr>
        <w:t xml:space="preserve"> </w:t>
      </w:r>
      <w:r w:rsidR="0063740A" w:rsidRPr="007B2402">
        <w:rPr>
          <w:rFonts w:eastAsia="Calibri" w:cs="Times New Roman"/>
          <w:iCs/>
          <w:lang w:val="en-US"/>
        </w:rPr>
        <w:t>costs and expenses</w:t>
      </w:r>
      <w:r w:rsidRPr="007B2402">
        <w:rPr>
          <w:rFonts w:eastAsia="Calibri" w:cs="Times New Roman"/>
          <w:iCs/>
          <w:lang w:val="en-US"/>
        </w:rPr>
        <w:t xml:space="preserve">, </w:t>
      </w:r>
      <w:r w:rsidR="00AF4344" w:rsidRPr="007B2402">
        <w:rPr>
          <w:rFonts w:eastAsia="Calibri" w:cs="Times New Roman"/>
          <w:iCs/>
          <w:lang w:val="en-US"/>
        </w:rPr>
        <w:t>the State</w:t>
      </w:r>
      <w:r w:rsidR="00C740D8" w:rsidRPr="007B2402">
        <w:rPr>
          <w:rFonts w:eastAsia="Calibri" w:cs="Times New Roman"/>
          <w:iCs/>
          <w:lang w:val="en-US"/>
        </w:rPr>
        <w:t xml:space="preserve"> indicated that this should be for reasonable amounts that were duly verified to be directly related to the specific case. In particular, Brazil considered that expenses for lawyers’ salaries did not comply with this requirements because they were mere estimates that were impossible to corroborate.</w:t>
      </w:r>
    </w:p>
    <w:p w14:paraId="24050220" w14:textId="77777777" w:rsidR="00B91D70" w:rsidRPr="007B2402" w:rsidRDefault="00B91D70" w:rsidP="00C740D8">
      <w:pPr>
        <w:spacing w:after="0" w:line="240" w:lineRule="auto"/>
        <w:contextualSpacing/>
        <w:jc w:val="both"/>
        <w:rPr>
          <w:rFonts w:eastAsia="Calibri" w:cs="Times New Roman"/>
          <w:lang w:val="en-US"/>
        </w:rPr>
      </w:pPr>
    </w:p>
    <w:p w14:paraId="6F2F569F" w14:textId="740022D9" w:rsidR="00B91D70" w:rsidRPr="007B2402" w:rsidRDefault="00AF4344" w:rsidP="00C740D8">
      <w:pPr>
        <w:numPr>
          <w:ilvl w:val="0"/>
          <w:numId w:val="5"/>
        </w:numPr>
        <w:spacing w:after="0" w:line="240" w:lineRule="auto"/>
        <w:jc w:val="both"/>
        <w:rPr>
          <w:rFonts w:eastAsia="Calibri" w:cs="Times New Roman"/>
          <w:iCs/>
          <w:lang w:val="en-US"/>
        </w:rPr>
      </w:pPr>
      <w:r w:rsidRPr="007B2402">
        <w:rPr>
          <w:rFonts w:eastAsia="Calibri" w:cs="Times New Roman"/>
          <w:iCs/>
          <w:lang w:val="en-US"/>
        </w:rPr>
        <w:t>The Court</w:t>
      </w:r>
      <w:r w:rsidR="00B91D70" w:rsidRPr="007B2402">
        <w:rPr>
          <w:rFonts w:eastAsia="Calibri" w:cs="Times New Roman"/>
          <w:iCs/>
          <w:lang w:val="en-US"/>
        </w:rPr>
        <w:t xml:space="preserve"> reitera</w:t>
      </w:r>
      <w:r w:rsidR="00C740D8" w:rsidRPr="007B2402">
        <w:rPr>
          <w:rFonts w:eastAsia="Calibri" w:cs="Times New Roman"/>
          <w:iCs/>
          <w:lang w:val="en-US"/>
        </w:rPr>
        <w:t>tes that, pursuant to its case law,</w:t>
      </w:r>
      <w:r w:rsidR="00B91D70" w:rsidRPr="007B2402">
        <w:rPr>
          <w:rFonts w:eastAsia="Calibri" w:cs="Times New Roman"/>
          <w:iCs/>
          <w:lang w:val="en-US"/>
        </w:rPr>
        <w:t xml:space="preserve"> </w:t>
      </w:r>
      <w:r w:rsidR="0063740A" w:rsidRPr="007B2402">
        <w:rPr>
          <w:rFonts w:eastAsia="Calibri" w:cs="Times New Roman"/>
          <w:iCs/>
          <w:lang w:val="en-US"/>
        </w:rPr>
        <w:t>costs and expenses</w:t>
      </w:r>
      <w:r w:rsidR="00B91D70" w:rsidRPr="007B2402">
        <w:rPr>
          <w:rFonts w:eastAsia="Calibri" w:cs="Times New Roman"/>
          <w:iCs/>
          <w:lang w:val="en-US"/>
        </w:rPr>
        <w:t xml:space="preserve"> </w:t>
      </w:r>
      <w:r w:rsidR="00C740D8" w:rsidRPr="007B2402">
        <w:rPr>
          <w:rFonts w:eastAsia="Calibri" w:cs="Times New Roman"/>
          <w:iCs/>
          <w:lang w:val="en-US"/>
        </w:rPr>
        <w:t>form part of the concept of reparation, because the activities undertaken by the victims in order to obtain justice, at both the national and the international level, entail disbursements that must be compensated when the international responsibility of the State has been declared in a judgment convicting it. With regard to the reimbursement of expenses, it corresponds to the Court to make a prudent assessment of their scope, which includes the expenses incurred before the authorities of the domestic jurisdiction, and also those arising during the proceedings before the inter-American system, taking into account the circumstances of the specific case and the nature of the international jurisdiction for the protection of human rights. This assessment may be made based on the equity principle and taking into account the expenses indicated by the parties, provided the amount is reasonable.</w:t>
      </w:r>
      <w:r w:rsidR="00B91D70" w:rsidRPr="007B2402">
        <w:rPr>
          <w:rFonts w:eastAsia="Calibri" w:cs="Times New Roman"/>
          <w:iCs/>
          <w:vertAlign w:val="superscript"/>
          <w:lang w:val="en-US"/>
        </w:rPr>
        <w:footnoteReference w:id="409"/>
      </w:r>
      <w:r w:rsidR="00C740D8" w:rsidRPr="007B2402">
        <w:rPr>
          <w:rFonts w:eastAsia="Calibri" w:cs="Times New Roman"/>
          <w:iCs/>
          <w:lang w:val="en-US"/>
        </w:rPr>
        <w:t xml:space="preserve"> As it has indicated on other occasions, the Court recalls that it is not sufficient to merely forward probative documents; rather, the parties must include arguments that relate the evidence to the fact that it is considered to represent and that, in the case of alleged financial disbursements, the items and their justification is clearly established.</w:t>
      </w:r>
      <w:r w:rsidR="00B91D70" w:rsidRPr="007B2402">
        <w:rPr>
          <w:rFonts w:eastAsia="Calibri" w:cs="Times New Roman"/>
          <w:iCs/>
          <w:vertAlign w:val="superscript"/>
          <w:lang w:val="en-US"/>
        </w:rPr>
        <w:footnoteReference w:id="410"/>
      </w:r>
    </w:p>
    <w:p w14:paraId="061AF92B" w14:textId="77777777" w:rsidR="00B91D70" w:rsidRPr="007B2402" w:rsidRDefault="00B91D70" w:rsidP="00B91D70">
      <w:pPr>
        <w:spacing w:after="0" w:line="240" w:lineRule="auto"/>
        <w:jc w:val="both"/>
        <w:rPr>
          <w:rFonts w:eastAsia="Calibri" w:cs="Times New Roman"/>
          <w:iCs/>
          <w:lang w:val="en-US"/>
        </w:rPr>
      </w:pPr>
    </w:p>
    <w:p w14:paraId="53D58D35" w14:textId="1EDD3D54" w:rsidR="00B91D70" w:rsidRPr="007B2402" w:rsidRDefault="00C740D8" w:rsidP="00DB1F30">
      <w:pPr>
        <w:numPr>
          <w:ilvl w:val="0"/>
          <w:numId w:val="5"/>
        </w:numPr>
        <w:spacing w:after="0" w:line="240" w:lineRule="auto"/>
        <w:jc w:val="both"/>
        <w:rPr>
          <w:rFonts w:eastAsia="Calibri" w:cs="Times New Roman"/>
          <w:iCs/>
          <w:lang w:val="en-US"/>
        </w:rPr>
      </w:pPr>
      <w:r w:rsidRPr="007B2402">
        <w:rPr>
          <w:rFonts w:eastAsia="Calibri" w:cs="Times New Roman"/>
          <w:iCs/>
          <w:lang w:val="en-US"/>
        </w:rPr>
        <w:t xml:space="preserve">From an analysis  of the documentation provided, the Court concludes that some of the amounts requested are justified and authenticated. However, some vouchers refer to </w:t>
      </w:r>
      <w:r w:rsidR="009C3C16" w:rsidRPr="007B2402">
        <w:rPr>
          <w:rFonts w:eastAsia="Calibri" w:cs="Times New Roman"/>
          <w:iCs/>
          <w:lang w:val="en-US"/>
        </w:rPr>
        <w:t xml:space="preserve">general </w:t>
      </w:r>
      <w:r w:rsidRPr="007B2402">
        <w:rPr>
          <w:rFonts w:eastAsia="Calibri" w:cs="Times New Roman"/>
          <w:iCs/>
          <w:lang w:val="en-US"/>
        </w:rPr>
        <w:t xml:space="preserve">expenses for office material, purchase of inputs, or salaries of lawyers without specifying their </w:t>
      </w:r>
      <w:r w:rsidRPr="007B2402">
        <w:rPr>
          <w:rFonts w:eastAsia="Calibri" w:cs="Times New Roman"/>
          <w:iCs/>
          <w:lang w:val="en-US"/>
        </w:rPr>
        <w:lastRenderedPageBreak/>
        <w:t xml:space="preserve">relationship to  the case, or the specific percentage that corresponds to </w:t>
      </w:r>
      <w:r w:rsidR="00EF6CA4" w:rsidRPr="007B2402">
        <w:rPr>
          <w:rFonts w:eastAsia="Calibri" w:cs="Times New Roman"/>
          <w:iCs/>
          <w:lang w:val="en-US"/>
        </w:rPr>
        <w:t xml:space="preserve">expenditure in this case. These concepts have been deducted, in fairness, from the calculation made by </w:t>
      </w:r>
      <w:r w:rsidR="00DF1102" w:rsidRPr="007B2402">
        <w:rPr>
          <w:rFonts w:eastAsia="Calibri" w:cs="Times New Roman"/>
          <w:iCs/>
          <w:lang w:val="en-US"/>
        </w:rPr>
        <w:t>the</w:t>
      </w:r>
      <w:r w:rsidR="00EF6CA4" w:rsidRPr="007B2402">
        <w:rPr>
          <w:rFonts w:eastAsia="Calibri" w:cs="Times New Roman"/>
          <w:iCs/>
          <w:lang w:val="en-US"/>
        </w:rPr>
        <w:t xml:space="preserve"> Court. In addition, those expenses whose amount is not reasonable will be deducted from the calculation made by the Court.</w:t>
      </w:r>
      <w:r w:rsidR="00B91D70" w:rsidRPr="007B2402">
        <w:rPr>
          <w:rFonts w:eastAsia="Calibri" w:cs="Times New Roman"/>
          <w:iCs/>
          <w:szCs w:val="20"/>
          <w:vertAlign w:val="superscript"/>
          <w:lang w:val="en-US"/>
        </w:rPr>
        <w:footnoteReference w:id="411"/>
      </w:r>
    </w:p>
    <w:p w14:paraId="42971900" w14:textId="77777777" w:rsidR="00B91D70" w:rsidRPr="007B2402" w:rsidRDefault="00B91D70" w:rsidP="00B91D70">
      <w:pPr>
        <w:spacing w:after="0" w:line="240" w:lineRule="auto"/>
        <w:ind w:left="720"/>
        <w:contextualSpacing/>
        <w:jc w:val="both"/>
        <w:rPr>
          <w:rFonts w:eastAsia="Calibri" w:cs="Times New Roman"/>
          <w:b/>
          <w:iCs/>
          <w:lang w:val="en-US"/>
        </w:rPr>
      </w:pPr>
    </w:p>
    <w:p w14:paraId="39A6DA4F" w14:textId="40C89CBE" w:rsidR="00B91D70" w:rsidRPr="007B2402" w:rsidRDefault="00EF6CA4" w:rsidP="00EF6CA4">
      <w:pPr>
        <w:numPr>
          <w:ilvl w:val="0"/>
          <w:numId w:val="5"/>
        </w:numPr>
        <w:spacing w:after="0" w:line="240" w:lineRule="auto"/>
        <w:jc w:val="both"/>
        <w:rPr>
          <w:rFonts w:eastAsia="Calibri" w:cs="Times New Roman"/>
          <w:iCs/>
          <w:lang w:val="en-US"/>
        </w:rPr>
      </w:pPr>
      <w:r w:rsidRPr="007B2402">
        <w:rPr>
          <w:rFonts w:eastAsia="Calibri" w:cs="Times New Roman"/>
          <w:iCs/>
          <w:lang w:val="en-US"/>
        </w:rPr>
        <w:t xml:space="preserve">The Court also considers that the item relating to the fees and travel expenses of members of the petitionary organization have not been justified reasonably, because they merely indicate the percentage supposedly dedicated to the case or meetings on “cases of historical claims,” without detailing or providing an exact justification of the specific relationship with the Herzog case. Consequently, the Court establishes, in equity, that the State must pay </w:t>
      </w:r>
      <w:r w:rsidR="00B91D70" w:rsidRPr="007B2402">
        <w:rPr>
          <w:rFonts w:eastAsia="Calibri" w:cs="Times New Roman"/>
          <w:iCs/>
          <w:lang w:val="en-US"/>
        </w:rPr>
        <w:t>US$25</w:t>
      </w:r>
      <w:r w:rsidR="00D65D32" w:rsidRPr="007B2402">
        <w:rPr>
          <w:rFonts w:eastAsia="Calibri" w:cs="Times New Roman"/>
          <w:iCs/>
          <w:lang w:val="en-US"/>
        </w:rPr>
        <w:t>,000.00</w:t>
      </w:r>
      <w:r w:rsidR="00B91D70" w:rsidRPr="007B2402">
        <w:rPr>
          <w:rFonts w:eastAsia="Calibri" w:cs="Times New Roman"/>
          <w:iCs/>
          <w:lang w:val="en-US"/>
        </w:rPr>
        <w:t xml:space="preserve"> (</w:t>
      </w:r>
      <w:r w:rsidRPr="007B2402">
        <w:rPr>
          <w:rFonts w:eastAsia="Calibri" w:cs="Times New Roman"/>
          <w:iCs/>
          <w:lang w:val="en-US"/>
        </w:rPr>
        <w:t>twenty-five</w:t>
      </w:r>
      <w:r w:rsidR="00B91D70" w:rsidRPr="007B2402">
        <w:rPr>
          <w:rFonts w:eastAsia="Calibri" w:cs="Times New Roman"/>
          <w:iCs/>
          <w:lang w:val="en-US"/>
        </w:rPr>
        <w:t xml:space="preserve"> </w:t>
      </w:r>
      <w:r w:rsidR="00D65D32" w:rsidRPr="007B2402">
        <w:rPr>
          <w:rFonts w:eastAsia="Calibri" w:cs="Times New Roman"/>
          <w:iCs/>
          <w:lang w:val="en-US"/>
        </w:rPr>
        <w:t>thousand United States dollars</w:t>
      </w:r>
      <w:r w:rsidRPr="007B2402">
        <w:rPr>
          <w:rFonts w:eastAsia="Calibri" w:cs="Times New Roman"/>
          <w:iCs/>
          <w:lang w:val="en-US"/>
        </w:rPr>
        <w:t>)</w:t>
      </w:r>
      <w:r w:rsidR="00B91D70" w:rsidRPr="007B2402">
        <w:rPr>
          <w:rFonts w:eastAsia="Calibri" w:cs="Times New Roman"/>
          <w:iCs/>
          <w:lang w:val="en-US"/>
        </w:rPr>
        <w:t xml:space="preserve"> </w:t>
      </w:r>
      <w:r w:rsidRPr="007B2402">
        <w:rPr>
          <w:rFonts w:eastAsia="Calibri" w:cs="Times New Roman"/>
          <w:iCs/>
          <w:lang w:val="en-US"/>
        </w:rPr>
        <w:t>to</w:t>
      </w:r>
      <w:r w:rsidR="00B91D70" w:rsidRPr="007B2402">
        <w:rPr>
          <w:rFonts w:eastAsia="Calibri" w:cs="Times New Roman"/>
          <w:iCs/>
          <w:lang w:val="en-US"/>
        </w:rPr>
        <w:t xml:space="preserve"> CEJIL </w:t>
      </w:r>
      <w:r w:rsidRPr="007B2402">
        <w:rPr>
          <w:rFonts w:eastAsia="Calibri" w:cs="Times New Roman"/>
          <w:iCs/>
          <w:lang w:val="en-US"/>
        </w:rPr>
        <w:t>f</w:t>
      </w:r>
      <w:r w:rsidR="00B91D70" w:rsidRPr="007B2402">
        <w:rPr>
          <w:rFonts w:eastAsia="Calibri" w:cs="Times New Roman"/>
          <w:iCs/>
          <w:lang w:val="en-US"/>
        </w:rPr>
        <w:t xml:space="preserve">or </w:t>
      </w:r>
      <w:r w:rsidR="0063740A" w:rsidRPr="007B2402">
        <w:rPr>
          <w:rFonts w:eastAsia="Calibri" w:cs="Times New Roman"/>
          <w:iCs/>
          <w:lang w:val="en-US"/>
        </w:rPr>
        <w:t>costs and expenses</w:t>
      </w:r>
      <w:r w:rsidR="00B91D70" w:rsidRPr="007B2402">
        <w:rPr>
          <w:rFonts w:eastAsia="Calibri" w:cs="Times New Roman"/>
          <w:iCs/>
          <w:lang w:val="en-US"/>
        </w:rPr>
        <w:t xml:space="preserve">. </w:t>
      </w:r>
    </w:p>
    <w:p w14:paraId="5111E336" w14:textId="77777777" w:rsidR="00B91D70" w:rsidRPr="007B2402" w:rsidRDefault="00B91D70" w:rsidP="00B91D70">
      <w:pPr>
        <w:spacing w:after="0" w:line="240" w:lineRule="auto"/>
        <w:jc w:val="both"/>
        <w:rPr>
          <w:rFonts w:eastAsia="Calibri" w:cs="Times New Roman"/>
          <w:iCs/>
          <w:lang w:val="en-US"/>
        </w:rPr>
      </w:pPr>
    </w:p>
    <w:p w14:paraId="364678A4" w14:textId="42753658" w:rsidR="00B91D70" w:rsidRPr="007B2402" w:rsidRDefault="00EF6CA4" w:rsidP="00EF6CA4">
      <w:pPr>
        <w:numPr>
          <w:ilvl w:val="0"/>
          <w:numId w:val="5"/>
        </w:numPr>
        <w:spacing w:after="0" w:line="240" w:lineRule="auto"/>
        <w:jc w:val="both"/>
        <w:rPr>
          <w:rFonts w:eastAsia="Calibri" w:cs="Times New Roman"/>
          <w:iCs/>
          <w:lang w:val="en-US"/>
        </w:rPr>
      </w:pPr>
      <w:r w:rsidRPr="007B2402">
        <w:rPr>
          <w:rFonts w:eastAsia="Calibri" w:cs="Times New Roman"/>
          <w:lang w:val="en-US"/>
        </w:rPr>
        <w:t>At the stage of monitoring compliance with this judgment, the Court may require the State to reimburse subsequent reasonable and duly authenticate</w:t>
      </w:r>
      <w:r w:rsidR="00942B0D" w:rsidRPr="007B2402">
        <w:rPr>
          <w:rFonts w:eastAsia="Calibri" w:cs="Times New Roman"/>
          <w:lang w:val="en-US"/>
        </w:rPr>
        <w:t>d</w:t>
      </w:r>
      <w:r w:rsidRPr="007B2402">
        <w:rPr>
          <w:rFonts w:eastAsia="Calibri" w:cs="Times New Roman"/>
          <w:lang w:val="en-US"/>
        </w:rPr>
        <w:t xml:space="preserve"> expenses to the victims or their representatives.</w:t>
      </w:r>
      <w:r w:rsidR="00B91D70" w:rsidRPr="007B2402">
        <w:rPr>
          <w:rFonts w:eastAsia="Calibri" w:cs="Times New Roman"/>
          <w:szCs w:val="20"/>
          <w:vertAlign w:val="superscript"/>
          <w:lang w:val="en-US"/>
        </w:rPr>
        <w:footnoteReference w:id="412"/>
      </w:r>
    </w:p>
    <w:p w14:paraId="488F063E" w14:textId="77777777" w:rsidR="00B91D70" w:rsidRPr="007B2402" w:rsidRDefault="00B91D70" w:rsidP="00B91D70">
      <w:pPr>
        <w:spacing w:after="0" w:line="240" w:lineRule="auto"/>
        <w:jc w:val="both"/>
        <w:rPr>
          <w:rFonts w:eastAsia="Calibri" w:cs="Times New Roman"/>
          <w:lang w:val="en-US"/>
        </w:rPr>
      </w:pPr>
    </w:p>
    <w:p w14:paraId="31EF4A1F" w14:textId="3545A549" w:rsidR="00B91D70" w:rsidRPr="007B2402" w:rsidRDefault="0063740A" w:rsidP="006531BE">
      <w:pPr>
        <w:pStyle w:val="Ttulo2"/>
        <w:numPr>
          <w:ilvl w:val="0"/>
          <w:numId w:val="27"/>
        </w:numPr>
        <w:ind w:left="0" w:firstLine="0"/>
        <w:rPr>
          <w:b/>
          <w:lang w:val="en-US"/>
        </w:rPr>
      </w:pPr>
      <w:bookmarkStart w:id="198" w:name="_Toc506984147"/>
      <w:r w:rsidRPr="007B2402">
        <w:rPr>
          <w:b/>
          <w:lang w:val="en-US"/>
        </w:rPr>
        <w:t>Reimbursement of expenditures to the</w:t>
      </w:r>
      <w:r w:rsidR="00B91D70" w:rsidRPr="007B2402">
        <w:rPr>
          <w:b/>
          <w:lang w:val="en-US"/>
        </w:rPr>
        <w:t xml:space="preserve"> </w:t>
      </w:r>
      <w:r w:rsidR="006E2CFF" w:rsidRPr="007B2402">
        <w:rPr>
          <w:b/>
          <w:lang w:val="en-US"/>
        </w:rPr>
        <w:t>Legal Assistance Fund</w:t>
      </w:r>
      <w:bookmarkEnd w:id="198"/>
    </w:p>
    <w:p w14:paraId="43FB59AF" w14:textId="77777777" w:rsidR="00DB1F30" w:rsidRPr="007B2402" w:rsidRDefault="00DB1F30" w:rsidP="00DB1F30">
      <w:pPr>
        <w:spacing w:after="0" w:line="240" w:lineRule="auto"/>
        <w:ind w:left="851"/>
        <w:contextualSpacing/>
        <w:jc w:val="both"/>
        <w:rPr>
          <w:rFonts w:eastAsia="Calibri" w:cs="Times New Roman"/>
          <w:b/>
          <w:i/>
          <w:lang w:val="en-US"/>
        </w:rPr>
      </w:pPr>
    </w:p>
    <w:p w14:paraId="1CAC60EC" w14:textId="0D977BEA" w:rsidR="00B91D70" w:rsidRPr="007B2402" w:rsidRDefault="005B1590" w:rsidP="00EF6CA4">
      <w:pPr>
        <w:numPr>
          <w:ilvl w:val="0"/>
          <w:numId w:val="5"/>
        </w:numPr>
        <w:spacing w:after="0" w:line="240" w:lineRule="auto"/>
        <w:jc w:val="both"/>
        <w:rPr>
          <w:rFonts w:eastAsia="Calibri" w:cs="Times New Roman"/>
          <w:iCs/>
          <w:lang w:val="en-US"/>
        </w:rPr>
      </w:pPr>
      <w:r w:rsidRPr="007B2402">
        <w:rPr>
          <w:rFonts w:eastAsia="Calibri" w:cs="Times New Roman"/>
          <w:iCs/>
          <w:lang w:val="en-US"/>
        </w:rPr>
        <w:t>The representatives</w:t>
      </w:r>
      <w:r w:rsidR="00B91D70" w:rsidRPr="007B2402">
        <w:rPr>
          <w:rFonts w:eastAsia="Calibri" w:cs="Times New Roman"/>
          <w:iCs/>
          <w:lang w:val="en-US"/>
        </w:rPr>
        <w:t xml:space="preserve"> </w:t>
      </w:r>
      <w:r w:rsidR="00EF6CA4" w:rsidRPr="007B2402">
        <w:rPr>
          <w:rFonts w:eastAsia="Calibri" w:cs="Times New Roman"/>
          <w:iCs/>
          <w:lang w:val="en-US"/>
        </w:rPr>
        <w:t xml:space="preserve">of the victims had requested the support of the </w:t>
      </w:r>
      <w:r w:rsidR="00554584" w:rsidRPr="007B2402">
        <w:rPr>
          <w:rFonts w:eastAsia="Calibri" w:cs="Times New Roman"/>
          <w:iCs/>
          <w:lang w:val="en-US"/>
        </w:rPr>
        <w:t>Victim’s Legal Assistance Fund</w:t>
      </w:r>
      <w:r w:rsidR="00AF4344" w:rsidRPr="007B2402">
        <w:rPr>
          <w:rFonts w:eastAsia="Calibri" w:cs="Times New Roman"/>
          <w:iCs/>
          <w:lang w:val="en-US"/>
        </w:rPr>
        <w:t xml:space="preserve"> of the Court</w:t>
      </w:r>
      <w:r w:rsidR="00B91D70" w:rsidRPr="007B2402">
        <w:rPr>
          <w:rFonts w:eastAsia="Calibri" w:cs="Times New Roman"/>
          <w:iCs/>
          <w:lang w:val="en-US"/>
        </w:rPr>
        <w:t xml:space="preserve"> </w:t>
      </w:r>
      <w:r w:rsidR="00EF6CA4" w:rsidRPr="007B2402">
        <w:rPr>
          <w:rFonts w:eastAsia="Calibri" w:cs="Times New Roman"/>
          <w:iCs/>
          <w:lang w:val="en-US"/>
        </w:rPr>
        <w:t>to cover the participation in the proceedings of the persons summoned to testify</w:t>
      </w:r>
      <w:r w:rsidR="00942B0D" w:rsidRPr="007B2402">
        <w:rPr>
          <w:rFonts w:eastAsia="Calibri" w:cs="Times New Roman"/>
          <w:iCs/>
          <w:lang w:val="en-US"/>
        </w:rPr>
        <w:t xml:space="preserve"> by the Court</w:t>
      </w:r>
      <w:r w:rsidR="00EF6CA4" w:rsidRPr="007B2402">
        <w:rPr>
          <w:rFonts w:eastAsia="Calibri" w:cs="Times New Roman"/>
          <w:iCs/>
          <w:lang w:val="en-US"/>
        </w:rPr>
        <w:t>. They asked for support to cover the expenses of air transport, accommodation</w:t>
      </w:r>
      <w:r w:rsidR="00942B0D" w:rsidRPr="007B2402">
        <w:rPr>
          <w:rFonts w:eastAsia="Calibri" w:cs="Times New Roman"/>
          <w:iCs/>
          <w:lang w:val="en-US"/>
        </w:rPr>
        <w:t xml:space="preserve"> and</w:t>
      </w:r>
      <w:r w:rsidR="00EF6CA4" w:rsidRPr="007B2402">
        <w:rPr>
          <w:rFonts w:eastAsia="Calibri" w:cs="Times New Roman"/>
          <w:iCs/>
          <w:lang w:val="en-US"/>
        </w:rPr>
        <w:t xml:space="preserve"> </w:t>
      </w:r>
      <w:r w:rsidR="00942B0D" w:rsidRPr="007B2402">
        <w:rPr>
          <w:rFonts w:eastAsia="Calibri" w:cs="Times New Roman"/>
          <w:iCs/>
          <w:lang w:val="en-US"/>
        </w:rPr>
        <w:t>alimentation,</w:t>
      </w:r>
      <w:r w:rsidR="00EF6CA4" w:rsidRPr="007B2402">
        <w:rPr>
          <w:rFonts w:eastAsia="Calibri" w:cs="Times New Roman"/>
          <w:iCs/>
          <w:lang w:val="en-US"/>
        </w:rPr>
        <w:t xml:space="preserve"> and </w:t>
      </w:r>
      <w:r w:rsidR="00942B0D" w:rsidRPr="007B2402">
        <w:rPr>
          <w:rFonts w:eastAsia="Calibri" w:cs="Times New Roman"/>
          <w:iCs/>
          <w:lang w:val="en-US"/>
        </w:rPr>
        <w:t xml:space="preserve">also </w:t>
      </w:r>
      <w:r w:rsidR="00EF6CA4" w:rsidRPr="007B2402">
        <w:rPr>
          <w:rFonts w:eastAsia="Calibri" w:cs="Times New Roman"/>
          <w:iCs/>
          <w:lang w:val="en-US"/>
        </w:rPr>
        <w:t xml:space="preserve">notarial services for affidavits for presumed victims, experts and witnesses. </w:t>
      </w:r>
      <w:r w:rsidR="00ED1621" w:rsidRPr="007B2402">
        <w:rPr>
          <w:rFonts w:eastAsia="Calibri" w:cs="Times New Roman"/>
          <w:iCs/>
          <w:lang w:val="en-US"/>
        </w:rPr>
        <w:t xml:space="preserve">In an order </w:t>
      </w:r>
      <w:r w:rsidR="006E2CFF" w:rsidRPr="007B2402">
        <w:rPr>
          <w:rFonts w:eastAsia="Calibri" w:cs="Times New Roman"/>
          <w:iCs/>
          <w:lang w:val="en-US"/>
        </w:rPr>
        <w:t xml:space="preserve">of the </w:t>
      </w:r>
      <w:r w:rsidR="00AF4344" w:rsidRPr="007B2402">
        <w:rPr>
          <w:rFonts w:eastAsia="Calibri" w:cs="Times New Roman"/>
          <w:iCs/>
          <w:lang w:val="en-US"/>
        </w:rPr>
        <w:t>President</w:t>
      </w:r>
      <w:r w:rsidR="00B91D70" w:rsidRPr="007B2402">
        <w:rPr>
          <w:rFonts w:eastAsia="Calibri" w:cs="Times New Roman"/>
          <w:iCs/>
          <w:lang w:val="en-US"/>
        </w:rPr>
        <w:t xml:space="preserve"> </w:t>
      </w:r>
      <w:r w:rsidR="00ED1621" w:rsidRPr="007B2402">
        <w:rPr>
          <w:rFonts w:eastAsia="Calibri" w:cs="Times New Roman"/>
          <w:iCs/>
          <w:lang w:val="en-US"/>
        </w:rPr>
        <w:t xml:space="preserve">of </w:t>
      </w:r>
      <w:r w:rsidR="006E2CFF" w:rsidRPr="007B2402">
        <w:rPr>
          <w:rFonts w:eastAsia="Calibri" w:cs="Times New Roman"/>
          <w:iCs/>
          <w:lang w:val="en-US"/>
        </w:rPr>
        <w:t>February 23,</w:t>
      </w:r>
      <w:r w:rsidR="00B91D70" w:rsidRPr="007B2402">
        <w:rPr>
          <w:rFonts w:eastAsia="Calibri" w:cs="Times New Roman"/>
          <w:iCs/>
          <w:lang w:val="en-US"/>
        </w:rPr>
        <w:t xml:space="preserve"> 2017, </w:t>
      </w:r>
      <w:r w:rsidR="00ED1621" w:rsidRPr="007B2402">
        <w:rPr>
          <w:rFonts w:eastAsia="Calibri" w:cs="Times New Roman"/>
          <w:iCs/>
          <w:lang w:val="en-US"/>
        </w:rPr>
        <w:t xml:space="preserve">the request submitted by </w:t>
      </w:r>
      <w:r w:rsidRPr="007B2402">
        <w:rPr>
          <w:rFonts w:eastAsia="Calibri" w:cs="Times New Roman"/>
          <w:iCs/>
          <w:lang w:val="en-US"/>
        </w:rPr>
        <w:t>the presumed victims</w:t>
      </w:r>
      <w:r w:rsidR="00ED1621" w:rsidRPr="007B2402">
        <w:rPr>
          <w:rFonts w:eastAsia="Calibri" w:cs="Times New Roman"/>
          <w:iCs/>
          <w:lang w:val="en-US"/>
        </w:rPr>
        <w:t>,</w:t>
      </w:r>
      <w:r w:rsidR="00B91D70" w:rsidRPr="007B2402">
        <w:rPr>
          <w:rFonts w:eastAsia="Calibri" w:cs="Times New Roman"/>
          <w:iCs/>
          <w:lang w:val="en-US"/>
        </w:rPr>
        <w:t xml:space="preserve"> </w:t>
      </w:r>
      <w:r w:rsidR="00ED1621" w:rsidRPr="007B2402">
        <w:rPr>
          <w:rFonts w:eastAsia="Calibri" w:cs="Times New Roman"/>
          <w:iCs/>
          <w:lang w:val="en-US"/>
        </w:rPr>
        <w:t>through their representatives, to access the Court’s Legal Assistance Fund was declared admissible and the necessary financial assistance was authorized for the presentation of five deponents, either at the hearing or by affidavit.</w:t>
      </w:r>
    </w:p>
    <w:p w14:paraId="1C0F091D" w14:textId="77777777" w:rsidR="00B91D70" w:rsidRPr="007B2402" w:rsidRDefault="00B91D70" w:rsidP="00B91D70">
      <w:pPr>
        <w:spacing w:after="0" w:line="240" w:lineRule="auto"/>
        <w:jc w:val="both"/>
        <w:rPr>
          <w:rFonts w:eastAsia="Calibri" w:cs="Times New Roman"/>
          <w:iCs/>
          <w:lang w:val="en-US"/>
        </w:rPr>
      </w:pPr>
    </w:p>
    <w:p w14:paraId="07DD6D0A" w14:textId="01619D9A" w:rsidR="00B91D70" w:rsidRPr="007B2402" w:rsidRDefault="00ED1621" w:rsidP="00DB1F30">
      <w:pPr>
        <w:numPr>
          <w:ilvl w:val="0"/>
          <w:numId w:val="5"/>
        </w:numPr>
        <w:spacing w:after="0" w:line="240" w:lineRule="auto"/>
        <w:jc w:val="both"/>
        <w:rPr>
          <w:rFonts w:eastAsia="Calibri" w:cs="Times New Roman"/>
          <w:iCs/>
          <w:lang w:val="en-US"/>
        </w:rPr>
      </w:pPr>
      <w:r w:rsidRPr="007B2402">
        <w:rPr>
          <w:rFonts w:eastAsia="Calibri" w:cs="Times New Roman"/>
          <w:iCs/>
          <w:lang w:val="en-US"/>
        </w:rPr>
        <w:t>On November 6,</w:t>
      </w:r>
      <w:r w:rsidR="00D635CE" w:rsidRPr="007B2402">
        <w:rPr>
          <w:rFonts w:eastAsia="Calibri" w:cs="Times New Roman"/>
          <w:iCs/>
          <w:lang w:val="en-US"/>
        </w:rPr>
        <w:t xml:space="preserve"> 2017</w:t>
      </w:r>
      <w:r w:rsidRPr="007B2402">
        <w:rPr>
          <w:rFonts w:eastAsia="Calibri" w:cs="Times New Roman"/>
          <w:iCs/>
          <w:lang w:val="en-US"/>
        </w:rPr>
        <w:t>, a disbursements report was sent to the State pursuant to a</w:t>
      </w:r>
      <w:r w:rsidR="00AF4344" w:rsidRPr="007B2402">
        <w:rPr>
          <w:rFonts w:eastAsia="Calibri" w:cs="Times New Roman"/>
          <w:iCs/>
          <w:lang w:val="en-US"/>
        </w:rPr>
        <w:t>rticle</w:t>
      </w:r>
      <w:r w:rsidR="00B91D70" w:rsidRPr="007B2402">
        <w:rPr>
          <w:rFonts w:eastAsia="Calibri" w:cs="Times New Roman"/>
          <w:iCs/>
          <w:lang w:val="en-US"/>
        </w:rPr>
        <w:t xml:space="preserve"> 5</w:t>
      </w:r>
      <w:r w:rsidR="006E2CFF" w:rsidRPr="007B2402">
        <w:rPr>
          <w:rFonts w:eastAsia="Calibri" w:cs="Times New Roman"/>
          <w:iCs/>
          <w:lang w:val="en-US"/>
        </w:rPr>
        <w:t xml:space="preserve"> of the </w:t>
      </w:r>
      <w:r w:rsidR="00942B0D" w:rsidRPr="007B2402">
        <w:rPr>
          <w:rFonts w:eastAsia="Calibri" w:cs="Times New Roman"/>
          <w:iCs/>
          <w:lang w:val="en-US"/>
        </w:rPr>
        <w:t xml:space="preserve">Court’s </w:t>
      </w:r>
      <w:r w:rsidR="00AF4344" w:rsidRPr="007B2402">
        <w:rPr>
          <w:rFonts w:eastAsia="Calibri" w:cs="Times New Roman"/>
          <w:iCs/>
          <w:lang w:val="en-US"/>
        </w:rPr>
        <w:t xml:space="preserve">Rules </w:t>
      </w:r>
      <w:r w:rsidR="00942B0D" w:rsidRPr="007B2402">
        <w:rPr>
          <w:rFonts w:eastAsia="Calibri" w:cs="Times New Roman"/>
          <w:iCs/>
          <w:lang w:val="en-US"/>
        </w:rPr>
        <w:t>for</w:t>
      </w:r>
      <w:r w:rsidRPr="007B2402">
        <w:rPr>
          <w:rFonts w:eastAsia="Calibri" w:cs="Times New Roman"/>
          <w:iCs/>
          <w:lang w:val="en-US"/>
        </w:rPr>
        <w:t xml:space="preserve"> the </w:t>
      </w:r>
      <w:r w:rsidR="00942B0D" w:rsidRPr="007B2402">
        <w:rPr>
          <w:rFonts w:eastAsia="Calibri" w:cs="Times New Roman"/>
          <w:iCs/>
          <w:lang w:val="en-US"/>
        </w:rPr>
        <w:t>O</w:t>
      </w:r>
      <w:r w:rsidRPr="007B2402">
        <w:rPr>
          <w:rFonts w:eastAsia="Calibri" w:cs="Times New Roman"/>
          <w:iCs/>
          <w:lang w:val="en-US"/>
        </w:rPr>
        <w:t xml:space="preserve">peration </w:t>
      </w:r>
      <w:r w:rsidR="00942B0D" w:rsidRPr="007B2402">
        <w:rPr>
          <w:rFonts w:eastAsia="Calibri" w:cs="Times New Roman"/>
          <w:iCs/>
          <w:lang w:val="en-US"/>
        </w:rPr>
        <w:t>of the</w:t>
      </w:r>
      <w:r w:rsidRPr="007B2402">
        <w:rPr>
          <w:rFonts w:eastAsia="Calibri" w:cs="Times New Roman"/>
          <w:iCs/>
          <w:lang w:val="en-US"/>
        </w:rPr>
        <w:t xml:space="preserve"> Fund. The State was given the opportunity to present its comments on the disbursements, which amounted to </w:t>
      </w:r>
      <w:r w:rsidR="00B91D70" w:rsidRPr="007B2402">
        <w:rPr>
          <w:rFonts w:eastAsia="Calibri" w:cs="Times New Roman"/>
          <w:iCs/>
          <w:lang w:val="en-US"/>
        </w:rPr>
        <w:t xml:space="preserve">US$4,260.95 </w:t>
      </w:r>
      <w:r w:rsidRPr="007B2402">
        <w:rPr>
          <w:rFonts w:eastAsia="Calibri" w:cs="Times New Roman"/>
          <w:iCs/>
          <w:lang w:val="en-US"/>
        </w:rPr>
        <w:t xml:space="preserve">for the expenses incurred. The </w:t>
      </w:r>
      <w:r w:rsidR="00DF1102" w:rsidRPr="007B2402">
        <w:rPr>
          <w:rFonts w:eastAsia="Calibri" w:cs="Times New Roman"/>
          <w:iCs/>
          <w:lang w:val="en-US"/>
        </w:rPr>
        <w:t>State</w:t>
      </w:r>
      <w:r w:rsidRPr="007B2402">
        <w:rPr>
          <w:rFonts w:eastAsia="Calibri" w:cs="Times New Roman"/>
          <w:iCs/>
          <w:lang w:val="en-US"/>
        </w:rPr>
        <w:t xml:space="preserve"> presented its comments on November 30,</w:t>
      </w:r>
      <w:r w:rsidR="00B91D70" w:rsidRPr="007B2402">
        <w:rPr>
          <w:rFonts w:eastAsia="Calibri" w:cs="Times New Roman"/>
          <w:iCs/>
          <w:lang w:val="en-US"/>
        </w:rPr>
        <w:t xml:space="preserve"> 2017</w:t>
      </w:r>
      <w:r w:rsidR="00452E87" w:rsidRPr="007B2402">
        <w:rPr>
          <w:rFonts w:eastAsia="Calibri" w:cs="Times New Roman"/>
          <w:iCs/>
          <w:lang w:val="en-US"/>
        </w:rPr>
        <w:t>.</w:t>
      </w:r>
    </w:p>
    <w:p w14:paraId="54ACC165" w14:textId="77777777" w:rsidR="00B91D70" w:rsidRPr="007B2402" w:rsidRDefault="00B91D70" w:rsidP="00B91D70">
      <w:pPr>
        <w:spacing w:after="0" w:line="240" w:lineRule="auto"/>
        <w:ind w:left="720"/>
        <w:contextualSpacing/>
        <w:jc w:val="both"/>
        <w:rPr>
          <w:rFonts w:eastAsia="Calibri" w:cs="Times New Roman"/>
          <w:iCs/>
          <w:lang w:val="en-US"/>
        </w:rPr>
      </w:pPr>
    </w:p>
    <w:p w14:paraId="02841257" w14:textId="4B09A97E" w:rsidR="00B91D70" w:rsidRPr="007B2402" w:rsidRDefault="00AF4344" w:rsidP="00ED1621">
      <w:pPr>
        <w:numPr>
          <w:ilvl w:val="0"/>
          <w:numId w:val="5"/>
        </w:numPr>
        <w:spacing w:after="0" w:line="240" w:lineRule="auto"/>
        <w:jc w:val="both"/>
        <w:rPr>
          <w:rFonts w:eastAsia="Calibri" w:cs="Times New Roman"/>
          <w:iCs/>
          <w:lang w:val="en-US"/>
        </w:rPr>
      </w:pPr>
      <w:r w:rsidRPr="007B2402">
        <w:rPr>
          <w:rFonts w:eastAsia="Calibri" w:cs="Times New Roman"/>
          <w:iCs/>
          <w:lang w:val="en-US"/>
        </w:rPr>
        <w:t>The State</w:t>
      </w:r>
      <w:r w:rsidR="00B91D70" w:rsidRPr="007B2402">
        <w:rPr>
          <w:rFonts w:eastAsia="Calibri" w:cs="Times New Roman"/>
          <w:iCs/>
          <w:lang w:val="en-US"/>
        </w:rPr>
        <w:t xml:space="preserve"> </w:t>
      </w:r>
      <w:r w:rsidR="00ED1621" w:rsidRPr="007B2402">
        <w:rPr>
          <w:rFonts w:eastAsia="Calibri" w:cs="Times New Roman"/>
          <w:iCs/>
          <w:lang w:val="en-US"/>
        </w:rPr>
        <w:t xml:space="preserve">objected to the </w:t>
      </w:r>
      <w:r w:rsidR="00DF1102" w:rsidRPr="007B2402">
        <w:rPr>
          <w:rFonts w:eastAsia="Calibri" w:cs="Times New Roman"/>
          <w:iCs/>
          <w:lang w:val="en-US"/>
        </w:rPr>
        <w:t>item</w:t>
      </w:r>
      <w:r w:rsidR="00ED1621" w:rsidRPr="007B2402">
        <w:rPr>
          <w:rFonts w:eastAsia="Calibri" w:cs="Times New Roman"/>
          <w:iCs/>
          <w:lang w:val="en-US"/>
        </w:rPr>
        <w:t xml:space="preserve"> relating to the air transport to </w:t>
      </w:r>
      <w:r w:rsidR="00B91D70" w:rsidRPr="007B2402">
        <w:rPr>
          <w:rFonts w:eastAsia="Calibri" w:cs="Times New Roman"/>
          <w:iCs/>
          <w:lang w:val="en-US"/>
        </w:rPr>
        <w:t>San José</w:t>
      </w:r>
      <w:r w:rsidR="00ED1621" w:rsidRPr="007B2402">
        <w:rPr>
          <w:rFonts w:eastAsia="Calibri" w:cs="Times New Roman"/>
          <w:iCs/>
          <w:lang w:val="en-US"/>
        </w:rPr>
        <w:t>,</w:t>
      </w:r>
      <w:r w:rsidR="00B91D70" w:rsidRPr="007B2402">
        <w:rPr>
          <w:rFonts w:eastAsia="Calibri" w:cs="Times New Roman"/>
          <w:iCs/>
          <w:lang w:val="en-US"/>
        </w:rPr>
        <w:t xml:space="preserve"> Costa Rica</w:t>
      </w:r>
      <w:r w:rsidR="00ED1621" w:rsidRPr="007B2402">
        <w:rPr>
          <w:rFonts w:eastAsia="Calibri" w:cs="Times New Roman"/>
          <w:iCs/>
          <w:lang w:val="en-US"/>
        </w:rPr>
        <w:t>, of expert witness</w:t>
      </w:r>
      <w:r w:rsidR="00B91D70" w:rsidRPr="007B2402">
        <w:rPr>
          <w:rFonts w:eastAsia="Calibri" w:cs="Times New Roman"/>
          <w:iCs/>
          <w:lang w:val="en-US"/>
        </w:rPr>
        <w:t xml:space="preserve"> Sérgio Gardenghi Suiama. </w:t>
      </w:r>
      <w:r w:rsidRPr="007B2402">
        <w:rPr>
          <w:rFonts w:eastAsia="Calibri" w:cs="Times New Roman"/>
          <w:iCs/>
          <w:lang w:val="en-US"/>
        </w:rPr>
        <w:t>Brazil</w:t>
      </w:r>
      <w:r w:rsidR="00B91D70" w:rsidRPr="007B2402">
        <w:rPr>
          <w:rFonts w:eastAsia="Calibri" w:cs="Times New Roman"/>
          <w:iCs/>
          <w:lang w:val="en-US"/>
        </w:rPr>
        <w:t xml:space="preserve"> observ</w:t>
      </w:r>
      <w:r w:rsidR="00ED1621" w:rsidRPr="007B2402">
        <w:rPr>
          <w:rFonts w:eastAsia="Calibri" w:cs="Times New Roman"/>
          <w:iCs/>
          <w:lang w:val="en-US"/>
        </w:rPr>
        <w:t xml:space="preserve">ed that the flights financed for the expert’s participation in the hearing were: </w:t>
      </w:r>
      <w:r w:rsidR="00B91D70" w:rsidRPr="007B2402">
        <w:rPr>
          <w:rFonts w:eastAsia="Calibri" w:cs="Times New Roman"/>
          <w:iCs/>
          <w:lang w:val="en-US"/>
        </w:rPr>
        <w:t>Madrid/San José (</w:t>
      </w:r>
      <w:r w:rsidR="00ED1621" w:rsidRPr="007B2402">
        <w:rPr>
          <w:rFonts w:eastAsia="Calibri" w:cs="Times New Roman"/>
          <w:iCs/>
          <w:lang w:val="en-US"/>
        </w:rPr>
        <w:t>May 19,</w:t>
      </w:r>
      <w:r w:rsidR="00B91D70" w:rsidRPr="007B2402">
        <w:rPr>
          <w:rFonts w:eastAsia="Calibri" w:cs="Times New Roman"/>
          <w:iCs/>
          <w:lang w:val="en-US"/>
        </w:rPr>
        <w:t xml:space="preserve"> 2017)</w:t>
      </w:r>
      <w:r w:rsidR="005B1590" w:rsidRPr="007B2402">
        <w:rPr>
          <w:rFonts w:eastAsia="Calibri" w:cs="Times New Roman"/>
          <w:iCs/>
          <w:lang w:val="en-US"/>
        </w:rPr>
        <w:t xml:space="preserve"> and </w:t>
      </w:r>
      <w:r w:rsidR="00B91D70" w:rsidRPr="007B2402">
        <w:rPr>
          <w:rFonts w:eastAsia="Calibri" w:cs="Times New Roman"/>
          <w:iCs/>
          <w:lang w:val="en-US"/>
        </w:rPr>
        <w:t>San José/Bogotá/Río de Janeiro (</w:t>
      </w:r>
      <w:r w:rsidR="00ED1621" w:rsidRPr="007B2402">
        <w:rPr>
          <w:rFonts w:eastAsia="Calibri" w:cs="Times New Roman"/>
          <w:iCs/>
          <w:lang w:val="en-US"/>
        </w:rPr>
        <w:t>May 25,</w:t>
      </w:r>
      <w:r w:rsidR="00B91D70" w:rsidRPr="007B2402">
        <w:rPr>
          <w:rFonts w:eastAsia="Calibri" w:cs="Times New Roman"/>
          <w:iCs/>
          <w:lang w:val="en-US"/>
        </w:rPr>
        <w:t xml:space="preserve"> 2017)</w:t>
      </w:r>
      <w:r w:rsidR="005B1590" w:rsidRPr="007B2402">
        <w:rPr>
          <w:rFonts w:eastAsia="Calibri" w:cs="Times New Roman"/>
          <w:iCs/>
          <w:lang w:val="en-US"/>
        </w:rPr>
        <w:t xml:space="preserve"> and</w:t>
      </w:r>
      <w:r w:rsidR="00ED1621" w:rsidRPr="007B2402">
        <w:rPr>
          <w:rFonts w:eastAsia="Calibri" w:cs="Times New Roman"/>
          <w:iCs/>
          <w:lang w:val="en-US"/>
        </w:rPr>
        <w:t xml:space="preserve"> requested information on the reasons why the said flights had been chosen in order to resolve any doubts about the compatibility of the expenditure with the principles of a</w:t>
      </w:r>
      <w:r w:rsidR="006E2CFF" w:rsidRPr="007B2402">
        <w:rPr>
          <w:rFonts w:eastAsia="Calibri" w:cs="Times New Roman"/>
          <w:iCs/>
          <w:lang w:val="en-US"/>
        </w:rPr>
        <w:t>rticle</w:t>
      </w:r>
      <w:r w:rsidR="00B91D70" w:rsidRPr="007B2402">
        <w:rPr>
          <w:rFonts w:eastAsia="Calibri" w:cs="Times New Roman"/>
          <w:iCs/>
          <w:lang w:val="en-US"/>
        </w:rPr>
        <w:t xml:space="preserve"> </w:t>
      </w:r>
      <w:r w:rsidR="00D635CE" w:rsidRPr="007B2402">
        <w:rPr>
          <w:rFonts w:eastAsia="Calibri" w:cs="Times New Roman"/>
          <w:iCs/>
          <w:lang w:val="en-US"/>
        </w:rPr>
        <w:t xml:space="preserve">37 </w:t>
      </w:r>
      <w:r w:rsidR="00C50E81" w:rsidRPr="007B2402">
        <w:rPr>
          <w:rFonts w:eastAsia="Calibri" w:cs="Times New Roman"/>
          <w:iCs/>
          <w:lang w:val="en-US"/>
        </w:rPr>
        <w:t xml:space="preserve">of the </w:t>
      </w:r>
      <w:r w:rsidR="00ED1621" w:rsidRPr="007B2402">
        <w:rPr>
          <w:rFonts w:eastAsia="Calibri" w:cs="Times New Roman"/>
          <w:iCs/>
          <w:lang w:val="en-US"/>
        </w:rPr>
        <w:t xml:space="preserve">Brazilian </w:t>
      </w:r>
      <w:r w:rsidR="00C50E81" w:rsidRPr="007B2402">
        <w:rPr>
          <w:rFonts w:eastAsia="Calibri" w:cs="Times New Roman"/>
          <w:iCs/>
          <w:lang w:val="en-US"/>
        </w:rPr>
        <w:t>Constitution</w:t>
      </w:r>
      <w:r w:rsidR="00D635CE" w:rsidRPr="007B2402">
        <w:rPr>
          <w:rFonts w:eastAsia="Calibri" w:cs="Times New Roman"/>
          <w:iCs/>
          <w:lang w:val="en-US"/>
        </w:rPr>
        <w:t>.</w:t>
      </w:r>
    </w:p>
    <w:p w14:paraId="1FC0547F" w14:textId="77777777" w:rsidR="00B91D70" w:rsidRPr="007B2402" w:rsidRDefault="00B91D70" w:rsidP="00B91D70">
      <w:pPr>
        <w:spacing w:after="0" w:line="240" w:lineRule="auto"/>
        <w:ind w:left="720"/>
        <w:contextualSpacing/>
        <w:jc w:val="both"/>
        <w:rPr>
          <w:rFonts w:eastAsia="Calibri" w:cs="Times New Roman"/>
          <w:iCs/>
          <w:lang w:val="en-US"/>
        </w:rPr>
      </w:pPr>
    </w:p>
    <w:p w14:paraId="30764B28" w14:textId="77EBBF23" w:rsidR="00B91D70" w:rsidRPr="007B2402" w:rsidRDefault="00ED1621" w:rsidP="00ED1621">
      <w:pPr>
        <w:numPr>
          <w:ilvl w:val="0"/>
          <w:numId w:val="5"/>
        </w:numPr>
        <w:spacing w:after="0" w:line="240" w:lineRule="auto"/>
        <w:jc w:val="both"/>
        <w:rPr>
          <w:rFonts w:eastAsia="Calibri" w:cs="Times New Roman"/>
          <w:iCs/>
          <w:lang w:val="en-US"/>
        </w:rPr>
      </w:pPr>
      <w:r w:rsidRPr="007B2402">
        <w:rPr>
          <w:rFonts w:eastAsia="Calibri" w:cs="Times New Roman"/>
          <w:iCs/>
          <w:lang w:val="en-US"/>
        </w:rPr>
        <w:t>In this regard</w:t>
      </w:r>
      <w:r w:rsidR="00B91D70" w:rsidRPr="007B2402">
        <w:rPr>
          <w:rFonts w:eastAsia="Calibri" w:cs="Times New Roman"/>
          <w:iCs/>
          <w:lang w:val="en-US"/>
        </w:rPr>
        <w:t xml:space="preserve">, </w:t>
      </w:r>
      <w:r w:rsidR="00AF4344" w:rsidRPr="007B2402">
        <w:rPr>
          <w:rFonts w:eastAsia="Calibri" w:cs="Times New Roman"/>
          <w:iCs/>
          <w:lang w:val="en-US"/>
        </w:rPr>
        <w:t>the Court</w:t>
      </w:r>
      <w:r w:rsidR="00B91D70" w:rsidRPr="007B2402">
        <w:rPr>
          <w:rFonts w:eastAsia="Calibri" w:cs="Times New Roman"/>
          <w:iCs/>
          <w:lang w:val="en-US"/>
        </w:rPr>
        <w:t xml:space="preserve"> </w:t>
      </w:r>
      <w:r w:rsidRPr="007B2402">
        <w:rPr>
          <w:rFonts w:eastAsia="Calibri" w:cs="Times New Roman"/>
          <w:iCs/>
          <w:lang w:val="en-US"/>
        </w:rPr>
        <w:t>notes that, on April</w:t>
      </w:r>
      <w:r w:rsidR="00B91D70" w:rsidRPr="007B2402">
        <w:rPr>
          <w:rFonts w:eastAsia="Calibri" w:cs="Times New Roman"/>
          <w:iCs/>
          <w:lang w:val="en-US"/>
        </w:rPr>
        <w:t xml:space="preserve"> 28</w:t>
      </w:r>
      <w:r w:rsidRPr="007B2402">
        <w:rPr>
          <w:rFonts w:eastAsia="Calibri" w:cs="Times New Roman"/>
          <w:iCs/>
          <w:lang w:val="en-US"/>
        </w:rPr>
        <w:t xml:space="preserve">, </w:t>
      </w:r>
      <w:r w:rsidR="00B91D70" w:rsidRPr="007B2402">
        <w:rPr>
          <w:rFonts w:eastAsia="Calibri" w:cs="Times New Roman"/>
          <w:iCs/>
          <w:lang w:val="en-US"/>
        </w:rPr>
        <w:t>2017</w:t>
      </w:r>
      <w:r w:rsidRPr="007B2402">
        <w:rPr>
          <w:rFonts w:eastAsia="Calibri" w:cs="Times New Roman"/>
          <w:iCs/>
          <w:lang w:val="en-US"/>
        </w:rPr>
        <w:t>,</w:t>
      </w:r>
      <w:r w:rsidR="00B91D70" w:rsidRPr="007B2402">
        <w:rPr>
          <w:rFonts w:eastAsia="Calibri" w:cs="Times New Roman"/>
          <w:iCs/>
          <w:lang w:val="en-US"/>
        </w:rPr>
        <w:t xml:space="preserve"> </w:t>
      </w:r>
      <w:r w:rsidR="005B1590" w:rsidRPr="007B2402">
        <w:rPr>
          <w:rFonts w:eastAsia="Calibri" w:cs="Times New Roman"/>
          <w:iCs/>
          <w:lang w:val="en-US"/>
        </w:rPr>
        <w:t xml:space="preserve">the </w:t>
      </w:r>
      <w:r w:rsidRPr="007B2402">
        <w:rPr>
          <w:rFonts w:eastAsia="Calibri" w:cs="Times New Roman"/>
          <w:iCs/>
          <w:lang w:val="en-US"/>
        </w:rPr>
        <w:t xml:space="preserve">victims’ </w:t>
      </w:r>
      <w:r w:rsidR="005B1590" w:rsidRPr="007B2402">
        <w:rPr>
          <w:rFonts w:eastAsia="Calibri" w:cs="Times New Roman"/>
          <w:iCs/>
          <w:lang w:val="en-US"/>
        </w:rPr>
        <w:t>representatives</w:t>
      </w:r>
      <w:r w:rsidR="00B91D70" w:rsidRPr="007B2402">
        <w:rPr>
          <w:rFonts w:eastAsia="Calibri" w:cs="Times New Roman"/>
          <w:iCs/>
          <w:lang w:val="en-US"/>
        </w:rPr>
        <w:t xml:space="preserve"> </w:t>
      </w:r>
      <w:r w:rsidRPr="007B2402">
        <w:rPr>
          <w:rFonts w:eastAsia="Calibri" w:cs="Times New Roman"/>
          <w:iCs/>
          <w:lang w:val="en-US"/>
        </w:rPr>
        <w:t xml:space="preserve">advised that, owing to Sérgio Suiama’s previous commitments, this expert would have to travel from Madrid, Spain, on May 19, 2017, to take part in the public hearing on May 24, 2017. The representatives had therefore </w:t>
      </w:r>
      <w:r w:rsidR="00CF0CC8" w:rsidRPr="007B2402">
        <w:rPr>
          <w:rFonts w:eastAsia="Calibri" w:cs="Times New Roman"/>
          <w:iCs/>
          <w:lang w:val="en-US"/>
        </w:rPr>
        <w:t xml:space="preserve">asked the Court to purchase the air ticket for that date, taking into consideration that the Victims’ </w:t>
      </w:r>
      <w:r w:rsidR="006E2CFF" w:rsidRPr="007B2402">
        <w:rPr>
          <w:rFonts w:eastAsia="Calibri" w:cs="Times New Roman"/>
          <w:iCs/>
          <w:lang w:val="en-US"/>
        </w:rPr>
        <w:t>Legal Assistance Fund</w:t>
      </w:r>
      <w:r w:rsidR="00B91D70" w:rsidRPr="007B2402">
        <w:rPr>
          <w:rFonts w:eastAsia="Calibri" w:cs="Times New Roman"/>
          <w:iCs/>
          <w:lang w:val="en-US"/>
        </w:rPr>
        <w:t xml:space="preserve"> </w:t>
      </w:r>
      <w:r w:rsidR="00CF0CC8" w:rsidRPr="007B2402">
        <w:rPr>
          <w:rFonts w:eastAsia="Calibri" w:cs="Times New Roman"/>
          <w:iCs/>
          <w:lang w:val="en-US"/>
        </w:rPr>
        <w:t xml:space="preserve">would only pay </w:t>
      </w:r>
      <w:r w:rsidR="00B91D70" w:rsidRPr="007B2402">
        <w:rPr>
          <w:rFonts w:eastAsia="Calibri" w:cs="Times New Roman"/>
          <w:iCs/>
          <w:lang w:val="en-US"/>
        </w:rPr>
        <w:t xml:space="preserve">a </w:t>
      </w:r>
      <w:r w:rsidR="00CF0CC8" w:rsidRPr="007B2402">
        <w:rPr>
          <w:rFonts w:eastAsia="Calibri" w:cs="Times New Roman"/>
          <w:iCs/>
          <w:lang w:val="en-US"/>
        </w:rPr>
        <w:t xml:space="preserve">per diem from May 22 to 25, as previously stipulated. In this regard, the Court </w:t>
      </w:r>
      <w:r w:rsidR="00942B0D" w:rsidRPr="007B2402">
        <w:rPr>
          <w:rFonts w:eastAsia="Calibri" w:cs="Times New Roman"/>
          <w:iCs/>
          <w:lang w:val="en-US"/>
        </w:rPr>
        <w:t xml:space="preserve">had </w:t>
      </w:r>
      <w:r w:rsidR="00CF0CC8" w:rsidRPr="007B2402">
        <w:rPr>
          <w:rFonts w:eastAsia="Calibri" w:cs="Times New Roman"/>
          <w:iCs/>
          <w:lang w:val="en-US"/>
        </w:rPr>
        <w:t xml:space="preserve">corroborated that the change in the flight would not represent a significant difference for the </w:t>
      </w:r>
      <w:r w:rsidR="00554584" w:rsidRPr="007B2402">
        <w:rPr>
          <w:rFonts w:eastAsia="Calibri" w:cs="Times New Roman"/>
          <w:iCs/>
          <w:lang w:val="en-US"/>
        </w:rPr>
        <w:t>Victim’s Legal Assistance Fund</w:t>
      </w:r>
      <w:r w:rsidR="005B1590" w:rsidRPr="007B2402">
        <w:rPr>
          <w:rFonts w:eastAsia="Calibri" w:cs="Times New Roman"/>
          <w:iCs/>
          <w:lang w:val="en-US"/>
        </w:rPr>
        <w:t xml:space="preserve"> and </w:t>
      </w:r>
      <w:r w:rsidR="00B91D70" w:rsidRPr="007B2402">
        <w:rPr>
          <w:rFonts w:eastAsia="Calibri" w:cs="Times New Roman"/>
          <w:iCs/>
          <w:lang w:val="en-US"/>
        </w:rPr>
        <w:t>aut</w:t>
      </w:r>
      <w:r w:rsidR="00CF0CC8" w:rsidRPr="007B2402">
        <w:rPr>
          <w:rFonts w:eastAsia="Calibri" w:cs="Times New Roman"/>
          <w:iCs/>
          <w:lang w:val="en-US"/>
        </w:rPr>
        <w:t xml:space="preserve">horized this disbursement. </w:t>
      </w:r>
      <w:r w:rsidR="00AF4344" w:rsidRPr="007B2402">
        <w:rPr>
          <w:rFonts w:eastAsia="Calibri" w:cs="Times New Roman"/>
          <w:iCs/>
          <w:lang w:val="en-US"/>
        </w:rPr>
        <w:t>The Court</w:t>
      </w:r>
      <w:r w:rsidR="00B91D70" w:rsidRPr="007B2402">
        <w:rPr>
          <w:rFonts w:eastAsia="Calibri" w:cs="Times New Roman"/>
          <w:iCs/>
          <w:lang w:val="en-US"/>
        </w:rPr>
        <w:t xml:space="preserve"> consider</w:t>
      </w:r>
      <w:r w:rsidR="00CF0CC8" w:rsidRPr="007B2402">
        <w:rPr>
          <w:rFonts w:eastAsia="Calibri" w:cs="Times New Roman"/>
          <w:iCs/>
          <w:lang w:val="en-US"/>
        </w:rPr>
        <w:t xml:space="preserve">s that the justification </w:t>
      </w:r>
      <w:r w:rsidR="00CF0CC8" w:rsidRPr="007B2402">
        <w:rPr>
          <w:rFonts w:eastAsia="Calibri" w:cs="Times New Roman"/>
          <w:iCs/>
          <w:lang w:val="en-US"/>
        </w:rPr>
        <w:lastRenderedPageBreak/>
        <w:t>provided by</w:t>
      </w:r>
      <w:r w:rsidR="00B91D70" w:rsidRPr="007B2402">
        <w:rPr>
          <w:rFonts w:eastAsia="Calibri" w:cs="Times New Roman"/>
          <w:iCs/>
          <w:lang w:val="en-US"/>
        </w:rPr>
        <w:t xml:space="preserve"> </w:t>
      </w:r>
      <w:r w:rsidR="005B1590" w:rsidRPr="007B2402">
        <w:rPr>
          <w:rFonts w:eastAsia="Calibri" w:cs="Times New Roman"/>
          <w:iCs/>
          <w:lang w:val="en-US"/>
        </w:rPr>
        <w:t xml:space="preserve">the representatives and </w:t>
      </w:r>
      <w:r w:rsidR="00CF0CC8" w:rsidRPr="007B2402">
        <w:rPr>
          <w:rFonts w:eastAsia="Calibri" w:cs="Times New Roman"/>
          <w:iCs/>
          <w:lang w:val="en-US"/>
        </w:rPr>
        <w:t>expert witness</w:t>
      </w:r>
      <w:r w:rsidR="00B91D70" w:rsidRPr="007B2402">
        <w:rPr>
          <w:rFonts w:eastAsia="Calibri" w:cs="Times New Roman"/>
          <w:iCs/>
          <w:lang w:val="en-US"/>
        </w:rPr>
        <w:t xml:space="preserve"> Suiama </w:t>
      </w:r>
      <w:r w:rsidR="00CF0CC8" w:rsidRPr="007B2402">
        <w:rPr>
          <w:rFonts w:eastAsia="Calibri" w:cs="Times New Roman"/>
          <w:iCs/>
          <w:lang w:val="en-US"/>
        </w:rPr>
        <w:t>w</w:t>
      </w:r>
      <w:r w:rsidR="00942B0D" w:rsidRPr="007B2402">
        <w:rPr>
          <w:rFonts w:eastAsia="Calibri" w:cs="Times New Roman"/>
          <w:iCs/>
          <w:lang w:val="en-US"/>
        </w:rPr>
        <w:t>as</w:t>
      </w:r>
      <w:r w:rsidR="00CF0CC8" w:rsidRPr="007B2402">
        <w:rPr>
          <w:rFonts w:eastAsia="Calibri" w:cs="Times New Roman"/>
          <w:iCs/>
          <w:lang w:val="en-US"/>
        </w:rPr>
        <w:t xml:space="preserve"> reasonable and the foregoing represented a reasonable expense that was admissible for the Fund.</w:t>
      </w:r>
    </w:p>
    <w:p w14:paraId="452DFECB" w14:textId="77777777" w:rsidR="00B91D70" w:rsidRPr="007B2402" w:rsidRDefault="00B91D70" w:rsidP="00B91D70">
      <w:pPr>
        <w:spacing w:after="0" w:line="240" w:lineRule="auto"/>
        <w:ind w:left="720"/>
        <w:contextualSpacing/>
        <w:jc w:val="both"/>
        <w:rPr>
          <w:rFonts w:eastAsia="Calibri" w:cs="Times New Roman"/>
          <w:iCs/>
          <w:lang w:val="en-US"/>
        </w:rPr>
      </w:pPr>
    </w:p>
    <w:p w14:paraId="1094939B" w14:textId="32B73CC8" w:rsidR="00B91D70" w:rsidRPr="007B2402" w:rsidRDefault="00CF0CC8" w:rsidP="00CF0CC8">
      <w:pPr>
        <w:numPr>
          <w:ilvl w:val="0"/>
          <w:numId w:val="5"/>
        </w:numPr>
        <w:spacing w:after="0" w:line="240" w:lineRule="auto"/>
        <w:jc w:val="both"/>
        <w:rPr>
          <w:rFonts w:eastAsia="Calibri" w:cs="Times New Roman"/>
          <w:iCs/>
          <w:lang w:val="en-US"/>
        </w:rPr>
      </w:pPr>
      <w:r w:rsidRPr="007B2402">
        <w:rPr>
          <w:rFonts w:eastAsia="Calibri" w:cs="Times New Roman"/>
          <w:iCs/>
          <w:lang w:val="en-US"/>
        </w:rPr>
        <w:t xml:space="preserve">Therefore, owing to the violations declared in this judgment and the </w:t>
      </w:r>
      <w:r w:rsidR="00942B0D" w:rsidRPr="007B2402">
        <w:rPr>
          <w:rFonts w:eastAsia="Calibri" w:cs="Times New Roman"/>
          <w:iCs/>
          <w:lang w:val="en-US"/>
        </w:rPr>
        <w:t xml:space="preserve">fact that the </w:t>
      </w:r>
      <w:r w:rsidRPr="007B2402">
        <w:rPr>
          <w:rFonts w:eastAsia="Calibri" w:cs="Times New Roman"/>
          <w:iCs/>
          <w:lang w:val="en-US"/>
        </w:rPr>
        <w:t xml:space="preserve">requirements to access the Victim’s Legal Assistance Fund </w:t>
      </w:r>
      <w:r w:rsidR="00942B0D" w:rsidRPr="007B2402">
        <w:rPr>
          <w:rFonts w:eastAsia="Calibri" w:cs="Times New Roman"/>
          <w:iCs/>
          <w:lang w:val="en-US"/>
        </w:rPr>
        <w:t>were</w:t>
      </w:r>
      <w:r w:rsidRPr="007B2402">
        <w:rPr>
          <w:rFonts w:eastAsia="Calibri" w:cs="Times New Roman"/>
          <w:iCs/>
          <w:lang w:val="en-US"/>
        </w:rPr>
        <w:t xml:space="preserve"> met, the Court orders the State to reimburse the said Fund the sum of </w:t>
      </w:r>
      <w:r w:rsidR="00B91D70" w:rsidRPr="007B2402">
        <w:rPr>
          <w:rFonts w:eastAsia="Calibri" w:cs="Times New Roman"/>
          <w:iCs/>
          <w:lang w:val="en-US"/>
        </w:rPr>
        <w:t>US$4,260.95 (</w:t>
      </w:r>
      <w:r w:rsidRPr="007B2402">
        <w:rPr>
          <w:rFonts w:eastAsia="Calibri" w:cs="Times New Roman"/>
          <w:iCs/>
          <w:lang w:val="en-US"/>
        </w:rPr>
        <w:t>four thousand, two hundred and sixty United States dollars and ninety-five cents)</w:t>
      </w:r>
      <w:r w:rsidR="00B91D70" w:rsidRPr="007B2402">
        <w:rPr>
          <w:rFonts w:eastAsia="Calibri" w:cs="Times New Roman"/>
          <w:iCs/>
          <w:lang w:val="en-US"/>
        </w:rPr>
        <w:t xml:space="preserve"> </w:t>
      </w:r>
      <w:r w:rsidRPr="007B2402">
        <w:rPr>
          <w:rFonts w:eastAsia="Calibri" w:cs="Times New Roman"/>
          <w:iCs/>
          <w:lang w:val="en-US"/>
        </w:rPr>
        <w:t>for the disbursements made to ensure the appearance of one victim, one witness and one expert witness at the public hearing in this case. This amount must be reimbursed within six months of notification of this judgment.</w:t>
      </w:r>
    </w:p>
    <w:p w14:paraId="2EEF5D54" w14:textId="77777777" w:rsidR="00B91D70" w:rsidRPr="007B2402" w:rsidRDefault="00B91D70" w:rsidP="00D57D35">
      <w:pPr>
        <w:pStyle w:val="Textocomentario"/>
        <w:rPr>
          <w:rFonts w:eastAsia="Calibri" w:cs="Times New Roman"/>
          <w:iCs/>
          <w:noProof w:val="0"/>
          <w:szCs w:val="22"/>
          <w:lang w:val="en-US"/>
        </w:rPr>
      </w:pPr>
    </w:p>
    <w:p w14:paraId="2FDC25F3" w14:textId="40B574C3" w:rsidR="00B91D70" w:rsidRPr="007B2402" w:rsidRDefault="0063740A" w:rsidP="006531BE">
      <w:pPr>
        <w:pStyle w:val="Ttulo2"/>
        <w:numPr>
          <w:ilvl w:val="0"/>
          <w:numId w:val="27"/>
        </w:numPr>
        <w:ind w:left="0" w:firstLine="0"/>
        <w:rPr>
          <w:b/>
          <w:iCs/>
          <w:lang w:val="en-US"/>
        </w:rPr>
      </w:pPr>
      <w:r w:rsidRPr="007B2402">
        <w:rPr>
          <w:b/>
          <w:lang w:val="en-US"/>
        </w:rPr>
        <w:t>Method of complying with the payments ordered</w:t>
      </w:r>
    </w:p>
    <w:p w14:paraId="2BA8AB3A" w14:textId="77777777" w:rsidR="00B91D70" w:rsidRPr="007B2402" w:rsidRDefault="00B91D70" w:rsidP="00B91D70">
      <w:pPr>
        <w:spacing w:after="0" w:line="240" w:lineRule="auto"/>
        <w:jc w:val="both"/>
        <w:rPr>
          <w:rFonts w:eastAsia="Calibri" w:cs="Times New Roman"/>
          <w:iCs/>
          <w:lang w:val="en-US"/>
        </w:rPr>
      </w:pPr>
    </w:p>
    <w:p w14:paraId="00BDA2A5" w14:textId="4A8497CE" w:rsidR="00B91D70" w:rsidRPr="007B2402" w:rsidRDefault="00AF4344" w:rsidP="00BC47F9">
      <w:pPr>
        <w:pStyle w:val="Prrafodelista"/>
        <w:numPr>
          <w:ilvl w:val="0"/>
          <w:numId w:val="5"/>
        </w:numPr>
        <w:autoSpaceDE w:val="0"/>
        <w:autoSpaceDN w:val="0"/>
        <w:adjustRightInd w:val="0"/>
        <w:rPr>
          <w:rFonts w:eastAsia="Calibri" w:cs="Times New Roman"/>
          <w:iCs/>
          <w:noProof w:val="0"/>
          <w:szCs w:val="22"/>
          <w:lang w:val="en-US"/>
        </w:rPr>
      </w:pPr>
      <w:r w:rsidRPr="007B2402">
        <w:rPr>
          <w:rFonts w:eastAsia="Calibri" w:cs="Times New Roman"/>
          <w:iCs/>
          <w:noProof w:val="0"/>
          <w:szCs w:val="22"/>
          <w:lang w:val="en-US"/>
        </w:rPr>
        <w:t>The State</w:t>
      </w:r>
      <w:r w:rsidR="00B91D70" w:rsidRPr="007B2402">
        <w:rPr>
          <w:rFonts w:eastAsia="Calibri" w:cs="Times New Roman"/>
          <w:iCs/>
          <w:noProof w:val="0"/>
          <w:szCs w:val="22"/>
          <w:lang w:val="en-US"/>
        </w:rPr>
        <w:t xml:space="preserve"> </w:t>
      </w:r>
      <w:r w:rsidR="00BC47F9" w:rsidRPr="007B2402">
        <w:rPr>
          <w:rFonts w:cs="Arial"/>
          <w:iCs/>
          <w:szCs w:val="20"/>
          <w:lang w:val="en-US"/>
        </w:rPr>
        <w:t xml:space="preserve">shall make the payment of the compensation for indirect damage, non-pecuniary damage and to reimburse the costs and expenses established in this </w:t>
      </w:r>
      <w:r w:rsidR="00A56020" w:rsidRPr="007B2402">
        <w:rPr>
          <w:rFonts w:cs="Arial"/>
          <w:iCs/>
          <w:szCs w:val="20"/>
          <w:lang w:val="en-US"/>
        </w:rPr>
        <w:t>judgment</w:t>
      </w:r>
      <w:r w:rsidR="00BC47F9" w:rsidRPr="007B2402">
        <w:rPr>
          <w:rFonts w:cs="Arial"/>
          <w:iCs/>
          <w:szCs w:val="20"/>
          <w:lang w:val="en-US"/>
        </w:rPr>
        <w:t xml:space="preserve"> directly to the persons and organizations i</w:t>
      </w:r>
      <w:r w:rsidR="00A56020" w:rsidRPr="007B2402">
        <w:rPr>
          <w:rFonts w:cs="Arial"/>
          <w:iCs/>
          <w:szCs w:val="20"/>
          <w:lang w:val="en-US"/>
        </w:rPr>
        <w:t>dentified</w:t>
      </w:r>
      <w:r w:rsidR="00BC47F9" w:rsidRPr="007B2402">
        <w:rPr>
          <w:rFonts w:cs="Arial"/>
          <w:iCs/>
          <w:szCs w:val="20"/>
          <w:lang w:val="en-US"/>
        </w:rPr>
        <w:t xml:space="preserve"> herein, within the time frames indicated in </w:t>
      </w:r>
      <w:r w:rsidR="00221E16" w:rsidRPr="007B2402">
        <w:rPr>
          <w:rFonts w:eastAsia="Calibri" w:cs="Times New Roman"/>
          <w:iCs/>
          <w:noProof w:val="0"/>
          <w:szCs w:val="22"/>
          <w:lang w:val="en-US"/>
        </w:rPr>
        <w:t>paragraphs</w:t>
      </w:r>
      <w:r w:rsidR="000917C2" w:rsidRPr="007B2402">
        <w:rPr>
          <w:rFonts w:eastAsia="Calibri" w:cs="Times New Roman"/>
          <w:iCs/>
          <w:noProof w:val="0"/>
          <w:szCs w:val="22"/>
          <w:lang w:val="en-US"/>
        </w:rPr>
        <w:t xml:space="preserve"> </w:t>
      </w:r>
      <w:r w:rsidR="00452E87" w:rsidRPr="007B2402">
        <w:rPr>
          <w:rFonts w:eastAsia="Calibri" w:cs="Times New Roman"/>
          <w:iCs/>
          <w:noProof w:val="0"/>
          <w:szCs w:val="22"/>
          <w:lang w:val="en-US"/>
        </w:rPr>
        <w:t xml:space="preserve">392, </w:t>
      </w:r>
      <w:r w:rsidR="00D635CE" w:rsidRPr="007B2402">
        <w:rPr>
          <w:rFonts w:eastAsia="Calibri" w:cs="Times New Roman"/>
          <w:iCs/>
          <w:noProof w:val="0"/>
          <w:szCs w:val="22"/>
          <w:lang w:val="en-US"/>
        </w:rPr>
        <w:t>397</w:t>
      </w:r>
      <w:r w:rsidR="000917C2" w:rsidRPr="007B2402">
        <w:rPr>
          <w:rFonts w:eastAsia="Calibri" w:cs="Times New Roman"/>
          <w:iCs/>
          <w:noProof w:val="0"/>
          <w:szCs w:val="22"/>
          <w:lang w:val="en-US"/>
        </w:rPr>
        <w:t xml:space="preserve">, </w:t>
      </w:r>
      <w:r w:rsidR="00D635CE" w:rsidRPr="007B2402">
        <w:rPr>
          <w:rFonts w:eastAsia="Calibri" w:cs="Times New Roman"/>
          <w:iCs/>
          <w:noProof w:val="0"/>
          <w:szCs w:val="22"/>
          <w:lang w:val="en-US"/>
        </w:rPr>
        <w:t>40</w:t>
      </w:r>
      <w:r w:rsidR="00452E87" w:rsidRPr="007B2402">
        <w:rPr>
          <w:rFonts w:eastAsia="Calibri" w:cs="Times New Roman"/>
          <w:iCs/>
          <w:noProof w:val="0"/>
          <w:szCs w:val="22"/>
          <w:lang w:val="en-US"/>
        </w:rPr>
        <w:t>3</w:t>
      </w:r>
      <w:r w:rsidR="005B1590" w:rsidRPr="007B2402">
        <w:rPr>
          <w:rFonts w:eastAsia="Calibri" w:cs="Times New Roman"/>
          <w:iCs/>
          <w:noProof w:val="0"/>
          <w:szCs w:val="22"/>
          <w:lang w:val="en-US"/>
        </w:rPr>
        <w:t xml:space="preserve"> and </w:t>
      </w:r>
      <w:r w:rsidR="00D635CE" w:rsidRPr="007B2402">
        <w:rPr>
          <w:rFonts w:eastAsia="Calibri" w:cs="Times New Roman"/>
          <w:iCs/>
          <w:noProof w:val="0"/>
          <w:szCs w:val="22"/>
          <w:lang w:val="en-US"/>
        </w:rPr>
        <w:t>409</w:t>
      </w:r>
      <w:r w:rsidR="000917C2" w:rsidRPr="007B2402">
        <w:rPr>
          <w:rFonts w:eastAsia="Calibri" w:cs="Times New Roman"/>
          <w:iCs/>
          <w:noProof w:val="0"/>
          <w:szCs w:val="22"/>
          <w:lang w:val="en-US"/>
        </w:rPr>
        <w:t xml:space="preserve">, </w:t>
      </w:r>
      <w:r w:rsidR="00BC47F9" w:rsidRPr="007B2402">
        <w:rPr>
          <w:rFonts w:eastAsia="Calibri" w:cs="Times New Roman"/>
          <w:iCs/>
          <w:noProof w:val="0"/>
          <w:szCs w:val="22"/>
          <w:lang w:val="en-US"/>
        </w:rPr>
        <w:t>calculated from the date of notification of this judgment</w:t>
      </w:r>
      <w:r w:rsidR="00B91D70" w:rsidRPr="007B2402">
        <w:rPr>
          <w:rFonts w:eastAsia="Calibri" w:cs="Times New Roman"/>
          <w:iCs/>
          <w:noProof w:val="0"/>
          <w:szCs w:val="22"/>
          <w:lang w:val="en-US"/>
        </w:rPr>
        <w:t xml:space="preserve">, </w:t>
      </w:r>
      <w:r w:rsidR="00221E16" w:rsidRPr="007B2402">
        <w:rPr>
          <w:rFonts w:eastAsia="Calibri" w:cs="Times New Roman"/>
          <w:iCs/>
          <w:noProof w:val="0"/>
          <w:szCs w:val="22"/>
          <w:lang w:val="en-US"/>
        </w:rPr>
        <w:t xml:space="preserve">in </w:t>
      </w:r>
      <w:r w:rsidR="00A56020" w:rsidRPr="007B2402">
        <w:rPr>
          <w:rFonts w:eastAsia="Calibri" w:cs="Times New Roman"/>
          <w:iCs/>
          <w:noProof w:val="0"/>
          <w:szCs w:val="22"/>
          <w:lang w:val="en-US"/>
        </w:rPr>
        <w:t>accordance with</w:t>
      </w:r>
      <w:r w:rsidR="00B91D70" w:rsidRPr="007B2402">
        <w:rPr>
          <w:rFonts w:eastAsia="Calibri" w:cs="Times New Roman"/>
          <w:iCs/>
          <w:noProof w:val="0"/>
          <w:szCs w:val="22"/>
          <w:lang w:val="en-US"/>
        </w:rPr>
        <w:t xml:space="preserve"> </w:t>
      </w:r>
      <w:r w:rsidR="00BC47F9" w:rsidRPr="007B2402">
        <w:rPr>
          <w:rFonts w:eastAsia="Calibri" w:cs="Times New Roman"/>
          <w:iCs/>
          <w:noProof w:val="0"/>
          <w:szCs w:val="22"/>
          <w:lang w:val="en-US"/>
        </w:rPr>
        <w:t>the following</w:t>
      </w:r>
      <w:r w:rsidR="00B91D70" w:rsidRPr="007B2402">
        <w:rPr>
          <w:rFonts w:eastAsia="Calibri" w:cs="Times New Roman"/>
          <w:iCs/>
          <w:noProof w:val="0"/>
          <w:szCs w:val="22"/>
          <w:lang w:val="en-US"/>
        </w:rPr>
        <w:t xml:space="preserve"> </w:t>
      </w:r>
      <w:r w:rsidR="00DF1102" w:rsidRPr="007B2402">
        <w:rPr>
          <w:rFonts w:eastAsia="Calibri" w:cs="Times New Roman"/>
          <w:iCs/>
          <w:noProof w:val="0"/>
          <w:szCs w:val="22"/>
          <w:lang w:val="en-US"/>
        </w:rPr>
        <w:t>paragraphs</w:t>
      </w:r>
      <w:r w:rsidR="00B91D70" w:rsidRPr="007B2402">
        <w:rPr>
          <w:rFonts w:eastAsia="Calibri" w:cs="Times New Roman"/>
          <w:iCs/>
          <w:noProof w:val="0"/>
          <w:szCs w:val="22"/>
          <w:lang w:val="en-US"/>
        </w:rPr>
        <w:t>.</w:t>
      </w:r>
    </w:p>
    <w:p w14:paraId="06154DDD" w14:textId="77777777" w:rsidR="00B91D70" w:rsidRPr="007B2402" w:rsidRDefault="00B91D70" w:rsidP="00B91D70">
      <w:pPr>
        <w:spacing w:after="0" w:line="240" w:lineRule="auto"/>
        <w:jc w:val="both"/>
        <w:rPr>
          <w:rFonts w:eastAsia="Calibri" w:cs="Times New Roman"/>
          <w:iCs/>
          <w:lang w:val="en-US"/>
        </w:rPr>
      </w:pPr>
    </w:p>
    <w:p w14:paraId="7A58DA6B" w14:textId="0C46C38F" w:rsidR="00B91D70" w:rsidRPr="007B2402" w:rsidRDefault="00BC47F9" w:rsidP="00DB1F30">
      <w:pPr>
        <w:numPr>
          <w:ilvl w:val="0"/>
          <w:numId w:val="5"/>
        </w:numPr>
        <w:spacing w:after="0" w:line="240" w:lineRule="auto"/>
        <w:jc w:val="both"/>
        <w:rPr>
          <w:rFonts w:eastAsia="Calibri" w:cs="Times New Roman"/>
          <w:iCs/>
          <w:lang w:val="en-US"/>
        </w:rPr>
      </w:pPr>
      <w:r w:rsidRPr="007B2402">
        <w:rPr>
          <w:rFonts w:cs="Arial"/>
          <w:iCs/>
          <w:szCs w:val="20"/>
          <w:lang w:val="en-US"/>
        </w:rPr>
        <w:t>If any of the beneficiaries is deceased or dies before they receive the respective compensation, this shall be delivered directly to their heirs pursuant to the applicable domestic law</w:t>
      </w:r>
      <w:r w:rsidR="00B91D70" w:rsidRPr="007B2402">
        <w:rPr>
          <w:rFonts w:eastAsia="Calibri" w:cs="Times New Roman"/>
          <w:iCs/>
          <w:lang w:val="en-US"/>
        </w:rPr>
        <w:t>.</w:t>
      </w:r>
    </w:p>
    <w:p w14:paraId="3DC03CFB" w14:textId="77777777" w:rsidR="00B91D70" w:rsidRPr="007B2402" w:rsidRDefault="00B91D70" w:rsidP="00B91D70">
      <w:pPr>
        <w:spacing w:after="0" w:line="240" w:lineRule="auto"/>
        <w:jc w:val="both"/>
        <w:rPr>
          <w:rFonts w:eastAsia="Calibri" w:cs="Times New Roman"/>
          <w:iCs/>
          <w:lang w:val="en-US"/>
        </w:rPr>
      </w:pPr>
    </w:p>
    <w:p w14:paraId="12F03863" w14:textId="16D14FC4" w:rsidR="00B91D70" w:rsidRPr="007B2402" w:rsidRDefault="00AF4344" w:rsidP="00DB1F30">
      <w:pPr>
        <w:numPr>
          <w:ilvl w:val="0"/>
          <w:numId w:val="5"/>
        </w:numPr>
        <w:spacing w:after="0" w:line="240" w:lineRule="auto"/>
        <w:jc w:val="both"/>
        <w:rPr>
          <w:rFonts w:eastAsia="Calibri" w:cs="Times New Roman"/>
          <w:iCs/>
          <w:lang w:val="en-US"/>
        </w:rPr>
      </w:pPr>
      <w:r w:rsidRPr="007B2402">
        <w:rPr>
          <w:rFonts w:eastAsia="Calibri" w:cs="Times New Roman"/>
          <w:iCs/>
          <w:lang w:val="en-US"/>
        </w:rPr>
        <w:t>The State</w:t>
      </w:r>
      <w:r w:rsidR="00B91D70" w:rsidRPr="007B2402">
        <w:rPr>
          <w:rFonts w:eastAsia="Calibri" w:cs="Times New Roman"/>
          <w:iCs/>
          <w:lang w:val="en-US"/>
        </w:rPr>
        <w:t xml:space="preserve"> </w:t>
      </w:r>
      <w:r w:rsidR="00BC47F9" w:rsidRPr="007B2402">
        <w:rPr>
          <w:rFonts w:cs="Arial"/>
          <w:iCs/>
          <w:szCs w:val="20"/>
          <w:lang w:val="en-US"/>
        </w:rPr>
        <w:t>shall comply with its pecuniary obligations by payment in United States dollars, or the equivalent in Brazilian currency, using the exchange rate in force on the New York Stock Exchange (United States of America), the day before payment to make the calculation</w:t>
      </w:r>
      <w:r w:rsidR="00B91D70" w:rsidRPr="007B2402">
        <w:rPr>
          <w:rFonts w:eastAsia="Calibri" w:cs="Times New Roman"/>
          <w:iCs/>
          <w:lang w:val="en-US"/>
        </w:rPr>
        <w:t>.</w:t>
      </w:r>
    </w:p>
    <w:p w14:paraId="24AFE138" w14:textId="77777777" w:rsidR="00B91D70" w:rsidRPr="007B2402" w:rsidRDefault="00B91D70" w:rsidP="00B91D70">
      <w:pPr>
        <w:spacing w:after="0" w:line="240" w:lineRule="auto"/>
        <w:jc w:val="both"/>
        <w:rPr>
          <w:rFonts w:eastAsia="Calibri" w:cs="Times New Roman"/>
          <w:iCs/>
          <w:lang w:val="en-US"/>
        </w:rPr>
      </w:pPr>
    </w:p>
    <w:p w14:paraId="391D238A" w14:textId="2AAC11F0" w:rsidR="00BC47F9" w:rsidRPr="007B2402" w:rsidRDefault="00BC47F9" w:rsidP="00DB1F30">
      <w:pPr>
        <w:numPr>
          <w:ilvl w:val="0"/>
          <w:numId w:val="5"/>
        </w:numPr>
        <w:spacing w:after="0" w:line="240" w:lineRule="auto"/>
        <w:jc w:val="both"/>
        <w:rPr>
          <w:rFonts w:eastAsia="Calibri" w:cs="Times New Roman"/>
          <w:iCs/>
          <w:lang w:val="en-US"/>
        </w:rPr>
      </w:pPr>
      <w:r w:rsidRPr="007B2402">
        <w:rPr>
          <w:rFonts w:cs="Arial"/>
          <w:iCs/>
          <w:szCs w:val="20"/>
          <w:lang w:val="en-US"/>
        </w:rPr>
        <w:t>If, for causes that can be attributed to any of the beneficiaries of the compensation or their heirs, it is not possible to pay all or part of the amounts established within the time frame indicated, the State shall deposit such amounts in an account or deposit certificate in their favor in a solvent Brazilian financial institution, in United States dollars</w:t>
      </w:r>
      <w:r w:rsidR="00A56020" w:rsidRPr="007B2402">
        <w:rPr>
          <w:rFonts w:cs="Arial"/>
          <w:iCs/>
          <w:szCs w:val="20"/>
          <w:lang w:val="en-US"/>
        </w:rPr>
        <w:t xml:space="preserve"> and in the most favorable financial conditions permitted by the State’s banking law and practice</w:t>
      </w:r>
      <w:r w:rsidRPr="007B2402">
        <w:rPr>
          <w:rFonts w:cs="Arial"/>
          <w:iCs/>
          <w:szCs w:val="20"/>
          <w:lang w:val="en-US"/>
        </w:rPr>
        <w:t xml:space="preserve">. If the payment cannot be made in that currency, it </w:t>
      </w:r>
      <w:r w:rsidR="00A56020" w:rsidRPr="007B2402">
        <w:rPr>
          <w:rFonts w:cs="Arial"/>
          <w:iCs/>
          <w:szCs w:val="20"/>
          <w:lang w:val="en-US"/>
        </w:rPr>
        <w:t>shall</w:t>
      </w:r>
      <w:r w:rsidRPr="007B2402">
        <w:rPr>
          <w:rFonts w:cs="Arial"/>
          <w:iCs/>
          <w:szCs w:val="20"/>
          <w:lang w:val="en-US"/>
        </w:rPr>
        <w:t xml:space="preserve"> be made in Brazilian currency using the exchange rate in force on the New York Stock Exchange (United States of America), the day before payment to make the calculation. If the corresponding compensation is not claimed, after 10 years, the amount shall be returned to the State with the interest accrued</w:t>
      </w:r>
      <w:r w:rsidR="00470F3F" w:rsidRPr="007B2402">
        <w:rPr>
          <w:rFonts w:cs="Arial"/>
          <w:iCs/>
          <w:szCs w:val="20"/>
          <w:lang w:val="en-US"/>
        </w:rPr>
        <w:t>.</w:t>
      </w:r>
    </w:p>
    <w:p w14:paraId="1AD8BDED" w14:textId="77777777" w:rsidR="00B91D70" w:rsidRPr="007B2402" w:rsidRDefault="00B91D70" w:rsidP="00B91D70">
      <w:pPr>
        <w:spacing w:after="0" w:line="240" w:lineRule="auto"/>
        <w:jc w:val="both"/>
        <w:rPr>
          <w:rFonts w:eastAsia="Calibri" w:cs="Times New Roman"/>
          <w:iCs/>
          <w:lang w:val="en-US"/>
        </w:rPr>
      </w:pPr>
    </w:p>
    <w:p w14:paraId="714B81EA" w14:textId="18980B5B" w:rsidR="00470F3F" w:rsidRPr="007B2402" w:rsidRDefault="00470F3F" w:rsidP="00470F3F">
      <w:pPr>
        <w:pStyle w:val="Prrafodelista"/>
        <w:numPr>
          <w:ilvl w:val="0"/>
          <w:numId w:val="5"/>
        </w:numPr>
        <w:autoSpaceDE w:val="0"/>
        <w:autoSpaceDN w:val="0"/>
        <w:adjustRightInd w:val="0"/>
        <w:rPr>
          <w:rFonts w:cs="Arial"/>
          <w:iCs/>
          <w:szCs w:val="20"/>
          <w:lang w:val="en-US"/>
        </w:rPr>
      </w:pPr>
      <w:r w:rsidRPr="007B2402">
        <w:rPr>
          <w:rFonts w:cs="Arial"/>
          <w:iCs/>
          <w:szCs w:val="20"/>
          <w:lang w:val="en-US"/>
        </w:rPr>
        <w:t>The amounts allocated in this judgment as compensation for indirect damage, non-pecuniary damage and to reimburse costs and expenses shall be delivered to the persons and organizations indicated in full, as established in this judgment, with</w:t>
      </w:r>
      <w:r w:rsidR="00A56020" w:rsidRPr="007B2402">
        <w:rPr>
          <w:rFonts w:cs="Arial"/>
          <w:iCs/>
          <w:szCs w:val="20"/>
          <w:lang w:val="en-US"/>
        </w:rPr>
        <w:t xml:space="preserve"> no</w:t>
      </w:r>
      <w:r w:rsidRPr="007B2402">
        <w:rPr>
          <w:rFonts w:cs="Arial"/>
          <w:iCs/>
          <w:szCs w:val="20"/>
          <w:lang w:val="en-US"/>
        </w:rPr>
        <w:t xml:space="preserve"> deductions </w:t>
      </w:r>
      <w:r w:rsidR="00A56020" w:rsidRPr="007B2402">
        <w:rPr>
          <w:rFonts w:cs="Arial"/>
          <w:iCs/>
          <w:szCs w:val="20"/>
          <w:lang w:val="en-US"/>
        </w:rPr>
        <w:t>due to</w:t>
      </w:r>
      <w:r w:rsidRPr="007B2402">
        <w:rPr>
          <w:rFonts w:cs="Arial"/>
          <w:iCs/>
          <w:szCs w:val="20"/>
          <w:lang w:val="en-US"/>
        </w:rPr>
        <w:t xml:space="preserve"> possible taxes or charges. </w:t>
      </w:r>
    </w:p>
    <w:p w14:paraId="425D4CD8" w14:textId="77777777" w:rsidR="00B91D70" w:rsidRPr="007B2402" w:rsidRDefault="00B91D70" w:rsidP="00B91D70">
      <w:pPr>
        <w:spacing w:after="0" w:line="240" w:lineRule="auto"/>
        <w:jc w:val="both"/>
        <w:rPr>
          <w:rFonts w:eastAsia="Calibri" w:cs="Times New Roman"/>
          <w:iCs/>
          <w:lang w:val="en-US"/>
        </w:rPr>
      </w:pPr>
    </w:p>
    <w:p w14:paraId="748364D9" w14:textId="0788CE1C" w:rsidR="00470F3F" w:rsidRPr="007B2402" w:rsidRDefault="00470F3F" w:rsidP="00470F3F">
      <w:pPr>
        <w:pStyle w:val="Prrafodelista"/>
        <w:numPr>
          <w:ilvl w:val="0"/>
          <w:numId w:val="5"/>
        </w:numPr>
        <w:autoSpaceDE w:val="0"/>
        <w:autoSpaceDN w:val="0"/>
        <w:adjustRightInd w:val="0"/>
        <w:rPr>
          <w:rFonts w:cs="Arial"/>
          <w:iCs/>
          <w:szCs w:val="20"/>
          <w:lang w:val="en-US"/>
        </w:rPr>
      </w:pPr>
      <w:r w:rsidRPr="007B2402">
        <w:rPr>
          <w:spacing w:val="-2"/>
          <w:lang w:val="en-US"/>
        </w:rPr>
        <w:t>If the State should fall in arrears, it shall pay interest on the amount owed, converted into Brazilian reales, corresponding to banking interest on arrears in the Federative Republic of Brazil.</w:t>
      </w:r>
    </w:p>
    <w:p w14:paraId="00ACCE9A" w14:textId="77777777" w:rsidR="00502A96" w:rsidRPr="007B2402" w:rsidRDefault="00502A96" w:rsidP="00502A96">
      <w:pPr>
        <w:pStyle w:val="Prrafodelista"/>
        <w:ind w:left="0"/>
        <w:contextualSpacing w:val="0"/>
        <w:rPr>
          <w:szCs w:val="20"/>
          <w:lang w:val="en-US"/>
        </w:rPr>
      </w:pPr>
    </w:p>
    <w:p w14:paraId="6A0D79C0" w14:textId="0D2B0E61" w:rsidR="00012C6E" w:rsidRPr="007B2402" w:rsidRDefault="00012C6E" w:rsidP="00502A96">
      <w:pPr>
        <w:keepNext/>
        <w:keepLines/>
        <w:snapToGrid w:val="0"/>
        <w:spacing w:after="0" w:line="240" w:lineRule="auto"/>
        <w:ind w:right="-6"/>
        <w:jc w:val="center"/>
        <w:outlineLvl w:val="0"/>
        <w:rPr>
          <w:rFonts w:eastAsia="Times New Roman" w:cs="Verdana"/>
          <w:b/>
          <w:bCs/>
          <w:caps/>
          <w:szCs w:val="20"/>
          <w:lang w:val="en-US" w:eastAsia="es-ES"/>
        </w:rPr>
      </w:pPr>
      <w:bookmarkStart w:id="199" w:name="_Toc506984149"/>
      <w:r w:rsidRPr="007B2402">
        <w:rPr>
          <w:rFonts w:eastAsia="Times New Roman" w:cs="Verdana"/>
          <w:b/>
          <w:bCs/>
          <w:caps/>
          <w:szCs w:val="20"/>
          <w:lang w:val="en-US" w:eastAsia="es-ES"/>
        </w:rPr>
        <w:t>IX</w:t>
      </w:r>
      <w:r w:rsidRPr="007B2402">
        <w:rPr>
          <w:rFonts w:eastAsia="Times New Roman" w:cs="Verdana"/>
          <w:b/>
          <w:bCs/>
          <w:caps/>
          <w:color w:val="FFFFFF" w:themeColor="background1"/>
          <w:szCs w:val="20"/>
          <w:lang w:val="en-US" w:eastAsia="es-ES"/>
        </w:rPr>
        <w:t>.</w:t>
      </w:r>
      <w:r w:rsidRPr="007B2402">
        <w:rPr>
          <w:rFonts w:eastAsia="Times New Roman" w:cs="Verdana"/>
          <w:b/>
          <w:bCs/>
          <w:caps/>
          <w:szCs w:val="20"/>
          <w:lang w:val="en-US" w:eastAsia="es-ES"/>
        </w:rPr>
        <w:br/>
      </w:r>
      <w:r w:rsidR="00221E16" w:rsidRPr="007B2402">
        <w:rPr>
          <w:rFonts w:eastAsia="Times New Roman" w:cs="Verdana"/>
          <w:b/>
          <w:bCs/>
          <w:caps/>
          <w:szCs w:val="20"/>
          <w:lang w:val="en-US" w:eastAsia="es-ES"/>
        </w:rPr>
        <w:t>OPERATIVE PARAGRAPHS</w:t>
      </w:r>
      <w:bookmarkEnd w:id="199"/>
    </w:p>
    <w:p w14:paraId="7EA97BFE" w14:textId="77777777" w:rsidR="00502A96" w:rsidRPr="007B2402" w:rsidRDefault="00502A96" w:rsidP="00502A96">
      <w:pPr>
        <w:pStyle w:val="Prrafodelista"/>
        <w:ind w:left="0"/>
        <w:contextualSpacing w:val="0"/>
        <w:rPr>
          <w:iCs/>
          <w:szCs w:val="20"/>
          <w:lang w:val="en-US"/>
        </w:rPr>
      </w:pPr>
    </w:p>
    <w:p w14:paraId="136ACD9C" w14:textId="4E1B146F" w:rsidR="00012C6E" w:rsidRPr="007B2402" w:rsidRDefault="00221E16" w:rsidP="00C66F63">
      <w:pPr>
        <w:pStyle w:val="Prrafodelista"/>
        <w:numPr>
          <w:ilvl w:val="0"/>
          <w:numId w:val="5"/>
        </w:numPr>
        <w:contextualSpacing w:val="0"/>
        <w:rPr>
          <w:iCs/>
          <w:szCs w:val="20"/>
          <w:lang w:val="en-US"/>
        </w:rPr>
      </w:pPr>
      <w:r w:rsidRPr="007B2402">
        <w:rPr>
          <w:iCs/>
          <w:szCs w:val="20"/>
          <w:lang w:val="en-US"/>
        </w:rPr>
        <w:t>Therefore</w:t>
      </w:r>
      <w:r w:rsidR="00012C6E" w:rsidRPr="007B2402">
        <w:rPr>
          <w:iCs/>
          <w:szCs w:val="20"/>
          <w:lang w:val="en-US"/>
        </w:rPr>
        <w:t xml:space="preserve">, </w:t>
      </w:r>
    </w:p>
    <w:p w14:paraId="035E886E" w14:textId="77777777" w:rsidR="00012C6E" w:rsidRPr="007B2402" w:rsidRDefault="00012C6E" w:rsidP="00C66F63">
      <w:pPr>
        <w:pStyle w:val="Prrafodelista"/>
        <w:ind w:left="0"/>
        <w:contextualSpacing w:val="0"/>
        <w:rPr>
          <w:iCs/>
          <w:szCs w:val="20"/>
          <w:lang w:val="en-US"/>
        </w:rPr>
      </w:pPr>
    </w:p>
    <w:p w14:paraId="5CA4A49F" w14:textId="3E01AC2D" w:rsidR="00012C6E" w:rsidRPr="007B2402" w:rsidRDefault="00AF4344" w:rsidP="00C66F63">
      <w:pPr>
        <w:pStyle w:val="Prrafodelista"/>
        <w:ind w:left="0"/>
        <w:contextualSpacing w:val="0"/>
        <w:rPr>
          <w:iCs/>
          <w:szCs w:val="20"/>
          <w:lang w:val="en-US"/>
        </w:rPr>
      </w:pPr>
      <w:r w:rsidRPr="007B2402">
        <w:rPr>
          <w:b/>
          <w:bCs/>
          <w:iCs/>
          <w:szCs w:val="20"/>
          <w:lang w:val="en-US"/>
        </w:rPr>
        <w:t>THE COURT</w:t>
      </w:r>
      <w:r w:rsidR="00012C6E" w:rsidRPr="007B2402">
        <w:rPr>
          <w:b/>
          <w:bCs/>
          <w:iCs/>
          <w:szCs w:val="20"/>
          <w:lang w:val="en-US"/>
        </w:rPr>
        <w:t xml:space="preserve"> </w:t>
      </w:r>
    </w:p>
    <w:p w14:paraId="334C5E99" w14:textId="77777777" w:rsidR="00012C6E" w:rsidRPr="007B2402" w:rsidRDefault="00012C6E" w:rsidP="00C66F63">
      <w:pPr>
        <w:pStyle w:val="Prrafodelista"/>
        <w:ind w:left="0"/>
        <w:contextualSpacing w:val="0"/>
        <w:rPr>
          <w:iCs/>
          <w:szCs w:val="20"/>
          <w:lang w:val="en-US"/>
        </w:rPr>
      </w:pPr>
    </w:p>
    <w:p w14:paraId="13D5F092" w14:textId="67512EA7" w:rsidR="00012C6E" w:rsidRPr="007B2402" w:rsidRDefault="00012C6E" w:rsidP="00C66F63">
      <w:pPr>
        <w:pStyle w:val="Prrafodelista"/>
        <w:ind w:left="0"/>
        <w:contextualSpacing w:val="0"/>
        <w:rPr>
          <w:b/>
          <w:iCs/>
          <w:szCs w:val="20"/>
          <w:lang w:val="en-US"/>
        </w:rPr>
      </w:pPr>
      <w:r w:rsidRPr="007B2402">
        <w:rPr>
          <w:b/>
          <w:iCs/>
          <w:szCs w:val="20"/>
          <w:lang w:val="en-US"/>
        </w:rPr>
        <w:lastRenderedPageBreak/>
        <w:t>DECIDE</w:t>
      </w:r>
      <w:r w:rsidR="00221E16" w:rsidRPr="007B2402">
        <w:rPr>
          <w:b/>
          <w:iCs/>
          <w:szCs w:val="20"/>
          <w:lang w:val="en-US"/>
        </w:rPr>
        <w:t>S</w:t>
      </w:r>
      <w:r w:rsidRPr="007B2402">
        <w:rPr>
          <w:b/>
          <w:iCs/>
          <w:szCs w:val="20"/>
          <w:lang w:val="en-US"/>
        </w:rPr>
        <w:t xml:space="preserve">, </w:t>
      </w:r>
    </w:p>
    <w:p w14:paraId="117AD47A" w14:textId="77777777" w:rsidR="00012C6E" w:rsidRPr="007B2402" w:rsidRDefault="00012C6E" w:rsidP="00C66F63">
      <w:pPr>
        <w:pStyle w:val="Prrafodelista"/>
        <w:ind w:left="0"/>
        <w:contextualSpacing w:val="0"/>
        <w:rPr>
          <w:iCs/>
          <w:szCs w:val="20"/>
          <w:lang w:val="en-US"/>
        </w:rPr>
      </w:pPr>
      <w:r w:rsidRPr="007B2402">
        <w:rPr>
          <w:iCs/>
          <w:szCs w:val="20"/>
          <w:lang w:val="en-US"/>
        </w:rPr>
        <w:t xml:space="preserve"> </w:t>
      </w:r>
    </w:p>
    <w:p w14:paraId="2560673A" w14:textId="75E775EE" w:rsidR="00012C6E" w:rsidRPr="007B2402" w:rsidRDefault="00221E16" w:rsidP="00C66F63">
      <w:pPr>
        <w:tabs>
          <w:tab w:val="left" w:pos="720"/>
        </w:tabs>
        <w:spacing w:after="0" w:line="240" w:lineRule="auto"/>
        <w:ind w:right="-91"/>
        <w:rPr>
          <w:rFonts w:eastAsia="MS Mincho" w:cs="Times New Roman"/>
          <w:szCs w:val="20"/>
          <w:lang w:val="en-US" w:bidi="en-US"/>
        </w:rPr>
      </w:pPr>
      <w:r w:rsidRPr="007B2402">
        <w:rPr>
          <w:rFonts w:eastAsia="MS Mincho" w:cs="Times New Roman"/>
          <w:szCs w:val="20"/>
          <w:lang w:val="en-US" w:bidi="en-US"/>
        </w:rPr>
        <w:t>Unanimously</w:t>
      </w:r>
      <w:r w:rsidR="00012C6E" w:rsidRPr="007B2402">
        <w:rPr>
          <w:rFonts w:eastAsia="MS Mincho" w:cs="Times New Roman"/>
          <w:szCs w:val="20"/>
          <w:lang w:val="en-US" w:bidi="en-US"/>
        </w:rPr>
        <w:t>,</w:t>
      </w:r>
    </w:p>
    <w:p w14:paraId="42FD6D5C" w14:textId="77777777" w:rsidR="009B2781" w:rsidRPr="007B2402" w:rsidRDefault="009B2781" w:rsidP="00C66F63">
      <w:pPr>
        <w:tabs>
          <w:tab w:val="left" w:pos="720"/>
        </w:tabs>
        <w:spacing w:after="0" w:line="240" w:lineRule="auto"/>
        <w:ind w:right="-91"/>
        <w:rPr>
          <w:rFonts w:eastAsia="MS Mincho" w:cs="Times New Roman"/>
          <w:szCs w:val="20"/>
          <w:lang w:val="en-US" w:bidi="en-US"/>
        </w:rPr>
      </w:pPr>
    </w:p>
    <w:p w14:paraId="7E64ED5D" w14:textId="208DFBCC" w:rsidR="00012C6E" w:rsidRPr="007B2402" w:rsidRDefault="008B5281" w:rsidP="00C66F63">
      <w:pPr>
        <w:pStyle w:val="Prrafodelista"/>
        <w:numPr>
          <w:ilvl w:val="3"/>
          <w:numId w:val="5"/>
        </w:numPr>
        <w:tabs>
          <w:tab w:val="left" w:pos="720"/>
        </w:tabs>
        <w:ind w:left="0" w:right="-90" w:firstLine="0"/>
        <w:contextualSpacing w:val="0"/>
        <w:rPr>
          <w:rFonts w:eastAsia="Cambria" w:cs="Times New Roman"/>
          <w:szCs w:val="20"/>
          <w:lang w:val="en-US"/>
        </w:rPr>
      </w:pPr>
      <w:r w:rsidRPr="007B2402">
        <w:rPr>
          <w:rFonts w:eastAsia="MS Mincho" w:cs="Times New Roman"/>
          <w:szCs w:val="20"/>
          <w:lang w:val="en-US"/>
        </w:rPr>
        <w:t xml:space="preserve">To reject the </w:t>
      </w:r>
      <w:r w:rsidR="006E2CFF" w:rsidRPr="007B2402">
        <w:rPr>
          <w:rFonts w:eastAsia="Cambria" w:cs="Times New Roman"/>
          <w:szCs w:val="20"/>
          <w:lang w:val="en-US"/>
        </w:rPr>
        <w:t>preliminary objections</w:t>
      </w:r>
      <w:r w:rsidR="00012C6E" w:rsidRPr="007B2402">
        <w:rPr>
          <w:rFonts w:eastAsia="Cambria" w:cs="Times New Roman"/>
          <w:szCs w:val="20"/>
          <w:lang w:val="en-US"/>
        </w:rPr>
        <w:t xml:space="preserve"> </w:t>
      </w:r>
      <w:r w:rsidRPr="007B2402">
        <w:rPr>
          <w:rFonts w:eastAsia="Cambria" w:cs="Times New Roman"/>
          <w:szCs w:val="20"/>
          <w:lang w:val="en-US"/>
        </w:rPr>
        <w:t>filed by</w:t>
      </w:r>
      <w:r w:rsidR="00012C6E" w:rsidRPr="007B2402">
        <w:rPr>
          <w:rFonts w:eastAsia="Cambria" w:cs="Times New Roman"/>
          <w:szCs w:val="20"/>
          <w:lang w:val="en-US"/>
        </w:rPr>
        <w:t xml:space="preserve"> </w:t>
      </w:r>
      <w:r w:rsidR="00AF4344" w:rsidRPr="007B2402">
        <w:rPr>
          <w:rFonts w:eastAsia="Cambria" w:cs="Times New Roman"/>
          <w:szCs w:val="20"/>
          <w:lang w:val="en-US"/>
        </w:rPr>
        <w:t>the State</w:t>
      </w:r>
      <w:r w:rsidR="00012C6E" w:rsidRPr="007B2402">
        <w:rPr>
          <w:rFonts w:eastAsia="Cambria" w:cs="Times New Roman"/>
          <w:szCs w:val="20"/>
          <w:lang w:val="en-US"/>
        </w:rPr>
        <w:t xml:space="preserve"> </w:t>
      </w:r>
      <w:r w:rsidRPr="007B2402">
        <w:rPr>
          <w:rFonts w:eastAsia="Cambria" w:cs="Times New Roman"/>
          <w:szCs w:val="20"/>
          <w:lang w:val="en-US"/>
        </w:rPr>
        <w:t xml:space="preserve">with regard to the inadmissibility of the case by the Court owing to its lack of competence </w:t>
      </w:r>
      <w:r w:rsidR="00012C6E" w:rsidRPr="007B2402">
        <w:rPr>
          <w:rFonts w:cs="Verdana Bold"/>
          <w:bCs/>
          <w:i/>
          <w:szCs w:val="20"/>
          <w:lang w:val="en-US"/>
        </w:rPr>
        <w:t>ratione materiae</w:t>
      </w:r>
      <w:r w:rsidR="00012C6E" w:rsidRPr="007B2402">
        <w:rPr>
          <w:rFonts w:cs="Verdana Bold"/>
          <w:bCs/>
          <w:szCs w:val="20"/>
          <w:lang w:val="en-US"/>
        </w:rPr>
        <w:t xml:space="preserve"> </w:t>
      </w:r>
      <w:r w:rsidRPr="007B2402">
        <w:rPr>
          <w:rFonts w:eastAsia="Calibri" w:cs="Times New Roman"/>
          <w:szCs w:val="20"/>
          <w:lang w:val="en-US"/>
        </w:rPr>
        <w:t xml:space="preserve">concerning the supposed violations </w:t>
      </w:r>
      <w:r w:rsidR="00AF4344" w:rsidRPr="007B2402">
        <w:rPr>
          <w:rFonts w:eastAsia="Calibri" w:cs="Times New Roman"/>
          <w:szCs w:val="20"/>
          <w:lang w:val="en-US"/>
        </w:rPr>
        <w:t xml:space="preserve">of the </w:t>
      </w:r>
      <w:r w:rsidR="00375567" w:rsidRPr="007B2402">
        <w:rPr>
          <w:rFonts w:eastAsia="Calibri" w:cs="Times New Roman"/>
          <w:szCs w:val="20"/>
          <w:lang w:val="en-US"/>
        </w:rPr>
        <w:t>Inter-American Convention to Prevent and Punish Torture</w:t>
      </w:r>
      <w:r w:rsidR="007A2002" w:rsidRPr="007B2402">
        <w:rPr>
          <w:rFonts w:eastAsia="Calibri" w:cs="Times New Roman"/>
          <w:szCs w:val="20"/>
          <w:lang w:val="en-US"/>
        </w:rPr>
        <w:t>;</w:t>
      </w:r>
      <w:r w:rsidR="00012C6E" w:rsidRPr="007B2402">
        <w:rPr>
          <w:rFonts w:cs="Verdana Bold"/>
          <w:bCs/>
          <w:szCs w:val="20"/>
          <w:lang w:val="en-US"/>
        </w:rPr>
        <w:t xml:space="preserve"> </w:t>
      </w:r>
      <w:r w:rsidRPr="007B2402">
        <w:rPr>
          <w:rFonts w:cs="Verdana Bold"/>
          <w:bCs/>
          <w:szCs w:val="20"/>
          <w:lang w:val="en-US"/>
        </w:rPr>
        <w:t>the failure to exahust domestic remedies</w:t>
      </w:r>
      <w:r w:rsidR="00DE483B" w:rsidRPr="007B2402">
        <w:rPr>
          <w:rFonts w:cs="Verdana Bold"/>
          <w:bCs/>
          <w:szCs w:val="20"/>
          <w:lang w:val="en-US"/>
        </w:rPr>
        <w:t xml:space="preserve">; </w:t>
      </w:r>
      <w:r w:rsidRPr="007B2402">
        <w:rPr>
          <w:rFonts w:cs="Verdana Bold"/>
          <w:bCs/>
          <w:szCs w:val="20"/>
          <w:lang w:val="en-US"/>
        </w:rPr>
        <w:t>non-compliance with the time frame for lodging the pe</w:t>
      </w:r>
      <w:r w:rsidR="00E547BB" w:rsidRPr="007B2402">
        <w:rPr>
          <w:rFonts w:cs="Verdana Bold"/>
          <w:bCs/>
          <w:szCs w:val="20"/>
          <w:lang w:val="en-US"/>
        </w:rPr>
        <w:t>t</w:t>
      </w:r>
      <w:r w:rsidRPr="007B2402">
        <w:rPr>
          <w:rFonts w:cs="Verdana Bold"/>
          <w:bCs/>
          <w:szCs w:val="20"/>
          <w:lang w:val="en-US"/>
        </w:rPr>
        <w:t xml:space="preserve">ition before </w:t>
      </w:r>
      <w:r w:rsidR="00AF4344" w:rsidRPr="007B2402">
        <w:rPr>
          <w:rFonts w:eastAsia="Calibri" w:cs="Times New Roman"/>
          <w:szCs w:val="20"/>
          <w:lang w:val="en-US"/>
        </w:rPr>
        <w:t>the Commission</w:t>
      </w:r>
      <w:r w:rsidR="00DE483B" w:rsidRPr="007B2402">
        <w:rPr>
          <w:rFonts w:eastAsia="Cambria" w:cs="Times New Roman"/>
          <w:szCs w:val="20"/>
          <w:lang w:val="en-US"/>
        </w:rPr>
        <w:t xml:space="preserve">; </w:t>
      </w:r>
      <w:r w:rsidRPr="007B2402">
        <w:rPr>
          <w:rFonts w:eastAsia="Calibri" w:cs="Times New Roman"/>
          <w:szCs w:val="20"/>
          <w:lang w:val="en-US"/>
        </w:rPr>
        <w:t>lack of competence</w:t>
      </w:r>
      <w:r w:rsidR="00DE483B" w:rsidRPr="007B2402">
        <w:rPr>
          <w:rFonts w:eastAsia="Calibri" w:cs="Times New Roman"/>
          <w:szCs w:val="20"/>
          <w:lang w:val="en-US"/>
        </w:rPr>
        <w:t xml:space="preserve"> </w:t>
      </w:r>
      <w:r w:rsidR="00DE483B" w:rsidRPr="007B2402">
        <w:rPr>
          <w:rFonts w:eastAsia="Calibri" w:cs="Times New Roman"/>
          <w:i/>
          <w:szCs w:val="20"/>
          <w:lang w:val="en-US"/>
        </w:rPr>
        <w:t>ratione materiae</w:t>
      </w:r>
      <w:r w:rsidR="00DE483B" w:rsidRPr="007B2402">
        <w:rPr>
          <w:rFonts w:eastAsia="Calibri" w:cs="Times New Roman"/>
          <w:szCs w:val="20"/>
          <w:lang w:val="en-US"/>
        </w:rPr>
        <w:t xml:space="preserve"> </w:t>
      </w:r>
      <w:r w:rsidRPr="007B2402">
        <w:rPr>
          <w:rFonts w:eastAsia="Calibri" w:cs="Times New Roman"/>
          <w:szCs w:val="20"/>
          <w:lang w:val="en-US"/>
        </w:rPr>
        <w:t xml:space="preserve">to review domestic decisions; publication of the </w:t>
      </w:r>
      <w:r w:rsidR="00375567" w:rsidRPr="007B2402">
        <w:rPr>
          <w:rFonts w:eastAsia="Calibri" w:cs="Times New Roman"/>
          <w:bCs/>
          <w:szCs w:val="20"/>
          <w:lang w:val="en-US"/>
        </w:rPr>
        <w:t>Merits Report</w:t>
      </w:r>
      <w:r w:rsidR="003F140C" w:rsidRPr="007B2402">
        <w:rPr>
          <w:rFonts w:eastAsia="Calibri" w:cs="Times New Roman"/>
          <w:bCs/>
          <w:szCs w:val="20"/>
          <w:lang w:val="en-US"/>
        </w:rPr>
        <w:t xml:space="preserve"> </w:t>
      </w:r>
      <w:r w:rsidRPr="007B2402">
        <w:rPr>
          <w:rFonts w:eastAsia="Calibri" w:cs="Times New Roman"/>
          <w:bCs/>
          <w:szCs w:val="20"/>
          <w:lang w:val="en-US"/>
        </w:rPr>
        <w:t>by</w:t>
      </w:r>
      <w:r w:rsidR="003F140C" w:rsidRPr="007B2402">
        <w:rPr>
          <w:rFonts w:eastAsia="Calibri" w:cs="Times New Roman"/>
          <w:bCs/>
          <w:szCs w:val="20"/>
          <w:lang w:val="en-US"/>
        </w:rPr>
        <w:t xml:space="preserve"> </w:t>
      </w:r>
      <w:r w:rsidR="00AF4344" w:rsidRPr="007B2402">
        <w:rPr>
          <w:rFonts w:eastAsia="Calibri" w:cs="Times New Roman"/>
          <w:bCs/>
          <w:szCs w:val="20"/>
          <w:lang w:val="en-US"/>
        </w:rPr>
        <w:t>the Commission</w:t>
      </w:r>
      <w:r w:rsidRPr="007B2402">
        <w:rPr>
          <w:rFonts w:eastAsia="Calibri" w:cs="Times New Roman"/>
          <w:bCs/>
          <w:szCs w:val="20"/>
          <w:lang w:val="en-US"/>
        </w:rPr>
        <w:t>, and lack of competence</w:t>
      </w:r>
      <w:r w:rsidR="00DE483B" w:rsidRPr="007B2402">
        <w:rPr>
          <w:rFonts w:eastAsia="Calibri" w:cs="Times New Roman"/>
          <w:szCs w:val="20"/>
          <w:lang w:val="en-US"/>
        </w:rPr>
        <w:t xml:space="preserve"> </w:t>
      </w:r>
      <w:r w:rsidR="00DE483B" w:rsidRPr="007B2402">
        <w:rPr>
          <w:rFonts w:eastAsia="Calibri" w:cs="Times New Roman"/>
          <w:i/>
          <w:szCs w:val="20"/>
          <w:lang w:val="en-US"/>
        </w:rPr>
        <w:t>ratione materiae</w:t>
      </w:r>
      <w:r w:rsidR="00DE483B" w:rsidRPr="007B2402">
        <w:rPr>
          <w:rFonts w:eastAsia="Calibri" w:cs="Times New Roman"/>
          <w:szCs w:val="20"/>
          <w:lang w:val="en-US"/>
        </w:rPr>
        <w:t xml:space="preserve"> </w:t>
      </w:r>
      <w:r w:rsidRPr="007B2402">
        <w:rPr>
          <w:rFonts w:eastAsia="Calibri" w:cs="Times New Roman"/>
          <w:szCs w:val="20"/>
          <w:lang w:val="en-US"/>
        </w:rPr>
        <w:t xml:space="preserve">to examaine facts other than those submitted by </w:t>
      </w:r>
      <w:r w:rsidR="00AF4344" w:rsidRPr="007B2402">
        <w:rPr>
          <w:rFonts w:eastAsia="Calibri" w:cs="Times New Roman"/>
          <w:szCs w:val="20"/>
          <w:lang w:val="en-US"/>
        </w:rPr>
        <w:t>the Commission</w:t>
      </w:r>
      <w:r w:rsidR="00DE483B" w:rsidRPr="007B2402">
        <w:rPr>
          <w:rFonts w:eastAsia="Cambria" w:cs="Times New Roman"/>
          <w:szCs w:val="20"/>
          <w:lang w:val="en-US"/>
        </w:rPr>
        <w:t xml:space="preserve">, </w:t>
      </w:r>
      <w:r w:rsidR="00221E16" w:rsidRPr="007B2402">
        <w:rPr>
          <w:rFonts w:eastAsia="Cambria" w:cs="Times New Roman"/>
          <w:szCs w:val="20"/>
          <w:lang w:val="en-US"/>
        </w:rPr>
        <w:t>in the terms of</w:t>
      </w:r>
      <w:r w:rsidR="00012C6E" w:rsidRPr="007B2402">
        <w:rPr>
          <w:rFonts w:eastAsia="Cambria" w:cs="Times New Roman"/>
          <w:szCs w:val="20"/>
          <w:lang w:val="en-US"/>
        </w:rPr>
        <w:t xml:space="preserve"> </w:t>
      </w:r>
      <w:r w:rsidR="00221E16" w:rsidRPr="007B2402">
        <w:rPr>
          <w:rFonts w:eastAsia="Cambria" w:cs="Times New Roman"/>
          <w:szCs w:val="20"/>
          <w:lang w:val="en-US"/>
        </w:rPr>
        <w:t>paragraphs</w:t>
      </w:r>
      <w:r w:rsidR="00012C6E" w:rsidRPr="007B2402">
        <w:rPr>
          <w:rFonts w:eastAsia="Cambria" w:cs="Times New Roman"/>
          <w:szCs w:val="20"/>
          <w:lang w:val="en-US"/>
        </w:rPr>
        <w:t xml:space="preserve"> </w:t>
      </w:r>
      <w:r w:rsidR="003F140C" w:rsidRPr="007B2402">
        <w:rPr>
          <w:rFonts w:eastAsia="Cambria" w:cs="Times New Roman"/>
          <w:szCs w:val="20"/>
          <w:lang w:val="en-US"/>
        </w:rPr>
        <w:t>36</w:t>
      </w:r>
      <w:r w:rsidR="00221E16" w:rsidRPr="007B2402">
        <w:rPr>
          <w:rFonts w:eastAsia="Cambria" w:cs="Times New Roman"/>
          <w:szCs w:val="20"/>
          <w:lang w:val="en-US"/>
        </w:rPr>
        <w:t xml:space="preserve"> to </w:t>
      </w:r>
      <w:r w:rsidR="003F140C" w:rsidRPr="007B2402">
        <w:rPr>
          <w:rFonts w:eastAsia="Cambria" w:cs="Times New Roman"/>
          <w:szCs w:val="20"/>
          <w:lang w:val="en-US"/>
        </w:rPr>
        <w:t>38, 49</w:t>
      </w:r>
      <w:r w:rsidR="00221E16" w:rsidRPr="007B2402">
        <w:rPr>
          <w:rFonts w:eastAsia="Cambria" w:cs="Times New Roman"/>
          <w:szCs w:val="20"/>
          <w:lang w:val="en-US"/>
        </w:rPr>
        <w:t xml:space="preserve"> to </w:t>
      </w:r>
      <w:r w:rsidR="003F140C" w:rsidRPr="007B2402">
        <w:rPr>
          <w:rFonts w:eastAsia="Cambria" w:cs="Times New Roman"/>
          <w:szCs w:val="20"/>
          <w:lang w:val="en-US"/>
        </w:rPr>
        <w:t>53, 66</w:t>
      </w:r>
      <w:r w:rsidR="00221E16" w:rsidRPr="007B2402">
        <w:rPr>
          <w:rFonts w:eastAsia="Cambria" w:cs="Times New Roman"/>
          <w:szCs w:val="20"/>
          <w:lang w:val="en-US"/>
        </w:rPr>
        <w:t xml:space="preserve"> to </w:t>
      </w:r>
      <w:r w:rsidR="003F140C" w:rsidRPr="007B2402">
        <w:rPr>
          <w:rFonts w:eastAsia="Cambria" w:cs="Times New Roman"/>
          <w:szCs w:val="20"/>
          <w:lang w:val="en-US"/>
        </w:rPr>
        <w:t>71, 80</w:t>
      </w:r>
      <w:r w:rsidR="00221E16" w:rsidRPr="007B2402">
        <w:rPr>
          <w:rFonts w:eastAsia="Cambria" w:cs="Times New Roman"/>
          <w:szCs w:val="20"/>
          <w:lang w:val="en-US"/>
        </w:rPr>
        <w:t xml:space="preserve"> to </w:t>
      </w:r>
      <w:r w:rsidR="003F140C" w:rsidRPr="007B2402">
        <w:rPr>
          <w:rFonts w:eastAsia="Cambria" w:cs="Times New Roman"/>
          <w:szCs w:val="20"/>
          <w:lang w:val="en-US"/>
        </w:rPr>
        <w:t>83, 88, 97</w:t>
      </w:r>
      <w:r w:rsidR="005B1590" w:rsidRPr="007B2402">
        <w:rPr>
          <w:rFonts w:eastAsia="Cambria" w:cs="Times New Roman"/>
          <w:szCs w:val="20"/>
          <w:lang w:val="en-US"/>
        </w:rPr>
        <w:t xml:space="preserve"> and </w:t>
      </w:r>
      <w:r w:rsidR="003F140C" w:rsidRPr="007B2402">
        <w:rPr>
          <w:rFonts w:eastAsia="Cambria" w:cs="Times New Roman"/>
          <w:szCs w:val="20"/>
          <w:lang w:val="en-US"/>
        </w:rPr>
        <w:t xml:space="preserve">98 </w:t>
      </w:r>
      <w:r w:rsidR="00221E16" w:rsidRPr="007B2402">
        <w:rPr>
          <w:rFonts w:eastAsia="Cambria" w:cs="Times New Roman"/>
          <w:szCs w:val="20"/>
          <w:lang w:val="en-US"/>
        </w:rPr>
        <w:t>of this judgment</w:t>
      </w:r>
      <w:r w:rsidR="00012C6E" w:rsidRPr="007B2402">
        <w:rPr>
          <w:rFonts w:eastAsia="Cambria" w:cs="Times New Roman"/>
          <w:szCs w:val="20"/>
          <w:lang w:val="en-US"/>
        </w:rPr>
        <w:t xml:space="preserve"> </w:t>
      </w:r>
    </w:p>
    <w:p w14:paraId="3AF2EC00" w14:textId="77777777" w:rsidR="005068A0" w:rsidRPr="007B2402" w:rsidRDefault="005068A0" w:rsidP="00C66F63">
      <w:pPr>
        <w:pStyle w:val="Prrafodelista"/>
        <w:tabs>
          <w:tab w:val="left" w:pos="720"/>
        </w:tabs>
        <w:ind w:left="0" w:right="-90"/>
        <w:contextualSpacing w:val="0"/>
        <w:rPr>
          <w:rFonts w:eastAsia="Cambria" w:cs="Times New Roman"/>
          <w:szCs w:val="20"/>
          <w:lang w:val="en-US"/>
        </w:rPr>
      </w:pPr>
    </w:p>
    <w:p w14:paraId="07227E49" w14:textId="689E7140" w:rsidR="00012C6E" w:rsidRPr="007B2402" w:rsidRDefault="008B5281" w:rsidP="00C66F63">
      <w:pPr>
        <w:pStyle w:val="Prrafodelista"/>
        <w:numPr>
          <w:ilvl w:val="3"/>
          <w:numId w:val="5"/>
        </w:numPr>
        <w:tabs>
          <w:tab w:val="left" w:pos="720"/>
        </w:tabs>
        <w:ind w:left="0" w:right="-90" w:firstLine="0"/>
        <w:contextualSpacing w:val="0"/>
        <w:rPr>
          <w:rFonts w:eastAsia="Cambria" w:cs="Times New Roman"/>
          <w:szCs w:val="20"/>
          <w:lang w:val="en-US"/>
        </w:rPr>
      </w:pPr>
      <w:r w:rsidRPr="007B2402">
        <w:rPr>
          <w:rFonts w:eastAsia="MS Mincho" w:cs="Times New Roman"/>
          <w:szCs w:val="20"/>
          <w:lang w:val="en-US"/>
        </w:rPr>
        <w:t xml:space="preserve">To declare partially admissible the </w:t>
      </w:r>
      <w:r w:rsidR="006E2CFF" w:rsidRPr="007B2402">
        <w:rPr>
          <w:rFonts w:eastAsia="Cambria" w:cs="Times New Roman"/>
          <w:szCs w:val="20"/>
          <w:lang w:val="en-US"/>
        </w:rPr>
        <w:t>preliminary objections</w:t>
      </w:r>
      <w:r w:rsidR="00012C6E" w:rsidRPr="007B2402">
        <w:rPr>
          <w:rFonts w:eastAsia="Cambria" w:cs="Times New Roman"/>
          <w:szCs w:val="20"/>
          <w:lang w:val="en-US"/>
        </w:rPr>
        <w:t xml:space="preserve"> </w:t>
      </w:r>
      <w:r w:rsidRPr="007B2402">
        <w:rPr>
          <w:rFonts w:eastAsia="Cambria" w:cs="Times New Roman"/>
          <w:szCs w:val="20"/>
          <w:lang w:val="en-US"/>
        </w:rPr>
        <w:t>filed by</w:t>
      </w:r>
      <w:r w:rsidR="00012C6E" w:rsidRPr="007B2402">
        <w:rPr>
          <w:rFonts w:eastAsia="Cambria" w:cs="Times New Roman"/>
          <w:szCs w:val="20"/>
          <w:lang w:val="en-US"/>
        </w:rPr>
        <w:t xml:space="preserve"> </w:t>
      </w:r>
      <w:r w:rsidR="00AF4344" w:rsidRPr="007B2402">
        <w:rPr>
          <w:rFonts w:eastAsia="Cambria" w:cs="Times New Roman"/>
          <w:szCs w:val="20"/>
          <w:lang w:val="en-US"/>
        </w:rPr>
        <w:t>the State</w:t>
      </w:r>
      <w:r w:rsidR="00012C6E" w:rsidRPr="007B2402">
        <w:rPr>
          <w:rFonts w:eastAsia="Cambria" w:cs="Times New Roman"/>
          <w:szCs w:val="20"/>
          <w:lang w:val="en-US"/>
        </w:rPr>
        <w:t xml:space="preserve"> </w:t>
      </w:r>
      <w:r w:rsidRPr="007B2402">
        <w:rPr>
          <w:rFonts w:eastAsia="Cambria" w:cs="Times New Roman"/>
          <w:szCs w:val="20"/>
          <w:lang w:val="en-US"/>
        </w:rPr>
        <w:t xml:space="preserve">concerning the lack of competence </w:t>
      </w:r>
      <w:r w:rsidR="00012C6E" w:rsidRPr="007B2402">
        <w:rPr>
          <w:i/>
          <w:szCs w:val="20"/>
          <w:lang w:val="en-US" w:eastAsia="es-ES"/>
        </w:rPr>
        <w:t>ratione temporis</w:t>
      </w:r>
      <w:r w:rsidR="00012C6E" w:rsidRPr="007B2402">
        <w:rPr>
          <w:szCs w:val="20"/>
          <w:lang w:val="en-US" w:eastAsia="es-ES"/>
        </w:rPr>
        <w:t xml:space="preserve"> </w:t>
      </w:r>
      <w:r w:rsidRPr="007B2402">
        <w:rPr>
          <w:szCs w:val="20"/>
          <w:lang w:val="en-US" w:eastAsia="es-ES"/>
        </w:rPr>
        <w:t xml:space="preserve">in relation to facts prior to its adhesion to </w:t>
      </w:r>
      <w:r w:rsidR="00AF4344" w:rsidRPr="007B2402">
        <w:rPr>
          <w:rFonts w:eastAsia="Calibri" w:cs="Times New Roman"/>
          <w:szCs w:val="20"/>
          <w:lang w:val="en-US"/>
        </w:rPr>
        <w:t>the American Convention</w:t>
      </w:r>
      <w:r w:rsidR="007A2002" w:rsidRPr="007B2402">
        <w:rPr>
          <w:rFonts w:eastAsia="Calibri" w:cs="Times New Roman"/>
          <w:szCs w:val="20"/>
          <w:lang w:val="en-US"/>
        </w:rPr>
        <w:t xml:space="preserve">, </w:t>
      </w:r>
      <w:r w:rsidRPr="007B2402">
        <w:rPr>
          <w:rFonts w:eastAsia="Calibri" w:cs="Times New Roman"/>
          <w:szCs w:val="20"/>
          <w:lang w:val="en-US"/>
        </w:rPr>
        <w:t xml:space="preserve">facts prior to the date on which the State accepted the jurisdiction of the Court, and facts prior to the entry into force of the </w:t>
      </w:r>
      <w:r w:rsidR="00375567" w:rsidRPr="007B2402">
        <w:rPr>
          <w:rFonts w:eastAsia="Calibri" w:cs="Times New Roman"/>
          <w:szCs w:val="20"/>
          <w:lang w:val="en-US"/>
        </w:rPr>
        <w:t>ICPPT</w:t>
      </w:r>
      <w:r w:rsidR="007A2002" w:rsidRPr="007B2402">
        <w:rPr>
          <w:rFonts w:eastAsia="Calibri" w:cs="Times New Roman"/>
          <w:szCs w:val="20"/>
          <w:lang w:val="en-US"/>
        </w:rPr>
        <w:t xml:space="preserve"> </w:t>
      </w:r>
      <w:r w:rsidRPr="007B2402">
        <w:rPr>
          <w:rFonts w:eastAsia="Calibri" w:cs="Times New Roman"/>
          <w:szCs w:val="20"/>
          <w:lang w:val="en-US"/>
        </w:rPr>
        <w:t xml:space="preserve">for the Brazilian </w:t>
      </w:r>
      <w:r w:rsidR="00AF4344" w:rsidRPr="007B2402">
        <w:rPr>
          <w:rFonts w:eastAsia="Calibri" w:cs="Times New Roman"/>
          <w:szCs w:val="20"/>
          <w:lang w:val="en-US"/>
        </w:rPr>
        <w:t>State</w:t>
      </w:r>
      <w:r w:rsidR="00012C6E" w:rsidRPr="007B2402">
        <w:rPr>
          <w:szCs w:val="20"/>
          <w:lang w:val="en-US" w:eastAsia="es-ES"/>
        </w:rPr>
        <w:t xml:space="preserve">, </w:t>
      </w:r>
      <w:r w:rsidR="00221E16" w:rsidRPr="007B2402">
        <w:rPr>
          <w:rFonts w:eastAsia="Cambria" w:cs="Times New Roman"/>
          <w:szCs w:val="20"/>
          <w:lang w:val="en-US"/>
        </w:rPr>
        <w:t>in the terms of</w:t>
      </w:r>
      <w:r w:rsidR="00012C6E" w:rsidRPr="007B2402">
        <w:rPr>
          <w:rFonts w:eastAsia="Cambria" w:cs="Times New Roman"/>
          <w:szCs w:val="20"/>
          <w:lang w:val="en-US"/>
        </w:rPr>
        <w:t xml:space="preserve"> </w:t>
      </w:r>
      <w:r w:rsidR="00221E16" w:rsidRPr="007B2402">
        <w:rPr>
          <w:rFonts w:eastAsia="Cambria" w:cs="Times New Roman"/>
          <w:szCs w:val="20"/>
          <w:lang w:val="en-US"/>
        </w:rPr>
        <w:t>paragraphs</w:t>
      </w:r>
      <w:r w:rsidR="00012C6E" w:rsidRPr="007B2402">
        <w:rPr>
          <w:rFonts w:eastAsia="Cambria" w:cs="Times New Roman"/>
          <w:szCs w:val="20"/>
          <w:lang w:val="en-US"/>
        </w:rPr>
        <w:t xml:space="preserve"> </w:t>
      </w:r>
      <w:r w:rsidR="003F140C" w:rsidRPr="007B2402">
        <w:rPr>
          <w:rFonts w:eastAsia="Cambria" w:cs="Times New Roman"/>
          <w:szCs w:val="20"/>
          <w:lang w:val="en-US"/>
        </w:rPr>
        <w:t>27</w:t>
      </w:r>
      <w:r w:rsidR="00221E16" w:rsidRPr="007B2402">
        <w:rPr>
          <w:rFonts w:eastAsia="Cambria" w:cs="Times New Roman"/>
          <w:szCs w:val="20"/>
          <w:lang w:val="en-US"/>
        </w:rPr>
        <w:t xml:space="preserve"> to </w:t>
      </w:r>
      <w:r w:rsidR="003F140C" w:rsidRPr="007B2402">
        <w:rPr>
          <w:rFonts w:eastAsia="Cambria" w:cs="Times New Roman"/>
          <w:szCs w:val="20"/>
          <w:lang w:val="en-US"/>
        </w:rPr>
        <w:t xml:space="preserve">30 </w:t>
      </w:r>
      <w:r w:rsidR="00221E16" w:rsidRPr="007B2402">
        <w:rPr>
          <w:rFonts w:eastAsia="Cambria" w:cs="Times New Roman"/>
          <w:szCs w:val="20"/>
          <w:lang w:val="en-US"/>
        </w:rPr>
        <w:t>of this judgment</w:t>
      </w:r>
      <w:r w:rsidR="00012C6E" w:rsidRPr="007B2402">
        <w:rPr>
          <w:rFonts w:eastAsia="Cambria" w:cs="Times New Roman"/>
          <w:szCs w:val="20"/>
          <w:lang w:val="en-US"/>
        </w:rPr>
        <w:t xml:space="preserve"> </w:t>
      </w:r>
    </w:p>
    <w:p w14:paraId="51535A09" w14:textId="77777777" w:rsidR="00012C6E" w:rsidRPr="007B2402" w:rsidRDefault="00012C6E" w:rsidP="00C66F63">
      <w:pPr>
        <w:pStyle w:val="Prrafodelista"/>
        <w:tabs>
          <w:tab w:val="left" w:pos="720"/>
        </w:tabs>
        <w:ind w:left="0" w:right="-90"/>
        <w:contextualSpacing w:val="0"/>
        <w:rPr>
          <w:rFonts w:eastAsia="Cambria" w:cs="Times New Roman"/>
          <w:szCs w:val="20"/>
          <w:lang w:val="en-US"/>
        </w:rPr>
      </w:pPr>
    </w:p>
    <w:p w14:paraId="05B1F45C" w14:textId="3CD58B63" w:rsidR="00012C6E" w:rsidRPr="007B2402" w:rsidRDefault="00012C6E" w:rsidP="00C66F63">
      <w:pPr>
        <w:tabs>
          <w:tab w:val="left" w:pos="720"/>
        </w:tabs>
        <w:spacing w:after="0" w:line="240" w:lineRule="auto"/>
        <w:ind w:right="-90"/>
        <w:rPr>
          <w:rFonts w:eastAsia="MS Mincho" w:cs="Times New Roman"/>
          <w:szCs w:val="20"/>
          <w:lang w:val="en-US" w:bidi="en-US"/>
        </w:rPr>
      </w:pPr>
      <w:r w:rsidRPr="007B2402">
        <w:rPr>
          <w:rFonts w:eastAsia="MS Mincho" w:cs="Times New Roman"/>
          <w:b/>
          <w:bCs/>
          <w:szCs w:val="20"/>
          <w:lang w:val="en-US" w:bidi="en-US"/>
        </w:rPr>
        <w:t>DECLAR</w:t>
      </w:r>
      <w:r w:rsidR="00221E16" w:rsidRPr="007B2402">
        <w:rPr>
          <w:rFonts w:eastAsia="MS Mincho" w:cs="Times New Roman"/>
          <w:b/>
          <w:bCs/>
          <w:szCs w:val="20"/>
          <w:lang w:val="en-US" w:bidi="en-US"/>
        </w:rPr>
        <w:t>ES</w:t>
      </w:r>
      <w:r w:rsidRPr="007B2402">
        <w:rPr>
          <w:rFonts w:eastAsia="MS Mincho" w:cs="Times New Roman"/>
          <w:b/>
          <w:bCs/>
          <w:szCs w:val="20"/>
          <w:lang w:val="en-US" w:bidi="en-US"/>
        </w:rPr>
        <w:t xml:space="preserve">: </w:t>
      </w:r>
    </w:p>
    <w:p w14:paraId="16F82A91" w14:textId="77777777" w:rsidR="00012C6E" w:rsidRPr="007B2402" w:rsidRDefault="00012C6E" w:rsidP="00C66F63">
      <w:pPr>
        <w:tabs>
          <w:tab w:val="left" w:pos="720"/>
        </w:tabs>
        <w:spacing w:after="0" w:line="240" w:lineRule="auto"/>
        <w:ind w:right="-90"/>
        <w:rPr>
          <w:rFonts w:eastAsia="MS Mincho" w:cs="Times New Roman"/>
          <w:szCs w:val="20"/>
          <w:lang w:val="en-US" w:bidi="en-US"/>
        </w:rPr>
      </w:pPr>
    </w:p>
    <w:p w14:paraId="2A058B5B" w14:textId="4A7D957F" w:rsidR="00012C6E" w:rsidRPr="007B2402" w:rsidRDefault="00221E16" w:rsidP="00C66F63">
      <w:pPr>
        <w:spacing w:after="0" w:line="240" w:lineRule="auto"/>
        <w:ind w:right="-91"/>
        <w:rPr>
          <w:rFonts w:eastAsia="MS Mincho" w:cs="Times New Roman"/>
          <w:szCs w:val="20"/>
          <w:lang w:val="en-US" w:bidi="en-US"/>
        </w:rPr>
      </w:pPr>
      <w:r w:rsidRPr="007B2402">
        <w:rPr>
          <w:rFonts w:eastAsia="MS Mincho" w:cs="Times New Roman"/>
          <w:szCs w:val="20"/>
          <w:lang w:val="en-US" w:bidi="en-US"/>
        </w:rPr>
        <w:t>Unanimously that</w:t>
      </w:r>
      <w:r w:rsidR="00012C6E" w:rsidRPr="007B2402">
        <w:rPr>
          <w:rFonts w:eastAsia="MS Mincho" w:cs="Times New Roman"/>
          <w:szCs w:val="20"/>
          <w:lang w:val="en-US" w:bidi="en-US"/>
        </w:rPr>
        <w:t>:</w:t>
      </w:r>
    </w:p>
    <w:p w14:paraId="00B4D2D2" w14:textId="77777777" w:rsidR="009B2781" w:rsidRPr="007B2402" w:rsidRDefault="009B2781" w:rsidP="00C66F63">
      <w:pPr>
        <w:spacing w:after="0" w:line="240" w:lineRule="auto"/>
        <w:ind w:right="-91"/>
        <w:rPr>
          <w:rFonts w:eastAsia="MS Mincho" w:cs="Times New Roman"/>
          <w:szCs w:val="20"/>
          <w:lang w:val="en-US" w:bidi="en-US"/>
        </w:rPr>
      </w:pPr>
    </w:p>
    <w:p w14:paraId="31BFFA40" w14:textId="66065F4E" w:rsidR="00012C6E" w:rsidRPr="007B2402" w:rsidRDefault="00221E16" w:rsidP="00C66F63">
      <w:pPr>
        <w:pStyle w:val="Prrafodelista"/>
        <w:numPr>
          <w:ilvl w:val="3"/>
          <w:numId w:val="5"/>
        </w:numPr>
        <w:tabs>
          <w:tab w:val="left" w:pos="720"/>
        </w:tabs>
        <w:ind w:left="0" w:right="-90" w:firstLine="0"/>
        <w:contextualSpacing w:val="0"/>
        <w:rPr>
          <w:rFonts w:eastAsia="Cambria" w:cs="Times New Roman"/>
          <w:szCs w:val="20"/>
          <w:lang w:val="en-US"/>
        </w:rPr>
      </w:pPr>
      <w:r w:rsidRPr="007B2402">
        <w:rPr>
          <w:rFonts w:eastAsia="Cambria" w:cs="Times New Roman"/>
          <w:szCs w:val="20"/>
          <w:lang w:val="en-US"/>
        </w:rPr>
        <w:t xml:space="preserve">The State is responsible for the violation of the rights to </w:t>
      </w:r>
      <w:r w:rsidR="008B5281" w:rsidRPr="007B2402">
        <w:rPr>
          <w:rFonts w:eastAsia="Calibri"/>
          <w:color w:val="000000"/>
          <w:szCs w:val="20"/>
          <w:lang w:val="en-US"/>
        </w:rPr>
        <w:t>judicial guarantees</w:t>
      </w:r>
      <w:r w:rsidR="005B1590" w:rsidRPr="007B2402">
        <w:rPr>
          <w:rFonts w:eastAsia="Calibri"/>
          <w:color w:val="000000"/>
          <w:szCs w:val="20"/>
          <w:lang w:val="en-US"/>
        </w:rPr>
        <w:t xml:space="preserve"> and</w:t>
      </w:r>
      <w:r w:rsidR="00CD22E8" w:rsidRPr="007B2402">
        <w:rPr>
          <w:rFonts w:eastAsia="Calibri"/>
          <w:color w:val="000000"/>
          <w:szCs w:val="20"/>
          <w:lang w:val="en-US"/>
        </w:rPr>
        <w:t xml:space="preserve"> </w:t>
      </w:r>
      <w:r w:rsidR="008B5281" w:rsidRPr="007B2402">
        <w:rPr>
          <w:rFonts w:eastAsia="Calibri"/>
          <w:color w:val="000000"/>
          <w:szCs w:val="20"/>
          <w:lang w:val="en-US"/>
        </w:rPr>
        <w:t>judicial protection</w:t>
      </w:r>
      <w:r w:rsidR="00CD22E8" w:rsidRPr="007B2402">
        <w:rPr>
          <w:rFonts w:eastAsia="Calibri"/>
          <w:color w:val="000000"/>
          <w:szCs w:val="20"/>
          <w:lang w:val="en-US"/>
        </w:rPr>
        <w:t xml:space="preserve">, </w:t>
      </w:r>
      <w:r w:rsidR="008B5281" w:rsidRPr="007B2402">
        <w:rPr>
          <w:rFonts w:eastAsia="Calibri"/>
          <w:color w:val="000000"/>
          <w:szCs w:val="20"/>
          <w:lang w:val="en-US"/>
        </w:rPr>
        <w:t>established in</w:t>
      </w:r>
      <w:r w:rsidR="00CD22E8" w:rsidRPr="007B2402">
        <w:rPr>
          <w:rFonts w:eastAsia="Calibri"/>
          <w:color w:val="000000"/>
          <w:szCs w:val="20"/>
          <w:lang w:val="en-US"/>
        </w:rPr>
        <w:t xml:space="preserve"> </w:t>
      </w:r>
      <w:r w:rsidR="00AF4344" w:rsidRPr="007B2402">
        <w:rPr>
          <w:rFonts w:eastAsia="Calibri"/>
          <w:color w:val="000000"/>
          <w:szCs w:val="20"/>
          <w:lang w:val="en-US"/>
        </w:rPr>
        <w:t>Articles</w:t>
      </w:r>
      <w:r w:rsidR="00CD22E8" w:rsidRPr="007B2402">
        <w:rPr>
          <w:rFonts w:eastAsia="Calibri"/>
          <w:color w:val="000000"/>
          <w:szCs w:val="20"/>
          <w:lang w:val="en-US"/>
        </w:rPr>
        <w:t xml:space="preserve"> </w:t>
      </w:r>
      <w:r w:rsidR="00375567" w:rsidRPr="007B2402">
        <w:rPr>
          <w:rFonts w:eastAsia="Calibri"/>
          <w:color w:val="000000"/>
          <w:szCs w:val="20"/>
          <w:lang w:val="en-US"/>
        </w:rPr>
        <w:t>8(1)</w:t>
      </w:r>
      <w:r w:rsidR="005B1590" w:rsidRPr="007B2402">
        <w:rPr>
          <w:rFonts w:eastAsia="Calibri"/>
          <w:color w:val="000000"/>
          <w:szCs w:val="20"/>
          <w:lang w:val="en-US"/>
        </w:rPr>
        <w:t xml:space="preserve"> and </w:t>
      </w:r>
      <w:r w:rsidR="00CD22E8" w:rsidRPr="007B2402">
        <w:rPr>
          <w:rFonts w:eastAsia="Calibri"/>
          <w:color w:val="000000"/>
          <w:szCs w:val="20"/>
          <w:lang w:val="en-US"/>
        </w:rPr>
        <w:t>2</w:t>
      </w:r>
      <w:r w:rsidR="00375567" w:rsidRPr="007B2402">
        <w:rPr>
          <w:rFonts w:eastAsia="Calibri"/>
          <w:color w:val="000000"/>
          <w:szCs w:val="20"/>
          <w:lang w:val="en-US"/>
        </w:rPr>
        <w:t>5(1)</w:t>
      </w:r>
      <w:r w:rsidR="00AF4344" w:rsidRPr="007B2402">
        <w:rPr>
          <w:rFonts w:eastAsia="Calibri"/>
          <w:color w:val="000000"/>
          <w:szCs w:val="20"/>
          <w:lang w:val="en-US"/>
        </w:rPr>
        <w:t xml:space="preserve"> of the American Convention</w:t>
      </w:r>
      <w:r w:rsidR="00CD22E8" w:rsidRPr="007B2402">
        <w:rPr>
          <w:rFonts w:eastAsia="Calibri"/>
          <w:color w:val="000000"/>
          <w:szCs w:val="20"/>
          <w:lang w:val="en-US"/>
        </w:rPr>
        <w:t xml:space="preserve">, </w:t>
      </w:r>
      <w:r w:rsidR="00BF1A22" w:rsidRPr="007B2402">
        <w:rPr>
          <w:rFonts w:eastAsia="Calibri"/>
          <w:color w:val="000000"/>
          <w:szCs w:val="20"/>
          <w:lang w:val="en-US"/>
        </w:rPr>
        <w:t>in relation to Article</w:t>
      </w:r>
      <w:r w:rsidR="00AF4344" w:rsidRPr="007B2402">
        <w:rPr>
          <w:rFonts w:eastAsia="Calibri"/>
          <w:color w:val="000000"/>
          <w:szCs w:val="20"/>
          <w:lang w:val="en-US"/>
        </w:rPr>
        <w:t>s</w:t>
      </w:r>
      <w:r w:rsidR="00CD22E8" w:rsidRPr="007B2402">
        <w:rPr>
          <w:rFonts w:eastAsia="Calibri"/>
          <w:color w:val="000000"/>
          <w:szCs w:val="20"/>
          <w:lang w:val="en-US"/>
        </w:rPr>
        <w:t xml:space="preserve"> </w:t>
      </w:r>
      <w:r w:rsidR="00375567" w:rsidRPr="007B2402">
        <w:rPr>
          <w:rFonts w:eastAsia="Calibri"/>
          <w:color w:val="000000"/>
          <w:szCs w:val="20"/>
          <w:lang w:val="en-US"/>
        </w:rPr>
        <w:t>1(1) and 2</w:t>
      </w:r>
      <w:r w:rsidR="00CD22E8" w:rsidRPr="007B2402">
        <w:rPr>
          <w:rFonts w:eastAsia="Calibri"/>
          <w:color w:val="000000"/>
          <w:szCs w:val="20"/>
          <w:lang w:val="en-US"/>
        </w:rPr>
        <w:t xml:space="preserve"> </w:t>
      </w:r>
      <w:r w:rsidR="008B5281" w:rsidRPr="007B2402">
        <w:rPr>
          <w:rFonts w:eastAsia="Calibri"/>
          <w:color w:val="000000"/>
          <w:szCs w:val="20"/>
          <w:lang w:val="en-US"/>
        </w:rPr>
        <w:t>of this instrument</w:t>
      </w:r>
      <w:r w:rsidR="00CD22E8" w:rsidRPr="007B2402">
        <w:rPr>
          <w:rFonts w:eastAsia="Calibri"/>
          <w:color w:val="000000"/>
          <w:szCs w:val="20"/>
          <w:lang w:val="en-US"/>
        </w:rPr>
        <w:t>,</w:t>
      </w:r>
      <w:r w:rsidR="005B1590" w:rsidRPr="007B2402">
        <w:rPr>
          <w:rFonts w:eastAsia="Calibri"/>
          <w:color w:val="000000"/>
          <w:szCs w:val="20"/>
          <w:lang w:val="en-US"/>
        </w:rPr>
        <w:t xml:space="preserve"> and </w:t>
      </w:r>
      <w:r w:rsidR="00BF1A22" w:rsidRPr="007B2402">
        <w:rPr>
          <w:rFonts w:eastAsia="Calibri"/>
          <w:color w:val="000000"/>
          <w:szCs w:val="20"/>
          <w:lang w:val="en-US"/>
        </w:rPr>
        <w:t>in relation to Article</w:t>
      </w:r>
      <w:r w:rsidR="00AF4344" w:rsidRPr="007B2402">
        <w:rPr>
          <w:rFonts w:eastAsia="Calibri"/>
          <w:color w:val="000000"/>
          <w:szCs w:val="20"/>
          <w:lang w:val="en-US"/>
        </w:rPr>
        <w:t>s</w:t>
      </w:r>
      <w:r w:rsidR="00CD22E8" w:rsidRPr="007B2402">
        <w:rPr>
          <w:rFonts w:eastAsia="Calibri"/>
          <w:color w:val="000000"/>
          <w:szCs w:val="20"/>
          <w:lang w:val="en-US"/>
        </w:rPr>
        <w:t xml:space="preserve"> 1, 6</w:t>
      </w:r>
      <w:r w:rsidR="005B1590" w:rsidRPr="007B2402">
        <w:rPr>
          <w:rFonts w:eastAsia="Calibri"/>
          <w:color w:val="000000"/>
          <w:szCs w:val="20"/>
          <w:lang w:val="en-US"/>
        </w:rPr>
        <w:t xml:space="preserve"> and </w:t>
      </w:r>
      <w:r w:rsidR="00CD22E8" w:rsidRPr="007B2402">
        <w:rPr>
          <w:rFonts w:eastAsia="Calibri"/>
          <w:color w:val="000000"/>
          <w:szCs w:val="20"/>
          <w:lang w:val="en-US"/>
        </w:rPr>
        <w:t>8</w:t>
      </w:r>
      <w:r w:rsidR="00AF4344" w:rsidRPr="007B2402">
        <w:rPr>
          <w:rFonts w:eastAsia="Calibri"/>
          <w:color w:val="000000"/>
          <w:szCs w:val="20"/>
          <w:lang w:val="en-US"/>
        </w:rPr>
        <w:t xml:space="preserve"> of the </w:t>
      </w:r>
      <w:r w:rsidR="00375567" w:rsidRPr="007B2402">
        <w:rPr>
          <w:rFonts w:eastAsia="Calibri"/>
          <w:color w:val="000000"/>
          <w:szCs w:val="20"/>
          <w:lang w:val="en-US"/>
        </w:rPr>
        <w:t>Inter-American Convention to Prevent and Punish Torture</w:t>
      </w:r>
      <w:r w:rsidR="00CD22E8" w:rsidRPr="007B2402">
        <w:rPr>
          <w:rFonts w:eastAsia="Calibri"/>
          <w:color w:val="000000"/>
          <w:szCs w:val="20"/>
          <w:lang w:val="en-US"/>
        </w:rPr>
        <w:t xml:space="preserve">, </w:t>
      </w:r>
      <w:r w:rsidR="008B5281" w:rsidRPr="007B2402">
        <w:rPr>
          <w:rFonts w:eastAsia="Calibri"/>
          <w:color w:val="000000"/>
          <w:szCs w:val="20"/>
          <w:lang w:val="en-US"/>
        </w:rPr>
        <w:t>of</w:t>
      </w:r>
      <w:r w:rsidR="00CD22E8" w:rsidRPr="007B2402">
        <w:rPr>
          <w:rFonts w:eastAsia="Calibri"/>
          <w:color w:val="000000"/>
          <w:szCs w:val="20"/>
          <w:lang w:val="en-US"/>
        </w:rPr>
        <w:t xml:space="preserve"> Zora, Clarice, André </w:t>
      </w:r>
      <w:r w:rsidR="008B5281" w:rsidRPr="007B2402">
        <w:rPr>
          <w:rFonts w:eastAsia="Calibri"/>
          <w:color w:val="000000"/>
          <w:szCs w:val="20"/>
          <w:lang w:val="en-US"/>
        </w:rPr>
        <w:t>and</w:t>
      </w:r>
      <w:r w:rsidR="00CD22E8" w:rsidRPr="007B2402">
        <w:rPr>
          <w:rFonts w:eastAsia="Calibri"/>
          <w:color w:val="000000"/>
          <w:szCs w:val="20"/>
          <w:lang w:val="en-US"/>
        </w:rPr>
        <w:t xml:space="preserve"> Ivo Herzog, </w:t>
      </w:r>
      <w:r w:rsidR="008B5281" w:rsidRPr="007B2402">
        <w:rPr>
          <w:rFonts w:eastAsia="Calibri"/>
          <w:color w:val="000000"/>
          <w:szCs w:val="20"/>
          <w:lang w:val="en-US"/>
        </w:rPr>
        <w:t xml:space="preserve">owing to the failure to investigate, prosecute and punish those responsible for the torture and murder of </w:t>
      </w:r>
      <w:r w:rsidR="00CD22E8" w:rsidRPr="007B2402">
        <w:rPr>
          <w:rFonts w:eastAsia="Calibri"/>
          <w:color w:val="000000"/>
          <w:szCs w:val="20"/>
          <w:lang w:val="en-US"/>
        </w:rPr>
        <w:t>Vladimir Herzog com</w:t>
      </w:r>
      <w:r w:rsidR="008B5281" w:rsidRPr="007B2402">
        <w:rPr>
          <w:rFonts w:eastAsia="Calibri"/>
          <w:color w:val="000000"/>
          <w:szCs w:val="20"/>
          <w:lang w:val="en-US"/>
        </w:rPr>
        <w:t xml:space="preserve">mitted in a systematic and </w:t>
      </w:r>
      <w:r w:rsidR="00B520AC" w:rsidRPr="007B2402">
        <w:rPr>
          <w:rFonts w:eastAsia="Calibri"/>
          <w:color w:val="000000"/>
          <w:szCs w:val="20"/>
          <w:lang w:val="en-US"/>
        </w:rPr>
        <w:t>widespread</w:t>
      </w:r>
      <w:r w:rsidR="008B5281" w:rsidRPr="007B2402">
        <w:rPr>
          <w:rFonts w:eastAsia="Calibri"/>
          <w:color w:val="000000"/>
          <w:szCs w:val="20"/>
          <w:lang w:val="en-US"/>
        </w:rPr>
        <w:t xml:space="preserve"> context of attacks on the civilian population, as well for the application of </w:t>
      </w:r>
      <w:r w:rsidRPr="007B2402">
        <w:rPr>
          <w:rFonts w:eastAsia="Cambria" w:cs="Times New Roman"/>
          <w:szCs w:val="20"/>
          <w:lang w:val="en-US"/>
        </w:rPr>
        <w:t>Amnesty Law</w:t>
      </w:r>
      <w:r w:rsidR="004C5D8E" w:rsidRPr="007B2402">
        <w:rPr>
          <w:rFonts w:eastAsia="Cambria" w:cs="Times New Roman"/>
          <w:szCs w:val="20"/>
          <w:lang w:val="en-US"/>
        </w:rPr>
        <w:t xml:space="preserve"> No. 6683/79</w:t>
      </w:r>
      <w:r w:rsidR="005B1590" w:rsidRPr="007B2402">
        <w:rPr>
          <w:rFonts w:eastAsia="Cambria" w:cs="Times New Roman"/>
          <w:szCs w:val="20"/>
          <w:lang w:val="en-US"/>
        </w:rPr>
        <w:t xml:space="preserve"> and </w:t>
      </w:r>
      <w:r w:rsidR="008B5281" w:rsidRPr="007B2402">
        <w:rPr>
          <w:rFonts w:eastAsia="Cambria" w:cs="Times New Roman"/>
          <w:szCs w:val="20"/>
          <w:lang w:val="en-US"/>
        </w:rPr>
        <w:t>othe elements to exclude responsibility prohibited by international law in cases of crimes against humanity</w:t>
      </w:r>
      <w:r w:rsidR="004C5D8E" w:rsidRPr="007B2402">
        <w:rPr>
          <w:rFonts w:eastAsia="Cambria" w:cs="Times New Roman"/>
          <w:szCs w:val="20"/>
          <w:lang w:val="en-US"/>
        </w:rPr>
        <w:t xml:space="preserve">, </w:t>
      </w:r>
      <w:r w:rsidRPr="007B2402">
        <w:rPr>
          <w:rFonts w:eastAsia="Cambria" w:cs="Times New Roman"/>
          <w:szCs w:val="20"/>
          <w:lang w:val="en-US"/>
        </w:rPr>
        <w:t>in the terms of</w:t>
      </w:r>
      <w:r w:rsidR="00012C6E" w:rsidRPr="007B2402">
        <w:rPr>
          <w:rFonts w:eastAsia="Cambria" w:cs="Times New Roman"/>
          <w:szCs w:val="20"/>
          <w:lang w:val="en-US"/>
        </w:rPr>
        <w:t xml:space="preserve"> </w:t>
      </w:r>
      <w:r w:rsidRPr="007B2402">
        <w:rPr>
          <w:rFonts w:eastAsia="Cambria" w:cs="Times New Roman"/>
          <w:szCs w:val="20"/>
          <w:lang w:val="en-US"/>
        </w:rPr>
        <w:t>paragraphs</w:t>
      </w:r>
      <w:r w:rsidR="00012C6E" w:rsidRPr="007B2402">
        <w:rPr>
          <w:rFonts w:eastAsia="Cambria" w:cs="Times New Roman"/>
          <w:szCs w:val="20"/>
          <w:lang w:val="en-US"/>
        </w:rPr>
        <w:t xml:space="preserve"> </w:t>
      </w:r>
      <w:r w:rsidR="008E5044" w:rsidRPr="007B2402">
        <w:rPr>
          <w:rFonts w:eastAsia="Cambria" w:cs="Times New Roman"/>
          <w:szCs w:val="20"/>
          <w:lang w:val="en-US"/>
        </w:rPr>
        <w:t xml:space="preserve">208 </w:t>
      </w:r>
      <w:r w:rsidRPr="007B2402">
        <w:rPr>
          <w:rFonts w:eastAsia="Cambria" w:cs="Times New Roman"/>
          <w:szCs w:val="20"/>
          <w:lang w:val="en-US"/>
        </w:rPr>
        <w:t>to</w:t>
      </w:r>
      <w:r w:rsidR="003F140C" w:rsidRPr="007B2402">
        <w:rPr>
          <w:rFonts w:eastAsia="Cambria" w:cs="Times New Roman"/>
          <w:szCs w:val="20"/>
          <w:lang w:val="en-US"/>
        </w:rPr>
        <w:t xml:space="preserve"> 312 </w:t>
      </w:r>
      <w:r w:rsidRPr="007B2402">
        <w:rPr>
          <w:rFonts w:eastAsia="Cambria" w:cs="Times New Roman"/>
          <w:szCs w:val="20"/>
          <w:lang w:val="en-US"/>
        </w:rPr>
        <w:t>of this judgment</w:t>
      </w:r>
    </w:p>
    <w:p w14:paraId="6B003646" w14:textId="77777777" w:rsidR="00CD22E8" w:rsidRPr="007B2402" w:rsidRDefault="00CD22E8" w:rsidP="00C66F63">
      <w:pPr>
        <w:spacing w:after="0" w:line="240" w:lineRule="auto"/>
        <w:ind w:right="-90"/>
        <w:rPr>
          <w:rFonts w:eastAsia="MS Mincho" w:cs="Times New Roman"/>
          <w:szCs w:val="20"/>
          <w:lang w:val="en-US" w:bidi="en-US"/>
        </w:rPr>
      </w:pPr>
    </w:p>
    <w:p w14:paraId="69BBF2A1" w14:textId="0EEAAC74" w:rsidR="00012C6E" w:rsidRPr="007B2402" w:rsidRDefault="00221E16" w:rsidP="00C66F63">
      <w:pPr>
        <w:spacing w:after="0" w:line="240" w:lineRule="auto"/>
        <w:ind w:right="-91"/>
        <w:rPr>
          <w:rFonts w:eastAsia="MS Mincho" w:cs="Times New Roman"/>
          <w:szCs w:val="20"/>
          <w:lang w:val="en-US" w:bidi="en-US"/>
        </w:rPr>
      </w:pPr>
      <w:r w:rsidRPr="007B2402">
        <w:rPr>
          <w:rFonts w:eastAsia="MS Mincho" w:cs="Times New Roman"/>
          <w:szCs w:val="20"/>
          <w:lang w:val="en-US" w:bidi="en-US"/>
        </w:rPr>
        <w:t>Unanimously that</w:t>
      </w:r>
      <w:r w:rsidR="00012C6E" w:rsidRPr="007B2402">
        <w:rPr>
          <w:rFonts w:eastAsia="MS Mincho" w:cs="Times New Roman"/>
          <w:szCs w:val="20"/>
          <w:lang w:val="en-US" w:bidi="en-US"/>
        </w:rPr>
        <w:t>:</w:t>
      </w:r>
    </w:p>
    <w:p w14:paraId="73A9337F" w14:textId="77777777" w:rsidR="009B2781" w:rsidRPr="007B2402" w:rsidRDefault="009B2781" w:rsidP="00C66F63">
      <w:pPr>
        <w:spacing w:after="0" w:line="240" w:lineRule="auto"/>
        <w:ind w:right="-91"/>
        <w:rPr>
          <w:rFonts w:eastAsia="MS Mincho" w:cs="Times New Roman"/>
          <w:szCs w:val="20"/>
          <w:lang w:val="en-US" w:bidi="en-US"/>
        </w:rPr>
      </w:pPr>
    </w:p>
    <w:p w14:paraId="56EB5186" w14:textId="6BC73E26" w:rsidR="00012C6E" w:rsidRPr="007B2402" w:rsidRDefault="00221E16" w:rsidP="008B5281">
      <w:pPr>
        <w:pStyle w:val="Prrafodelista"/>
        <w:numPr>
          <w:ilvl w:val="3"/>
          <w:numId w:val="5"/>
        </w:numPr>
        <w:ind w:left="0" w:right="-90" w:firstLine="0"/>
        <w:contextualSpacing w:val="0"/>
        <w:rPr>
          <w:rFonts w:eastAsia="MS Mincho" w:cs="Times New Roman"/>
          <w:szCs w:val="20"/>
          <w:lang w:val="en-US" w:bidi="en-US"/>
        </w:rPr>
      </w:pPr>
      <w:r w:rsidRPr="007B2402">
        <w:rPr>
          <w:rFonts w:eastAsia="Cambria" w:cs="Times New Roman"/>
          <w:szCs w:val="20"/>
          <w:lang w:val="en-US"/>
        </w:rPr>
        <w:t>The State is responsible for the violation of the right to know the truth of</w:t>
      </w:r>
      <w:r w:rsidR="002E0089" w:rsidRPr="007B2402">
        <w:rPr>
          <w:rFonts w:eastAsia="Cambria" w:cs="Times New Roman"/>
          <w:szCs w:val="20"/>
          <w:lang w:val="en-US"/>
        </w:rPr>
        <w:t xml:space="preserve"> Zora Herzog, Clarice Herzog, Ivo Herzog</w:t>
      </w:r>
      <w:r w:rsidR="005B1590" w:rsidRPr="007B2402">
        <w:rPr>
          <w:rFonts w:eastAsia="Cambria" w:cs="Times New Roman"/>
          <w:szCs w:val="20"/>
          <w:lang w:val="en-US"/>
        </w:rPr>
        <w:t xml:space="preserve"> and </w:t>
      </w:r>
      <w:r w:rsidR="002E0089" w:rsidRPr="007B2402">
        <w:rPr>
          <w:rFonts w:eastAsia="Cambria" w:cs="Times New Roman"/>
          <w:szCs w:val="20"/>
          <w:lang w:val="en-US"/>
        </w:rPr>
        <w:t xml:space="preserve">Andre Herzog, </w:t>
      </w:r>
      <w:r w:rsidR="008B5281" w:rsidRPr="007B2402">
        <w:rPr>
          <w:rFonts w:eastAsia="Cambria" w:cs="Times New Roman"/>
          <w:szCs w:val="20"/>
          <w:lang w:val="en-US"/>
        </w:rPr>
        <w:t xml:space="preserve">because </w:t>
      </w:r>
      <w:r w:rsidR="00E547BB" w:rsidRPr="007B2402">
        <w:rPr>
          <w:rFonts w:eastAsia="Cambria" w:cs="Times New Roman"/>
          <w:szCs w:val="20"/>
          <w:lang w:val="en-US"/>
        </w:rPr>
        <w:t>it</w:t>
      </w:r>
      <w:r w:rsidR="008B5281" w:rsidRPr="007B2402">
        <w:rPr>
          <w:rFonts w:eastAsia="Cambria" w:cs="Times New Roman"/>
          <w:szCs w:val="20"/>
          <w:lang w:val="en-US"/>
        </w:rPr>
        <w:t xml:space="preserve"> ha</w:t>
      </w:r>
      <w:r w:rsidR="00E547BB" w:rsidRPr="007B2402">
        <w:rPr>
          <w:rFonts w:eastAsia="Cambria" w:cs="Times New Roman"/>
          <w:szCs w:val="20"/>
          <w:lang w:val="en-US"/>
        </w:rPr>
        <w:t>s</w:t>
      </w:r>
      <w:r w:rsidR="008B5281" w:rsidRPr="007B2402">
        <w:rPr>
          <w:rFonts w:eastAsia="Cambria" w:cs="Times New Roman"/>
          <w:szCs w:val="20"/>
          <w:lang w:val="en-US"/>
        </w:rPr>
        <w:t xml:space="preserve"> failed to clarify</w:t>
      </w:r>
      <w:r w:rsidR="00E547BB" w:rsidRPr="007B2402">
        <w:rPr>
          <w:rFonts w:eastAsia="Cambria" w:cs="Times New Roman"/>
          <w:szCs w:val="20"/>
          <w:lang w:val="en-US"/>
        </w:rPr>
        <w:t xml:space="preserve"> judicially</w:t>
      </w:r>
      <w:r w:rsidR="008B5281" w:rsidRPr="007B2402">
        <w:rPr>
          <w:rFonts w:eastAsia="Cambria" w:cs="Times New Roman"/>
          <w:szCs w:val="20"/>
          <w:lang w:val="en-US"/>
        </w:rPr>
        <w:t xml:space="preserve"> </w:t>
      </w:r>
      <w:r w:rsidR="00E547BB" w:rsidRPr="007B2402">
        <w:rPr>
          <w:rFonts w:eastAsia="Cambria" w:cs="Times New Roman"/>
          <w:szCs w:val="20"/>
          <w:lang w:val="en-US"/>
        </w:rPr>
        <w:t xml:space="preserve">the facts that </w:t>
      </w:r>
      <w:r w:rsidR="008B5281" w:rsidRPr="007B2402">
        <w:rPr>
          <w:rFonts w:eastAsia="Cambria" w:cs="Times New Roman"/>
          <w:szCs w:val="20"/>
          <w:lang w:val="en-US"/>
        </w:rPr>
        <w:t>violat</w:t>
      </w:r>
      <w:r w:rsidR="00E547BB" w:rsidRPr="007B2402">
        <w:rPr>
          <w:rFonts w:eastAsia="Cambria" w:cs="Times New Roman"/>
          <w:szCs w:val="20"/>
          <w:lang w:val="en-US"/>
        </w:rPr>
        <w:t>ed their rights</w:t>
      </w:r>
      <w:r w:rsidR="008B5281" w:rsidRPr="007B2402">
        <w:rPr>
          <w:rFonts w:eastAsia="Cambria" w:cs="Times New Roman"/>
          <w:szCs w:val="20"/>
          <w:lang w:val="en-US"/>
        </w:rPr>
        <w:t xml:space="preserve"> in this case and </w:t>
      </w:r>
      <w:r w:rsidR="00E547BB" w:rsidRPr="007B2402">
        <w:rPr>
          <w:rFonts w:eastAsia="Cambria" w:cs="Times New Roman"/>
          <w:szCs w:val="20"/>
          <w:lang w:val="en-US"/>
        </w:rPr>
        <w:t xml:space="preserve">has not </w:t>
      </w:r>
      <w:r w:rsidR="008B5281" w:rsidRPr="007B2402">
        <w:rPr>
          <w:rFonts w:eastAsia="Cambria" w:cs="Times New Roman"/>
          <w:szCs w:val="20"/>
          <w:lang w:val="en-US"/>
        </w:rPr>
        <w:t>determine</w:t>
      </w:r>
      <w:r w:rsidR="00E547BB" w:rsidRPr="007B2402">
        <w:rPr>
          <w:rFonts w:eastAsia="Cambria" w:cs="Times New Roman"/>
          <w:szCs w:val="20"/>
          <w:lang w:val="en-US"/>
        </w:rPr>
        <w:t>d</w:t>
      </w:r>
      <w:r w:rsidR="008B5281" w:rsidRPr="007B2402">
        <w:rPr>
          <w:rFonts w:eastAsia="Cambria" w:cs="Times New Roman"/>
          <w:szCs w:val="20"/>
          <w:lang w:val="en-US"/>
        </w:rPr>
        <w:t xml:space="preserve"> the corresponding individual responsibilities in relation to the </w:t>
      </w:r>
      <w:r w:rsidR="008B5281" w:rsidRPr="007B2402">
        <w:rPr>
          <w:rFonts w:eastAsia="Calibri" w:cs="Times New Roman"/>
          <w:szCs w:val="20"/>
          <w:lang w:val="en-US"/>
        </w:rPr>
        <w:t xml:space="preserve">torture and murder of Vladimir Herzog, </w:t>
      </w:r>
      <w:r w:rsidR="00E547BB" w:rsidRPr="007B2402">
        <w:rPr>
          <w:rFonts w:eastAsia="Calibri" w:cs="Times New Roman"/>
          <w:szCs w:val="20"/>
          <w:lang w:val="en-US"/>
        </w:rPr>
        <w:t>by</w:t>
      </w:r>
      <w:r w:rsidR="008B5281" w:rsidRPr="007B2402">
        <w:rPr>
          <w:rFonts w:eastAsia="Calibri" w:cs="Times New Roman"/>
          <w:szCs w:val="20"/>
          <w:lang w:val="en-US"/>
        </w:rPr>
        <w:t xml:space="preserve"> investigati</w:t>
      </w:r>
      <w:r w:rsidR="00E547BB" w:rsidRPr="007B2402">
        <w:rPr>
          <w:rFonts w:eastAsia="Calibri" w:cs="Times New Roman"/>
          <w:szCs w:val="20"/>
          <w:lang w:val="en-US"/>
        </w:rPr>
        <w:t>ng</w:t>
      </w:r>
      <w:r w:rsidR="008B5281" w:rsidRPr="007B2402">
        <w:rPr>
          <w:rFonts w:eastAsia="Calibri" w:cs="Times New Roman"/>
          <w:szCs w:val="20"/>
          <w:lang w:val="en-US"/>
        </w:rPr>
        <w:t xml:space="preserve"> and prosecuti</w:t>
      </w:r>
      <w:r w:rsidR="00E547BB" w:rsidRPr="007B2402">
        <w:rPr>
          <w:rFonts w:eastAsia="Calibri" w:cs="Times New Roman"/>
          <w:szCs w:val="20"/>
          <w:lang w:val="en-US"/>
        </w:rPr>
        <w:t>ng</w:t>
      </w:r>
      <w:r w:rsidR="008B5281" w:rsidRPr="007B2402">
        <w:rPr>
          <w:rFonts w:eastAsia="Calibri" w:cs="Times New Roman"/>
          <w:szCs w:val="20"/>
          <w:lang w:val="en-US"/>
        </w:rPr>
        <w:t xml:space="preserve"> th</w:t>
      </w:r>
      <w:r w:rsidR="00E547BB" w:rsidRPr="007B2402">
        <w:rPr>
          <w:rFonts w:eastAsia="Calibri" w:cs="Times New Roman"/>
          <w:szCs w:val="20"/>
          <w:lang w:val="en-US"/>
        </w:rPr>
        <w:t>o</w:t>
      </w:r>
      <w:r w:rsidR="008B5281" w:rsidRPr="007B2402">
        <w:rPr>
          <w:rFonts w:eastAsia="Calibri" w:cs="Times New Roman"/>
          <w:szCs w:val="20"/>
          <w:lang w:val="en-US"/>
        </w:rPr>
        <w:t>se facts in the ordinary jurisdiction, pursuant to</w:t>
      </w:r>
      <w:r w:rsidR="002E0089" w:rsidRPr="007B2402">
        <w:rPr>
          <w:rFonts w:eastAsia="Calibri" w:cs="Times New Roman"/>
          <w:szCs w:val="20"/>
          <w:lang w:val="en-US"/>
        </w:rPr>
        <w:t xml:space="preserve"> </w:t>
      </w:r>
      <w:r w:rsidR="00AF4344" w:rsidRPr="007B2402">
        <w:rPr>
          <w:rFonts w:eastAsia="Calibri" w:cs="Times New Roman"/>
          <w:szCs w:val="20"/>
          <w:lang w:val="en-US"/>
        </w:rPr>
        <w:t>Articles</w:t>
      </w:r>
      <w:r w:rsidR="002E0089" w:rsidRPr="007B2402">
        <w:rPr>
          <w:rFonts w:eastAsia="Calibri" w:cs="Times New Roman"/>
          <w:szCs w:val="20"/>
          <w:lang w:val="en-US"/>
        </w:rPr>
        <w:t xml:space="preserve"> 8</w:t>
      </w:r>
      <w:r w:rsidR="005B1590" w:rsidRPr="007B2402">
        <w:rPr>
          <w:rFonts w:eastAsia="Calibri" w:cs="Times New Roman"/>
          <w:szCs w:val="20"/>
          <w:lang w:val="en-US"/>
        </w:rPr>
        <w:t xml:space="preserve"> and </w:t>
      </w:r>
      <w:r w:rsidR="002E0089" w:rsidRPr="007B2402">
        <w:rPr>
          <w:rFonts w:eastAsia="Calibri" w:cs="Times New Roman"/>
          <w:szCs w:val="20"/>
          <w:lang w:val="en-US"/>
        </w:rPr>
        <w:t>25</w:t>
      </w:r>
      <w:r w:rsidR="00AF4344" w:rsidRPr="007B2402">
        <w:rPr>
          <w:rFonts w:eastAsia="Calibri" w:cs="Times New Roman"/>
          <w:szCs w:val="20"/>
          <w:lang w:val="en-US"/>
        </w:rPr>
        <w:t xml:space="preserve"> of the American Convention</w:t>
      </w:r>
      <w:r w:rsidR="00012C6E" w:rsidRPr="007B2402">
        <w:rPr>
          <w:rFonts w:eastAsia="Cambria" w:cs="Times New Roman"/>
          <w:szCs w:val="20"/>
          <w:lang w:val="en-US"/>
        </w:rPr>
        <w:t xml:space="preserve">, </w:t>
      </w:r>
      <w:r w:rsidRPr="007B2402">
        <w:rPr>
          <w:rFonts w:eastAsia="Cambria" w:cs="Times New Roman"/>
          <w:szCs w:val="20"/>
          <w:lang w:val="en-US"/>
        </w:rPr>
        <w:t>in relation to Article</w:t>
      </w:r>
      <w:r w:rsidR="00452E87" w:rsidRPr="007B2402">
        <w:rPr>
          <w:rFonts w:eastAsia="Cambria" w:cs="Times New Roman"/>
          <w:szCs w:val="20"/>
          <w:lang w:val="en-US"/>
        </w:rPr>
        <w:t xml:space="preserve"> </w:t>
      </w:r>
      <w:r w:rsidR="00375567" w:rsidRPr="007B2402">
        <w:rPr>
          <w:rFonts w:eastAsia="Cambria" w:cs="Times New Roman"/>
          <w:szCs w:val="20"/>
          <w:lang w:val="en-US"/>
        </w:rPr>
        <w:t>1(1)</w:t>
      </w:r>
      <w:r w:rsidR="00452E87" w:rsidRPr="007B2402">
        <w:rPr>
          <w:rFonts w:eastAsia="Cambria" w:cs="Times New Roman"/>
          <w:szCs w:val="20"/>
          <w:lang w:val="en-US"/>
        </w:rPr>
        <w:t xml:space="preserve"> </w:t>
      </w:r>
      <w:r w:rsidR="00375567" w:rsidRPr="007B2402">
        <w:rPr>
          <w:rFonts w:eastAsia="Cambria" w:cs="Times New Roman"/>
          <w:szCs w:val="20"/>
          <w:lang w:val="en-US"/>
        </w:rPr>
        <w:t>of this instrument</w:t>
      </w:r>
      <w:r w:rsidR="00452E87" w:rsidRPr="007B2402">
        <w:rPr>
          <w:rFonts w:eastAsia="Cambria" w:cs="Times New Roman"/>
          <w:szCs w:val="20"/>
          <w:lang w:val="en-US"/>
        </w:rPr>
        <w:t xml:space="preserve">, </w:t>
      </w:r>
      <w:r w:rsidRPr="007B2402">
        <w:rPr>
          <w:rFonts w:eastAsia="Cambria" w:cs="Times New Roman"/>
          <w:szCs w:val="20"/>
          <w:lang w:val="en-US"/>
        </w:rPr>
        <w:t>in the terms of</w:t>
      </w:r>
      <w:r w:rsidR="00012C6E" w:rsidRPr="007B2402">
        <w:rPr>
          <w:rFonts w:eastAsia="Cambria" w:cs="Times New Roman"/>
          <w:szCs w:val="20"/>
          <w:lang w:val="en-US"/>
        </w:rPr>
        <w:t xml:space="preserve"> </w:t>
      </w:r>
      <w:r w:rsidRPr="007B2402">
        <w:rPr>
          <w:rFonts w:eastAsia="Cambria" w:cs="Times New Roman"/>
          <w:szCs w:val="20"/>
          <w:lang w:val="en-US"/>
        </w:rPr>
        <w:t>paragraphs</w:t>
      </w:r>
      <w:r w:rsidR="00012C6E" w:rsidRPr="007B2402">
        <w:rPr>
          <w:rFonts w:eastAsia="Cambria" w:cs="Times New Roman"/>
          <w:szCs w:val="20"/>
          <w:lang w:val="en-US"/>
        </w:rPr>
        <w:t xml:space="preserve"> </w:t>
      </w:r>
      <w:r w:rsidR="003F140C" w:rsidRPr="007B2402">
        <w:rPr>
          <w:rFonts w:eastAsia="Cambria" w:cs="Times New Roman"/>
          <w:szCs w:val="20"/>
          <w:lang w:val="en-US"/>
        </w:rPr>
        <w:t xml:space="preserve">328 </w:t>
      </w:r>
      <w:r w:rsidRPr="007B2402">
        <w:rPr>
          <w:rFonts w:eastAsia="Cambria" w:cs="Times New Roman"/>
          <w:szCs w:val="20"/>
          <w:lang w:val="en-US"/>
        </w:rPr>
        <w:t>to</w:t>
      </w:r>
      <w:r w:rsidR="00012C6E" w:rsidRPr="007B2402">
        <w:rPr>
          <w:rFonts w:eastAsia="Cambria" w:cs="Times New Roman"/>
          <w:szCs w:val="20"/>
          <w:lang w:val="en-US"/>
        </w:rPr>
        <w:t xml:space="preserve"> </w:t>
      </w:r>
      <w:r w:rsidR="003F140C" w:rsidRPr="007B2402">
        <w:rPr>
          <w:rFonts w:eastAsia="Cambria" w:cs="Times New Roman"/>
          <w:szCs w:val="20"/>
          <w:lang w:val="en-US"/>
        </w:rPr>
        <w:t xml:space="preserve">339 </w:t>
      </w:r>
      <w:r w:rsidRPr="007B2402">
        <w:rPr>
          <w:rFonts w:eastAsia="Cambria" w:cs="Times New Roman"/>
          <w:szCs w:val="20"/>
          <w:lang w:val="en-US"/>
        </w:rPr>
        <w:t>of this judgment</w:t>
      </w:r>
    </w:p>
    <w:p w14:paraId="530DFFF2" w14:textId="77777777" w:rsidR="00CD22E8" w:rsidRPr="007B2402" w:rsidRDefault="00CD22E8" w:rsidP="00C66F63">
      <w:pPr>
        <w:pStyle w:val="Prrafodelista"/>
        <w:ind w:left="0" w:right="-90"/>
        <w:contextualSpacing w:val="0"/>
        <w:rPr>
          <w:rFonts w:eastAsia="MS Mincho" w:cs="Times New Roman"/>
          <w:szCs w:val="20"/>
          <w:lang w:val="en-US" w:bidi="en-US"/>
        </w:rPr>
      </w:pPr>
    </w:p>
    <w:p w14:paraId="5E682750" w14:textId="07E7CC2D" w:rsidR="00CD22E8" w:rsidRPr="007B2402" w:rsidRDefault="00221E16" w:rsidP="00C66F63">
      <w:pPr>
        <w:pStyle w:val="Prrafodelista"/>
        <w:tabs>
          <w:tab w:val="left" w:pos="720"/>
        </w:tabs>
        <w:ind w:left="0" w:right="-90"/>
        <w:contextualSpacing w:val="0"/>
        <w:rPr>
          <w:rFonts w:eastAsia="MS Mincho" w:cs="Times New Roman"/>
          <w:szCs w:val="20"/>
          <w:lang w:val="en-US" w:bidi="en-US"/>
        </w:rPr>
      </w:pPr>
      <w:r w:rsidRPr="007B2402">
        <w:rPr>
          <w:rFonts w:eastAsia="MS Mincho" w:cs="Times New Roman"/>
          <w:szCs w:val="20"/>
          <w:lang w:val="en-US" w:bidi="en-US"/>
        </w:rPr>
        <w:t>Unanimously that</w:t>
      </w:r>
      <w:r w:rsidR="00012C6E" w:rsidRPr="007B2402">
        <w:rPr>
          <w:rFonts w:eastAsia="MS Mincho" w:cs="Times New Roman"/>
          <w:szCs w:val="20"/>
          <w:lang w:val="en-US" w:bidi="en-US"/>
        </w:rPr>
        <w:t>:</w:t>
      </w:r>
    </w:p>
    <w:p w14:paraId="52144786" w14:textId="77777777" w:rsidR="00CD22E8" w:rsidRPr="007B2402" w:rsidRDefault="00CD22E8" w:rsidP="00C66F63">
      <w:pPr>
        <w:pStyle w:val="Prrafodelista"/>
        <w:tabs>
          <w:tab w:val="left" w:pos="720"/>
        </w:tabs>
        <w:ind w:left="0" w:right="-90"/>
        <w:contextualSpacing w:val="0"/>
        <w:rPr>
          <w:rFonts w:eastAsia="MS Mincho" w:cs="Times New Roman"/>
          <w:szCs w:val="20"/>
          <w:lang w:val="en-US" w:bidi="en-US"/>
        </w:rPr>
      </w:pPr>
    </w:p>
    <w:p w14:paraId="7F0728F8" w14:textId="160E0DC9" w:rsidR="00012C6E" w:rsidRPr="007B2402" w:rsidRDefault="00221E16" w:rsidP="00C66F63">
      <w:pPr>
        <w:pStyle w:val="Prrafodelista"/>
        <w:numPr>
          <w:ilvl w:val="3"/>
          <w:numId w:val="5"/>
        </w:numPr>
        <w:tabs>
          <w:tab w:val="left" w:pos="720"/>
        </w:tabs>
        <w:ind w:left="0" w:right="-91" w:firstLine="0"/>
        <w:contextualSpacing w:val="0"/>
        <w:rPr>
          <w:rFonts w:eastAsia="MS Mincho" w:cs="Times New Roman"/>
          <w:szCs w:val="20"/>
          <w:lang w:val="en-US" w:bidi="en-US"/>
        </w:rPr>
      </w:pPr>
      <w:r w:rsidRPr="007B2402">
        <w:rPr>
          <w:szCs w:val="20"/>
          <w:lang w:val="en-US"/>
        </w:rPr>
        <w:t>The State is responsible for the violation of the right to</w:t>
      </w:r>
      <w:r w:rsidR="00012C6E" w:rsidRPr="007B2402">
        <w:rPr>
          <w:szCs w:val="20"/>
          <w:lang w:val="en-US"/>
        </w:rPr>
        <w:t xml:space="preserve"> </w:t>
      </w:r>
      <w:r w:rsidRPr="007B2402">
        <w:rPr>
          <w:szCs w:val="20"/>
          <w:lang w:val="en-US"/>
        </w:rPr>
        <w:t>personal integrity</w:t>
      </w:r>
      <w:r w:rsidR="00012C6E" w:rsidRPr="007B2402">
        <w:rPr>
          <w:szCs w:val="20"/>
          <w:lang w:val="en-US"/>
        </w:rPr>
        <w:t xml:space="preserve"> </w:t>
      </w:r>
      <w:r w:rsidR="001D3792" w:rsidRPr="007B2402">
        <w:rPr>
          <w:szCs w:val="20"/>
          <w:lang w:val="en-US"/>
        </w:rPr>
        <w:t>recognized in</w:t>
      </w:r>
      <w:r w:rsidR="00012C6E" w:rsidRPr="007B2402">
        <w:rPr>
          <w:szCs w:val="20"/>
          <w:lang w:val="en-US"/>
        </w:rPr>
        <w:t xml:space="preserve"> </w:t>
      </w:r>
      <w:r w:rsidR="00AF4344" w:rsidRPr="007B2402">
        <w:rPr>
          <w:szCs w:val="20"/>
          <w:lang w:val="en-US"/>
        </w:rPr>
        <w:t>Article</w:t>
      </w:r>
      <w:r w:rsidR="00012C6E" w:rsidRPr="007B2402">
        <w:rPr>
          <w:szCs w:val="20"/>
          <w:lang w:val="en-US"/>
        </w:rPr>
        <w:t xml:space="preserve"> </w:t>
      </w:r>
      <w:r w:rsidR="00375567" w:rsidRPr="007B2402">
        <w:rPr>
          <w:szCs w:val="20"/>
          <w:lang w:val="en-US"/>
        </w:rPr>
        <w:t>5(1)</w:t>
      </w:r>
      <w:r w:rsidR="00AF4344" w:rsidRPr="007B2402">
        <w:rPr>
          <w:szCs w:val="20"/>
          <w:lang w:val="en-US"/>
        </w:rPr>
        <w:t xml:space="preserve"> of the American Convention on Human Rights</w:t>
      </w:r>
      <w:r w:rsidR="00012C6E" w:rsidRPr="007B2402">
        <w:rPr>
          <w:szCs w:val="20"/>
          <w:lang w:val="en-US"/>
        </w:rPr>
        <w:t xml:space="preserve">, </w:t>
      </w:r>
      <w:r w:rsidR="00BF1A22" w:rsidRPr="007B2402">
        <w:rPr>
          <w:szCs w:val="20"/>
          <w:lang w:val="en-US"/>
        </w:rPr>
        <w:t>in relation to Article</w:t>
      </w:r>
      <w:r w:rsidR="00012C6E" w:rsidRPr="007B2402">
        <w:rPr>
          <w:szCs w:val="20"/>
          <w:lang w:val="en-US"/>
        </w:rPr>
        <w:t xml:space="preserve"> </w:t>
      </w:r>
      <w:r w:rsidR="00375567" w:rsidRPr="007B2402">
        <w:rPr>
          <w:szCs w:val="20"/>
          <w:lang w:val="en-US"/>
        </w:rPr>
        <w:t>1(1)</w:t>
      </w:r>
      <w:r w:rsidR="00012C6E" w:rsidRPr="007B2402">
        <w:rPr>
          <w:szCs w:val="20"/>
          <w:lang w:val="en-US"/>
        </w:rPr>
        <w:t xml:space="preserve"> </w:t>
      </w:r>
      <w:r w:rsidR="00375567" w:rsidRPr="007B2402">
        <w:rPr>
          <w:szCs w:val="20"/>
          <w:lang w:val="en-US"/>
        </w:rPr>
        <w:t>of this instrument</w:t>
      </w:r>
      <w:r w:rsidR="00012C6E" w:rsidRPr="007B2402">
        <w:rPr>
          <w:szCs w:val="20"/>
          <w:lang w:val="en-US"/>
        </w:rPr>
        <w:t xml:space="preserve">, </w:t>
      </w:r>
      <w:r w:rsidR="001D3792" w:rsidRPr="007B2402">
        <w:rPr>
          <w:rFonts w:eastAsia="Cambria" w:cs="Times New Roman"/>
          <w:szCs w:val="20"/>
          <w:lang w:val="en-US"/>
        </w:rPr>
        <w:t>of</w:t>
      </w:r>
      <w:r w:rsidR="002E0089" w:rsidRPr="007B2402">
        <w:rPr>
          <w:lang w:val="en-US"/>
        </w:rPr>
        <w:t xml:space="preserve"> Zora Herzog, Clarice Herzog, Ivo Herzog</w:t>
      </w:r>
      <w:r w:rsidR="005B1590" w:rsidRPr="007B2402">
        <w:rPr>
          <w:lang w:val="en-US"/>
        </w:rPr>
        <w:t xml:space="preserve"> and </w:t>
      </w:r>
      <w:r w:rsidR="002E0089" w:rsidRPr="007B2402">
        <w:rPr>
          <w:lang w:val="en-US"/>
        </w:rPr>
        <w:t>André Herzog</w:t>
      </w:r>
      <w:r w:rsidR="00012C6E" w:rsidRPr="007B2402">
        <w:rPr>
          <w:rFonts w:eastAsia="Cambria" w:cs="Times New Roman"/>
          <w:szCs w:val="20"/>
          <w:lang w:val="en-US"/>
        </w:rPr>
        <w:t xml:space="preserve">, </w:t>
      </w:r>
      <w:r w:rsidRPr="007B2402">
        <w:rPr>
          <w:rFonts w:eastAsia="Cambria" w:cs="Times New Roman"/>
          <w:szCs w:val="20"/>
          <w:lang w:val="en-US"/>
        </w:rPr>
        <w:t>in the terms of</w:t>
      </w:r>
      <w:r w:rsidR="00012C6E" w:rsidRPr="007B2402">
        <w:rPr>
          <w:rFonts w:eastAsia="Cambria" w:cs="Times New Roman"/>
          <w:szCs w:val="20"/>
          <w:lang w:val="en-US"/>
        </w:rPr>
        <w:t xml:space="preserve"> </w:t>
      </w:r>
      <w:r w:rsidRPr="007B2402">
        <w:rPr>
          <w:rFonts w:eastAsia="Cambria" w:cs="Times New Roman"/>
          <w:szCs w:val="20"/>
          <w:lang w:val="en-US"/>
        </w:rPr>
        <w:t>paragraphs</w:t>
      </w:r>
      <w:r w:rsidR="00012C6E" w:rsidRPr="007B2402">
        <w:rPr>
          <w:rFonts w:eastAsia="Cambria" w:cs="Times New Roman"/>
          <w:szCs w:val="20"/>
          <w:lang w:val="en-US"/>
        </w:rPr>
        <w:t xml:space="preserve"> </w:t>
      </w:r>
      <w:r w:rsidR="003F140C" w:rsidRPr="007B2402">
        <w:rPr>
          <w:rFonts w:eastAsia="Cambria" w:cs="Times New Roman"/>
          <w:szCs w:val="20"/>
          <w:lang w:val="en-US"/>
        </w:rPr>
        <w:t xml:space="preserve">351 </w:t>
      </w:r>
      <w:r w:rsidRPr="007B2402">
        <w:rPr>
          <w:rFonts w:eastAsia="Cambria" w:cs="Times New Roman"/>
          <w:szCs w:val="20"/>
          <w:lang w:val="en-US"/>
        </w:rPr>
        <w:t>to</w:t>
      </w:r>
      <w:r w:rsidR="003F140C" w:rsidRPr="007B2402">
        <w:rPr>
          <w:rFonts w:eastAsia="Cambria" w:cs="Times New Roman"/>
          <w:szCs w:val="20"/>
          <w:lang w:val="en-US"/>
        </w:rPr>
        <w:t xml:space="preserve"> 358 </w:t>
      </w:r>
      <w:r w:rsidRPr="007B2402">
        <w:rPr>
          <w:rFonts w:eastAsia="Cambria" w:cs="Times New Roman"/>
          <w:szCs w:val="20"/>
          <w:lang w:val="en-US"/>
        </w:rPr>
        <w:t>of this judgment</w:t>
      </w:r>
      <w:r w:rsidR="00012C6E" w:rsidRPr="007B2402">
        <w:rPr>
          <w:szCs w:val="20"/>
          <w:lang w:val="en-US"/>
        </w:rPr>
        <w:t xml:space="preserve"> </w:t>
      </w:r>
    </w:p>
    <w:p w14:paraId="50BBB4FE" w14:textId="77777777" w:rsidR="00012C6E" w:rsidRPr="007B2402" w:rsidRDefault="00012C6E" w:rsidP="00C66F63">
      <w:pPr>
        <w:tabs>
          <w:tab w:val="left" w:pos="720"/>
        </w:tabs>
        <w:spacing w:after="0" w:line="240" w:lineRule="auto"/>
        <w:ind w:right="-91"/>
        <w:rPr>
          <w:rFonts w:eastAsia="Cambria" w:cs="Times New Roman"/>
          <w:szCs w:val="20"/>
          <w:lang w:val="en-US"/>
        </w:rPr>
      </w:pPr>
    </w:p>
    <w:p w14:paraId="4C1B5AB3" w14:textId="3A6ABD11" w:rsidR="00012C6E" w:rsidRPr="007B2402" w:rsidRDefault="001D3792" w:rsidP="00C66F63">
      <w:pPr>
        <w:tabs>
          <w:tab w:val="left" w:pos="720"/>
        </w:tabs>
        <w:spacing w:after="0" w:line="240" w:lineRule="auto"/>
        <w:ind w:right="-91"/>
        <w:rPr>
          <w:rFonts w:eastAsia="MS Mincho" w:cs="Times New Roman"/>
          <w:b/>
          <w:bCs/>
          <w:szCs w:val="20"/>
          <w:lang w:val="en-US" w:bidi="en-US"/>
        </w:rPr>
      </w:pPr>
      <w:r w:rsidRPr="007B2402">
        <w:rPr>
          <w:rFonts w:eastAsia="MS Mincho" w:cs="Times New Roman"/>
          <w:b/>
          <w:bCs/>
          <w:szCs w:val="20"/>
          <w:lang w:val="en-US" w:bidi="en-US"/>
        </w:rPr>
        <w:t>AND RULES:</w:t>
      </w:r>
    </w:p>
    <w:p w14:paraId="50736A7B" w14:textId="77777777" w:rsidR="00012C6E" w:rsidRPr="007B2402" w:rsidRDefault="00012C6E" w:rsidP="00C66F63">
      <w:pPr>
        <w:tabs>
          <w:tab w:val="left" w:pos="720"/>
        </w:tabs>
        <w:spacing w:after="0" w:line="240" w:lineRule="auto"/>
        <w:ind w:right="-91"/>
        <w:rPr>
          <w:rFonts w:eastAsia="MS Mincho" w:cs="Times New Roman"/>
          <w:b/>
          <w:bCs/>
          <w:szCs w:val="20"/>
          <w:lang w:val="en-US" w:bidi="en-US"/>
        </w:rPr>
      </w:pPr>
    </w:p>
    <w:p w14:paraId="76C8C846" w14:textId="5F52C12D" w:rsidR="00012C6E" w:rsidRPr="007B2402" w:rsidRDefault="00221E16" w:rsidP="00C66F63">
      <w:pPr>
        <w:tabs>
          <w:tab w:val="left" w:pos="720"/>
        </w:tabs>
        <w:spacing w:after="0" w:line="240" w:lineRule="auto"/>
        <w:ind w:right="-91"/>
        <w:rPr>
          <w:rFonts w:eastAsia="MS Mincho" w:cs="Times New Roman"/>
          <w:bCs/>
          <w:szCs w:val="20"/>
          <w:lang w:val="en-US" w:bidi="en-US"/>
        </w:rPr>
      </w:pPr>
      <w:r w:rsidRPr="007B2402">
        <w:rPr>
          <w:rFonts w:eastAsia="MS Mincho" w:cs="Times New Roman"/>
          <w:szCs w:val="20"/>
          <w:lang w:val="en-US" w:bidi="en-US"/>
        </w:rPr>
        <w:t>Unanimously that</w:t>
      </w:r>
      <w:r w:rsidR="00012C6E" w:rsidRPr="007B2402">
        <w:rPr>
          <w:rFonts w:eastAsia="MS Mincho" w:cs="Times New Roman"/>
          <w:bCs/>
          <w:szCs w:val="20"/>
          <w:lang w:val="en-US" w:bidi="en-US"/>
        </w:rPr>
        <w:t>:</w:t>
      </w:r>
    </w:p>
    <w:p w14:paraId="0FB80C3C" w14:textId="77777777" w:rsidR="00012C6E" w:rsidRPr="007B2402" w:rsidRDefault="00012C6E" w:rsidP="00C66F63">
      <w:pPr>
        <w:tabs>
          <w:tab w:val="left" w:pos="720"/>
        </w:tabs>
        <w:spacing w:after="0" w:line="240" w:lineRule="auto"/>
        <w:ind w:right="-91"/>
        <w:rPr>
          <w:rFonts w:eastAsia="MS Mincho" w:cs="Times New Roman"/>
          <w:bCs/>
          <w:szCs w:val="20"/>
          <w:lang w:val="en-US" w:bidi="en-US"/>
        </w:rPr>
      </w:pPr>
    </w:p>
    <w:p w14:paraId="6D6F2FB8" w14:textId="2609D3A8" w:rsidR="002E0089" w:rsidRPr="007B2402" w:rsidRDefault="008B5281" w:rsidP="00C66F63">
      <w:pPr>
        <w:pStyle w:val="Prrafodelista"/>
        <w:numPr>
          <w:ilvl w:val="3"/>
          <w:numId w:val="5"/>
        </w:numPr>
        <w:tabs>
          <w:tab w:val="left" w:pos="720"/>
        </w:tabs>
        <w:ind w:left="0" w:right="-90" w:firstLine="0"/>
        <w:contextualSpacing w:val="0"/>
        <w:rPr>
          <w:rFonts w:eastAsia="Cambria" w:cs="Times New Roman"/>
          <w:bCs/>
          <w:szCs w:val="20"/>
          <w:lang w:val="en-US"/>
        </w:rPr>
      </w:pPr>
      <w:r w:rsidRPr="007B2402">
        <w:rPr>
          <w:rFonts w:eastAsia="Cambria" w:cs="Times New Roman"/>
          <w:szCs w:val="20"/>
          <w:lang w:val="en-US"/>
        </w:rPr>
        <w:t xml:space="preserve">This judgment constitutes, </w:t>
      </w:r>
      <w:r w:rsidRPr="007B2402">
        <w:rPr>
          <w:rFonts w:eastAsia="Cambria" w:cs="Times New Roman"/>
          <w:i/>
          <w:iCs/>
          <w:szCs w:val="20"/>
          <w:lang w:val="en-US"/>
        </w:rPr>
        <w:t>per se,</w:t>
      </w:r>
      <w:r w:rsidRPr="007B2402">
        <w:rPr>
          <w:rFonts w:eastAsia="Cambria" w:cs="Times New Roman"/>
          <w:szCs w:val="20"/>
          <w:lang w:val="en-US"/>
        </w:rPr>
        <w:t xml:space="preserve"> a form of reparation</w:t>
      </w:r>
      <w:r w:rsidR="00012C6E" w:rsidRPr="007B2402">
        <w:rPr>
          <w:rFonts w:eastAsia="Cambria" w:cs="Times New Roman"/>
          <w:bCs/>
          <w:szCs w:val="20"/>
          <w:lang w:val="en-US"/>
        </w:rPr>
        <w:t>.</w:t>
      </w:r>
    </w:p>
    <w:p w14:paraId="4FA1B6E8" w14:textId="77777777" w:rsidR="00085AD3" w:rsidRPr="007B2402" w:rsidRDefault="00085AD3" w:rsidP="00C66F63">
      <w:pPr>
        <w:pStyle w:val="Prrafodelista"/>
        <w:tabs>
          <w:tab w:val="left" w:pos="720"/>
        </w:tabs>
        <w:ind w:left="0" w:right="-90"/>
        <w:contextualSpacing w:val="0"/>
        <w:rPr>
          <w:rFonts w:eastAsia="Cambria" w:cs="Times New Roman"/>
          <w:bCs/>
          <w:szCs w:val="20"/>
          <w:lang w:val="en-US"/>
        </w:rPr>
      </w:pPr>
    </w:p>
    <w:p w14:paraId="04C9532F" w14:textId="0C535FBE" w:rsidR="00DE483B" w:rsidRPr="007B2402" w:rsidRDefault="00AF4344" w:rsidP="008B5281">
      <w:pPr>
        <w:pStyle w:val="Prrafodelista"/>
        <w:numPr>
          <w:ilvl w:val="3"/>
          <w:numId w:val="5"/>
        </w:numPr>
        <w:tabs>
          <w:tab w:val="left" w:pos="720"/>
        </w:tabs>
        <w:ind w:left="0" w:right="-90" w:firstLine="0"/>
        <w:contextualSpacing w:val="0"/>
        <w:rPr>
          <w:rFonts w:eastAsia="Cambria" w:cs="Times New Roman"/>
          <w:bCs/>
          <w:szCs w:val="20"/>
          <w:lang w:val="en-US"/>
        </w:rPr>
      </w:pPr>
      <w:r w:rsidRPr="007B2402">
        <w:rPr>
          <w:rFonts w:eastAsia="Cambria" w:cs="Times New Roman"/>
          <w:bCs/>
          <w:szCs w:val="20"/>
          <w:lang w:val="en-US"/>
        </w:rPr>
        <w:t>The State</w:t>
      </w:r>
      <w:r w:rsidR="00E547BB" w:rsidRPr="007B2402">
        <w:rPr>
          <w:rFonts w:eastAsia="Cambria" w:cs="Times New Roman"/>
          <w:bCs/>
          <w:szCs w:val="20"/>
          <w:lang w:val="en-US"/>
        </w:rPr>
        <w:t xml:space="preserve"> </w:t>
      </w:r>
      <w:r w:rsidR="008B5281" w:rsidRPr="007B2402">
        <w:rPr>
          <w:rFonts w:eastAsia="Cambria" w:cs="Times New Roman"/>
          <w:bCs/>
          <w:szCs w:val="20"/>
          <w:lang w:val="en-US"/>
        </w:rPr>
        <w:t xml:space="preserve">must re-open, with due diligence, the criminal investigation and proceedings in relation to the </w:t>
      </w:r>
      <w:r w:rsidR="002E293F" w:rsidRPr="007B2402">
        <w:rPr>
          <w:rFonts w:eastAsia="Cambria" w:cs="Times New Roman"/>
          <w:bCs/>
          <w:szCs w:val="20"/>
          <w:lang w:val="en-US"/>
        </w:rPr>
        <w:t>events of</w:t>
      </w:r>
      <w:r w:rsidR="00221E16" w:rsidRPr="007B2402">
        <w:rPr>
          <w:rFonts w:eastAsia="Cambria" w:cs="Times New Roman"/>
          <w:bCs/>
          <w:szCs w:val="20"/>
          <w:lang w:val="en-US"/>
        </w:rPr>
        <w:t xml:space="preserve"> October 25,</w:t>
      </w:r>
      <w:r w:rsidR="00BD7CF5" w:rsidRPr="007B2402">
        <w:rPr>
          <w:rFonts w:eastAsia="Cambria" w:cs="Times New Roman"/>
          <w:bCs/>
          <w:szCs w:val="20"/>
          <w:lang w:val="en-US"/>
        </w:rPr>
        <w:t xml:space="preserve"> 1975</w:t>
      </w:r>
      <w:r w:rsidR="008B5281" w:rsidRPr="007B2402">
        <w:rPr>
          <w:rFonts w:eastAsia="Cambria" w:cs="Times New Roman"/>
          <w:bCs/>
          <w:szCs w:val="20"/>
          <w:lang w:val="en-US"/>
        </w:rPr>
        <w:t>, to identify, prosecute and punish, as appropriate, those resposible for the torture and death of Vladimir Herzog</w:t>
      </w:r>
      <w:r w:rsidR="00BD7CF5" w:rsidRPr="007B2402">
        <w:rPr>
          <w:rFonts w:eastAsia="Cambria" w:cs="Times New Roman"/>
          <w:bCs/>
          <w:szCs w:val="20"/>
          <w:lang w:val="en-US"/>
        </w:rPr>
        <w:t xml:space="preserve">, </w:t>
      </w:r>
      <w:r w:rsidR="008B5281" w:rsidRPr="007B2402">
        <w:rPr>
          <w:rFonts w:eastAsia="Cambria" w:cs="Times New Roman"/>
          <w:bCs/>
          <w:szCs w:val="20"/>
          <w:lang w:val="en-US"/>
        </w:rPr>
        <w:t xml:space="preserve">based on the nature of these </w:t>
      </w:r>
      <w:r w:rsidR="00E547BB" w:rsidRPr="007B2402">
        <w:rPr>
          <w:rFonts w:eastAsia="Cambria" w:cs="Times New Roman"/>
          <w:bCs/>
          <w:szCs w:val="20"/>
          <w:lang w:val="en-US"/>
        </w:rPr>
        <w:t>events</w:t>
      </w:r>
      <w:r w:rsidR="008B5281" w:rsidRPr="007B2402">
        <w:rPr>
          <w:rFonts w:eastAsia="Cambria" w:cs="Times New Roman"/>
          <w:bCs/>
          <w:szCs w:val="20"/>
          <w:lang w:val="en-US"/>
        </w:rPr>
        <w:t xml:space="preserve"> as a crime against humanity and their corresponding legal consequences under international law, </w:t>
      </w:r>
      <w:r w:rsidR="00221E16" w:rsidRPr="007B2402">
        <w:rPr>
          <w:rFonts w:eastAsia="Cambria" w:cs="Times New Roman"/>
          <w:bCs/>
          <w:szCs w:val="20"/>
          <w:lang w:val="en-US"/>
        </w:rPr>
        <w:t>in the terms of</w:t>
      </w:r>
      <w:r w:rsidR="00DE483B" w:rsidRPr="007B2402">
        <w:rPr>
          <w:rFonts w:eastAsia="Cambria" w:cs="Times New Roman"/>
          <w:bCs/>
          <w:szCs w:val="20"/>
          <w:lang w:val="en-US"/>
        </w:rPr>
        <w:t xml:space="preserve"> </w:t>
      </w:r>
      <w:r w:rsidR="00221E16" w:rsidRPr="007B2402">
        <w:rPr>
          <w:rFonts w:eastAsia="Cambria" w:cs="Times New Roman"/>
          <w:bCs/>
          <w:szCs w:val="20"/>
          <w:lang w:val="en-US"/>
        </w:rPr>
        <w:t>paragraphs</w:t>
      </w:r>
      <w:r w:rsidR="00DE483B" w:rsidRPr="007B2402">
        <w:rPr>
          <w:rFonts w:eastAsia="Cambria" w:cs="Times New Roman"/>
          <w:bCs/>
          <w:szCs w:val="20"/>
          <w:lang w:val="en-US"/>
        </w:rPr>
        <w:t xml:space="preserve"> </w:t>
      </w:r>
      <w:r w:rsidR="003F140C" w:rsidRPr="007B2402">
        <w:rPr>
          <w:rFonts w:eastAsia="Cambria" w:cs="Times New Roman"/>
          <w:bCs/>
          <w:szCs w:val="20"/>
          <w:lang w:val="en-US"/>
        </w:rPr>
        <w:t>371</w:t>
      </w:r>
      <w:r w:rsidR="005B1590" w:rsidRPr="007B2402">
        <w:rPr>
          <w:rFonts w:eastAsia="Cambria" w:cs="Times New Roman"/>
          <w:bCs/>
          <w:szCs w:val="20"/>
          <w:lang w:val="en-US"/>
        </w:rPr>
        <w:t xml:space="preserve"> and </w:t>
      </w:r>
      <w:r w:rsidR="003F140C" w:rsidRPr="007B2402">
        <w:rPr>
          <w:rFonts w:eastAsia="Cambria" w:cs="Times New Roman"/>
          <w:bCs/>
          <w:szCs w:val="20"/>
          <w:lang w:val="en-US"/>
        </w:rPr>
        <w:t xml:space="preserve">372 </w:t>
      </w:r>
      <w:r w:rsidR="00221E16" w:rsidRPr="007B2402">
        <w:rPr>
          <w:rFonts w:eastAsia="Cambria" w:cs="Times New Roman"/>
          <w:bCs/>
          <w:szCs w:val="20"/>
          <w:lang w:val="en-US"/>
        </w:rPr>
        <w:t>of this judgment.</w:t>
      </w:r>
      <w:r w:rsidR="00DE483B" w:rsidRPr="007B2402">
        <w:rPr>
          <w:rFonts w:eastAsia="Cambria" w:cs="Times New Roman"/>
          <w:bCs/>
          <w:szCs w:val="20"/>
          <w:lang w:val="en-US"/>
        </w:rPr>
        <w:t xml:space="preserve"> </w:t>
      </w:r>
      <w:r w:rsidR="008B5281" w:rsidRPr="007B2402">
        <w:rPr>
          <w:rFonts w:eastAsia="Cambria" w:cs="Times New Roman"/>
          <w:bCs/>
          <w:szCs w:val="20"/>
          <w:lang w:val="en-US"/>
        </w:rPr>
        <w:t>I</w:t>
      </w:r>
      <w:r w:rsidR="00030CAE" w:rsidRPr="007B2402">
        <w:rPr>
          <w:rFonts w:eastAsia="Cambria" w:cs="Times New Roman"/>
          <w:bCs/>
          <w:szCs w:val="20"/>
          <w:lang w:val="en-US"/>
        </w:rPr>
        <w:t>n particular</w:t>
      </w:r>
      <w:r w:rsidR="00BD7CF5" w:rsidRPr="007B2402">
        <w:rPr>
          <w:rFonts w:eastAsia="Cambria" w:cs="Times New Roman"/>
          <w:bCs/>
          <w:szCs w:val="20"/>
          <w:lang w:val="en-US"/>
        </w:rPr>
        <w:t xml:space="preserve">, </w:t>
      </w:r>
      <w:r w:rsidRPr="007B2402">
        <w:rPr>
          <w:rFonts w:eastAsia="Cambria" w:cs="Times New Roman"/>
          <w:bCs/>
          <w:szCs w:val="20"/>
          <w:lang w:val="en-US"/>
        </w:rPr>
        <w:t>the State</w:t>
      </w:r>
      <w:r w:rsidR="00BD7CF5" w:rsidRPr="007B2402">
        <w:rPr>
          <w:rFonts w:eastAsia="Cambria" w:cs="Times New Roman"/>
          <w:bCs/>
          <w:szCs w:val="20"/>
          <w:lang w:val="en-US"/>
        </w:rPr>
        <w:t xml:space="preserve"> </w:t>
      </w:r>
      <w:r w:rsidR="008B5281" w:rsidRPr="007B2402">
        <w:rPr>
          <w:rFonts w:eastAsia="Cambria" w:cs="Times New Roman"/>
          <w:bCs/>
          <w:szCs w:val="20"/>
          <w:lang w:val="en-US"/>
        </w:rPr>
        <w:t xml:space="preserve">shall observe the standards and requirements established in </w:t>
      </w:r>
      <w:r w:rsidR="00221E16" w:rsidRPr="007B2402">
        <w:rPr>
          <w:rFonts w:eastAsia="Cambria" w:cs="Times New Roman"/>
          <w:bCs/>
          <w:szCs w:val="20"/>
          <w:lang w:val="en-US"/>
        </w:rPr>
        <w:t>paragaph</w:t>
      </w:r>
      <w:r w:rsidR="00030CAE" w:rsidRPr="007B2402">
        <w:rPr>
          <w:rFonts w:eastAsia="Cambria" w:cs="Times New Roman"/>
          <w:bCs/>
          <w:szCs w:val="20"/>
          <w:lang w:val="en-US"/>
        </w:rPr>
        <w:t xml:space="preserve"> </w:t>
      </w:r>
      <w:r w:rsidR="003F140C" w:rsidRPr="007B2402">
        <w:rPr>
          <w:rFonts w:eastAsia="Cambria" w:cs="Times New Roman"/>
          <w:bCs/>
          <w:szCs w:val="20"/>
          <w:lang w:val="en-US"/>
        </w:rPr>
        <w:t xml:space="preserve">372 </w:t>
      </w:r>
      <w:r w:rsidR="00221E16" w:rsidRPr="007B2402">
        <w:rPr>
          <w:rFonts w:eastAsia="Cambria" w:cs="Times New Roman"/>
          <w:bCs/>
          <w:szCs w:val="20"/>
          <w:lang w:val="en-US"/>
        </w:rPr>
        <w:t>of this judgment</w:t>
      </w:r>
      <w:r w:rsidR="00030CAE" w:rsidRPr="007B2402">
        <w:rPr>
          <w:rFonts w:eastAsia="Cambria" w:cs="Times New Roman"/>
          <w:bCs/>
          <w:szCs w:val="20"/>
          <w:lang w:val="en-US"/>
        </w:rPr>
        <w:t xml:space="preserve"> </w:t>
      </w:r>
    </w:p>
    <w:p w14:paraId="75B2523A" w14:textId="77777777" w:rsidR="00085AD3" w:rsidRPr="007B2402" w:rsidRDefault="00085AD3" w:rsidP="00085AD3">
      <w:pPr>
        <w:pStyle w:val="Prrafodelista"/>
        <w:tabs>
          <w:tab w:val="left" w:pos="0"/>
        </w:tabs>
        <w:ind w:left="0" w:right="-90"/>
        <w:contextualSpacing w:val="0"/>
        <w:rPr>
          <w:rFonts w:eastAsia="Cambria" w:cs="Times New Roman"/>
          <w:bCs/>
          <w:szCs w:val="20"/>
          <w:lang w:val="en-US"/>
        </w:rPr>
      </w:pPr>
    </w:p>
    <w:p w14:paraId="3EC1730A" w14:textId="780A3C61" w:rsidR="00085AD3" w:rsidRPr="007B2402" w:rsidRDefault="00AF4344" w:rsidP="008B5281">
      <w:pPr>
        <w:pStyle w:val="Prrafodelista"/>
        <w:numPr>
          <w:ilvl w:val="3"/>
          <w:numId w:val="5"/>
        </w:numPr>
        <w:tabs>
          <w:tab w:val="left" w:pos="0"/>
        </w:tabs>
        <w:ind w:left="0" w:right="-90" w:firstLine="0"/>
        <w:contextualSpacing w:val="0"/>
        <w:rPr>
          <w:rFonts w:eastAsia="Cambria" w:cs="Times New Roman"/>
          <w:bCs/>
          <w:szCs w:val="20"/>
          <w:lang w:val="en-US"/>
        </w:rPr>
      </w:pPr>
      <w:r w:rsidRPr="007B2402">
        <w:rPr>
          <w:rFonts w:eastAsia="Times New Roman" w:cs="Courier New"/>
          <w:szCs w:val="20"/>
          <w:lang w:val="en-US" w:eastAsia="es-CR"/>
        </w:rPr>
        <w:t>The State</w:t>
      </w:r>
      <w:r w:rsidR="00030CAE" w:rsidRPr="007B2402">
        <w:rPr>
          <w:rFonts w:eastAsia="Times New Roman" w:cs="Courier New"/>
          <w:szCs w:val="20"/>
          <w:lang w:val="en-US" w:eastAsia="es-CR"/>
        </w:rPr>
        <w:t xml:space="preserve"> </w:t>
      </w:r>
      <w:r w:rsidR="008B5281" w:rsidRPr="007B2402">
        <w:rPr>
          <w:rFonts w:eastAsia="Times New Roman" w:cs="Courier New"/>
          <w:szCs w:val="20"/>
          <w:lang w:val="en-US" w:eastAsia="es-CR"/>
        </w:rPr>
        <w:t xml:space="preserve">must adopt the most appropriate measures, in accordance with its institutions, to ensure, without exception, the imprescriptibility of </w:t>
      </w:r>
      <w:r w:rsidR="00E547BB" w:rsidRPr="007B2402">
        <w:rPr>
          <w:rFonts w:eastAsia="Times New Roman" w:cs="Courier New"/>
          <w:szCs w:val="20"/>
          <w:lang w:val="en-US" w:eastAsia="es-CR"/>
        </w:rPr>
        <w:t>incipient</w:t>
      </w:r>
      <w:r w:rsidR="0038686D" w:rsidRPr="007B2402">
        <w:rPr>
          <w:rFonts w:eastAsia="Times New Roman" w:cs="Courier New"/>
          <w:szCs w:val="20"/>
          <w:lang w:val="en-US" w:eastAsia="es-CR"/>
        </w:rPr>
        <w:t xml:space="preserve"> actions for crimes against humanity and international crimes, in accordance with this judgment and the relevant international standards, pursant to the provisions of this judgment </w:t>
      </w:r>
      <w:r w:rsidR="00221E16" w:rsidRPr="007B2402">
        <w:rPr>
          <w:rFonts w:eastAsia="Calibri" w:cs="Times New Roman"/>
          <w:lang w:val="en-US"/>
        </w:rPr>
        <w:t>in the terms of paragaph</w:t>
      </w:r>
      <w:r w:rsidR="00030CAE" w:rsidRPr="007B2402">
        <w:rPr>
          <w:rFonts w:eastAsia="Calibri" w:cs="Times New Roman"/>
          <w:lang w:val="en-US"/>
        </w:rPr>
        <w:t xml:space="preserve"> </w:t>
      </w:r>
      <w:r w:rsidR="003F140C" w:rsidRPr="007B2402">
        <w:rPr>
          <w:rFonts w:eastAsia="Calibri" w:cs="Times New Roman"/>
          <w:lang w:val="en-US"/>
        </w:rPr>
        <w:t>376</w:t>
      </w:r>
      <w:r w:rsidR="00F3766A" w:rsidRPr="007B2402">
        <w:rPr>
          <w:rFonts w:eastAsia="Calibri" w:cs="Times New Roman"/>
          <w:lang w:val="en-US"/>
        </w:rPr>
        <w:t>.</w:t>
      </w:r>
      <w:r w:rsidR="00012C6E" w:rsidRPr="007B2402">
        <w:rPr>
          <w:rFonts w:eastAsia="Times New Roman" w:cs="Courier New"/>
          <w:szCs w:val="20"/>
          <w:lang w:val="en-US" w:eastAsia="es-CR"/>
        </w:rPr>
        <w:t xml:space="preserve"> </w:t>
      </w:r>
    </w:p>
    <w:p w14:paraId="6537C949" w14:textId="77777777" w:rsidR="00085AD3" w:rsidRPr="007B2402" w:rsidRDefault="00085AD3" w:rsidP="00C66F63">
      <w:pPr>
        <w:pStyle w:val="Prrafodelista"/>
        <w:tabs>
          <w:tab w:val="left" w:pos="0"/>
        </w:tabs>
        <w:ind w:left="0"/>
        <w:contextualSpacing w:val="0"/>
        <w:rPr>
          <w:rFonts w:eastAsia="Cambria" w:cs="Times New Roman"/>
          <w:bCs/>
          <w:szCs w:val="20"/>
          <w:lang w:val="en-US"/>
        </w:rPr>
      </w:pPr>
    </w:p>
    <w:p w14:paraId="54E924B5" w14:textId="4FDEC426" w:rsidR="00012C6E" w:rsidRPr="007B2402" w:rsidRDefault="00AF4344" w:rsidP="00C66F63">
      <w:pPr>
        <w:pStyle w:val="Prrafodelista"/>
        <w:numPr>
          <w:ilvl w:val="3"/>
          <w:numId w:val="5"/>
        </w:numPr>
        <w:tabs>
          <w:tab w:val="left" w:pos="720"/>
        </w:tabs>
        <w:ind w:left="0" w:right="-90" w:firstLine="0"/>
        <w:contextualSpacing w:val="0"/>
        <w:rPr>
          <w:rFonts w:eastAsia="Cambria" w:cs="Times New Roman"/>
          <w:bCs/>
          <w:szCs w:val="20"/>
          <w:lang w:val="en-US"/>
        </w:rPr>
      </w:pPr>
      <w:r w:rsidRPr="007B2402">
        <w:rPr>
          <w:rFonts w:eastAsia="Cambria" w:cs="Times New Roman"/>
          <w:bCs/>
          <w:szCs w:val="20"/>
          <w:lang w:val="en-US"/>
        </w:rPr>
        <w:t>The State</w:t>
      </w:r>
      <w:r w:rsidR="00030CAE" w:rsidRPr="007B2402">
        <w:rPr>
          <w:rFonts w:eastAsia="Cambria" w:cs="Times New Roman"/>
          <w:bCs/>
          <w:szCs w:val="20"/>
          <w:lang w:val="en-US"/>
        </w:rPr>
        <w:t xml:space="preserve"> </w:t>
      </w:r>
      <w:r w:rsidR="0038686D" w:rsidRPr="007B2402">
        <w:rPr>
          <w:rFonts w:eastAsia="Cambria" w:cs="Times New Roman"/>
          <w:bCs/>
          <w:szCs w:val="20"/>
          <w:lang w:val="en-US"/>
        </w:rPr>
        <w:t xml:space="preserve">must organize a public act to acknowledge international responsibility for the facts of this case to honor the memory of </w:t>
      </w:r>
      <w:r w:rsidR="00030CAE" w:rsidRPr="007B2402">
        <w:rPr>
          <w:rFonts w:eastAsia="Calibri" w:cs="Times New Roman"/>
          <w:lang w:val="en-US"/>
        </w:rPr>
        <w:t>Vladimir Herzog</w:t>
      </w:r>
      <w:r w:rsidR="005B1590" w:rsidRPr="007B2402">
        <w:rPr>
          <w:rFonts w:eastAsia="Calibri" w:cs="Times New Roman"/>
          <w:lang w:val="en-US"/>
        </w:rPr>
        <w:t xml:space="preserve"> and </w:t>
      </w:r>
      <w:r w:rsidR="0038686D" w:rsidRPr="007B2402">
        <w:rPr>
          <w:rFonts w:eastAsia="Calibri" w:cs="Times New Roman"/>
          <w:lang w:val="en-US"/>
        </w:rPr>
        <w:t xml:space="preserve">recognize the failure to investigate, prosecute and punish those responsible for his taorture and death. This act shall be held in keeping with the provisions of </w:t>
      </w:r>
      <w:r w:rsidR="00221E16" w:rsidRPr="007B2402">
        <w:rPr>
          <w:rFonts w:eastAsia="Cambria" w:cs="Times New Roman"/>
          <w:bCs/>
          <w:szCs w:val="20"/>
          <w:lang w:val="en-US"/>
        </w:rPr>
        <w:t>paragaph</w:t>
      </w:r>
      <w:r w:rsidR="00030CAE" w:rsidRPr="007B2402">
        <w:rPr>
          <w:rFonts w:eastAsia="Cambria" w:cs="Times New Roman"/>
          <w:bCs/>
          <w:szCs w:val="20"/>
          <w:lang w:val="en-US"/>
        </w:rPr>
        <w:t xml:space="preserve"> </w:t>
      </w:r>
      <w:r w:rsidR="003F140C" w:rsidRPr="007B2402">
        <w:rPr>
          <w:rFonts w:eastAsia="Cambria" w:cs="Times New Roman"/>
          <w:bCs/>
          <w:szCs w:val="20"/>
          <w:lang w:val="en-US"/>
        </w:rPr>
        <w:t xml:space="preserve">380 </w:t>
      </w:r>
      <w:r w:rsidR="00221E16" w:rsidRPr="007B2402">
        <w:rPr>
          <w:rFonts w:eastAsia="Cambria" w:cs="Times New Roman"/>
          <w:bCs/>
          <w:szCs w:val="20"/>
          <w:lang w:val="en-US"/>
        </w:rPr>
        <w:t>of this judgment</w:t>
      </w:r>
      <w:r w:rsidR="00030CAE" w:rsidRPr="007B2402">
        <w:rPr>
          <w:rFonts w:eastAsia="Cambria" w:cs="Times New Roman"/>
          <w:bCs/>
          <w:szCs w:val="20"/>
          <w:lang w:val="en-US"/>
        </w:rPr>
        <w:t xml:space="preserve"> </w:t>
      </w:r>
    </w:p>
    <w:p w14:paraId="0F321BAF" w14:textId="77777777" w:rsidR="00012C6E" w:rsidRPr="007B2402" w:rsidRDefault="00012C6E" w:rsidP="00C66F63">
      <w:pPr>
        <w:pStyle w:val="Prrafodelista"/>
        <w:contextualSpacing w:val="0"/>
        <w:rPr>
          <w:rFonts w:eastAsia="Cambria" w:cs="Times New Roman"/>
          <w:bCs/>
          <w:szCs w:val="20"/>
          <w:lang w:val="en-US"/>
        </w:rPr>
      </w:pPr>
    </w:p>
    <w:p w14:paraId="448A9847" w14:textId="01CB2F8F" w:rsidR="006D0CED" w:rsidRPr="007B2402" w:rsidRDefault="00AF4344" w:rsidP="00C66F63">
      <w:pPr>
        <w:pStyle w:val="Prrafodelista"/>
        <w:numPr>
          <w:ilvl w:val="3"/>
          <w:numId w:val="5"/>
        </w:numPr>
        <w:tabs>
          <w:tab w:val="left" w:pos="720"/>
        </w:tabs>
        <w:ind w:left="0" w:right="-90" w:firstLine="0"/>
        <w:contextualSpacing w:val="0"/>
        <w:rPr>
          <w:rFonts w:eastAsia="Cambria" w:cs="Times New Roman"/>
          <w:bCs/>
          <w:szCs w:val="20"/>
          <w:lang w:val="en-US"/>
        </w:rPr>
      </w:pPr>
      <w:r w:rsidRPr="007B2402">
        <w:rPr>
          <w:rFonts w:eastAsia="Cambria" w:cs="Times New Roman"/>
          <w:bCs/>
          <w:szCs w:val="20"/>
          <w:lang w:val="en-US"/>
        </w:rPr>
        <w:t>The State</w:t>
      </w:r>
      <w:r w:rsidR="006D0CED" w:rsidRPr="007B2402">
        <w:rPr>
          <w:rFonts w:eastAsia="Cambria" w:cs="Times New Roman"/>
          <w:bCs/>
          <w:szCs w:val="20"/>
          <w:lang w:val="en-US"/>
        </w:rPr>
        <w:t xml:space="preserve"> </w:t>
      </w:r>
      <w:r w:rsidR="0038686D" w:rsidRPr="007B2402">
        <w:rPr>
          <w:rFonts w:eastAsia="Cambria" w:cs="Times New Roman"/>
          <w:bCs/>
          <w:szCs w:val="20"/>
          <w:lang w:val="en-US"/>
        </w:rPr>
        <w:t xml:space="preserve">must make the publications indicated in </w:t>
      </w:r>
      <w:r w:rsidR="00221E16" w:rsidRPr="007B2402">
        <w:rPr>
          <w:rFonts w:eastAsia="Cambria" w:cs="Times New Roman"/>
          <w:bCs/>
          <w:szCs w:val="20"/>
          <w:lang w:val="en-US"/>
        </w:rPr>
        <w:t>paragaph</w:t>
      </w:r>
      <w:r w:rsidR="006D0CED" w:rsidRPr="007B2402">
        <w:rPr>
          <w:rFonts w:eastAsia="Cambria" w:cs="Times New Roman"/>
          <w:bCs/>
          <w:szCs w:val="20"/>
          <w:lang w:val="en-US"/>
        </w:rPr>
        <w:t xml:space="preserve"> </w:t>
      </w:r>
      <w:r w:rsidR="003F140C" w:rsidRPr="007B2402">
        <w:rPr>
          <w:rFonts w:eastAsia="Cambria" w:cs="Times New Roman"/>
          <w:bCs/>
          <w:szCs w:val="20"/>
          <w:lang w:val="en-US"/>
        </w:rPr>
        <w:t xml:space="preserve">383 </w:t>
      </w:r>
      <w:r w:rsidR="0038686D" w:rsidRPr="007B2402">
        <w:rPr>
          <w:rFonts w:eastAsia="Cambria" w:cs="Times New Roman"/>
          <w:bCs/>
          <w:szCs w:val="20"/>
          <w:lang w:val="en-US"/>
        </w:rPr>
        <w:t>of the judgment, and in the terms established in that paragraph.</w:t>
      </w:r>
    </w:p>
    <w:p w14:paraId="2ED12368" w14:textId="77777777" w:rsidR="006D0CED" w:rsidRPr="007B2402" w:rsidRDefault="006D0CED" w:rsidP="00C66F63">
      <w:pPr>
        <w:pStyle w:val="Prrafodelista"/>
        <w:tabs>
          <w:tab w:val="left" w:pos="720"/>
        </w:tabs>
        <w:ind w:left="0" w:right="-90"/>
        <w:contextualSpacing w:val="0"/>
        <w:rPr>
          <w:rFonts w:eastAsia="Cambria" w:cs="Times New Roman"/>
          <w:bCs/>
          <w:szCs w:val="20"/>
          <w:lang w:val="en-US"/>
        </w:rPr>
      </w:pPr>
    </w:p>
    <w:p w14:paraId="105CB995" w14:textId="0E50018C" w:rsidR="00012C6E" w:rsidRPr="007B2402" w:rsidRDefault="00AF4344" w:rsidP="00C66F63">
      <w:pPr>
        <w:pStyle w:val="Prrafodelista"/>
        <w:numPr>
          <w:ilvl w:val="3"/>
          <w:numId w:val="5"/>
        </w:numPr>
        <w:tabs>
          <w:tab w:val="left" w:pos="720"/>
        </w:tabs>
        <w:ind w:left="0" w:right="-90" w:firstLine="0"/>
        <w:contextualSpacing w:val="0"/>
        <w:rPr>
          <w:rFonts w:eastAsia="Cambria" w:cs="Times New Roman"/>
          <w:bCs/>
          <w:szCs w:val="20"/>
          <w:lang w:val="en-US"/>
        </w:rPr>
      </w:pPr>
      <w:r w:rsidRPr="007B2402">
        <w:rPr>
          <w:rFonts w:eastAsia="Cambria" w:cs="Times New Roman"/>
          <w:bCs/>
          <w:szCs w:val="20"/>
          <w:lang w:val="en-US"/>
        </w:rPr>
        <w:t>The State</w:t>
      </w:r>
      <w:r w:rsidR="00012C6E" w:rsidRPr="007B2402">
        <w:rPr>
          <w:rFonts w:eastAsia="Cambria" w:cs="Times New Roman"/>
          <w:bCs/>
          <w:szCs w:val="20"/>
          <w:lang w:val="en-US"/>
        </w:rPr>
        <w:t xml:space="preserve"> </w:t>
      </w:r>
      <w:r w:rsidR="0038686D" w:rsidRPr="007B2402">
        <w:rPr>
          <w:rFonts w:eastAsia="Cambria" w:cs="Times New Roman"/>
          <w:bCs/>
          <w:szCs w:val="20"/>
          <w:lang w:val="en-US"/>
        </w:rPr>
        <w:t xml:space="preserve">must pay the amounts established in </w:t>
      </w:r>
      <w:r w:rsidR="00221E16" w:rsidRPr="007B2402">
        <w:rPr>
          <w:rFonts w:eastAsia="Cambria" w:cs="Times New Roman"/>
          <w:bCs/>
          <w:szCs w:val="20"/>
          <w:lang w:val="en-US"/>
        </w:rPr>
        <w:t>paragraphs</w:t>
      </w:r>
      <w:r w:rsidR="00012C6E" w:rsidRPr="007B2402">
        <w:rPr>
          <w:rFonts w:eastAsia="Cambria" w:cs="Times New Roman"/>
          <w:bCs/>
          <w:szCs w:val="20"/>
          <w:lang w:val="en-US"/>
        </w:rPr>
        <w:t xml:space="preserve"> </w:t>
      </w:r>
      <w:r w:rsidR="003F140C" w:rsidRPr="007B2402">
        <w:rPr>
          <w:rFonts w:eastAsia="Cambria" w:cs="Times New Roman"/>
          <w:bCs/>
          <w:szCs w:val="20"/>
          <w:lang w:val="en-US"/>
        </w:rPr>
        <w:t>392, 397</w:t>
      </w:r>
      <w:r w:rsidR="005B1590" w:rsidRPr="007B2402">
        <w:rPr>
          <w:rFonts w:eastAsia="Cambria" w:cs="Times New Roman"/>
          <w:bCs/>
          <w:szCs w:val="20"/>
          <w:lang w:val="en-US"/>
        </w:rPr>
        <w:t xml:space="preserve"> and </w:t>
      </w:r>
      <w:r w:rsidR="003F140C" w:rsidRPr="007B2402">
        <w:rPr>
          <w:rFonts w:eastAsia="Cambria" w:cs="Times New Roman"/>
          <w:bCs/>
          <w:szCs w:val="20"/>
          <w:lang w:val="en-US"/>
        </w:rPr>
        <w:t xml:space="preserve">403 </w:t>
      </w:r>
      <w:r w:rsidR="0038686D" w:rsidRPr="007B2402">
        <w:rPr>
          <w:rFonts w:eastAsia="Cambria" w:cs="Times New Roman"/>
          <w:bCs/>
          <w:szCs w:val="20"/>
          <w:lang w:val="en-US"/>
        </w:rPr>
        <w:t>of this j</w:t>
      </w:r>
      <w:r w:rsidR="00B0379F" w:rsidRPr="007B2402">
        <w:rPr>
          <w:rFonts w:eastAsia="Cambria" w:cs="Times New Roman"/>
          <w:bCs/>
          <w:szCs w:val="20"/>
          <w:lang w:val="en-US"/>
        </w:rPr>
        <w:t>ud</w:t>
      </w:r>
      <w:r w:rsidR="0038686D" w:rsidRPr="007B2402">
        <w:rPr>
          <w:rFonts w:eastAsia="Cambria" w:cs="Times New Roman"/>
          <w:bCs/>
          <w:szCs w:val="20"/>
          <w:lang w:val="en-US"/>
        </w:rPr>
        <w:t xml:space="preserve">gment, for pecuniary and non-pecuniary damage and to reimburse costs and expenses, </w:t>
      </w:r>
      <w:r w:rsidR="00221E16" w:rsidRPr="007B2402">
        <w:rPr>
          <w:rFonts w:eastAsia="Cambria" w:cs="Times New Roman"/>
          <w:bCs/>
          <w:szCs w:val="20"/>
          <w:lang w:val="en-US"/>
        </w:rPr>
        <w:t>in the terms of</w:t>
      </w:r>
      <w:r w:rsidR="00012C6E" w:rsidRPr="007B2402">
        <w:rPr>
          <w:rFonts w:eastAsia="Cambria" w:cs="Times New Roman"/>
          <w:bCs/>
          <w:szCs w:val="20"/>
          <w:lang w:val="en-US"/>
        </w:rPr>
        <w:t xml:space="preserve"> </w:t>
      </w:r>
      <w:r w:rsidR="00221E16" w:rsidRPr="007B2402">
        <w:rPr>
          <w:rFonts w:eastAsia="Cambria" w:cs="Times New Roman"/>
          <w:bCs/>
          <w:szCs w:val="20"/>
          <w:lang w:val="en-US"/>
        </w:rPr>
        <w:t>paragraphs</w:t>
      </w:r>
      <w:r w:rsidR="00012C6E" w:rsidRPr="007B2402">
        <w:rPr>
          <w:rFonts w:eastAsia="Cambria" w:cs="Times New Roman"/>
          <w:bCs/>
          <w:szCs w:val="20"/>
          <w:lang w:val="en-US"/>
        </w:rPr>
        <w:t xml:space="preserve"> </w:t>
      </w:r>
      <w:r w:rsidR="003F140C" w:rsidRPr="007B2402">
        <w:rPr>
          <w:rFonts w:eastAsia="Cambria" w:cs="Times New Roman"/>
          <w:bCs/>
          <w:szCs w:val="20"/>
          <w:lang w:val="en-US"/>
        </w:rPr>
        <w:t xml:space="preserve">410 </w:t>
      </w:r>
      <w:r w:rsidR="0038686D" w:rsidRPr="007B2402">
        <w:rPr>
          <w:rFonts w:eastAsia="Cambria" w:cs="Times New Roman"/>
          <w:bCs/>
          <w:szCs w:val="20"/>
          <w:lang w:val="en-US"/>
        </w:rPr>
        <w:t>to</w:t>
      </w:r>
      <w:r w:rsidR="003F140C" w:rsidRPr="007B2402">
        <w:rPr>
          <w:rFonts w:eastAsia="Cambria" w:cs="Times New Roman"/>
          <w:bCs/>
          <w:szCs w:val="20"/>
          <w:lang w:val="en-US"/>
        </w:rPr>
        <w:t xml:space="preserve"> 415 </w:t>
      </w:r>
      <w:r w:rsidR="00221E16" w:rsidRPr="007B2402">
        <w:rPr>
          <w:rFonts w:eastAsia="Cambria" w:cs="Times New Roman"/>
          <w:bCs/>
          <w:szCs w:val="20"/>
          <w:lang w:val="en-US"/>
        </w:rPr>
        <w:t>of this judgment</w:t>
      </w:r>
    </w:p>
    <w:p w14:paraId="504834A9" w14:textId="77777777" w:rsidR="00012C6E" w:rsidRPr="007B2402" w:rsidRDefault="00012C6E" w:rsidP="00C66F63">
      <w:pPr>
        <w:pStyle w:val="Prrafodelista"/>
        <w:contextualSpacing w:val="0"/>
        <w:rPr>
          <w:rFonts w:eastAsia="Cambria" w:cs="Times New Roman"/>
          <w:bCs/>
          <w:szCs w:val="20"/>
          <w:lang w:val="en-US"/>
        </w:rPr>
      </w:pPr>
    </w:p>
    <w:p w14:paraId="1037DF0E" w14:textId="04F220E7" w:rsidR="006D0CED" w:rsidRPr="007B2402" w:rsidRDefault="00AF4344" w:rsidP="00C66F63">
      <w:pPr>
        <w:pStyle w:val="Prrafodelista"/>
        <w:numPr>
          <w:ilvl w:val="3"/>
          <w:numId w:val="5"/>
        </w:numPr>
        <w:tabs>
          <w:tab w:val="left" w:pos="720"/>
        </w:tabs>
        <w:ind w:left="0" w:right="-90" w:firstLine="0"/>
        <w:contextualSpacing w:val="0"/>
        <w:rPr>
          <w:rFonts w:eastAsia="Cambria" w:cs="Times New Roman"/>
          <w:bCs/>
          <w:szCs w:val="20"/>
          <w:lang w:val="en-US"/>
        </w:rPr>
      </w:pPr>
      <w:r w:rsidRPr="007B2402">
        <w:rPr>
          <w:rFonts w:eastAsia="Cambria" w:cs="Times New Roman"/>
          <w:bCs/>
          <w:szCs w:val="20"/>
          <w:lang w:val="en-US"/>
        </w:rPr>
        <w:t>The State</w:t>
      </w:r>
      <w:r w:rsidR="007C72D6" w:rsidRPr="007B2402">
        <w:rPr>
          <w:rFonts w:eastAsia="Cambria" w:cs="Times New Roman"/>
          <w:bCs/>
          <w:szCs w:val="20"/>
          <w:lang w:val="en-US"/>
        </w:rPr>
        <w:t xml:space="preserve"> </w:t>
      </w:r>
      <w:r w:rsidR="0038686D" w:rsidRPr="007B2402">
        <w:rPr>
          <w:rFonts w:eastAsia="Cambria" w:cs="Times New Roman"/>
          <w:bCs/>
          <w:szCs w:val="20"/>
          <w:lang w:val="en-US"/>
        </w:rPr>
        <w:t xml:space="preserve">must reimburse the </w:t>
      </w:r>
      <w:r w:rsidR="00554584" w:rsidRPr="007B2402">
        <w:rPr>
          <w:rFonts w:eastAsia="Cambria" w:cs="Times New Roman"/>
          <w:bCs/>
          <w:szCs w:val="20"/>
          <w:lang w:val="en-US"/>
        </w:rPr>
        <w:t>Victim’s Legal Assistance Fund</w:t>
      </w:r>
      <w:r w:rsidRPr="007B2402">
        <w:rPr>
          <w:rFonts w:eastAsia="Cambria" w:cs="Times New Roman"/>
          <w:bCs/>
          <w:szCs w:val="20"/>
          <w:lang w:val="en-US"/>
        </w:rPr>
        <w:t xml:space="preserve"> of the Inter-American Court of Human Rights</w:t>
      </w:r>
      <w:r w:rsidR="007C72D6" w:rsidRPr="007B2402">
        <w:rPr>
          <w:rFonts w:eastAsia="Cambria" w:cs="Times New Roman"/>
          <w:bCs/>
          <w:szCs w:val="20"/>
          <w:lang w:val="en-US"/>
        </w:rPr>
        <w:t xml:space="preserve"> </w:t>
      </w:r>
      <w:r w:rsidR="0038686D" w:rsidRPr="007B2402">
        <w:rPr>
          <w:rFonts w:eastAsia="Cambria" w:cs="Times New Roman"/>
          <w:bCs/>
          <w:szCs w:val="20"/>
          <w:lang w:val="en-US"/>
        </w:rPr>
        <w:t xml:space="preserve">the amount disbursed during the processing of this case, </w:t>
      </w:r>
      <w:r w:rsidR="00221E16" w:rsidRPr="007B2402">
        <w:rPr>
          <w:rFonts w:eastAsia="Cambria" w:cs="Times New Roman"/>
          <w:bCs/>
          <w:szCs w:val="20"/>
          <w:lang w:val="en-US"/>
        </w:rPr>
        <w:t>in the terms of paragaph</w:t>
      </w:r>
      <w:r w:rsidR="007C72D6" w:rsidRPr="007B2402">
        <w:rPr>
          <w:rFonts w:eastAsia="Cambria" w:cs="Times New Roman"/>
          <w:bCs/>
          <w:szCs w:val="20"/>
          <w:lang w:val="en-US"/>
        </w:rPr>
        <w:t xml:space="preserve"> </w:t>
      </w:r>
      <w:r w:rsidR="003F140C" w:rsidRPr="007B2402">
        <w:rPr>
          <w:rFonts w:eastAsia="Cambria" w:cs="Times New Roman"/>
          <w:bCs/>
          <w:szCs w:val="20"/>
          <w:lang w:val="en-US"/>
        </w:rPr>
        <w:t xml:space="preserve">409 </w:t>
      </w:r>
      <w:r w:rsidR="0038686D" w:rsidRPr="007B2402">
        <w:rPr>
          <w:rFonts w:eastAsia="Cambria" w:cs="Times New Roman"/>
          <w:bCs/>
          <w:szCs w:val="20"/>
          <w:lang w:val="en-US"/>
        </w:rPr>
        <w:t>of this judgment</w:t>
      </w:r>
      <w:r w:rsidR="007C72D6" w:rsidRPr="007B2402">
        <w:rPr>
          <w:rFonts w:eastAsia="Cambria" w:cs="Times New Roman"/>
          <w:bCs/>
          <w:szCs w:val="20"/>
          <w:lang w:val="en-US"/>
        </w:rPr>
        <w:t>.</w:t>
      </w:r>
    </w:p>
    <w:p w14:paraId="1481DB7D" w14:textId="77777777" w:rsidR="006D0CED" w:rsidRPr="007B2402" w:rsidRDefault="006D0CED" w:rsidP="00C66F63">
      <w:pPr>
        <w:pStyle w:val="Prrafodelista"/>
        <w:tabs>
          <w:tab w:val="left" w:pos="720"/>
        </w:tabs>
        <w:ind w:left="0" w:right="-90"/>
        <w:contextualSpacing w:val="0"/>
        <w:rPr>
          <w:rFonts w:eastAsia="Cambria" w:cs="Times New Roman"/>
          <w:bCs/>
          <w:szCs w:val="20"/>
          <w:lang w:val="en-US"/>
        </w:rPr>
      </w:pPr>
    </w:p>
    <w:p w14:paraId="7D1925B0" w14:textId="59B2EBD6" w:rsidR="00012C6E" w:rsidRPr="007B2402" w:rsidRDefault="00AF4344" w:rsidP="00C66F63">
      <w:pPr>
        <w:pStyle w:val="Prrafodelista"/>
        <w:numPr>
          <w:ilvl w:val="3"/>
          <w:numId w:val="5"/>
        </w:numPr>
        <w:tabs>
          <w:tab w:val="left" w:pos="720"/>
        </w:tabs>
        <w:ind w:left="0" w:right="-90" w:firstLine="0"/>
        <w:contextualSpacing w:val="0"/>
        <w:rPr>
          <w:rFonts w:eastAsia="Cambria" w:cs="Times New Roman"/>
          <w:bCs/>
          <w:szCs w:val="20"/>
          <w:lang w:val="en-US"/>
        </w:rPr>
      </w:pPr>
      <w:r w:rsidRPr="007B2402">
        <w:rPr>
          <w:rFonts w:eastAsia="Cambria" w:cs="Times New Roman"/>
          <w:bCs/>
          <w:szCs w:val="20"/>
          <w:lang w:val="en-US"/>
        </w:rPr>
        <w:t>The State</w:t>
      </w:r>
      <w:r w:rsidR="00012C6E" w:rsidRPr="007B2402">
        <w:rPr>
          <w:rFonts w:eastAsia="Cambria" w:cs="Times New Roman"/>
          <w:bCs/>
          <w:szCs w:val="20"/>
          <w:lang w:val="en-US"/>
        </w:rPr>
        <w:t xml:space="preserve"> </w:t>
      </w:r>
      <w:r w:rsidR="0038686D" w:rsidRPr="007B2402">
        <w:rPr>
          <w:rFonts w:eastAsia="Cambria" w:cs="Times New Roman"/>
          <w:bCs/>
          <w:szCs w:val="20"/>
          <w:lang w:val="en-US"/>
        </w:rPr>
        <w:t>must, within one year of notification of this judgment, provide the Court with a report on the measures taken to comply with it.</w:t>
      </w:r>
    </w:p>
    <w:p w14:paraId="48C7B92A" w14:textId="77777777" w:rsidR="00012C6E" w:rsidRPr="007B2402" w:rsidRDefault="00012C6E" w:rsidP="00C66F63">
      <w:pPr>
        <w:pStyle w:val="Prrafodelista"/>
        <w:contextualSpacing w:val="0"/>
        <w:rPr>
          <w:rFonts w:eastAsia="Cambria" w:cs="Times New Roman"/>
          <w:bCs/>
          <w:szCs w:val="20"/>
          <w:lang w:val="en-US"/>
        </w:rPr>
      </w:pPr>
    </w:p>
    <w:p w14:paraId="14A1ED3C" w14:textId="2E581CDF" w:rsidR="00B03F3F" w:rsidRPr="007B2402" w:rsidRDefault="00AF4344" w:rsidP="00C66F63">
      <w:pPr>
        <w:pStyle w:val="Prrafodelista"/>
        <w:numPr>
          <w:ilvl w:val="3"/>
          <w:numId w:val="5"/>
        </w:numPr>
        <w:tabs>
          <w:tab w:val="left" w:pos="720"/>
        </w:tabs>
        <w:ind w:left="0" w:right="-90" w:firstLine="0"/>
        <w:contextualSpacing w:val="0"/>
        <w:rPr>
          <w:rFonts w:eastAsia="Cambria" w:cs="Times New Roman"/>
          <w:bCs/>
          <w:szCs w:val="20"/>
          <w:lang w:val="en-US"/>
        </w:rPr>
      </w:pPr>
      <w:r w:rsidRPr="007B2402">
        <w:rPr>
          <w:rFonts w:eastAsia="Cambria" w:cs="Times New Roman"/>
          <w:bCs/>
          <w:szCs w:val="20"/>
          <w:lang w:val="en-US"/>
        </w:rPr>
        <w:t>The Court</w:t>
      </w:r>
      <w:r w:rsidR="00012C6E" w:rsidRPr="007B2402">
        <w:rPr>
          <w:rFonts w:eastAsia="Cambria" w:cs="Times New Roman"/>
          <w:bCs/>
          <w:szCs w:val="20"/>
          <w:lang w:val="en-US"/>
        </w:rPr>
        <w:t xml:space="preserve"> </w:t>
      </w:r>
      <w:r w:rsidR="0038686D" w:rsidRPr="007B2402">
        <w:rPr>
          <w:rFonts w:eastAsia="Cambria" w:cs="Times New Roman"/>
          <w:bCs/>
          <w:szCs w:val="20"/>
          <w:lang w:val="en-US"/>
        </w:rPr>
        <w:t xml:space="preserve">will monitor full compliance with this judgment, in exercise of its authority and in fulfillment of its obligations under </w:t>
      </w:r>
      <w:r w:rsidRPr="007B2402">
        <w:rPr>
          <w:rFonts w:eastAsia="Cambria" w:cs="Times New Roman"/>
          <w:bCs/>
          <w:szCs w:val="20"/>
          <w:lang w:val="en-US"/>
        </w:rPr>
        <w:t>the American Convention on Human Rights</w:t>
      </w:r>
      <w:r w:rsidR="00012C6E" w:rsidRPr="007B2402">
        <w:rPr>
          <w:rFonts w:eastAsia="Cambria" w:cs="Times New Roman"/>
          <w:bCs/>
          <w:szCs w:val="20"/>
          <w:lang w:val="en-US"/>
        </w:rPr>
        <w:t>,</w:t>
      </w:r>
      <w:r w:rsidR="005B1590" w:rsidRPr="007B2402">
        <w:rPr>
          <w:rFonts w:eastAsia="Cambria" w:cs="Times New Roman"/>
          <w:bCs/>
          <w:szCs w:val="20"/>
          <w:lang w:val="en-US"/>
        </w:rPr>
        <w:t xml:space="preserve"> and </w:t>
      </w:r>
      <w:r w:rsidR="0038686D" w:rsidRPr="007B2402">
        <w:rPr>
          <w:rFonts w:eastAsia="Cambria" w:cs="Times New Roman"/>
          <w:bCs/>
          <w:szCs w:val="20"/>
          <w:lang w:val="en-US"/>
        </w:rPr>
        <w:t xml:space="preserve">will close this case when the State has complied fully with its provisions. </w:t>
      </w:r>
    </w:p>
    <w:p w14:paraId="48873796" w14:textId="77777777" w:rsidR="00B03F3F" w:rsidRPr="007B2402" w:rsidRDefault="00B03F3F">
      <w:pPr>
        <w:rPr>
          <w:rFonts w:eastAsia="Cambria" w:cs="Times New Roman"/>
          <w:bCs/>
          <w:noProof/>
          <w:szCs w:val="20"/>
          <w:lang w:val="en-US"/>
        </w:rPr>
      </w:pPr>
      <w:r w:rsidRPr="007B2402">
        <w:rPr>
          <w:rFonts w:eastAsia="Cambria" w:cs="Times New Roman"/>
          <w:bCs/>
          <w:szCs w:val="20"/>
          <w:lang w:val="en-US"/>
        </w:rPr>
        <w:br w:type="page"/>
      </w:r>
    </w:p>
    <w:p w14:paraId="444ED60F" w14:textId="5EABE287" w:rsidR="00B03F3F" w:rsidRPr="007B2402" w:rsidRDefault="00AC4493" w:rsidP="00B03F3F">
      <w:pPr>
        <w:widowControl w:val="0"/>
        <w:tabs>
          <w:tab w:val="left" w:pos="0"/>
        </w:tabs>
        <w:adjustRightInd w:val="0"/>
        <w:spacing w:after="0" w:line="240" w:lineRule="auto"/>
        <w:contextualSpacing/>
        <w:jc w:val="both"/>
        <w:textAlignment w:val="baseline"/>
        <w:rPr>
          <w:rFonts w:eastAsia="Batang" w:cs="Times"/>
          <w:bCs/>
          <w:szCs w:val="24"/>
          <w:lang w:val="en-US"/>
        </w:rPr>
      </w:pPr>
      <w:r w:rsidRPr="007B2402">
        <w:rPr>
          <w:rFonts w:eastAsia="Batang" w:cs="Times"/>
          <w:bCs/>
          <w:szCs w:val="24"/>
          <w:lang w:val="en-US"/>
        </w:rPr>
        <w:lastRenderedPageBreak/>
        <w:t>I/A Court HR</w:t>
      </w:r>
      <w:r w:rsidR="00B03F3F" w:rsidRPr="007B2402">
        <w:rPr>
          <w:rFonts w:eastAsia="Batang" w:cs="Times"/>
          <w:bCs/>
          <w:szCs w:val="24"/>
          <w:lang w:val="en-US"/>
        </w:rPr>
        <w:t>.</w:t>
      </w:r>
      <w:r w:rsidR="00B03F3F" w:rsidRPr="007B2402">
        <w:rPr>
          <w:rFonts w:eastAsia="Batang" w:cs="Times"/>
          <w:bCs/>
          <w:i/>
          <w:szCs w:val="24"/>
          <w:lang w:val="en-US"/>
        </w:rPr>
        <w:t xml:space="preserve"> Cas</w:t>
      </w:r>
      <w:r w:rsidR="0088594D" w:rsidRPr="007B2402">
        <w:rPr>
          <w:rFonts w:eastAsia="Batang" w:cs="Times"/>
          <w:bCs/>
          <w:i/>
          <w:szCs w:val="24"/>
          <w:lang w:val="en-US"/>
        </w:rPr>
        <w:t>e of</w:t>
      </w:r>
      <w:r w:rsidR="00B03F3F" w:rsidRPr="007B2402">
        <w:rPr>
          <w:rFonts w:eastAsia="Batang" w:cs="Times"/>
          <w:bCs/>
          <w:i/>
          <w:szCs w:val="24"/>
          <w:lang w:val="en-US"/>
        </w:rPr>
        <w:t xml:space="preserve"> </w:t>
      </w:r>
      <w:r w:rsidR="00AF4344" w:rsidRPr="007B2402">
        <w:rPr>
          <w:rFonts w:eastAsia="Batang" w:cs="Times"/>
          <w:bCs/>
          <w:i/>
          <w:szCs w:val="24"/>
          <w:lang w:val="en-US"/>
        </w:rPr>
        <w:t>Herzog et al.</w:t>
      </w:r>
      <w:r w:rsidR="00B03F3F" w:rsidRPr="007B2402">
        <w:rPr>
          <w:rFonts w:eastAsia="Batang" w:cs="Times"/>
          <w:bCs/>
          <w:i/>
          <w:szCs w:val="24"/>
          <w:lang w:val="en-US"/>
        </w:rPr>
        <w:t xml:space="preserve"> </w:t>
      </w:r>
      <w:r w:rsidRPr="007B2402">
        <w:rPr>
          <w:rFonts w:eastAsia="Batang" w:cs="Times"/>
          <w:bCs/>
          <w:i/>
          <w:szCs w:val="24"/>
          <w:lang w:val="en-US"/>
        </w:rPr>
        <w:t>v</w:t>
      </w:r>
      <w:r w:rsidR="00B03F3F" w:rsidRPr="007B2402">
        <w:rPr>
          <w:rFonts w:eastAsia="Batang" w:cs="Times"/>
          <w:bCs/>
          <w:i/>
          <w:szCs w:val="24"/>
          <w:lang w:val="en-US"/>
        </w:rPr>
        <w:t xml:space="preserve">. </w:t>
      </w:r>
      <w:r w:rsidR="00AF4344" w:rsidRPr="007B2402">
        <w:rPr>
          <w:rFonts w:eastAsia="Batang" w:cs="Times"/>
          <w:bCs/>
          <w:i/>
          <w:szCs w:val="24"/>
          <w:lang w:val="en-US"/>
        </w:rPr>
        <w:t>Brazil</w:t>
      </w:r>
      <w:r w:rsidR="00B03F3F" w:rsidRPr="007B2402">
        <w:rPr>
          <w:rFonts w:eastAsia="Batang" w:cs="Times"/>
          <w:bCs/>
          <w:szCs w:val="24"/>
          <w:lang w:val="en-US"/>
        </w:rPr>
        <w:t xml:space="preserve">. </w:t>
      </w:r>
      <w:r w:rsidR="00AF4344" w:rsidRPr="007B2402">
        <w:rPr>
          <w:rFonts w:eastAsia="Batang" w:cs="Times"/>
          <w:bCs/>
          <w:szCs w:val="24"/>
          <w:lang w:val="en-US"/>
        </w:rPr>
        <w:t>Preliminary objections, merits, reparations and costs</w:t>
      </w:r>
      <w:r w:rsidR="00B03F3F" w:rsidRPr="007B2402">
        <w:rPr>
          <w:rFonts w:eastAsia="Batang" w:cs="Times"/>
          <w:bCs/>
          <w:szCs w:val="24"/>
          <w:lang w:val="en-US"/>
        </w:rPr>
        <w:t xml:space="preserve">. </w:t>
      </w:r>
      <w:r w:rsidR="00AF4344" w:rsidRPr="007B2402">
        <w:rPr>
          <w:rFonts w:eastAsia="Batang" w:cs="Times"/>
          <w:bCs/>
          <w:szCs w:val="24"/>
          <w:lang w:val="en-US"/>
        </w:rPr>
        <w:t>Judgment of</w:t>
      </w:r>
      <w:r w:rsidR="00B03F3F" w:rsidRPr="007B2402">
        <w:rPr>
          <w:rFonts w:eastAsia="Batang" w:cs="Times"/>
          <w:bCs/>
          <w:szCs w:val="24"/>
          <w:lang w:val="en-US"/>
        </w:rPr>
        <w:t xml:space="preserve"> </w:t>
      </w:r>
      <w:r w:rsidR="00AF4344" w:rsidRPr="007B2402">
        <w:rPr>
          <w:rFonts w:eastAsia="Batang" w:cs="Times"/>
          <w:bCs/>
          <w:szCs w:val="24"/>
          <w:lang w:val="en-US"/>
        </w:rPr>
        <w:t>March 15,</w:t>
      </w:r>
      <w:r w:rsidR="00B03F3F" w:rsidRPr="007B2402">
        <w:rPr>
          <w:rFonts w:eastAsia="Batang" w:cs="Times"/>
          <w:bCs/>
          <w:szCs w:val="24"/>
          <w:lang w:val="en-US"/>
        </w:rPr>
        <w:t xml:space="preserve"> 2018.</w:t>
      </w:r>
    </w:p>
    <w:p w14:paraId="1F76E813" w14:textId="77777777" w:rsidR="00B03F3F" w:rsidRPr="007B2402" w:rsidRDefault="00B03F3F" w:rsidP="00B03F3F">
      <w:pPr>
        <w:widowControl w:val="0"/>
        <w:tabs>
          <w:tab w:val="left" w:pos="0"/>
        </w:tabs>
        <w:adjustRightInd w:val="0"/>
        <w:spacing w:after="0" w:line="240" w:lineRule="auto"/>
        <w:contextualSpacing/>
        <w:jc w:val="both"/>
        <w:textAlignment w:val="baseline"/>
        <w:rPr>
          <w:rFonts w:eastAsia="Batang" w:cs="Times"/>
          <w:bCs/>
          <w:szCs w:val="24"/>
          <w:lang w:val="en-US"/>
        </w:rPr>
      </w:pPr>
    </w:p>
    <w:p w14:paraId="2FB1E696" w14:textId="77777777" w:rsidR="00B03F3F" w:rsidRPr="007B2402" w:rsidRDefault="00B03F3F" w:rsidP="00B03F3F">
      <w:pPr>
        <w:jc w:val="center"/>
        <w:rPr>
          <w:rFonts w:eastAsia="Calibri" w:cs="Times New Roman"/>
          <w:lang w:val="en-US"/>
        </w:rPr>
      </w:pPr>
    </w:p>
    <w:p w14:paraId="56E7DF7C" w14:textId="77777777" w:rsidR="00B03F3F" w:rsidRPr="007B2402" w:rsidRDefault="00B03F3F" w:rsidP="00B03F3F">
      <w:pPr>
        <w:rPr>
          <w:rFonts w:eastAsia="Calibri" w:cs="Times New Roman"/>
          <w:lang w:val="en-US"/>
        </w:rPr>
      </w:pPr>
    </w:p>
    <w:p w14:paraId="18756D78" w14:textId="77777777" w:rsidR="00B03F3F" w:rsidRPr="007B2402" w:rsidRDefault="00B03F3F" w:rsidP="00B03F3F">
      <w:pPr>
        <w:spacing w:after="0" w:line="240" w:lineRule="auto"/>
        <w:jc w:val="center"/>
        <w:rPr>
          <w:rFonts w:eastAsia="Calibri" w:cs="Times New Roman"/>
          <w:lang w:val="en-US"/>
        </w:rPr>
      </w:pPr>
      <w:r w:rsidRPr="007B2402">
        <w:rPr>
          <w:rFonts w:eastAsia="Calibri" w:cs="Times New Roman"/>
          <w:lang w:val="en-US"/>
        </w:rPr>
        <w:t xml:space="preserve">Eduardo Ferrer Mac-Gregor Poisot </w:t>
      </w:r>
    </w:p>
    <w:p w14:paraId="6BF54AC4" w14:textId="0C371541" w:rsidR="00B03F3F" w:rsidRPr="007B2402" w:rsidRDefault="00AF4344" w:rsidP="00B03F3F">
      <w:pPr>
        <w:spacing w:after="0" w:line="240" w:lineRule="auto"/>
        <w:jc w:val="center"/>
        <w:rPr>
          <w:rFonts w:eastAsia="Calibri" w:cs="Times New Roman"/>
          <w:lang w:val="en-US"/>
        </w:rPr>
      </w:pPr>
      <w:r w:rsidRPr="007B2402">
        <w:rPr>
          <w:rFonts w:eastAsia="Calibri" w:cs="Times New Roman"/>
          <w:lang w:val="en-US"/>
        </w:rPr>
        <w:t>President</w:t>
      </w:r>
    </w:p>
    <w:p w14:paraId="3C42278E" w14:textId="77777777" w:rsidR="00B03F3F" w:rsidRPr="007B2402" w:rsidRDefault="00B03F3F" w:rsidP="00B03F3F">
      <w:pPr>
        <w:spacing w:after="0" w:line="240" w:lineRule="auto"/>
        <w:jc w:val="both"/>
        <w:rPr>
          <w:rFonts w:eastAsia="Calibri" w:cs="Times New Roman"/>
          <w:lang w:val="en-US"/>
        </w:rPr>
      </w:pPr>
    </w:p>
    <w:p w14:paraId="50F45112" w14:textId="77777777" w:rsidR="00B03F3F" w:rsidRPr="007B2402" w:rsidRDefault="00B03F3F" w:rsidP="00B03F3F">
      <w:pPr>
        <w:spacing w:after="0" w:line="240" w:lineRule="auto"/>
        <w:jc w:val="both"/>
        <w:rPr>
          <w:rFonts w:eastAsia="Calibri" w:cs="Times New Roman"/>
          <w:lang w:val="en-US"/>
        </w:rPr>
      </w:pPr>
    </w:p>
    <w:p w14:paraId="47D6FB40" w14:textId="77777777" w:rsidR="00B03F3F" w:rsidRPr="007B2402" w:rsidRDefault="00B03F3F" w:rsidP="00B03F3F">
      <w:pPr>
        <w:spacing w:after="0" w:line="240" w:lineRule="auto"/>
        <w:jc w:val="both"/>
        <w:rPr>
          <w:rFonts w:eastAsia="Calibri" w:cs="Times New Roman"/>
          <w:lang w:val="en-US"/>
        </w:rPr>
      </w:pPr>
    </w:p>
    <w:p w14:paraId="2CFA4E4D" w14:textId="77777777" w:rsidR="00B03F3F" w:rsidRPr="007B2402" w:rsidRDefault="00B03F3F" w:rsidP="00B03F3F">
      <w:pPr>
        <w:spacing w:after="0" w:line="240" w:lineRule="auto"/>
        <w:jc w:val="both"/>
        <w:rPr>
          <w:rFonts w:eastAsia="Calibri" w:cs="Times New Roman"/>
          <w:lang w:val="en-US"/>
        </w:rPr>
      </w:pPr>
    </w:p>
    <w:p w14:paraId="199AB791" w14:textId="77777777" w:rsidR="00B03F3F" w:rsidRPr="007B2402" w:rsidRDefault="00B03F3F" w:rsidP="00B03F3F">
      <w:pPr>
        <w:spacing w:after="0" w:line="240" w:lineRule="auto"/>
        <w:jc w:val="both"/>
        <w:rPr>
          <w:rFonts w:eastAsia="Calibri" w:cs="Times New Roman"/>
          <w:lang w:val="en-US"/>
        </w:rPr>
      </w:pPr>
    </w:p>
    <w:p w14:paraId="5F80F61D" w14:textId="1A542CA2" w:rsidR="00B03F3F" w:rsidRPr="007B2402" w:rsidRDefault="00B03F3F" w:rsidP="00B03F3F">
      <w:pPr>
        <w:spacing w:after="0" w:line="240" w:lineRule="auto"/>
        <w:jc w:val="both"/>
        <w:rPr>
          <w:rFonts w:eastAsia="Calibri" w:cs="Times New Roman"/>
          <w:lang w:val="en-US"/>
        </w:rPr>
      </w:pPr>
      <w:r w:rsidRPr="007B2402">
        <w:rPr>
          <w:rFonts w:eastAsia="Calibri" w:cs="Times New Roman"/>
          <w:lang w:val="en-US"/>
        </w:rPr>
        <w:t>Eduardo Vio Grossi</w:t>
      </w:r>
      <w:r w:rsidRPr="007B2402">
        <w:rPr>
          <w:rFonts w:eastAsia="Calibri" w:cs="Times New Roman"/>
          <w:lang w:val="en-US"/>
        </w:rPr>
        <w:tab/>
      </w:r>
      <w:r w:rsidRPr="007B2402">
        <w:rPr>
          <w:rFonts w:eastAsia="Calibri" w:cs="Times New Roman"/>
          <w:lang w:val="en-US"/>
        </w:rPr>
        <w:tab/>
      </w:r>
      <w:r w:rsidRPr="007B2402">
        <w:rPr>
          <w:rFonts w:eastAsia="Calibri" w:cs="Times New Roman"/>
          <w:lang w:val="en-US"/>
        </w:rPr>
        <w:tab/>
      </w:r>
      <w:r w:rsidRPr="007B2402">
        <w:rPr>
          <w:rFonts w:eastAsia="Calibri" w:cs="Times New Roman"/>
          <w:lang w:val="en-US"/>
        </w:rPr>
        <w:tab/>
      </w:r>
      <w:r w:rsidRPr="007B2402">
        <w:rPr>
          <w:rFonts w:eastAsia="Calibri" w:cs="Times New Roman"/>
          <w:lang w:val="en-US"/>
        </w:rPr>
        <w:tab/>
      </w:r>
      <w:r w:rsidRPr="007B2402">
        <w:rPr>
          <w:rFonts w:eastAsia="Calibri" w:cs="Times New Roman"/>
          <w:lang w:val="en-US"/>
        </w:rPr>
        <w:tab/>
        <w:t>Humberto A. Sierra Porto</w:t>
      </w:r>
      <w:r w:rsidRPr="007B2402">
        <w:rPr>
          <w:rFonts w:eastAsia="Calibri" w:cs="Times New Roman"/>
          <w:lang w:val="en-US"/>
        </w:rPr>
        <w:tab/>
      </w:r>
      <w:r w:rsidRPr="007B2402">
        <w:rPr>
          <w:rFonts w:eastAsia="Calibri" w:cs="Times New Roman"/>
          <w:lang w:val="en-US"/>
        </w:rPr>
        <w:tab/>
        <w:t xml:space="preserve">        </w:t>
      </w:r>
    </w:p>
    <w:p w14:paraId="716E9877" w14:textId="77777777" w:rsidR="00B03F3F" w:rsidRPr="007B2402" w:rsidRDefault="00B03F3F" w:rsidP="00B03F3F">
      <w:pPr>
        <w:spacing w:after="0" w:line="240" w:lineRule="auto"/>
        <w:jc w:val="both"/>
        <w:rPr>
          <w:rFonts w:eastAsia="Calibri" w:cs="Times New Roman"/>
          <w:lang w:val="en-US"/>
        </w:rPr>
      </w:pPr>
    </w:p>
    <w:p w14:paraId="3ADBF695" w14:textId="77777777" w:rsidR="00B03F3F" w:rsidRPr="007B2402" w:rsidRDefault="00B03F3F" w:rsidP="00B03F3F">
      <w:pPr>
        <w:spacing w:after="0" w:line="240" w:lineRule="auto"/>
        <w:jc w:val="both"/>
        <w:rPr>
          <w:rFonts w:eastAsia="Calibri" w:cs="Times New Roman"/>
          <w:lang w:val="en-US"/>
        </w:rPr>
      </w:pPr>
    </w:p>
    <w:p w14:paraId="238F7471" w14:textId="77777777" w:rsidR="00B03F3F" w:rsidRPr="007B2402" w:rsidRDefault="00B03F3F" w:rsidP="00B03F3F">
      <w:pPr>
        <w:spacing w:after="0" w:line="240" w:lineRule="auto"/>
        <w:jc w:val="both"/>
        <w:rPr>
          <w:rFonts w:eastAsia="Calibri" w:cs="Times New Roman"/>
          <w:lang w:val="en-US"/>
        </w:rPr>
      </w:pPr>
    </w:p>
    <w:p w14:paraId="3F89A8ED" w14:textId="77777777" w:rsidR="00B03F3F" w:rsidRPr="007B2402" w:rsidRDefault="00B03F3F" w:rsidP="00B03F3F">
      <w:pPr>
        <w:spacing w:after="0" w:line="240" w:lineRule="auto"/>
        <w:jc w:val="both"/>
        <w:rPr>
          <w:rFonts w:eastAsia="Calibri" w:cs="Times New Roman"/>
          <w:lang w:val="en-US"/>
        </w:rPr>
      </w:pPr>
    </w:p>
    <w:p w14:paraId="1F2257C7" w14:textId="77777777" w:rsidR="00B03F3F" w:rsidRPr="007B2402" w:rsidRDefault="00B03F3F" w:rsidP="00B03F3F">
      <w:pPr>
        <w:spacing w:after="0" w:line="240" w:lineRule="auto"/>
        <w:jc w:val="both"/>
        <w:rPr>
          <w:rFonts w:eastAsia="Calibri" w:cs="Times New Roman"/>
          <w:lang w:val="en-US"/>
        </w:rPr>
      </w:pPr>
    </w:p>
    <w:p w14:paraId="038E324E" w14:textId="77777777" w:rsidR="00B03F3F" w:rsidRPr="007B2402" w:rsidRDefault="00B03F3F" w:rsidP="00B03F3F">
      <w:pPr>
        <w:spacing w:after="0" w:line="240" w:lineRule="auto"/>
        <w:jc w:val="both"/>
        <w:rPr>
          <w:rFonts w:eastAsia="Calibri" w:cs="Times New Roman"/>
          <w:lang w:val="en-US"/>
        </w:rPr>
      </w:pPr>
      <w:r w:rsidRPr="007B2402">
        <w:rPr>
          <w:rFonts w:eastAsia="Calibri" w:cs="Times New Roman"/>
          <w:lang w:val="en-US"/>
        </w:rPr>
        <w:t>Elizabeth Odio Benito</w:t>
      </w:r>
      <w:r w:rsidRPr="007B2402">
        <w:rPr>
          <w:rFonts w:eastAsia="Calibri" w:cs="Times New Roman"/>
          <w:lang w:val="en-US"/>
        </w:rPr>
        <w:tab/>
      </w:r>
      <w:r w:rsidRPr="007B2402">
        <w:rPr>
          <w:rFonts w:eastAsia="Calibri" w:cs="Times New Roman"/>
          <w:lang w:val="en-US"/>
        </w:rPr>
        <w:tab/>
      </w:r>
      <w:r w:rsidRPr="007B2402">
        <w:rPr>
          <w:rFonts w:eastAsia="Calibri" w:cs="Times New Roman"/>
          <w:lang w:val="en-US"/>
        </w:rPr>
        <w:tab/>
      </w:r>
      <w:r w:rsidRPr="007B2402">
        <w:rPr>
          <w:rFonts w:eastAsia="Calibri" w:cs="Times New Roman"/>
          <w:lang w:val="en-US"/>
        </w:rPr>
        <w:tab/>
        <w:t xml:space="preserve">    </w:t>
      </w:r>
      <w:r w:rsidRPr="007B2402">
        <w:rPr>
          <w:rFonts w:eastAsia="Calibri" w:cs="Times New Roman"/>
          <w:lang w:val="en-US"/>
        </w:rPr>
        <w:tab/>
        <w:t xml:space="preserve">      Eugenio Raúl Zaffaroni</w:t>
      </w:r>
    </w:p>
    <w:p w14:paraId="2A40F98D" w14:textId="77777777" w:rsidR="00B03F3F" w:rsidRPr="007B2402" w:rsidRDefault="00B03F3F" w:rsidP="00B03F3F">
      <w:pPr>
        <w:spacing w:after="0" w:line="240" w:lineRule="auto"/>
        <w:jc w:val="both"/>
        <w:rPr>
          <w:rFonts w:eastAsia="Calibri" w:cs="Times New Roman"/>
          <w:lang w:val="en-US"/>
        </w:rPr>
      </w:pPr>
    </w:p>
    <w:p w14:paraId="33FD6238" w14:textId="77777777" w:rsidR="00B03F3F" w:rsidRPr="007B2402" w:rsidRDefault="00B03F3F" w:rsidP="00B03F3F">
      <w:pPr>
        <w:spacing w:after="0" w:line="240" w:lineRule="auto"/>
        <w:jc w:val="center"/>
        <w:rPr>
          <w:rFonts w:eastAsia="Calibri" w:cs="Times New Roman"/>
          <w:lang w:val="en-US"/>
        </w:rPr>
      </w:pPr>
    </w:p>
    <w:p w14:paraId="1AADCDB2" w14:textId="77777777" w:rsidR="00B03F3F" w:rsidRPr="007B2402" w:rsidRDefault="00B03F3F" w:rsidP="00B03F3F">
      <w:pPr>
        <w:spacing w:after="0" w:line="240" w:lineRule="auto"/>
        <w:jc w:val="center"/>
        <w:rPr>
          <w:rFonts w:eastAsia="Calibri" w:cs="Times New Roman"/>
          <w:lang w:val="en-US"/>
        </w:rPr>
      </w:pPr>
    </w:p>
    <w:p w14:paraId="18B8E6DB" w14:textId="77777777" w:rsidR="00B03F3F" w:rsidRPr="007B2402" w:rsidRDefault="00B03F3F" w:rsidP="00B03F3F">
      <w:pPr>
        <w:spacing w:after="0" w:line="240" w:lineRule="auto"/>
        <w:jc w:val="center"/>
        <w:rPr>
          <w:rFonts w:eastAsia="Calibri" w:cs="Times New Roman"/>
          <w:lang w:val="en-US"/>
        </w:rPr>
      </w:pPr>
    </w:p>
    <w:p w14:paraId="087D1416" w14:textId="77777777" w:rsidR="00B03F3F" w:rsidRPr="007B2402" w:rsidRDefault="00B03F3F" w:rsidP="00B03F3F">
      <w:pPr>
        <w:spacing w:after="0" w:line="240" w:lineRule="auto"/>
        <w:jc w:val="center"/>
        <w:rPr>
          <w:rFonts w:eastAsia="Calibri" w:cs="Times New Roman"/>
          <w:lang w:val="en-US"/>
        </w:rPr>
      </w:pPr>
    </w:p>
    <w:p w14:paraId="19B260A1" w14:textId="497A68E4" w:rsidR="00B03F3F" w:rsidRPr="007B2402" w:rsidRDefault="00B03F3F" w:rsidP="00B03F3F">
      <w:pPr>
        <w:spacing w:after="0" w:line="240" w:lineRule="auto"/>
        <w:jc w:val="center"/>
        <w:rPr>
          <w:rFonts w:eastAsia="Calibri" w:cs="Times New Roman"/>
        </w:rPr>
      </w:pPr>
      <w:r w:rsidRPr="007B2402">
        <w:rPr>
          <w:rFonts w:eastAsia="Calibri" w:cs="Times New Roman"/>
        </w:rPr>
        <w:t>L.</w:t>
      </w:r>
      <w:r w:rsidR="00A071DF" w:rsidRPr="007B2402">
        <w:rPr>
          <w:rFonts w:eastAsia="Calibri" w:cs="Times New Roman"/>
        </w:rPr>
        <w:t xml:space="preserve"> </w:t>
      </w:r>
      <w:r w:rsidRPr="007B2402">
        <w:rPr>
          <w:rFonts w:eastAsia="Calibri" w:cs="Times New Roman"/>
        </w:rPr>
        <w:t>Patricio Pazmiño Freire</w:t>
      </w:r>
    </w:p>
    <w:p w14:paraId="012C98FB" w14:textId="77777777" w:rsidR="00B03F3F" w:rsidRPr="007B2402" w:rsidRDefault="00B03F3F" w:rsidP="00B03F3F">
      <w:pPr>
        <w:spacing w:after="0" w:line="240" w:lineRule="auto"/>
        <w:jc w:val="both"/>
        <w:rPr>
          <w:rFonts w:eastAsia="Calibri" w:cs="Times New Roman"/>
        </w:rPr>
      </w:pPr>
    </w:p>
    <w:p w14:paraId="26F582F7" w14:textId="77777777" w:rsidR="00B03F3F" w:rsidRPr="007B2402" w:rsidRDefault="00B03F3F" w:rsidP="00B03F3F">
      <w:pPr>
        <w:spacing w:after="0" w:line="240" w:lineRule="auto"/>
        <w:jc w:val="both"/>
        <w:rPr>
          <w:rFonts w:eastAsia="Calibri" w:cs="Times New Roman"/>
        </w:rPr>
      </w:pPr>
    </w:p>
    <w:p w14:paraId="33AE16E6" w14:textId="77777777" w:rsidR="00B03F3F" w:rsidRPr="007B2402" w:rsidRDefault="00B03F3F" w:rsidP="00B03F3F">
      <w:pPr>
        <w:spacing w:after="0" w:line="240" w:lineRule="auto"/>
        <w:jc w:val="both"/>
        <w:rPr>
          <w:rFonts w:eastAsia="Calibri" w:cs="Times New Roman"/>
        </w:rPr>
      </w:pPr>
    </w:p>
    <w:p w14:paraId="38B13A61" w14:textId="77777777" w:rsidR="00B03F3F" w:rsidRPr="007B2402" w:rsidRDefault="00B03F3F" w:rsidP="00B03F3F">
      <w:pPr>
        <w:spacing w:after="0" w:line="240" w:lineRule="auto"/>
        <w:jc w:val="both"/>
        <w:rPr>
          <w:rFonts w:eastAsia="Calibri" w:cs="Times New Roman"/>
        </w:rPr>
      </w:pPr>
    </w:p>
    <w:p w14:paraId="46CD3FA2" w14:textId="77777777" w:rsidR="00B03F3F" w:rsidRPr="007B2402" w:rsidRDefault="00B03F3F" w:rsidP="00B03F3F">
      <w:pPr>
        <w:spacing w:after="0" w:line="240" w:lineRule="auto"/>
        <w:jc w:val="both"/>
        <w:rPr>
          <w:rFonts w:eastAsia="Calibri" w:cs="Times New Roman"/>
        </w:rPr>
      </w:pPr>
    </w:p>
    <w:p w14:paraId="4B0F1419" w14:textId="77777777" w:rsidR="00B03F3F" w:rsidRPr="007B2402" w:rsidRDefault="00B03F3F" w:rsidP="00B03F3F">
      <w:pPr>
        <w:spacing w:after="0" w:line="240" w:lineRule="auto"/>
        <w:jc w:val="center"/>
        <w:rPr>
          <w:rFonts w:eastAsia="Calibri" w:cs="Times New Roman"/>
        </w:rPr>
      </w:pPr>
      <w:r w:rsidRPr="007B2402">
        <w:rPr>
          <w:rFonts w:eastAsia="Calibri" w:cs="Times New Roman"/>
        </w:rPr>
        <w:t>Pablo Saavedra Alessandri</w:t>
      </w:r>
    </w:p>
    <w:p w14:paraId="1C82F2A7" w14:textId="1D3E3A51" w:rsidR="00B03F3F" w:rsidRPr="007B2402" w:rsidRDefault="00B03F3F" w:rsidP="00B03F3F">
      <w:pPr>
        <w:spacing w:after="0" w:line="240" w:lineRule="auto"/>
        <w:jc w:val="center"/>
        <w:rPr>
          <w:rFonts w:eastAsia="Calibri" w:cs="Times New Roman"/>
          <w:lang w:val="en-US"/>
        </w:rPr>
      </w:pPr>
      <w:r w:rsidRPr="007B2402">
        <w:rPr>
          <w:rFonts w:eastAsia="Calibri" w:cs="Times New Roman"/>
          <w:lang w:val="en-US"/>
        </w:rPr>
        <w:t>Secretar</w:t>
      </w:r>
      <w:r w:rsidR="00AC4493" w:rsidRPr="007B2402">
        <w:rPr>
          <w:rFonts w:eastAsia="Calibri" w:cs="Times New Roman"/>
          <w:lang w:val="en-US"/>
        </w:rPr>
        <w:t>y</w:t>
      </w:r>
    </w:p>
    <w:p w14:paraId="66A3B5E6" w14:textId="77777777" w:rsidR="00B03F3F" w:rsidRPr="007B2402" w:rsidRDefault="00B03F3F" w:rsidP="00B03F3F">
      <w:pPr>
        <w:spacing w:after="0" w:line="240" w:lineRule="auto"/>
        <w:rPr>
          <w:rFonts w:eastAsia="Calibri" w:cs="Times New Roman"/>
          <w:lang w:val="en-US"/>
        </w:rPr>
      </w:pPr>
    </w:p>
    <w:p w14:paraId="044AC704" w14:textId="77777777" w:rsidR="00B03F3F" w:rsidRPr="007B2402" w:rsidRDefault="00B03F3F" w:rsidP="00B03F3F">
      <w:pPr>
        <w:spacing w:after="0" w:line="240" w:lineRule="auto"/>
        <w:rPr>
          <w:rFonts w:eastAsia="Calibri" w:cs="Times New Roman"/>
          <w:lang w:val="en-US"/>
        </w:rPr>
      </w:pPr>
    </w:p>
    <w:p w14:paraId="43C19861" w14:textId="77777777" w:rsidR="00B03F3F" w:rsidRPr="007B2402" w:rsidRDefault="00B03F3F" w:rsidP="00B03F3F">
      <w:pPr>
        <w:spacing w:after="0" w:line="240" w:lineRule="auto"/>
        <w:jc w:val="both"/>
        <w:rPr>
          <w:rFonts w:eastAsia="Batang" w:cs="Times"/>
          <w:noProof/>
          <w:sz w:val="16"/>
          <w:szCs w:val="20"/>
          <w:lang w:val="en-US"/>
        </w:rPr>
      </w:pPr>
    </w:p>
    <w:p w14:paraId="74FF965B" w14:textId="4B341273" w:rsidR="00B03F3F" w:rsidRPr="007B2402" w:rsidRDefault="00AC4493" w:rsidP="00B03F3F">
      <w:pPr>
        <w:spacing w:after="0" w:line="240" w:lineRule="auto"/>
        <w:jc w:val="both"/>
        <w:rPr>
          <w:rFonts w:eastAsia="Calibri" w:cs="Times New Roman"/>
          <w:lang w:val="en-US"/>
        </w:rPr>
      </w:pPr>
      <w:r w:rsidRPr="007B2402">
        <w:rPr>
          <w:rFonts w:eastAsia="Calibri" w:cs="Times New Roman"/>
          <w:lang w:val="en-US"/>
        </w:rPr>
        <w:t>So ordered</w:t>
      </w:r>
      <w:r w:rsidR="00B03F3F" w:rsidRPr="007B2402">
        <w:rPr>
          <w:rFonts w:eastAsia="Calibri" w:cs="Times New Roman"/>
          <w:lang w:val="en-US"/>
        </w:rPr>
        <w:t>,</w:t>
      </w:r>
    </w:p>
    <w:p w14:paraId="0C380817" w14:textId="77777777" w:rsidR="00B03F3F" w:rsidRPr="007B2402" w:rsidRDefault="00B03F3F" w:rsidP="00B03F3F">
      <w:pPr>
        <w:spacing w:after="0" w:line="240" w:lineRule="auto"/>
        <w:jc w:val="both"/>
        <w:rPr>
          <w:rFonts w:eastAsia="Calibri" w:cs="Times New Roman"/>
          <w:lang w:val="en-US"/>
        </w:rPr>
      </w:pPr>
    </w:p>
    <w:p w14:paraId="5C9B048A" w14:textId="77777777" w:rsidR="00B03F3F" w:rsidRPr="007B2402" w:rsidRDefault="00B03F3F" w:rsidP="00B03F3F">
      <w:pPr>
        <w:spacing w:after="0" w:line="240" w:lineRule="auto"/>
        <w:jc w:val="both"/>
        <w:rPr>
          <w:rFonts w:eastAsia="Calibri" w:cs="Times New Roman"/>
          <w:lang w:val="en-US"/>
        </w:rPr>
      </w:pPr>
    </w:p>
    <w:p w14:paraId="420A0616" w14:textId="77777777" w:rsidR="00B03F3F" w:rsidRPr="007B2402" w:rsidRDefault="00B03F3F" w:rsidP="00B03F3F">
      <w:pPr>
        <w:spacing w:after="0" w:line="240" w:lineRule="auto"/>
        <w:jc w:val="both"/>
        <w:rPr>
          <w:rFonts w:eastAsia="Calibri" w:cs="Times New Roman"/>
          <w:lang w:val="en-US"/>
        </w:rPr>
      </w:pPr>
    </w:p>
    <w:p w14:paraId="15985FAC" w14:textId="77777777" w:rsidR="00B03F3F" w:rsidRPr="007B2402" w:rsidRDefault="00B03F3F" w:rsidP="00B03F3F">
      <w:pPr>
        <w:spacing w:after="0" w:line="240" w:lineRule="auto"/>
        <w:jc w:val="both"/>
        <w:rPr>
          <w:rFonts w:eastAsia="Calibri" w:cs="Times New Roman"/>
          <w:lang w:val="en-US"/>
        </w:rPr>
      </w:pPr>
    </w:p>
    <w:p w14:paraId="119B0F9F" w14:textId="77777777" w:rsidR="00B03F3F" w:rsidRPr="007B2402" w:rsidRDefault="00B03F3F" w:rsidP="00B03F3F">
      <w:pPr>
        <w:spacing w:after="0" w:line="240" w:lineRule="auto"/>
        <w:ind w:left="4956"/>
        <w:jc w:val="center"/>
        <w:rPr>
          <w:rFonts w:eastAsia="Calibri" w:cs="Times New Roman"/>
          <w:lang w:val="en-US"/>
        </w:rPr>
      </w:pPr>
      <w:r w:rsidRPr="007B2402">
        <w:rPr>
          <w:rFonts w:eastAsia="Calibri" w:cs="Times New Roman"/>
          <w:lang w:val="en-US"/>
        </w:rPr>
        <w:t xml:space="preserve">Eduardo Ferrer Mac-Gregor Poisot </w:t>
      </w:r>
    </w:p>
    <w:p w14:paraId="04B2FAD7" w14:textId="346A4645" w:rsidR="00B03F3F" w:rsidRPr="007B2402" w:rsidRDefault="00AF4344" w:rsidP="00B03F3F">
      <w:pPr>
        <w:spacing w:after="0" w:line="240" w:lineRule="auto"/>
        <w:ind w:left="4956"/>
        <w:jc w:val="center"/>
        <w:rPr>
          <w:rFonts w:eastAsia="Calibri" w:cs="Times New Roman"/>
          <w:lang w:val="en-US"/>
        </w:rPr>
      </w:pPr>
      <w:r w:rsidRPr="007B2402">
        <w:rPr>
          <w:rFonts w:eastAsia="Calibri" w:cs="Times New Roman"/>
          <w:lang w:val="en-US"/>
        </w:rPr>
        <w:t>President</w:t>
      </w:r>
    </w:p>
    <w:p w14:paraId="614DC6CC" w14:textId="77777777" w:rsidR="00B03F3F" w:rsidRPr="007B2402" w:rsidRDefault="00B03F3F" w:rsidP="00B03F3F">
      <w:pPr>
        <w:spacing w:after="0" w:line="240" w:lineRule="auto"/>
        <w:jc w:val="both"/>
        <w:rPr>
          <w:rFonts w:eastAsia="Calibri" w:cs="Times New Roman"/>
          <w:lang w:val="en-US"/>
        </w:rPr>
      </w:pPr>
    </w:p>
    <w:p w14:paraId="4C47E073" w14:textId="77777777" w:rsidR="00B03F3F" w:rsidRPr="007B2402" w:rsidRDefault="00B03F3F" w:rsidP="00B03F3F">
      <w:pPr>
        <w:spacing w:after="0" w:line="240" w:lineRule="auto"/>
        <w:jc w:val="both"/>
        <w:rPr>
          <w:rFonts w:eastAsia="Calibri" w:cs="Times New Roman"/>
          <w:lang w:val="en-US"/>
        </w:rPr>
      </w:pPr>
    </w:p>
    <w:p w14:paraId="7C7A82CD" w14:textId="77777777" w:rsidR="00B03F3F" w:rsidRPr="007B2402" w:rsidRDefault="00B03F3F" w:rsidP="00B03F3F">
      <w:pPr>
        <w:spacing w:after="0" w:line="240" w:lineRule="auto"/>
        <w:jc w:val="both"/>
        <w:rPr>
          <w:rFonts w:eastAsia="Calibri" w:cs="Times New Roman"/>
          <w:lang w:val="en-US"/>
        </w:rPr>
      </w:pPr>
    </w:p>
    <w:p w14:paraId="02F8E950" w14:textId="77777777" w:rsidR="00B03F3F" w:rsidRPr="007B2402" w:rsidRDefault="00B03F3F" w:rsidP="00B03F3F">
      <w:pPr>
        <w:spacing w:after="0" w:line="240" w:lineRule="auto"/>
        <w:jc w:val="both"/>
        <w:rPr>
          <w:rFonts w:eastAsia="Calibri" w:cs="Times New Roman"/>
          <w:lang w:val="en-US"/>
        </w:rPr>
      </w:pPr>
      <w:r w:rsidRPr="007B2402">
        <w:rPr>
          <w:rFonts w:eastAsia="Calibri" w:cs="Times New Roman"/>
          <w:lang w:val="en-US"/>
        </w:rPr>
        <w:t>Pablo Saavedra Alessandri</w:t>
      </w:r>
    </w:p>
    <w:p w14:paraId="221B58B0" w14:textId="023CEE2C" w:rsidR="00B03F3F" w:rsidRPr="00E40F91" w:rsidRDefault="00B03F3F" w:rsidP="00B03F3F">
      <w:pPr>
        <w:spacing w:after="0" w:line="240" w:lineRule="auto"/>
        <w:rPr>
          <w:rFonts w:eastAsia="Calibri" w:cs="Times New Roman"/>
          <w:lang w:val="en-US"/>
        </w:rPr>
      </w:pPr>
      <w:r w:rsidRPr="007B2402">
        <w:rPr>
          <w:rFonts w:eastAsia="Calibri" w:cs="Times New Roman"/>
          <w:lang w:val="en-US"/>
        </w:rPr>
        <w:tab/>
        <w:t>Secretar</w:t>
      </w:r>
      <w:r w:rsidR="00AC4493" w:rsidRPr="007B2402">
        <w:rPr>
          <w:rFonts w:eastAsia="Calibri" w:cs="Times New Roman"/>
          <w:lang w:val="en-US"/>
        </w:rPr>
        <w:t>y</w:t>
      </w:r>
    </w:p>
    <w:p w14:paraId="006A83EB" w14:textId="77777777" w:rsidR="00012C6E" w:rsidRPr="00E40F91" w:rsidRDefault="00012C6E" w:rsidP="00B03F3F">
      <w:pPr>
        <w:pStyle w:val="Prrafodelista"/>
        <w:tabs>
          <w:tab w:val="left" w:pos="720"/>
        </w:tabs>
        <w:ind w:left="0" w:right="-90"/>
        <w:contextualSpacing w:val="0"/>
        <w:rPr>
          <w:rFonts w:eastAsia="Cambria" w:cs="Times New Roman"/>
          <w:bCs/>
          <w:szCs w:val="20"/>
          <w:lang w:val="en-US"/>
        </w:rPr>
      </w:pPr>
    </w:p>
    <w:sectPr w:rsidR="00012C6E" w:rsidRPr="00E40F91" w:rsidSect="00316F68">
      <w:footerReference w:type="default" r:id="rId9"/>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5C959" w14:textId="77777777" w:rsidR="00774D9E" w:rsidRDefault="00774D9E" w:rsidP="001D1455">
      <w:pPr>
        <w:spacing w:after="0" w:line="240" w:lineRule="auto"/>
      </w:pPr>
      <w:r>
        <w:separator/>
      </w:r>
    </w:p>
  </w:endnote>
  <w:endnote w:type="continuationSeparator" w:id="0">
    <w:p w14:paraId="340554BA" w14:textId="77777777" w:rsidR="00774D9E" w:rsidRDefault="00774D9E" w:rsidP="001D1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charset w:val="00"/>
    <w:family w:val="roman"/>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Palatino-Itali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ple Chancery">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Bold">
    <w:charset w:val="00"/>
    <w:family w:val="auto"/>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Roman">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Bold">
    <w:charset w:val="00"/>
    <w:family w:val="auto"/>
    <w:pitch w:val="variable"/>
    <w:sig w:usb0="E00002FF" w:usb1="5000785B" w:usb2="00000000" w:usb3="00000000" w:csb0="0000019F" w:csb1="00000000"/>
  </w:font>
  <w:font w:name="Times-Bold">
    <w:charset w:val="00"/>
    <w:family w:val="auto"/>
    <w:pitch w:val="variable"/>
    <w:sig w:usb0="00000003" w:usb1="00000000" w:usb2="00000000" w:usb3="00000000" w:csb0="00000001" w:csb1="00000000"/>
  </w:font>
  <w:font w:name="ArialMT">
    <w:charset w:val="00"/>
    <w:family w:val="auto"/>
    <w:pitch w:val="variable"/>
    <w:sig w:usb0="E0002AFF" w:usb1="C0007843" w:usb2="00000009" w:usb3="00000000" w:csb0="000001FF" w:csb1="00000000"/>
  </w:font>
  <w:font w:name="Georgia-Bold">
    <w:charset w:val="00"/>
    <w:family w:val="auto"/>
    <w:pitch w:val="variable"/>
    <w:sig w:usb0="00000287" w:usb1="00000000" w:usb2="00000000" w:usb3="00000000" w:csb0="0000009F" w:csb1="00000000"/>
  </w:font>
  <w:font w:name="TimesNewRomanPS-BoldMT">
    <w:charset w:val="00"/>
    <w:family w:val="auto"/>
    <w:pitch w:val="variable"/>
    <w:sig w:usb0="E0002AEF" w:usb1="C0007841" w:usb2="00000009" w:usb3="00000000" w:csb0="000001FF" w:csb1="00000000"/>
  </w:font>
  <w:font w:name="Arial-BoldMT">
    <w:charset w:val="00"/>
    <w:family w:val="auto"/>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Ital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829238956"/>
      <w:docPartObj>
        <w:docPartGallery w:val="Page Numbers (Bottom of Page)"/>
        <w:docPartUnique/>
      </w:docPartObj>
    </w:sdtPr>
    <w:sdtEndPr>
      <w:rPr>
        <w:noProof/>
      </w:rPr>
    </w:sdtEndPr>
    <w:sdtContent>
      <w:p w14:paraId="2FEC5A97" w14:textId="77777777" w:rsidR="00920DEA" w:rsidRDefault="00920DEA">
        <w:pPr>
          <w:pStyle w:val="Piedepgina"/>
          <w:jc w:val="center"/>
        </w:pPr>
        <w:r>
          <w:rPr>
            <w:noProof w:val="0"/>
          </w:rPr>
          <w:fldChar w:fldCharType="begin"/>
        </w:r>
        <w:r>
          <w:instrText xml:space="preserve"> PAGE   \* MERGEFORMAT </w:instrText>
        </w:r>
        <w:r>
          <w:rPr>
            <w:noProof w:val="0"/>
          </w:rPr>
          <w:fldChar w:fldCharType="separate"/>
        </w:r>
        <w:r>
          <w:t>106</w:t>
        </w:r>
        <w:r>
          <w:fldChar w:fldCharType="end"/>
        </w:r>
      </w:p>
    </w:sdtContent>
  </w:sdt>
  <w:p w14:paraId="195C220F" w14:textId="77777777" w:rsidR="00920DEA" w:rsidRDefault="00920D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6045E" w14:textId="77777777" w:rsidR="00774D9E" w:rsidRDefault="00774D9E" w:rsidP="001D1455">
      <w:pPr>
        <w:spacing w:after="0" w:line="240" w:lineRule="auto"/>
      </w:pPr>
      <w:r>
        <w:separator/>
      </w:r>
    </w:p>
  </w:footnote>
  <w:footnote w:type="continuationSeparator" w:id="0">
    <w:p w14:paraId="3F6F3560" w14:textId="77777777" w:rsidR="00774D9E" w:rsidRDefault="00774D9E" w:rsidP="001D1455">
      <w:pPr>
        <w:spacing w:after="0" w:line="240" w:lineRule="auto"/>
      </w:pPr>
      <w:r>
        <w:continuationSeparator/>
      </w:r>
    </w:p>
  </w:footnote>
  <w:footnote w:id="1">
    <w:p w14:paraId="3246AE5C" w14:textId="6DEA19F4" w:rsidR="00920DEA" w:rsidRPr="007B2402" w:rsidRDefault="00920DEA" w:rsidP="005B1590">
      <w:pPr>
        <w:pStyle w:val="Footnotes"/>
        <w:spacing w:after="80"/>
        <w:rPr>
          <w:rFonts w:eastAsia="Calibri"/>
          <w:lang w:val="en-US"/>
        </w:rPr>
      </w:pPr>
      <w:r w:rsidRPr="007B2402">
        <w:rPr>
          <w:rStyle w:val="Refdenotaalpie"/>
          <w:rFonts w:ascii="Verdana" w:eastAsia="Batang" w:hAnsi="Verdana"/>
          <w:spacing w:val="0"/>
          <w:szCs w:val="16"/>
          <w:lang w:val="en-US"/>
        </w:rPr>
        <w:footnoteRef/>
      </w:r>
      <w:r w:rsidRPr="007B2402">
        <w:rPr>
          <w:lang w:val="en-US"/>
        </w:rPr>
        <w:t xml:space="preserve"> Judge Roberto F. Caldas, a Brazilian national, did not take part in the deliberation of this judgment, in accordance with the provisions of Articles 19(2) of the Court’s Statute and 19(1) of its Rules of Procedure.</w:t>
      </w:r>
    </w:p>
  </w:footnote>
  <w:footnote w:id="2">
    <w:p w14:paraId="5C9BD391" w14:textId="0272F09E" w:rsidR="00920DEA" w:rsidRPr="007B2402" w:rsidRDefault="00920DEA" w:rsidP="005B1590">
      <w:pPr>
        <w:pStyle w:val="Footnotes"/>
        <w:spacing w:after="80"/>
        <w:rPr>
          <w:lang w:val="en-US"/>
        </w:rPr>
      </w:pPr>
      <w:r w:rsidRPr="007B2402">
        <w:rPr>
          <w:vertAlign w:val="superscript"/>
          <w:lang w:val="en-US"/>
        </w:rPr>
        <w:footnoteRef/>
      </w:r>
      <w:r w:rsidRPr="007B2402">
        <w:rPr>
          <w:lang w:val="en-US"/>
        </w:rPr>
        <w:t xml:space="preserve"> The Inter-American Commission appointed Commissioner Francisco Eguiguren, the Executive Secretary at the time, Emilio Álvarez Icaza L. and the Special Rapporteur for Freedom of Expression, Edison Lanza, as delegates, and the Deputy Executive Secretary, Elizabeth Abi-Mershed, and the Executive Secretariat’s lawyers Silvia Serrano Guzmán, Ona Flores and Tatiana Teubner as legal advisers. Subsequently, the Commission appointed Paulo Abrão as Executive Secretary.</w:t>
      </w:r>
    </w:p>
  </w:footnote>
  <w:footnote w:id="3">
    <w:p w14:paraId="61103AD7" w14:textId="2D8F5DA9" w:rsidR="00920DEA" w:rsidRPr="007B2402" w:rsidRDefault="00920DEA" w:rsidP="005B1590">
      <w:pPr>
        <w:pStyle w:val="Footnotes"/>
        <w:spacing w:after="80"/>
        <w:rPr>
          <w:lang w:val="en-US"/>
        </w:rPr>
      </w:pPr>
      <w:r w:rsidRPr="007B2402">
        <w:rPr>
          <w:vertAlign w:val="superscript"/>
          <w:lang w:val="en-US"/>
        </w:rPr>
        <w:footnoteRef/>
      </w:r>
      <w:r w:rsidRPr="007B2402">
        <w:rPr>
          <w:lang w:val="en-US"/>
        </w:rPr>
        <w:t xml:space="preserve"> These acts and omissions included: (1) violations of the American Convention and the Inter-American Convention to Prevent and Punish Torture derived from the action of the State authorities during Proceeding No. 2008.61.81.013434-2, which culminated in the closing of the investigation in January 2009. The reason for this closure was the application of the Amnesty Law, and also of the statute of limitations and </w:t>
      </w:r>
      <w:r w:rsidRPr="007B2402">
        <w:rPr>
          <w:i/>
          <w:lang w:val="en-US"/>
        </w:rPr>
        <w:t>res judicata</w:t>
      </w:r>
      <w:r w:rsidRPr="007B2402">
        <w:rPr>
          <w:lang w:val="en-US"/>
        </w:rPr>
        <w:t>; (2) the action of the State authorities in the context of Public Civil Action No. 2008.61.00.011414-5; (3) the effects on the personal integrity of the family members as a result of the situation of impunity and denial of justice described in the Merits Report.</w:t>
      </w:r>
    </w:p>
  </w:footnote>
  <w:footnote w:id="4">
    <w:p w14:paraId="46AE29CA" w14:textId="4455C091" w:rsidR="00920DEA" w:rsidRPr="007B2402" w:rsidRDefault="00920DEA" w:rsidP="005B1590">
      <w:pPr>
        <w:pStyle w:val="Footnotes"/>
        <w:spacing w:after="80"/>
        <w:rPr>
          <w:b/>
          <w:lang w:val="en-US"/>
        </w:rPr>
      </w:pPr>
      <w:r w:rsidRPr="007B2402">
        <w:rPr>
          <w:rStyle w:val="Refdenotaalpie"/>
          <w:rFonts w:ascii="Verdana" w:hAnsi="Verdana"/>
          <w:szCs w:val="16"/>
          <w:lang w:val="en-US"/>
        </w:rPr>
        <w:footnoteRef/>
      </w:r>
      <w:r w:rsidRPr="007B2402">
        <w:rPr>
          <w:lang w:val="en-US"/>
        </w:rPr>
        <w:t xml:space="preserve"> The Center for Justice and International Law (CEJIL) represents the presumed victims in this case.</w:t>
      </w:r>
    </w:p>
  </w:footnote>
  <w:footnote w:id="5">
    <w:p w14:paraId="22860280" w14:textId="5C4CD503" w:rsidR="00920DEA" w:rsidRPr="007B2402" w:rsidRDefault="00920DEA" w:rsidP="005B1590">
      <w:pPr>
        <w:pStyle w:val="Footnotes"/>
        <w:spacing w:after="80"/>
        <w:rPr>
          <w:lang w:val="en-US"/>
        </w:rPr>
      </w:pPr>
      <w:r w:rsidRPr="007B2402">
        <w:rPr>
          <w:rStyle w:val="Refdenotaalpie"/>
          <w:rFonts w:ascii="Verdana" w:hAnsi="Verdana"/>
          <w:szCs w:val="16"/>
          <w:lang w:val="en-US"/>
        </w:rPr>
        <w:footnoteRef/>
      </w:r>
      <w:r w:rsidRPr="007B2402">
        <w:rPr>
          <w:lang w:val="en-US"/>
        </w:rPr>
        <w:t xml:space="preserve"> The State designated Fernando Jacques de Magalhães Pimenta as its Agent for this case and Flávia Piovesan, Pedro Saldanha, Maria Cristina Martins dos Anjos, Boni de Moraes Soares, João Guilherme Fernandes Maranhão, Gustavo Campelo, Silvio José Albuquerque e Silva, Andrea Vergara da Silva, Daniela Ferreira Marques, Rodrigo de Oliveira Morais, Luciana Peres, Ana Flávia Longo Lombardi and Mariana Carvalho de Ávila Negri as its deputy agents.</w:t>
      </w:r>
    </w:p>
  </w:footnote>
  <w:footnote w:id="6">
    <w:p w14:paraId="40440C10" w14:textId="41C8409F" w:rsidR="00920DEA" w:rsidRPr="007B2402" w:rsidRDefault="00920DEA" w:rsidP="005B1590">
      <w:pPr>
        <w:pStyle w:val="Footnotes"/>
        <w:spacing w:after="80"/>
        <w:rPr>
          <w:lang w:val="en-US"/>
        </w:rPr>
      </w:pPr>
      <w:r w:rsidRPr="007B2402">
        <w:rPr>
          <w:rStyle w:val="Refdenotaalpie"/>
          <w:rFonts w:ascii="Verdana" w:hAnsi="Verdana"/>
          <w:szCs w:val="16"/>
          <w:lang w:val="en-US"/>
        </w:rPr>
        <w:footnoteRef/>
      </w:r>
      <w:r w:rsidRPr="007B2402">
        <w:rPr>
          <w:lang w:val="en-US"/>
        </w:rPr>
        <w:t xml:space="preserve"> </w:t>
      </w:r>
      <w:r w:rsidRPr="007B2402">
        <w:rPr>
          <w:i/>
          <w:lang w:val="en-US"/>
        </w:rPr>
        <w:t>Case of Herzog et al. v. Brazil. Victim’s Legal Assistance Fund</w:t>
      </w:r>
      <w:r w:rsidRPr="007B2402">
        <w:rPr>
          <w:lang w:val="en-US"/>
        </w:rPr>
        <w:t xml:space="preserve">. Order of the acting President of the Inter-American Court of Human Rights of February 23, 2017. Available at: </w:t>
      </w:r>
      <w:hyperlink r:id="rId1" w:history="1">
        <w:r w:rsidRPr="007B2402">
          <w:rPr>
            <w:rStyle w:val="Hipervnculo"/>
            <w:lang w:val="en-US"/>
          </w:rPr>
          <w:t>http://www.corteidh.or.cr/docs/asuntos/vladimir_herzog_fv_17es .pdf</w:t>
        </w:r>
      </w:hyperlink>
      <w:r w:rsidRPr="007B2402">
        <w:rPr>
          <w:rStyle w:val="Hipervnculo"/>
          <w:lang w:val="en-US"/>
        </w:rPr>
        <w:t>.</w:t>
      </w:r>
      <w:r w:rsidRPr="007B2402">
        <w:rPr>
          <w:lang w:val="en-US"/>
        </w:rPr>
        <w:t xml:space="preserve"> </w:t>
      </w:r>
    </w:p>
  </w:footnote>
  <w:footnote w:id="7">
    <w:p w14:paraId="3D5F6F25" w14:textId="1F02710F" w:rsidR="00920DEA" w:rsidRPr="007B2402" w:rsidRDefault="00920DEA" w:rsidP="005B1590">
      <w:pPr>
        <w:pStyle w:val="Footnotes"/>
        <w:spacing w:after="80"/>
        <w:rPr>
          <w:lang w:val="en-US"/>
        </w:rPr>
      </w:pPr>
      <w:r w:rsidRPr="007B2402">
        <w:rPr>
          <w:rStyle w:val="Refdenotaalpie"/>
          <w:rFonts w:ascii="Verdana" w:eastAsia="Batang" w:hAnsi="Verdana"/>
          <w:spacing w:val="0"/>
          <w:szCs w:val="16"/>
          <w:lang w:val="en-US"/>
        </w:rPr>
        <w:footnoteRef/>
      </w:r>
      <w:r w:rsidRPr="007B2402">
        <w:rPr>
          <w:lang w:val="en-US"/>
        </w:rPr>
        <w:t xml:space="preserve"> </w:t>
      </w:r>
      <w:r w:rsidRPr="007B2402">
        <w:rPr>
          <w:i/>
          <w:lang w:val="en-US"/>
        </w:rPr>
        <w:t xml:space="preserve">Case of Herzog et al. v. Brazil. </w:t>
      </w:r>
      <w:r w:rsidRPr="007B2402">
        <w:rPr>
          <w:lang w:val="en-US"/>
        </w:rPr>
        <w:t xml:space="preserve">Order of the acting President of the Inter-American Court of Human Rights of April 7, 2017. Available at: </w:t>
      </w:r>
      <w:hyperlink r:id="rId2" w:history="1">
        <w:r w:rsidRPr="007B2402">
          <w:rPr>
            <w:rStyle w:val="Hipervnculo"/>
            <w:spacing w:val="0"/>
            <w:lang w:val="en-US"/>
          </w:rPr>
          <w:t>http://www.corteidh.or.cr/docs/asuntos/herzog_07_04_17.pdf</w:t>
        </w:r>
      </w:hyperlink>
      <w:r w:rsidRPr="007B2402">
        <w:rPr>
          <w:rStyle w:val="Hipervnculo"/>
          <w:spacing w:val="0"/>
          <w:lang w:val="en-US"/>
        </w:rPr>
        <w:t>.</w:t>
      </w:r>
      <w:r w:rsidRPr="007B2402">
        <w:rPr>
          <w:lang w:val="en-US"/>
        </w:rPr>
        <w:t xml:space="preserve"> </w:t>
      </w:r>
    </w:p>
  </w:footnote>
  <w:footnote w:id="8">
    <w:p w14:paraId="1137A40E" w14:textId="5B27E818" w:rsidR="00920DEA" w:rsidRPr="007B2402" w:rsidRDefault="00920DEA" w:rsidP="005B1590">
      <w:pPr>
        <w:pStyle w:val="Footnotes"/>
        <w:spacing w:after="80"/>
        <w:rPr>
          <w:lang w:val="en-US"/>
        </w:rPr>
      </w:pPr>
      <w:r w:rsidRPr="007B2402">
        <w:rPr>
          <w:rStyle w:val="Refdenotaalpie"/>
          <w:rFonts w:ascii="Verdana" w:eastAsia="Batang" w:hAnsi="Verdana"/>
          <w:spacing w:val="0"/>
          <w:szCs w:val="16"/>
          <w:lang w:val="en-US"/>
        </w:rPr>
        <w:footnoteRef/>
      </w:r>
      <w:r w:rsidRPr="007B2402">
        <w:rPr>
          <w:lang w:val="en-US"/>
        </w:rPr>
        <w:t xml:space="preserve"> There appeared at this hearing: (a) for the Inter-American Commission: the Special Rapporteur for freedom of expression, Edison Lanza, and the legal advisers Silvia Serrano Guzmán and Selene Soto Rodríguez;</w:t>
      </w:r>
      <w:r w:rsidRPr="007B2402">
        <w:rPr>
          <w:b/>
          <w:lang w:val="en-US"/>
        </w:rPr>
        <w:t xml:space="preserve"> </w:t>
      </w:r>
      <w:r w:rsidRPr="007B2402">
        <w:rPr>
          <w:lang w:val="en-US"/>
        </w:rPr>
        <w:t>(b) for the representatives of the presumed victims: Viviana Krsticevic, Beatriz Affonso, Alejandra Vicente, Helena Rocha, Erick Curvelo, and (c) for the State: Fernando Jacques de Magalhães Pimenta, Elias Martins Filho, Idervânio Costa, Alexandre Reis Siqueira Freire, Fernanda Menezes Pereira, Bruna Mara Liso Gabliardi, Luciana Peres, Bruno Correia Cardoso, Claudia Giovannetti Pereira dos Anjos and Sávio Andrade Filho.</w:t>
      </w:r>
    </w:p>
  </w:footnote>
  <w:footnote w:id="9">
    <w:p w14:paraId="1E9D56C0" w14:textId="1309C10D" w:rsidR="00920DEA" w:rsidRPr="007B2402" w:rsidRDefault="00920DEA" w:rsidP="005B1590">
      <w:pPr>
        <w:pStyle w:val="Footnotes"/>
        <w:spacing w:after="80"/>
        <w:rPr>
          <w:b/>
          <w:lang w:val="en-US"/>
        </w:rPr>
      </w:pPr>
      <w:r w:rsidRPr="007B2402">
        <w:rPr>
          <w:rStyle w:val="Refdenotaalpie"/>
          <w:rFonts w:ascii="Verdana" w:hAnsi="Verdana"/>
          <w:szCs w:val="16"/>
          <w:lang w:val="en-US"/>
        </w:rPr>
        <w:footnoteRef/>
      </w:r>
      <w:r w:rsidRPr="007B2402">
        <w:rPr>
          <w:lang w:val="en-US"/>
        </w:rPr>
        <w:t xml:space="preserve"> The brief was signed by José Carlos Moreira da Silva Filho, Camila Tamanquevis dos Santos, Caroline Ramos, Sofia Bordin Rolim, Andressa de Bittencourt Siqueira da Silva, Ivonei Souza Trinidades, Letícia Vieira Magalhães and Marília Benvenuto.</w:t>
      </w:r>
    </w:p>
  </w:footnote>
  <w:footnote w:id="10">
    <w:p w14:paraId="1515B6EE" w14:textId="4022195B" w:rsidR="00920DEA" w:rsidRPr="007B2402" w:rsidRDefault="00920DEA" w:rsidP="005B1590">
      <w:pPr>
        <w:pStyle w:val="Footnotes"/>
        <w:spacing w:after="80"/>
      </w:pPr>
      <w:r w:rsidRPr="007B2402">
        <w:rPr>
          <w:rStyle w:val="Refdenotaalpie"/>
          <w:rFonts w:ascii="Verdana" w:eastAsia="Batang" w:hAnsi="Verdana"/>
          <w:spacing w:val="0"/>
          <w:szCs w:val="16"/>
          <w:lang w:val="en-US"/>
        </w:rPr>
        <w:footnoteRef/>
      </w:r>
      <w:r w:rsidRPr="007B2402">
        <w:t xml:space="preserve"> </w:t>
      </w:r>
      <w:proofErr w:type="spellStart"/>
      <w:r w:rsidRPr="007B2402">
        <w:t>The</w:t>
      </w:r>
      <w:proofErr w:type="spellEnd"/>
      <w:r w:rsidRPr="007B2402">
        <w:t xml:space="preserve"> </w:t>
      </w:r>
      <w:proofErr w:type="spellStart"/>
      <w:r w:rsidRPr="007B2402">
        <w:t>brief</w:t>
      </w:r>
      <w:proofErr w:type="spellEnd"/>
      <w:r w:rsidRPr="007B2402">
        <w:t xml:space="preserve"> </w:t>
      </w:r>
      <w:proofErr w:type="spellStart"/>
      <w:r w:rsidRPr="007B2402">
        <w:t>was</w:t>
      </w:r>
      <w:proofErr w:type="spellEnd"/>
      <w:r w:rsidRPr="007B2402">
        <w:t xml:space="preserve"> </w:t>
      </w:r>
      <w:proofErr w:type="spellStart"/>
      <w:r w:rsidRPr="007B2402">
        <w:t>signed</w:t>
      </w:r>
      <w:proofErr w:type="spellEnd"/>
      <w:r w:rsidRPr="007B2402">
        <w:t xml:space="preserve"> </w:t>
      </w:r>
      <w:proofErr w:type="spellStart"/>
      <w:r w:rsidRPr="007B2402">
        <w:t>by</w:t>
      </w:r>
      <w:proofErr w:type="spellEnd"/>
      <w:r w:rsidRPr="007B2402">
        <w:t xml:space="preserve"> Sílvia Maria da Silveira Loureiro, Pedro José Calafate Villa </w:t>
      </w:r>
      <w:proofErr w:type="spellStart"/>
      <w:r w:rsidRPr="007B2402">
        <w:t>Simões</w:t>
      </w:r>
      <w:proofErr w:type="spellEnd"/>
      <w:r w:rsidRPr="007B2402">
        <w:t xml:space="preserve">, Emerson </w:t>
      </w:r>
      <w:proofErr w:type="spellStart"/>
      <w:r w:rsidRPr="007B2402">
        <w:t>Victor</w:t>
      </w:r>
      <w:proofErr w:type="spellEnd"/>
      <w:r w:rsidRPr="007B2402">
        <w:t xml:space="preserve"> Hugo Costa De </w:t>
      </w:r>
      <w:proofErr w:type="spellStart"/>
      <w:r w:rsidRPr="007B2402">
        <w:t>Sá</w:t>
      </w:r>
      <w:proofErr w:type="spellEnd"/>
      <w:r w:rsidRPr="007B2402">
        <w:t xml:space="preserve">, Marcelo Phillipe Aguiar </w:t>
      </w:r>
      <w:proofErr w:type="spellStart"/>
      <w:r w:rsidRPr="007B2402">
        <w:t>Martins</w:t>
      </w:r>
      <w:proofErr w:type="spellEnd"/>
      <w:r w:rsidRPr="007B2402">
        <w:t xml:space="preserve">, Eduardo Araujo Pereira Junior, </w:t>
      </w:r>
      <w:proofErr w:type="spellStart"/>
      <w:r w:rsidRPr="007B2402">
        <w:t>Jamilly</w:t>
      </w:r>
      <w:proofErr w:type="spellEnd"/>
      <w:r w:rsidRPr="007B2402">
        <w:t xml:space="preserve"> </w:t>
      </w:r>
      <w:proofErr w:type="spellStart"/>
      <w:r w:rsidRPr="007B2402">
        <w:t>Izabela</w:t>
      </w:r>
      <w:proofErr w:type="spellEnd"/>
      <w:r w:rsidRPr="007B2402">
        <w:t xml:space="preserve"> de Brito Silva, Breno Matheus </w:t>
      </w:r>
      <w:proofErr w:type="spellStart"/>
      <w:r w:rsidRPr="007B2402">
        <w:t>Barrozo</w:t>
      </w:r>
      <w:proofErr w:type="spellEnd"/>
      <w:r w:rsidRPr="007B2402">
        <w:t xml:space="preserve"> de Miranda, </w:t>
      </w:r>
      <w:proofErr w:type="spellStart"/>
      <w:r w:rsidRPr="007B2402">
        <w:t>Caio</w:t>
      </w:r>
      <w:proofErr w:type="spellEnd"/>
      <w:r w:rsidRPr="007B2402">
        <w:t xml:space="preserve"> Henrique Faustino da Silva, Érika Guedes De Sousa Lima and Victoria Braga Brasil.</w:t>
      </w:r>
    </w:p>
  </w:footnote>
  <w:footnote w:id="11">
    <w:p w14:paraId="7D177E42" w14:textId="26F60A38" w:rsidR="00920DEA" w:rsidRPr="007B2402" w:rsidRDefault="00920DEA" w:rsidP="005B1590">
      <w:pPr>
        <w:pStyle w:val="Footnotes"/>
        <w:spacing w:after="80"/>
        <w:rPr>
          <w:b/>
          <w:lang w:val="en-US"/>
        </w:rPr>
      </w:pPr>
      <w:r w:rsidRPr="007B2402">
        <w:rPr>
          <w:rStyle w:val="Refdenotaalpie"/>
          <w:rFonts w:ascii="Verdana" w:hAnsi="Verdana"/>
          <w:szCs w:val="16"/>
          <w:lang w:val="en-US"/>
        </w:rPr>
        <w:footnoteRef/>
      </w:r>
      <w:r w:rsidRPr="007B2402">
        <w:rPr>
          <w:lang w:val="en-US"/>
        </w:rPr>
        <w:t xml:space="preserve"> The brief was signed by Melina Girardi Fachin.</w:t>
      </w:r>
    </w:p>
  </w:footnote>
  <w:footnote w:id="12">
    <w:p w14:paraId="095393DB" w14:textId="0E99BF5C" w:rsidR="00920DEA" w:rsidRPr="007B2402" w:rsidRDefault="00920DEA" w:rsidP="005B1590">
      <w:pPr>
        <w:pStyle w:val="Footnotes"/>
        <w:spacing w:after="80"/>
        <w:rPr>
          <w:b/>
          <w:lang w:val="en-US"/>
        </w:rPr>
      </w:pPr>
      <w:r w:rsidRPr="007B2402">
        <w:rPr>
          <w:rStyle w:val="Refdenotaalpie"/>
          <w:rFonts w:ascii="Verdana" w:hAnsi="Verdana"/>
          <w:szCs w:val="16"/>
          <w:lang w:val="en-US"/>
        </w:rPr>
        <w:footnoteRef/>
      </w:r>
      <w:r w:rsidRPr="007B2402">
        <w:rPr>
          <w:lang w:val="en-US"/>
        </w:rPr>
        <w:t xml:space="preserve"> The brief was signed by Paula Martins, Camila Marques, Carolina Martins and Raissa Maia. </w:t>
      </w:r>
    </w:p>
  </w:footnote>
  <w:footnote w:id="13">
    <w:p w14:paraId="665BDEFF" w14:textId="5D043FCF" w:rsidR="00920DEA" w:rsidRPr="007B2402" w:rsidRDefault="00920DEA" w:rsidP="005B1590">
      <w:pPr>
        <w:pStyle w:val="Footnotes"/>
        <w:spacing w:after="80"/>
        <w:rPr>
          <w:b/>
          <w:lang w:val="en-US"/>
        </w:rPr>
      </w:pPr>
      <w:r w:rsidRPr="007B2402">
        <w:rPr>
          <w:rStyle w:val="Refdenotaalpie"/>
          <w:rFonts w:ascii="Verdana" w:hAnsi="Verdana"/>
          <w:szCs w:val="16"/>
          <w:lang w:val="en-US"/>
        </w:rPr>
        <w:footnoteRef/>
      </w:r>
      <w:r w:rsidRPr="007B2402">
        <w:rPr>
          <w:lang w:val="en-US"/>
        </w:rPr>
        <w:t xml:space="preserve"> The brief was signed by Luis Raúl González Pérez.</w:t>
      </w:r>
    </w:p>
  </w:footnote>
  <w:footnote w:id="14">
    <w:p w14:paraId="4E5A2BB7" w14:textId="433DC603"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In its acceptance of jurisdiction of December 10, 1998, Brazil indicated that: “[t]he Government of the Federative Republic of Brazil declares that it accepts, indefinitely, as obligatory and </w:t>
      </w:r>
      <w:r w:rsidRPr="007B2402">
        <w:rPr>
          <w:i/>
          <w:szCs w:val="16"/>
          <w:lang w:val="en-US"/>
        </w:rPr>
        <w:t>ipso jure</w:t>
      </w:r>
      <w:r w:rsidRPr="007B2402">
        <w:rPr>
          <w:szCs w:val="16"/>
          <w:lang w:val="en-US"/>
        </w:rPr>
        <w:t xml:space="preserve">, the jurisdiction of the Inter-American Court of Human Rights, in all cases related to the interpretation or application of the American Convention [on] Human Rights, pursuant to Article 62 of this instrument, subject to reciprocity, and for facts subsequent to this Declaration.” OAS, Department of International Law. Multilateral Treaties: American Convention on Human Rights “Pact of San José” (B-32). Signatories and Ratifications. Available at </w:t>
      </w:r>
      <w:hyperlink r:id="rId3" w:history="1">
        <w:r w:rsidRPr="007B2402">
          <w:rPr>
            <w:rStyle w:val="Hipervnculo"/>
            <w:szCs w:val="16"/>
            <w:lang w:val="en-US"/>
          </w:rPr>
          <w:t>https://www.oas.org/dil/treaties_b-32_ american_convention_on_human_rights_sign.htm</w:t>
        </w:r>
      </w:hyperlink>
    </w:p>
  </w:footnote>
  <w:footnote w:id="15">
    <w:p w14:paraId="651E8BF7" w14:textId="7F42BC89"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Case of the Serrano Cruz Sisters v. El Salvador. Preliminary objections. </w:t>
      </w:r>
      <w:r w:rsidRPr="007B2402">
        <w:rPr>
          <w:szCs w:val="16"/>
          <w:lang w:val="en-US"/>
        </w:rPr>
        <w:t xml:space="preserve">Judgment of November 23, 2004. Series C No. 118, para. 66, and </w:t>
      </w:r>
      <w:r w:rsidRPr="007B2402">
        <w:rPr>
          <w:i/>
          <w:szCs w:val="16"/>
          <w:lang w:val="en-US"/>
        </w:rPr>
        <w:t>Case of Gomes Lund et al. (“Guerrilha do Araguaia”) v. Brazil</w:t>
      </w:r>
      <w:r w:rsidRPr="007B2402">
        <w:rPr>
          <w:szCs w:val="16"/>
          <w:lang w:val="en-US"/>
        </w:rPr>
        <w:t>. Preliminary objections, merits, reparations and costs. Judgment of November 24, 2010. Series C No. 219, para. 16.</w:t>
      </w:r>
    </w:p>
  </w:footnote>
  <w:footnote w:id="16">
    <w:p w14:paraId="5FEC5C91" w14:textId="2F30D342" w:rsidR="00920DEA" w:rsidRPr="007B2402" w:rsidRDefault="00920DEA" w:rsidP="005B1590">
      <w:pPr>
        <w:spacing w:after="80" w:line="240" w:lineRule="auto"/>
        <w:jc w:val="both"/>
        <w:rPr>
          <w:sz w:val="16"/>
          <w:szCs w:val="16"/>
          <w:lang w:val="en-US"/>
        </w:rPr>
      </w:pPr>
      <w:r w:rsidRPr="007B2402">
        <w:rPr>
          <w:sz w:val="16"/>
          <w:szCs w:val="16"/>
          <w:vertAlign w:val="superscript"/>
          <w:lang w:val="en-US"/>
        </w:rPr>
        <w:footnoteRef/>
      </w:r>
      <w:r w:rsidRPr="007B2402">
        <w:rPr>
          <w:sz w:val="16"/>
          <w:szCs w:val="16"/>
          <w:vertAlign w:val="superscript"/>
          <w:lang w:val="en-US"/>
        </w:rPr>
        <w:t xml:space="preserve"> </w:t>
      </w:r>
      <w:r w:rsidRPr="007B2402">
        <w:rPr>
          <w:i/>
          <w:sz w:val="16"/>
          <w:szCs w:val="16"/>
          <w:lang w:val="en-US"/>
        </w:rPr>
        <w:t xml:space="preserve">Cf. Case of the Serrano Cruz Sisters v. El Salvador. Preliminary objections. </w:t>
      </w:r>
      <w:r w:rsidRPr="007B2402">
        <w:rPr>
          <w:sz w:val="16"/>
          <w:szCs w:val="16"/>
          <w:lang w:val="en-US"/>
        </w:rPr>
        <w:t>Judgment of November 23, 2004. Series C No. 118, para. 84,</w:t>
      </w:r>
      <w:r w:rsidRPr="007B2402">
        <w:rPr>
          <w:i/>
          <w:sz w:val="16"/>
          <w:szCs w:val="16"/>
          <w:lang w:val="en-US"/>
        </w:rPr>
        <w:t xml:space="preserve"> and Case of Favela Nova Brasília v. Brazil</w:t>
      </w:r>
      <w:r w:rsidRPr="007B2402">
        <w:rPr>
          <w:sz w:val="16"/>
          <w:szCs w:val="16"/>
          <w:lang w:val="en-US"/>
        </w:rPr>
        <w:t>. Preliminary objections, merits, reparations and costs. Judgment of February 16, 2017. Series C No. 333, para. 49.</w:t>
      </w:r>
    </w:p>
  </w:footnote>
  <w:footnote w:id="17">
    <w:p w14:paraId="09A81EB7" w14:textId="6F646241"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Case of Alfonso Martín del Campo Dodd. Preliminary objections. </w:t>
      </w:r>
      <w:r w:rsidRPr="007B2402">
        <w:rPr>
          <w:szCs w:val="16"/>
          <w:lang w:val="en-US"/>
        </w:rPr>
        <w:t xml:space="preserve">Judgment of September 3, 2004. Series C No. 113, para. 68, and </w:t>
      </w:r>
      <w:r w:rsidRPr="007B2402">
        <w:rPr>
          <w:i/>
          <w:szCs w:val="16"/>
          <w:lang w:val="en-US"/>
        </w:rPr>
        <w:t xml:space="preserve">Case of Heliodoro Portugal v. Panamá. Preliminary objections, merits, reparations and costs. </w:t>
      </w:r>
      <w:r w:rsidRPr="007B2402">
        <w:rPr>
          <w:szCs w:val="16"/>
          <w:lang w:val="en-US"/>
        </w:rPr>
        <w:t>Judgment of August 12, 2008. Series C No. 186, para. 25.</w:t>
      </w:r>
    </w:p>
  </w:footnote>
  <w:footnote w:id="18">
    <w:p w14:paraId="11AF0583" w14:textId="6AF4F991" w:rsidR="00920DEA" w:rsidRPr="007B2402" w:rsidRDefault="00920DEA" w:rsidP="000873A7">
      <w:pPr>
        <w:spacing w:after="80" w:line="240" w:lineRule="auto"/>
        <w:jc w:val="both"/>
        <w:rPr>
          <w:sz w:val="16"/>
          <w:szCs w:val="16"/>
          <w:lang w:val="en-US"/>
        </w:rPr>
      </w:pPr>
      <w:r w:rsidRPr="007B2402">
        <w:rPr>
          <w:rStyle w:val="Refdenotaalpie"/>
          <w:rFonts w:ascii="Verdana" w:hAnsi="Verdana"/>
          <w:sz w:val="16"/>
          <w:szCs w:val="16"/>
          <w:lang w:val="en-US"/>
        </w:rPr>
        <w:footnoteRef/>
      </w:r>
      <w:r w:rsidRPr="007B2402">
        <w:rPr>
          <w:i/>
          <w:sz w:val="16"/>
          <w:szCs w:val="16"/>
          <w:lang w:val="en-US"/>
        </w:rPr>
        <w:t xml:space="preserve"> Cf. Case of Las Palmeras v. Colombia</w:t>
      </w:r>
      <w:r w:rsidRPr="007B2402">
        <w:rPr>
          <w:sz w:val="16"/>
          <w:szCs w:val="16"/>
          <w:lang w:val="en-US"/>
        </w:rPr>
        <w:t xml:space="preserve">. </w:t>
      </w:r>
      <w:r w:rsidRPr="007B2402">
        <w:rPr>
          <w:i/>
          <w:sz w:val="16"/>
          <w:szCs w:val="16"/>
          <w:lang w:val="en-US"/>
        </w:rPr>
        <w:t>Preliminary objections</w:t>
      </w:r>
      <w:r w:rsidRPr="007B2402">
        <w:rPr>
          <w:sz w:val="16"/>
          <w:szCs w:val="16"/>
          <w:lang w:val="en-US"/>
        </w:rPr>
        <w:t xml:space="preserve">, para. 34, and </w:t>
      </w:r>
      <w:r w:rsidRPr="007B2402">
        <w:rPr>
          <w:i/>
          <w:sz w:val="16"/>
          <w:szCs w:val="16"/>
          <w:lang w:val="en-US"/>
        </w:rPr>
        <w:t>Case of Favela Nova Brasília v. Brazil</w:t>
      </w:r>
      <w:r w:rsidRPr="007B2402">
        <w:rPr>
          <w:sz w:val="16"/>
          <w:szCs w:val="16"/>
          <w:lang w:val="en-US"/>
        </w:rPr>
        <w:t xml:space="preserve">, para. 64. </w:t>
      </w:r>
    </w:p>
  </w:footnote>
  <w:footnote w:id="19">
    <w:p w14:paraId="02731A75" w14:textId="02BF490C" w:rsidR="00920DEA" w:rsidRPr="007B2402" w:rsidRDefault="00920DEA" w:rsidP="000873A7">
      <w:pPr>
        <w:spacing w:after="80" w:line="240" w:lineRule="auto"/>
        <w:jc w:val="both"/>
        <w:rPr>
          <w:sz w:val="16"/>
          <w:szCs w:val="16"/>
          <w:lang w:val="en-US"/>
        </w:rPr>
      </w:pPr>
      <w:r w:rsidRPr="007B2402">
        <w:rPr>
          <w:rStyle w:val="Refdenotaalpie"/>
          <w:rFonts w:ascii="Verdana" w:hAnsi="Verdana"/>
          <w:sz w:val="16"/>
          <w:szCs w:val="16"/>
          <w:lang w:val="en-US"/>
        </w:rPr>
        <w:footnoteRef/>
      </w:r>
      <w:r w:rsidRPr="007B2402">
        <w:rPr>
          <w:sz w:val="16"/>
          <w:szCs w:val="16"/>
          <w:lang w:val="en-US"/>
        </w:rPr>
        <w:t xml:space="preserve"> </w:t>
      </w:r>
      <w:r w:rsidRPr="007B2402">
        <w:rPr>
          <w:i/>
          <w:sz w:val="16"/>
          <w:szCs w:val="16"/>
          <w:lang w:val="en-US"/>
        </w:rPr>
        <w:t>Cf.</w:t>
      </w:r>
      <w:r w:rsidRPr="007B2402">
        <w:rPr>
          <w:sz w:val="16"/>
          <w:szCs w:val="16"/>
          <w:lang w:val="en-US"/>
        </w:rPr>
        <w:t xml:space="preserve"> </w:t>
      </w:r>
      <w:r w:rsidRPr="007B2402">
        <w:rPr>
          <w:i/>
          <w:sz w:val="16"/>
          <w:szCs w:val="16"/>
          <w:lang w:val="en-US"/>
        </w:rPr>
        <w:t>Case of González et al. (“Cotton Field”)</w:t>
      </w:r>
      <w:r w:rsidRPr="007B2402">
        <w:rPr>
          <w:sz w:val="16"/>
          <w:szCs w:val="16"/>
          <w:lang w:val="en-US"/>
        </w:rPr>
        <w:t xml:space="preserve"> </w:t>
      </w:r>
      <w:r w:rsidRPr="007B2402">
        <w:rPr>
          <w:i/>
          <w:sz w:val="16"/>
          <w:szCs w:val="16"/>
          <w:lang w:val="en-US"/>
        </w:rPr>
        <w:t xml:space="preserve">v. Mexico. Preliminary objection, Merits, reparations and costs. </w:t>
      </w:r>
      <w:r w:rsidRPr="007B2402">
        <w:rPr>
          <w:sz w:val="16"/>
          <w:szCs w:val="16"/>
          <w:lang w:val="en-US"/>
        </w:rPr>
        <w:t xml:space="preserve">Judgment of November 16, 2009. Series C No. 205, para. 37 and </w:t>
      </w:r>
      <w:r w:rsidRPr="007B2402">
        <w:rPr>
          <w:i/>
          <w:sz w:val="16"/>
          <w:szCs w:val="16"/>
          <w:lang w:val="en-US"/>
        </w:rPr>
        <w:t>Case of Favela Nova Brasília v. Brazil</w:t>
      </w:r>
      <w:r w:rsidRPr="007B2402">
        <w:rPr>
          <w:sz w:val="16"/>
          <w:szCs w:val="16"/>
          <w:lang w:val="en-US"/>
        </w:rPr>
        <w:t xml:space="preserve">, para. 64. </w:t>
      </w:r>
    </w:p>
  </w:footnote>
  <w:footnote w:id="20">
    <w:p w14:paraId="14CA9FE5" w14:textId="0CC839D7" w:rsidR="00920DEA" w:rsidRPr="007B2402" w:rsidRDefault="00920DEA" w:rsidP="000873A7">
      <w:pPr>
        <w:spacing w:after="80" w:line="240" w:lineRule="auto"/>
        <w:ind w:right="75"/>
        <w:jc w:val="both"/>
        <w:rPr>
          <w:rFonts w:cs="Arial"/>
          <w:bCs/>
          <w:sz w:val="16"/>
          <w:szCs w:val="16"/>
          <w:lang w:val="en-US"/>
        </w:rPr>
      </w:pPr>
      <w:r w:rsidRPr="007B2402">
        <w:rPr>
          <w:rStyle w:val="Refdenotaalpie"/>
          <w:rFonts w:ascii="Verdana" w:hAnsi="Verdana"/>
          <w:sz w:val="16"/>
          <w:szCs w:val="16"/>
          <w:lang w:val="en-US"/>
        </w:rPr>
        <w:footnoteRef/>
      </w:r>
      <w:r w:rsidRPr="007B2402">
        <w:rPr>
          <w:sz w:val="16"/>
          <w:szCs w:val="16"/>
          <w:lang w:val="en-US"/>
        </w:rPr>
        <w:t xml:space="preserve"> With regard to competence, this article establishes that “</w:t>
      </w:r>
      <w:r w:rsidRPr="007B2402">
        <w:rPr>
          <w:rFonts w:cs="Tahoma"/>
          <w:bCs/>
          <w:sz w:val="16"/>
          <w:szCs w:val="16"/>
          <w:lang w:val="en-US"/>
        </w:rPr>
        <w:t>[a]fter all the domestic legal procedures of the respective State and the corresponding appeals have been exhausted, the case may be submitted to the international fora whose competence has been recognized by that State” attributed with the violation of the treaty,</w:t>
      </w:r>
    </w:p>
  </w:footnote>
  <w:footnote w:id="21">
    <w:p w14:paraId="3C64E02C" w14:textId="7F61F34C" w:rsidR="00920DEA" w:rsidRPr="007B2402" w:rsidRDefault="00920DEA" w:rsidP="000873A7">
      <w:pPr>
        <w:spacing w:after="80" w:line="240" w:lineRule="auto"/>
        <w:jc w:val="both"/>
        <w:rPr>
          <w:sz w:val="16"/>
          <w:szCs w:val="16"/>
          <w:lang w:val="en-US"/>
        </w:rPr>
      </w:pPr>
      <w:r w:rsidRPr="007B2402">
        <w:rPr>
          <w:rStyle w:val="Refdenotaalpie"/>
          <w:rFonts w:ascii="Verdana" w:hAnsi="Verdana"/>
          <w:sz w:val="16"/>
          <w:szCs w:val="16"/>
          <w:lang w:val="en-US"/>
        </w:rPr>
        <w:footnoteRef/>
      </w:r>
      <w:r w:rsidRPr="007B2402">
        <w:rPr>
          <w:sz w:val="16"/>
          <w:szCs w:val="16"/>
          <w:lang w:val="en-US"/>
        </w:rPr>
        <w:t xml:space="preserve"> </w:t>
      </w:r>
      <w:r w:rsidRPr="007B2402">
        <w:rPr>
          <w:i/>
          <w:sz w:val="16"/>
          <w:szCs w:val="16"/>
          <w:lang w:val="en-US"/>
        </w:rPr>
        <w:t>Cf. Case of González et al. (“Cotton Field”) v. Mexico</w:t>
      </w:r>
      <w:r w:rsidRPr="007B2402">
        <w:rPr>
          <w:sz w:val="16"/>
          <w:szCs w:val="16"/>
          <w:lang w:val="en-US"/>
        </w:rPr>
        <w:t xml:space="preserve">, para. 51, and </w:t>
      </w:r>
      <w:r w:rsidRPr="007B2402">
        <w:rPr>
          <w:i/>
          <w:sz w:val="16"/>
          <w:szCs w:val="16"/>
          <w:lang w:val="en-US"/>
        </w:rPr>
        <w:t>Case of Favela Nova Brasília v. Brazil</w:t>
      </w:r>
      <w:r w:rsidRPr="007B2402">
        <w:rPr>
          <w:sz w:val="16"/>
          <w:szCs w:val="16"/>
          <w:lang w:val="en-US"/>
        </w:rPr>
        <w:t>, para. 65.</w:t>
      </w:r>
    </w:p>
  </w:footnote>
  <w:footnote w:id="22">
    <w:p w14:paraId="59453AF3" w14:textId="7CFC658A" w:rsidR="00920DEA" w:rsidRPr="007B2402" w:rsidRDefault="00920DEA" w:rsidP="000873A7">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 Case of the “Street Children” (Villagrán Morales et al.) v. Guatemala. Merits</w:t>
      </w:r>
      <w:r w:rsidRPr="007B2402">
        <w:rPr>
          <w:szCs w:val="16"/>
          <w:lang w:val="en-US"/>
        </w:rPr>
        <w:t xml:space="preserve">. Judgment of November 19, 1999. Series C No. 63, paras. 247 and 248; </w:t>
      </w:r>
      <w:r w:rsidRPr="007B2402">
        <w:rPr>
          <w:i/>
          <w:szCs w:val="16"/>
          <w:lang w:val="en-US"/>
        </w:rPr>
        <w:t>Case of González et al. (“Cotton Field”) v. Mexico</w:t>
      </w:r>
      <w:r w:rsidRPr="007B2402">
        <w:rPr>
          <w:szCs w:val="16"/>
          <w:lang w:val="en-US"/>
        </w:rPr>
        <w:t>, para. 51.</w:t>
      </w:r>
    </w:p>
  </w:footnote>
  <w:footnote w:id="23">
    <w:p w14:paraId="04F8C983" w14:textId="47A1921D" w:rsidR="00920DEA" w:rsidRPr="007B2402" w:rsidRDefault="00920DEA" w:rsidP="005B1590">
      <w:pPr>
        <w:spacing w:after="80" w:line="240" w:lineRule="auto"/>
        <w:jc w:val="both"/>
        <w:rPr>
          <w:sz w:val="16"/>
          <w:szCs w:val="16"/>
          <w:lang w:val="en-US"/>
        </w:rPr>
      </w:pPr>
      <w:r w:rsidRPr="007B2402">
        <w:rPr>
          <w:rStyle w:val="Refdenotaalpie"/>
          <w:rFonts w:ascii="Verdana" w:hAnsi="Verdana"/>
          <w:sz w:val="16"/>
          <w:szCs w:val="16"/>
          <w:lang w:val="en-US"/>
        </w:rPr>
        <w:footnoteRef/>
      </w:r>
      <w:r w:rsidRPr="007B2402">
        <w:rPr>
          <w:sz w:val="16"/>
          <w:szCs w:val="16"/>
          <w:lang w:val="en-US"/>
        </w:rPr>
        <w:t xml:space="preserve"> </w:t>
      </w:r>
      <w:r w:rsidRPr="007B2402">
        <w:rPr>
          <w:i/>
          <w:sz w:val="16"/>
          <w:szCs w:val="16"/>
          <w:lang w:val="en-US"/>
        </w:rPr>
        <w:t>Cf. Case of the “Street Children” (Villagrán Morales et al.) v. Guatemala</w:t>
      </w:r>
      <w:r w:rsidRPr="007B2402">
        <w:rPr>
          <w:sz w:val="16"/>
          <w:szCs w:val="16"/>
          <w:lang w:val="en-US"/>
        </w:rPr>
        <w:t xml:space="preserve">. Merits, paras. 247 and 248, and </w:t>
      </w:r>
      <w:r w:rsidRPr="007B2402">
        <w:rPr>
          <w:i/>
          <w:sz w:val="16"/>
          <w:szCs w:val="16"/>
          <w:lang w:val="en-US"/>
        </w:rPr>
        <w:t>Case of Favela Nova Brasília v. Brazil</w:t>
      </w:r>
      <w:r w:rsidRPr="007B2402">
        <w:rPr>
          <w:sz w:val="16"/>
          <w:szCs w:val="16"/>
          <w:lang w:val="en-US"/>
        </w:rPr>
        <w:t xml:space="preserve">, Preliminary objections, merits, reparations and costs, para. 65. </w:t>
      </w:r>
    </w:p>
  </w:footnote>
  <w:footnote w:id="24">
    <w:p w14:paraId="57574BAE" w14:textId="0277A986" w:rsidR="00920DEA" w:rsidRPr="007B2402" w:rsidRDefault="00920DEA" w:rsidP="005B1590">
      <w:pPr>
        <w:spacing w:after="80" w:line="240" w:lineRule="auto"/>
        <w:jc w:val="both"/>
        <w:rPr>
          <w:sz w:val="16"/>
          <w:szCs w:val="16"/>
          <w:lang w:val="en-US"/>
        </w:rPr>
      </w:pPr>
      <w:r w:rsidRPr="007B2402">
        <w:rPr>
          <w:rStyle w:val="Refdenotaalpie"/>
          <w:rFonts w:ascii="Verdana" w:hAnsi="Verdana"/>
          <w:sz w:val="16"/>
          <w:szCs w:val="16"/>
          <w:lang w:val="en-US"/>
        </w:rPr>
        <w:footnoteRef/>
      </w:r>
      <w:r w:rsidRPr="007B2402">
        <w:rPr>
          <w:sz w:val="16"/>
          <w:szCs w:val="16"/>
          <w:lang w:val="en-US"/>
        </w:rPr>
        <w:t xml:space="preserve"> </w:t>
      </w:r>
      <w:r w:rsidRPr="007B2402">
        <w:rPr>
          <w:i/>
          <w:sz w:val="16"/>
          <w:szCs w:val="16"/>
          <w:lang w:val="en-US"/>
        </w:rPr>
        <w:t>Cf. Case of the “Street Children” (Villagrán Morales et al.). Merits</w:t>
      </w:r>
      <w:r w:rsidRPr="007B2402">
        <w:rPr>
          <w:sz w:val="16"/>
          <w:szCs w:val="16"/>
          <w:lang w:val="en-US"/>
        </w:rPr>
        <w:t>, paras. 247 and 248;</w:t>
      </w:r>
      <w:r w:rsidRPr="007B2402">
        <w:rPr>
          <w:i/>
          <w:sz w:val="16"/>
          <w:szCs w:val="16"/>
          <w:lang w:val="en-US"/>
        </w:rPr>
        <w:t xml:space="preserve"> Case of González et al. (“Cotton Field”)</w:t>
      </w:r>
      <w:r w:rsidRPr="007B2402">
        <w:rPr>
          <w:sz w:val="16"/>
          <w:szCs w:val="16"/>
          <w:lang w:val="en-US"/>
        </w:rPr>
        <w:t xml:space="preserve">, para. 51; </w:t>
      </w:r>
      <w:r w:rsidRPr="007B2402">
        <w:rPr>
          <w:i/>
          <w:sz w:val="16"/>
          <w:szCs w:val="16"/>
          <w:lang w:val="en-US"/>
        </w:rPr>
        <w:t>Case of Las Palmeras</w:t>
      </w:r>
      <w:r w:rsidRPr="007B2402">
        <w:rPr>
          <w:sz w:val="16"/>
          <w:szCs w:val="16"/>
          <w:lang w:val="en-US"/>
        </w:rPr>
        <w:t>, para. 34</w:t>
      </w:r>
      <w:r w:rsidRPr="007B2402">
        <w:rPr>
          <w:i/>
          <w:sz w:val="16"/>
          <w:szCs w:val="16"/>
          <w:lang w:val="en-US"/>
        </w:rPr>
        <w:t xml:space="preserve">; Case of Cantoral Huamaní and García Santa Cruz, v. Peru. Preliminary objection, Merits, reparations and costs. </w:t>
      </w:r>
      <w:r w:rsidRPr="007B2402">
        <w:rPr>
          <w:sz w:val="16"/>
          <w:szCs w:val="16"/>
          <w:lang w:val="en-US"/>
        </w:rPr>
        <w:t>Judgment of July 10, 2007, Series C No. 167, footnote 6,</w:t>
      </w:r>
      <w:r w:rsidRPr="007B2402">
        <w:rPr>
          <w:i/>
          <w:sz w:val="16"/>
          <w:szCs w:val="16"/>
          <w:lang w:val="en-US"/>
        </w:rPr>
        <w:t xml:space="preserve"> and Case of Favela Nova Brasília v. Brazil</w:t>
      </w:r>
      <w:r w:rsidRPr="007B2402">
        <w:rPr>
          <w:sz w:val="16"/>
          <w:szCs w:val="16"/>
          <w:lang w:val="en-US"/>
        </w:rPr>
        <w:t>, para. 66.</w:t>
      </w:r>
    </w:p>
  </w:footnote>
  <w:footnote w:id="25">
    <w:p w14:paraId="4AFF28AE" w14:textId="65B5EDD9" w:rsidR="00920DEA" w:rsidRPr="007B2402" w:rsidRDefault="00920DEA" w:rsidP="005B1590">
      <w:pPr>
        <w:pStyle w:val="Textonotapie"/>
        <w:spacing w:after="80"/>
        <w:rPr>
          <w:szCs w:val="16"/>
          <w:lang w:val="es-CR"/>
        </w:rPr>
      </w:pPr>
      <w:r w:rsidRPr="007B2402">
        <w:rPr>
          <w:rStyle w:val="Refdenotaalpie"/>
          <w:rFonts w:ascii="Verdana" w:hAnsi="Verdana"/>
          <w:szCs w:val="16"/>
          <w:lang w:val="en-US"/>
        </w:rPr>
        <w:footnoteRef/>
      </w:r>
      <w:r w:rsidRPr="007B2402">
        <w:rPr>
          <w:szCs w:val="16"/>
          <w:lang w:val="en-US"/>
        </w:rPr>
        <w:t xml:space="preserve"> See list in </w:t>
      </w:r>
      <w:r w:rsidRPr="007B2402">
        <w:rPr>
          <w:i/>
          <w:szCs w:val="16"/>
          <w:lang w:val="en-US"/>
        </w:rPr>
        <w:t>Case of Favela Nova Brasília v. Brazil</w:t>
      </w:r>
      <w:r w:rsidRPr="007B2402">
        <w:rPr>
          <w:szCs w:val="16"/>
          <w:lang w:val="en-US"/>
        </w:rPr>
        <w:t xml:space="preserve">, para. </w:t>
      </w:r>
      <w:r w:rsidRPr="007B2402">
        <w:rPr>
          <w:szCs w:val="16"/>
          <w:lang w:val="es-CR"/>
        </w:rPr>
        <w:t>66.</w:t>
      </w:r>
    </w:p>
  </w:footnote>
  <w:footnote w:id="26">
    <w:p w14:paraId="39C86637" w14:textId="22B48168"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s-CR"/>
        </w:rPr>
        <w:t xml:space="preserve"> </w:t>
      </w:r>
      <w:r w:rsidRPr="007B2402">
        <w:rPr>
          <w:i/>
          <w:szCs w:val="16"/>
          <w:lang w:val="es-CR"/>
        </w:rPr>
        <w:t>Cf. Case of Velásquez Rodríguez v. Honduras</w:t>
      </w:r>
      <w:r w:rsidRPr="007B2402">
        <w:rPr>
          <w:szCs w:val="16"/>
          <w:lang w:val="es-CR"/>
        </w:rPr>
        <w:t xml:space="preserve">. </w:t>
      </w:r>
      <w:r w:rsidRPr="007B2402">
        <w:rPr>
          <w:i/>
          <w:szCs w:val="16"/>
          <w:lang w:val="en-US"/>
        </w:rPr>
        <w:t>Preliminary objections</w:t>
      </w:r>
      <w:r w:rsidRPr="007B2402">
        <w:rPr>
          <w:szCs w:val="16"/>
          <w:lang w:val="en-US"/>
        </w:rPr>
        <w:t xml:space="preserve">, para. 88, and </w:t>
      </w:r>
      <w:r w:rsidRPr="007B2402">
        <w:rPr>
          <w:i/>
          <w:szCs w:val="16"/>
          <w:lang w:val="en-US"/>
        </w:rPr>
        <w:t>Case of Favela Nova Brasília v. Brazil</w:t>
      </w:r>
      <w:r w:rsidRPr="007B2402">
        <w:rPr>
          <w:szCs w:val="16"/>
          <w:lang w:val="en-US"/>
        </w:rPr>
        <w:t>, para. 76.</w:t>
      </w:r>
    </w:p>
  </w:footnote>
  <w:footnote w:id="27">
    <w:p w14:paraId="58061F00" w14:textId="7CFC2119"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 Case of Velásquez Rodríguez v. Honduras</w:t>
      </w:r>
      <w:r w:rsidRPr="007B2402">
        <w:rPr>
          <w:szCs w:val="16"/>
          <w:lang w:val="en-US"/>
        </w:rPr>
        <w:t xml:space="preserve">. </w:t>
      </w:r>
      <w:r w:rsidRPr="007B2402">
        <w:rPr>
          <w:i/>
          <w:szCs w:val="16"/>
          <w:lang w:val="en-US"/>
        </w:rPr>
        <w:t>Preliminary objections</w:t>
      </w:r>
      <w:r w:rsidRPr="007B2402">
        <w:rPr>
          <w:szCs w:val="16"/>
          <w:lang w:val="en-US"/>
        </w:rPr>
        <w:t xml:space="preserve">, para. 85, and </w:t>
      </w:r>
      <w:r w:rsidRPr="007B2402">
        <w:rPr>
          <w:i/>
          <w:szCs w:val="16"/>
          <w:lang w:val="en-US"/>
        </w:rPr>
        <w:t>Case of Favela Nova Brasília v. Brazil</w:t>
      </w:r>
      <w:r w:rsidRPr="007B2402">
        <w:rPr>
          <w:szCs w:val="16"/>
          <w:lang w:val="en-US"/>
        </w:rPr>
        <w:t xml:space="preserve">, para. 77. </w:t>
      </w:r>
    </w:p>
  </w:footnote>
  <w:footnote w:id="28">
    <w:p w14:paraId="7DE026BA" w14:textId="3A6CC3F3"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i/>
          <w:szCs w:val="16"/>
          <w:lang w:val="en-US"/>
        </w:rPr>
        <w:t xml:space="preserve"> Cf. Case of Gonzales Lluy et al. v. Ecuador</w:t>
      </w:r>
      <w:r w:rsidRPr="007B2402">
        <w:rPr>
          <w:szCs w:val="16"/>
          <w:lang w:val="en-US"/>
        </w:rPr>
        <w:t xml:space="preserve">. </w:t>
      </w:r>
      <w:r w:rsidRPr="007B2402">
        <w:rPr>
          <w:i/>
          <w:szCs w:val="16"/>
          <w:lang w:val="en-US"/>
        </w:rPr>
        <w:t>Preliminary objections, merits, reparations and costs</w:t>
      </w:r>
      <w:r w:rsidRPr="007B2402">
        <w:rPr>
          <w:szCs w:val="16"/>
          <w:lang w:val="en-US"/>
        </w:rPr>
        <w:t xml:space="preserve">. Judgment of September 1, 2015. Series C No. 298, para. 28, and </w:t>
      </w:r>
      <w:r w:rsidRPr="007B2402">
        <w:rPr>
          <w:i/>
          <w:szCs w:val="16"/>
          <w:lang w:val="en-US"/>
        </w:rPr>
        <w:t>Case of Favela Nova Brasília v. Brazil</w:t>
      </w:r>
      <w:r w:rsidRPr="007B2402">
        <w:rPr>
          <w:szCs w:val="16"/>
          <w:lang w:val="en-US"/>
        </w:rPr>
        <w:t>, para. 78.</w:t>
      </w:r>
    </w:p>
  </w:footnote>
  <w:footnote w:id="29">
    <w:p w14:paraId="1B3AA4B5" w14:textId="26C429C8" w:rsidR="00920DEA" w:rsidRPr="007B2402" w:rsidRDefault="00920DEA" w:rsidP="005B1590">
      <w:pPr>
        <w:pStyle w:val="Textonotapie"/>
        <w:spacing w:after="80"/>
        <w:rPr>
          <w:szCs w:val="16"/>
          <w:lang w:val="es-CR"/>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 Case of Reverón Trujillo v. Venezuela</w:t>
      </w:r>
      <w:r w:rsidRPr="007B2402">
        <w:rPr>
          <w:szCs w:val="16"/>
          <w:lang w:val="en-US"/>
        </w:rPr>
        <w:t xml:space="preserve">. </w:t>
      </w:r>
      <w:r w:rsidRPr="007B2402">
        <w:rPr>
          <w:i/>
          <w:szCs w:val="16"/>
          <w:lang w:val="en-US"/>
        </w:rPr>
        <w:t>Preliminary objection, Merits, reparations and costs</w:t>
      </w:r>
      <w:r w:rsidRPr="007B2402">
        <w:rPr>
          <w:szCs w:val="16"/>
          <w:lang w:val="en-US"/>
        </w:rPr>
        <w:t xml:space="preserve">. Judgment of June 30, 2009. Series C No. 197, para. 23, and </w:t>
      </w:r>
      <w:r w:rsidRPr="007B2402">
        <w:rPr>
          <w:i/>
          <w:szCs w:val="16"/>
          <w:lang w:val="en-US"/>
        </w:rPr>
        <w:t>Case of Favela Nova Brasília v. Brazil</w:t>
      </w:r>
      <w:r w:rsidRPr="007B2402">
        <w:rPr>
          <w:szCs w:val="16"/>
          <w:lang w:val="en-US"/>
        </w:rPr>
        <w:t xml:space="preserve">, para. </w:t>
      </w:r>
      <w:r w:rsidRPr="007B2402">
        <w:rPr>
          <w:szCs w:val="16"/>
          <w:lang w:val="es-CR"/>
        </w:rPr>
        <w:t>78.</w:t>
      </w:r>
    </w:p>
  </w:footnote>
  <w:footnote w:id="30">
    <w:p w14:paraId="33CD8667" w14:textId="66C22110" w:rsidR="00920DEA" w:rsidRPr="007B2402" w:rsidRDefault="00920DEA" w:rsidP="005B1590">
      <w:pPr>
        <w:pStyle w:val="Textonotapie"/>
        <w:spacing w:after="80"/>
        <w:rPr>
          <w:szCs w:val="16"/>
          <w:lang w:val="es-CR"/>
        </w:rPr>
      </w:pPr>
      <w:r w:rsidRPr="007B2402">
        <w:rPr>
          <w:rStyle w:val="Refdenotaalpie"/>
          <w:rFonts w:ascii="Verdana" w:hAnsi="Verdana"/>
          <w:szCs w:val="16"/>
          <w:lang w:val="en-US"/>
        </w:rPr>
        <w:footnoteRef/>
      </w:r>
      <w:r w:rsidRPr="007B2402">
        <w:rPr>
          <w:szCs w:val="16"/>
          <w:lang w:val="es-CR"/>
        </w:rPr>
        <w:t xml:space="preserve"> </w:t>
      </w:r>
      <w:r w:rsidRPr="007B2402">
        <w:rPr>
          <w:i/>
          <w:szCs w:val="16"/>
          <w:lang w:val="es-CR"/>
        </w:rPr>
        <w:t>Cf. Case of Reverón Trujillo v. Venezuela</w:t>
      </w:r>
      <w:r w:rsidRPr="007B2402">
        <w:rPr>
          <w:szCs w:val="16"/>
          <w:lang w:val="es-CR"/>
        </w:rPr>
        <w:t xml:space="preserve">, para. 23, and </w:t>
      </w:r>
      <w:r w:rsidRPr="007B2402">
        <w:rPr>
          <w:i/>
          <w:szCs w:val="16"/>
          <w:lang w:val="es-CR"/>
        </w:rPr>
        <w:t>Case of Favela Nova Brasília v. Brazil</w:t>
      </w:r>
      <w:r w:rsidRPr="007B2402">
        <w:rPr>
          <w:szCs w:val="16"/>
          <w:lang w:val="es-CR"/>
        </w:rPr>
        <w:t>, para. 78.</w:t>
      </w:r>
    </w:p>
  </w:footnote>
  <w:footnote w:id="31">
    <w:p w14:paraId="6EA9DE4E" w14:textId="57DA6A67"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s-CR"/>
        </w:rPr>
        <w:t xml:space="preserve"> </w:t>
      </w:r>
      <w:r w:rsidRPr="007B2402">
        <w:rPr>
          <w:i/>
          <w:szCs w:val="16"/>
          <w:lang w:val="es-CR"/>
        </w:rPr>
        <w:t>Cf.</w:t>
      </w:r>
      <w:r w:rsidRPr="007B2402">
        <w:rPr>
          <w:szCs w:val="16"/>
          <w:lang w:val="es-CR"/>
        </w:rPr>
        <w:t xml:space="preserve"> </w:t>
      </w:r>
      <w:r w:rsidRPr="007B2402">
        <w:rPr>
          <w:i/>
          <w:szCs w:val="16"/>
          <w:lang w:val="es-CR"/>
        </w:rPr>
        <w:t>Case of Velásquez Rodríguez v. Honduras</w:t>
      </w:r>
      <w:r w:rsidRPr="007B2402">
        <w:rPr>
          <w:szCs w:val="16"/>
          <w:lang w:val="es-CR"/>
        </w:rPr>
        <w:t xml:space="preserve">. </w:t>
      </w:r>
      <w:r w:rsidRPr="007B2402">
        <w:rPr>
          <w:i/>
          <w:szCs w:val="16"/>
          <w:lang w:val="en-US"/>
        </w:rPr>
        <w:t>Preliminary objections</w:t>
      </w:r>
      <w:r w:rsidRPr="007B2402">
        <w:rPr>
          <w:szCs w:val="16"/>
          <w:lang w:val="en-US"/>
        </w:rPr>
        <w:t>, para. 88.</w:t>
      </w:r>
    </w:p>
  </w:footnote>
  <w:footnote w:id="32">
    <w:p w14:paraId="6FB899CF" w14:textId="7666DC41" w:rsidR="00920DEA" w:rsidRPr="007B2402" w:rsidRDefault="00920DEA" w:rsidP="005837CE">
      <w:pPr>
        <w:pStyle w:val="Textonotapie"/>
        <w:rPr>
          <w:szCs w:val="16"/>
          <w:lang w:val="en-US"/>
        </w:rPr>
      </w:pPr>
      <w:r w:rsidRPr="007B2402">
        <w:rPr>
          <w:rStyle w:val="Refdenotaalpie"/>
          <w:rFonts w:ascii="Verdana" w:hAnsi="Verdana"/>
          <w:szCs w:val="16"/>
          <w:lang w:val="en-US"/>
        </w:rPr>
        <w:footnoteRef/>
      </w:r>
      <w:r w:rsidRPr="007B2402">
        <w:rPr>
          <w:szCs w:val="16"/>
          <w:lang w:val="en-US"/>
        </w:rPr>
        <w:t xml:space="preserve"> Article 46.- “1. </w:t>
      </w:r>
      <w:r w:rsidRPr="007B2402">
        <w:rPr>
          <w:spacing w:val="-3"/>
          <w:szCs w:val="16"/>
          <w:lang w:val="en-US"/>
        </w:rPr>
        <w:t>Admission by the Commission of a petition or communication lodged in accordance with Articles 44 or 45 shall be subject to the following requirements:</w:t>
      </w:r>
    </w:p>
    <w:p w14:paraId="17F1A066" w14:textId="77777777" w:rsidR="00920DEA" w:rsidRPr="007B2402" w:rsidRDefault="00920DEA" w:rsidP="005837CE">
      <w:pPr>
        <w:tabs>
          <w:tab w:val="left" w:pos="270"/>
          <w:tab w:val="left" w:pos="1080"/>
          <w:tab w:val="left" w:pos="1680"/>
          <w:tab w:val="left" w:pos="5400"/>
        </w:tabs>
        <w:suppressAutoHyphens/>
        <w:spacing w:after="0" w:line="240" w:lineRule="auto"/>
        <w:jc w:val="both"/>
        <w:rPr>
          <w:spacing w:val="-3"/>
          <w:sz w:val="16"/>
          <w:szCs w:val="16"/>
          <w:lang w:val="en-US"/>
        </w:rPr>
      </w:pPr>
      <w:r w:rsidRPr="007B2402">
        <w:rPr>
          <w:spacing w:val="-3"/>
          <w:sz w:val="16"/>
          <w:szCs w:val="16"/>
          <w:lang w:val="en-US"/>
        </w:rPr>
        <w:t>a.</w:t>
      </w:r>
      <w:r w:rsidRPr="007B2402">
        <w:rPr>
          <w:spacing w:val="-3"/>
          <w:sz w:val="16"/>
          <w:szCs w:val="16"/>
          <w:lang w:val="en-US"/>
        </w:rPr>
        <w:tab/>
        <w:t>that the remedies under domestic law have been pursued and exhausted in accordance with generally recognized principles of international law;</w:t>
      </w:r>
    </w:p>
    <w:p w14:paraId="2BA328D2" w14:textId="50A751D4" w:rsidR="00920DEA" w:rsidRPr="007B2402" w:rsidRDefault="00920DEA" w:rsidP="005837CE">
      <w:pPr>
        <w:tabs>
          <w:tab w:val="left" w:pos="270"/>
          <w:tab w:val="left" w:pos="1080"/>
          <w:tab w:val="left" w:pos="1680"/>
          <w:tab w:val="left" w:pos="5400"/>
        </w:tabs>
        <w:suppressAutoHyphens/>
        <w:spacing w:after="0" w:line="240" w:lineRule="auto"/>
        <w:jc w:val="both"/>
        <w:rPr>
          <w:spacing w:val="-3"/>
          <w:sz w:val="16"/>
          <w:szCs w:val="16"/>
          <w:lang w:val="en-US"/>
        </w:rPr>
      </w:pPr>
      <w:r w:rsidRPr="007B2402">
        <w:rPr>
          <w:spacing w:val="-3"/>
          <w:sz w:val="16"/>
          <w:szCs w:val="16"/>
          <w:lang w:val="en-US"/>
        </w:rPr>
        <w:t>b.</w:t>
      </w:r>
      <w:r w:rsidRPr="007B2402">
        <w:rPr>
          <w:spacing w:val="-3"/>
          <w:sz w:val="16"/>
          <w:szCs w:val="16"/>
          <w:lang w:val="en-US"/>
        </w:rPr>
        <w:tab/>
        <w:t>that the petition or communication is lodged within a period of six months from the date on which the party alleging violation of his rights was notified of the final judgment; […]</w:t>
      </w:r>
    </w:p>
    <w:p w14:paraId="1FA26B83" w14:textId="7E7DACCC" w:rsidR="00920DEA" w:rsidRPr="007B2402" w:rsidRDefault="00920DEA" w:rsidP="005837CE">
      <w:pPr>
        <w:tabs>
          <w:tab w:val="left" w:pos="270"/>
          <w:tab w:val="left" w:pos="1080"/>
          <w:tab w:val="left" w:pos="1680"/>
          <w:tab w:val="left" w:pos="5400"/>
        </w:tabs>
        <w:suppressAutoHyphens/>
        <w:spacing w:after="0" w:line="240" w:lineRule="auto"/>
        <w:jc w:val="both"/>
        <w:rPr>
          <w:spacing w:val="-3"/>
          <w:sz w:val="16"/>
          <w:szCs w:val="16"/>
          <w:lang w:val="en-US"/>
        </w:rPr>
      </w:pPr>
      <w:r w:rsidRPr="007B2402">
        <w:rPr>
          <w:spacing w:val="-3"/>
          <w:sz w:val="16"/>
          <w:szCs w:val="16"/>
          <w:lang w:val="en-US"/>
        </w:rPr>
        <w:t>2.</w:t>
      </w:r>
      <w:r w:rsidRPr="007B2402">
        <w:rPr>
          <w:spacing w:val="-3"/>
          <w:sz w:val="16"/>
          <w:szCs w:val="16"/>
          <w:lang w:val="en-US"/>
        </w:rPr>
        <w:tab/>
        <w:t>The provisions of paragraphs 1.a and 1.b of this article shall not be applicable when:</w:t>
      </w:r>
    </w:p>
    <w:p w14:paraId="496D9D77" w14:textId="395DC603" w:rsidR="00920DEA" w:rsidRPr="007B2402" w:rsidRDefault="00920DEA" w:rsidP="005837CE">
      <w:pPr>
        <w:tabs>
          <w:tab w:val="left" w:pos="270"/>
          <w:tab w:val="left" w:pos="1080"/>
          <w:tab w:val="left" w:pos="1680"/>
          <w:tab w:val="left" w:pos="5400"/>
        </w:tabs>
        <w:suppressAutoHyphens/>
        <w:spacing w:after="80" w:line="240" w:lineRule="auto"/>
        <w:jc w:val="both"/>
        <w:rPr>
          <w:spacing w:val="-3"/>
          <w:sz w:val="16"/>
          <w:szCs w:val="16"/>
          <w:lang w:val="en-US"/>
        </w:rPr>
      </w:pPr>
      <w:r w:rsidRPr="007B2402">
        <w:rPr>
          <w:spacing w:val="-3"/>
          <w:sz w:val="16"/>
          <w:szCs w:val="16"/>
          <w:lang w:val="en-US"/>
        </w:rPr>
        <w:t>a.</w:t>
      </w:r>
      <w:r w:rsidRPr="007B2402">
        <w:rPr>
          <w:spacing w:val="-3"/>
          <w:sz w:val="16"/>
          <w:szCs w:val="16"/>
          <w:lang w:val="en-US"/>
        </w:rPr>
        <w:tab/>
        <w:t>the domestic legislation of the state concerned does not afford due process of law for the protection of the right or rights that have allegedly been violated.”</w:t>
      </w:r>
    </w:p>
  </w:footnote>
  <w:footnote w:id="33">
    <w:p w14:paraId="0D3EB1A1" w14:textId="677A2CA4" w:rsidR="00920DEA" w:rsidRPr="007B2402" w:rsidRDefault="00920DEA" w:rsidP="005B1590">
      <w:pPr>
        <w:pStyle w:val="Footnotes"/>
        <w:spacing w:after="80"/>
        <w:rPr>
          <w:rFonts w:cs="Verdana"/>
          <w:spacing w:val="0"/>
          <w:lang w:val="en-US"/>
        </w:rPr>
      </w:pPr>
      <w:r w:rsidRPr="007B2402">
        <w:rPr>
          <w:rFonts w:cs="Verdana"/>
          <w:spacing w:val="0"/>
          <w:vertAlign w:val="superscript"/>
          <w:lang w:val="en-US"/>
        </w:rPr>
        <w:footnoteRef/>
      </w:r>
      <w:r w:rsidRPr="007B2402">
        <w:rPr>
          <w:rFonts w:cs="Verdana"/>
          <w:spacing w:val="0"/>
          <w:vertAlign w:val="superscript"/>
          <w:lang w:val="en-US"/>
        </w:rPr>
        <w:t xml:space="preserve"> </w:t>
      </w:r>
      <w:r w:rsidRPr="007B2402">
        <w:rPr>
          <w:rFonts w:cs="Verdana"/>
          <w:i/>
          <w:spacing w:val="0"/>
          <w:lang w:val="en-US"/>
        </w:rPr>
        <w:t>Cf. Case of Furlan and family v. Argentina. Preliminary objections, merits, reparations and costs</w:t>
      </w:r>
      <w:r w:rsidRPr="007B2402">
        <w:rPr>
          <w:rFonts w:cs="Verdana"/>
          <w:spacing w:val="0"/>
          <w:lang w:val="en-US"/>
        </w:rPr>
        <w:t xml:space="preserve">. Judgment of August 31, 2012. Series C No. 246, para. 29, and </w:t>
      </w:r>
      <w:r w:rsidRPr="007B2402">
        <w:rPr>
          <w:rFonts w:cs="Verdana"/>
          <w:i/>
          <w:spacing w:val="0"/>
          <w:lang w:val="en-US"/>
        </w:rPr>
        <w:t>Case of Favela Nova Brasília v. Brazil</w:t>
      </w:r>
      <w:r w:rsidRPr="007B2402">
        <w:rPr>
          <w:rFonts w:cs="Verdana"/>
          <w:spacing w:val="0"/>
          <w:lang w:val="en-US"/>
        </w:rPr>
        <w:t>, para. 78.</w:t>
      </w:r>
    </w:p>
  </w:footnote>
  <w:footnote w:id="34">
    <w:p w14:paraId="39312755" w14:textId="3D83C1DA"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See answering brief of the State, para. 161 (merits file, folio 372).</w:t>
      </w:r>
    </w:p>
  </w:footnote>
  <w:footnote w:id="35">
    <w:p w14:paraId="2DBECA69" w14:textId="6ABB91B0"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iCs/>
          <w:szCs w:val="16"/>
          <w:lang w:val="en-US"/>
        </w:rPr>
        <w:t xml:space="preserve">Cf. Case of Castañeda Gutman v. Mexico. Preliminary objections, merits, reparations and costs. </w:t>
      </w:r>
      <w:r w:rsidRPr="007B2402">
        <w:rPr>
          <w:szCs w:val="16"/>
          <w:lang w:val="en-US"/>
        </w:rPr>
        <w:t xml:space="preserve">Judgment of August 6, 2008. Series C No. 184, para. 39, and </w:t>
      </w:r>
      <w:r w:rsidRPr="007B2402">
        <w:rPr>
          <w:i/>
          <w:szCs w:val="16"/>
          <w:lang w:val="en-US"/>
        </w:rPr>
        <w:t>Case of the Hacienda Brasil Verde Workers v. Brazil</w:t>
      </w:r>
      <w:r w:rsidRPr="007B2402">
        <w:rPr>
          <w:szCs w:val="16"/>
          <w:lang w:val="en-US"/>
        </w:rPr>
        <w:t xml:space="preserve">, para. 72. </w:t>
      </w:r>
    </w:p>
  </w:footnote>
  <w:footnote w:id="36">
    <w:p w14:paraId="0B67F284" w14:textId="115F4496"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lang w:val="en-US"/>
        </w:rPr>
        <w:t xml:space="preserve">The Preamble to the American Convention states that the international protection should be considered as </w:t>
      </w:r>
      <w:r w:rsidRPr="007B2402">
        <w:rPr>
          <w:spacing w:val="-3"/>
          <w:lang w:val="en-US"/>
        </w:rPr>
        <w:t xml:space="preserve">“reinforcing or complementing the protection provided by the domestic law of the American states.” See also, </w:t>
      </w:r>
      <w:r w:rsidRPr="007B2402">
        <w:rPr>
          <w:i/>
          <w:spacing w:val="-3"/>
          <w:lang w:val="en-US"/>
        </w:rPr>
        <w:t>The Effect of Reservations on the Entry into Force</w:t>
      </w:r>
      <w:r w:rsidRPr="007B2402">
        <w:rPr>
          <w:lang w:val="en-US"/>
        </w:rPr>
        <w:t xml:space="preserve"> </w:t>
      </w:r>
      <w:r w:rsidRPr="007B2402">
        <w:rPr>
          <w:i/>
          <w:lang w:val="en-US"/>
        </w:rPr>
        <w:t xml:space="preserve">of the American Convention on Human Rights </w:t>
      </w:r>
      <w:r w:rsidRPr="007B2402">
        <w:rPr>
          <w:lang w:val="en-US"/>
        </w:rPr>
        <w:t xml:space="preserve">(Arts. 74 and 75). Advisory Opinion OC-2/82 of September 24, 1982. Series A No. 2, para. 31; </w:t>
      </w:r>
      <w:r w:rsidRPr="007B2402">
        <w:rPr>
          <w:i/>
          <w:lang w:val="en-US"/>
        </w:rPr>
        <w:t>The Word “Laws” in Article 30 of the American Convention on Human Rights</w:t>
      </w:r>
      <w:r w:rsidRPr="007B2402">
        <w:rPr>
          <w:lang w:val="en-US"/>
        </w:rPr>
        <w:t xml:space="preserve">. Advisory Opinion OC-6/86 of May 9, 1986. </w:t>
      </w:r>
      <w:r w:rsidRPr="007B2402">
        <w:rPr>
          <w:szCs w:val="16"/>
          <w:lang w:val="en-US"/>
        </w:rPr>
        <w:t xml:space="preserve">Series A No. 6, para. 26; </w:t>
      </w:r>
      <w:r w:rsidRPr="007B2402">
        <w:rPr>
          <w:i/>
          <w:iCs/>
          <w:szCs w:val="16"/>
          <w:lang w:val="en-US"/>
        </w:rPr>
        <w:t>Case of Velásquez Rodríguez v. Honduras</w:t>
      </w:r>
      <w:r w:rsidRPr="007B2402">
        <w:rPr>
          <w:szCs w:val="16"/>
          <w:lang w:val="en-US"/>
        </w:rPr>
        <w:t xml:space="preserve">. </w:t>
      </w:r>
      <w:r w:rsidRPr="007B2402">
        <w:rPr>
          <w:i/>
          <w:iCs/>
          <w:szCs w:val="16"/>
          <w:lang w:val="en-US"/>
        </w:rPr>
        <w:t>Merits</w:t>
      </w:r>
      <w:r w:rsidRPr="007B2402">
        <w:rPr>
          <w:szCs w:val="16"/>
          <w:lang w:val="en-US"/>
        </w:rPr>
        <w:t xml:space="preserve">. Judgment of July 29, 1988. Series C No. 4, para. 61, and </w:t>
      </w:r>
      <w:r w:rsidRPr="007B2402">
        <w:rPr>
          <w:i/>
          <w:iCs/>
          <w:szCs w:val="16"/>
          <w:lang w:val="en-US"/>
        </w:rPr>
        <w:t xml:space="preserve">Case of García Ibarra et al. v. Ecuador. Preliminary objections, merits, reparations and costs. </w:t>
      </w:r>
      <w:r w:rsidRPr="007B2402">
        <w:rPr>
          <w:szCs w:val="16"/>
          <w:lang w:val="en-US"/>
        </w:rPr>
        <w:t xml:space="preserve">Judgment of November 17, 2015, para. 17. </w:t>
      </w:r>
    </w:p>
  </w:footnote>
  <w:footnote w:id="37">
    <w:p w14:paraId="2DCF79A9" w14:textId="78197BAE"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w:t>
      </w:r>
      <w:r w:rsidRPr="007B2402">
        <w:rPr>
          <w:szCs w:val="16"/>
          <w:lang w:val="en-US"/>
        </w:rPr>
        <w:t xml:space="preserve">Case of </w:t>
      </w:r>
      <w:r w:rsidRPr="007B2402">
        <w:rPr>
          <w:i/>
          <w:iCs/>
          <w:szCs w:val="16"/>
          <w:lang w:val="en-US"/>
        </w:rPr>
        <w:t>Cabrera García and Montiel Flores v. Mexico. Preliminary objection, Merits, reparations and costs</w:t>
      </w:r>
      <w:r w:rsidRPr="007B2402">
        <w:rPr>
          <w:szCs w:val="16"/>
          <w:lang w:val="en-US"/>
        </w:rPr>
        <w:t xml:space="preserve">. Judgment of November 26, 2010. Series C No. 220, para. 16, and </w:t>
      </w:r>
      <w:r w:rsidRPr="007B2402">
        <w:rPr>
          <w:i/>
          <w:szCs w:val="16"/>
          <w:lang w:val="en-US"/>
        </w:rPr>
        <w:t>Case of Favela Nova Brasília v. Brazil</w:t>
      </w:r>
      <w:r w:rsidRPr="007B2402">
        <w:rPr>
          <w:szCs w:val="16"/>
          <w:lang w:val="en-US"/>
        </w:rPr>
        <w:t>, para. 56</w:t>
      </w:r>
    </w:p>
  </w:footnote>
  <w:footnote w:id="38">
    <w:p w14:paraId="0B7B1BB8" w14:textId="12159FB0" w:rsidR="00920DEA" w:rsidRPr="007B2402" w:rsidRDefault="00920DEA" w:rsidP="005B1590">
      <w:pPr>
        <w:pStyle w:val="Textonotapie"/>
        <w:spacing w:after="80"/>
        <w:ind w:right="-90"/>
        <w:rPr>
          <w:szCs w:val="16"/>
          <w:lang w:val="en-US"/>
        </w:rPr>
      </w:pPr>
      <w:r w:rsidRPr="007B2402">
        <w:rPr>
          <w:rStyle w:val="Smbolodenotaalpie"/>
          <w:rFonts w:ascii="Verdana" w:hAnsi="Verdana"/>
          <w:szCs w:val="16"/>
          <w:lang w:val="en-US"/>
        </w:rPr>
        <w:footnoteRef/>
      </w:r>
      <w:r w:rsidRPr="007B2402">
        <w:rPr>
          <w:szCs w:val="16"/>
          <w:lang w:val="en-US"/>
        </w:rPr>
        <w:t xml:space="preserve"> </w:t>
      </w:r>
      <w:r w:rsidRPr="007B2402">
        <w:rPr>
          <w:i/>
          <w:szCs w:val="16"/>
          <w:lang w:val="en-US"/>
        </w:rPr>
        <w:t>Cf. Case of Cabrera García and Montiel Flores v. Mexico</w:t>
      </w:r>
      <w:r w:rsidRPr="007B2402">
        <w:rPr>
          <w:szCs w:val="16"/>
          <w:lang w:val="en-US"/>
        </w:rPr>
        <w:t xml:space="preserve">, para. 18, and </w:t>
      </w:r>
      <w:r w:rsidRPr="007B2402">
        <w:rPr>
          <w:i/>
          <w:szCs w:val="16"/>
          <w:lang w:val="en-US"/>
        </w:rPr>
        <w:t>Case of Tarazona Arrieta et al. v. Peru</w:t>
      </w:r>
      <w:r w:rsidRPr="007B2402">
        <w:rPr>
          <w:szCs w:val="16"/>
          <w:lang w:val="en-US"/>
        </w:rPr>
        <w:t>. Preliminary objection, merits, reparations and costs. Judgment of October 15, 2014. Series C No. 286, para. 22.</w:t>
      </w:r>
    </w:p>
  </w:footnote>
  <w:footnote w:id="39">
    <w:p w14:paraId="0CE314B9" w14:textId="5B1DEC6F"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iCs/>
          <w:szCs w:val="16"/>
          <w:lang w:val="en-US"/>
        </w:rPr>
        <w:t>Case of the “Street Children” (Villagrán Morales et al.) v. Guatemala. Merits</w:t>
      </w:r>
      <w:r w:rsidRPr="007B2402">
        <w:rPr>
          <w:szCs w:val="16"/>
          <w:lang w:val="en-US"/>
        </w:rPr>
        <w:t xml:space="preserve">, para. 222, and </w:t>
      </w:r>
      <w:r w:rsidRPr="007B2402">
        <w:rPr>
          <w:i/>
          <w:szCs w:val="16"/>
          <w:lang w:val="en-US"/>
        </w:rPr>
        <w:t>Case of Favela Nova Brasília v. Brazil</w:t>
      </w:r>
      <w:r w:rsidRPr="007B2402">
        <w:rPr>
          <w:szCs w:val="16"/>
          <w:lang w:val="en-US"/>
        </w:rPr>
        <w:t>, para. 56.</w:t>
      </w:r>
    </w:p>
  </w:footnote>
  <w:footnote w:id="40">
    <w:p w14:paraId="7E9EBD7E" w14:textId="00028CE5"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Case of the Hacienda Brasil Verde Workers v. Brazil, </w:t>
      </w:r>
      <w:r w:rsidRPr="007B2402">
        <w:rPr>
          <w:szCs w:val="16"/>
          <w:lang w:val="en-US"/>
        </w:rPr>
        <w:t xml:space="preserve">paras. 23 to 27; </w:t>
      </w:r>
      <w:r w:rsidRPr="007B2402">
        <w:rPr>
          <w:i/>
          <w:szCs w:val="16"/>
          <w:lang w:val="en-US"/>
        </w:rPr>
        <w:t>Case of Favela Nova Brasilia v. Brazil</w:t>
      </w:r>
      <w:r w:rsidRPr="007B2402">
        <w:rPr>
          <w:szCs w:val="16"/>
          <w:lang w:val="en-US"/>
        </w:rPr>
        <w:t xml:space="preserve">, paras. 24 to 28, and </w:t>
      </w:r>
      <w:r w:rsidRPr="007B2402">
        <w:rPr>
          <w:i/>
          <w:szCs w:val="16"/>
          <w:lang w:val="en-US"/>
        </w:rPr>
        <w:t xml:space="preserve">Case of the Xucuru Indigenous People and its members v. Brazil. Preliminary objections, merits, reparations and costs. </w:t>
      </w:r>
      <w:r w:rsidRPr="007B2402">
        <w:rPr>
          <w:szCs w:val="16"/>
          <w:lang w:val="en-US"/>
        </w:rPr>
        <w:t>Judgment of February 5, 2018. Series C No. 346, para. 24.</w:t>
      </w:r>
    </w:p>
  </w:footnote>
  <w:footnote w:id="41">
    <w:p w14:paraId="2AD88522" w14:textId="72C34046"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 Case of Las Palmeras v. Colombia</w:t>
      </w:r>
      <w:r w:rsidRPr="007B2402">
        <w:rPr>
          <w:szCs w:val="16"/>
          <w:lang w:val="en-US"/>
        </w:rPr>
        <w:t xml:space="preserve">. </w:t>
      </w:r>
      <w:r w:rsidRPr="007B2402">
        <w:rPr>
          <w:i/>
          <w:szCs w:val="16"/>
          <w:lang w:val="en-US"/>
        </w:rPr>
        <w:t>Preliminary objections</w:t>
      </w:r>
      <w:r w:rsidRPr="007B2402">
        <w:rPr>
          <w:szCs w:val="16"/>
          <w:lang w:val="en-US"/>
        </w:rPr>
        <w:t xml:space="preserve">, para. 34, and </w:t>
      </w:r>
      <w:r w:rsidRPr="007B2402">
        <w:rPr>
          <w:i/>
          <w:szCs w:val="16"/>
          <w:lang w:val="en-US"/>
        </w:rPr>
        <w:t xml:space="preserve">Case of García Ibarra et al. v. Ecuardor, Preliminary objections, merits, reparations and costs. </w:t>
      </w:r>
      <w:r w:rsidRPr="007B2402">
        <w:rPr>
          <w:szCs w:val="16"/>
          <w:lang w:val="en-US"/>
        </w:rPr>
        <w:t>Judgment of November 17, 2017. Series C No. 306, para. 18.</w:t>
      </w:r>
    </w:p>
  </w:footnote>
  <w:footnote w:id="42">
    <w:p w14:paraId="4F7834A7" w14:textId="015571EA"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 Case of Castañeda Gutman v. Mexico</w:t>
      </w:r>
      <w:r w:rsidRPr="007B2402">
        <w:rPr>
          <w:szCs w:val="16"/>
          <w:lang w:val="en-US"/>
        </w:rPr>
        <w:t xml:space="preserve">, para. 39, and </w:t>
      </w:r>
      <w:r w:rsidRPr="007B2402">
        <w:rPr>
          <w:i/>
          <w:szCs w:val="16"/>
          <w:lang w:val="en-US"/>
        </w:rPr>
        <w:t>Case of Chinchilla Sandoval v. Guatemala. Preliminary objections. Merits. Reparations and costs</w:t>
      </w:r>
      <w:r w:rsidRPr="007B2402">
        <w:rPr>
          <w:szCs w:val="16"/>
          <w:lang w:val="en-US"/>
        </w:rPr>
        <w:t>. Judgment of November 30, 2016. Series C No. 328, para. 39.</w:t>
      </w:r>
    </w:p>
  </w:footnote>
  <w:footnote w:id="43">
    <w:p w14:paraId="5188D990" w14:textId="6F8905AC" w:rsidR="00920DEA" w:rsidRPr="007B2402" w:rsidRDefault="00920DEA" w:rsidP="005B1590">
      <w:pPr>
        <w:spacing w:after="80" w:line="240" w:lineRule="auto"/>
        <w:jc w:val="both"/>
        <w:rPr>
          <w:rFonts w:cs="Verdana"/>
          <w:b/>
          <w:sz w:val="16"/>
          <w:szCs w:val="16"/>
        </w:rPr>
      </w:pPr>
      <w:r w:rsidRPr="007B2402">
        <w:rPr>
          <w:rStyle w:val="Refdenotaalpie"/>
          <w:rFonts w:ascii="Verdana" w:hAnsi="Verdana"/>
          <w:sz w:val="16"/>
          <w:szCs w:val="16"/>
          <w:lang w:val="en-US"/>
        </w:rPr>
        <w:footnoteRef/>
      </w:r>
      <w:r w:rsidRPr="007B2402">
        <w:rPr>
          <w:sz w:val="16"/>
          <w:szCs w:val="16"/>
          <w:lang w:val="en-US"/>
        </w:rPr>
        <w:t xml:space="preserve"> </w:t>
      </w:r>
      <w:r w:rsidRPr="007B2402">
        <w:rPr>
          <w:i/>
          <w:sz w:val="16"/>
          <w:szCs w:val="16"/>
          <w:lang w:val="en-US"/>
        </w:rPr>
        <w:t xml:space="preserve">Cf. Case of the "Five Pensioners" v. Peru. Merits, reparations and costs. </w:t>
      </w:r>
      <w:r w:rsidRPr="007B2402">
        <w:rPr>
          <w:sz w:val="16"/>
          <w:szCs w:val="16"/>
          <w:lang w:val="en-US"/>
        </w:rPr>
        <w:t xml:space="preserve">Judgment of February 28, 2003. Series C No. 98, para. 153, and </w:t>
      </w:r>
      <w:r w:rsidRPr="007B2402">
        <w:rPr>
          <w:i/>
          <w:sz w:val="16"/>
          <w:szCs w:val="16"/>
          <w:lang w:val="en-US"/>
        </w:rPr>
        <w:t xml:space="preserve">Case of Acosta et al. v. Nicaragua. Preliminary objections, merits, reparations and costs. </w:t>
      </w:r>
      <w:r w:rsidRPr="007B2402">
        <w:rPr>
          <w:sz w:val="16"/>
          <w:szCs w:val="16"/>
          <w:lang w:val="en-US"/>
        </w:rPr>
        <w:t xml:space="preserve">Judgment of March 25, 2017. Series C No. 334, para. </w:t>
      </w:r>
      <w:r w:rsidRPr="007B2402">
        <w:rPr>
          <w:sz w:val="16"/>
          <w:szCs w:val="16"/>
        </w:rPr>
        <w:t>30.</w:t>
      </w:r>
    </w:p>
  </w:footnote>
  <w:footnote w:id="44">
    <w:p w14:paraId="0A0F3C90" w14:textId="572FB656" w:rsidR="00920DEA" w:rsidRPr="007B2402" w:rsidRDefault="00920DEA" w:rsidP="005B1590">
      <w:pPr>
        <w:pStyle w:val="Footnotes"/>
        <w:spacing w:after="80"/>
        <w:rPr>
          <w:lang w:val="en-US"/>
        </w:rPr>
      </w:pPr>
      <w:r w:rsidRPr="007B2402">
        <w:rPr>
          <w:rStyle w:val="Refdenotaalpie"/>
          <w:rFonts w:ascii="Verdana" w:eastAsia="Batang" w:hAnsi="Verdana"/>
          <w:spacing w:val="0"/>
          <w:szCs w:val="16"/>
          <w:lang w:val="en-US"/>
        </w:rPr>
        <w:footnoteRef/>
      </w:r>
      <w:r w:rsidRPr="007B2402">
        <w:t xml:space="preserve"> </w:t>
      </w:r>
      <w:r w:rsidRPr="007B2402">
        <w:rPr>
          <w:i/>
        </w:rPr>
        <w:t xml:space="preserve">Cf. Case of Velásquez Rodríguez v. Honduras. </w:t>
      </w:r>
      <w:proofErr w:type="spellStart"/>
      <w:r w:rsidRPr="007B2402">
        <w:rPr>
          <w:i/>
        </w:rPr>
        <w:t>Merits</w:t>
      </w:r>
      <w:proofErr w:type="spellEnd"/>
      <w:r w:rsidRPr="007B2402">
        <w:t xml:space="preserve">, para. 140, and </w:t>
      </w:r>
      <w:r w:rsidRPr="007B2402">
        <w:rPr>
          <w:i/>
          <w:shd w:val="clear" w:color="auto" w:fill="FFFFFF"/>
        </w:rPr>
        <w:t>Case of Acosta et al. v. Nicaragua</w:t>
      </w:r>
      <w:r w:rsidRPr="007B2402">
        <w:rPr>
          <w:shd w:val="clear" w:color="auto" w:fill="FFFFFF"/>
        </w:rPr>
        <w:t xml:space="preserve">, para. </w:t>
      </w:r>
      <w:r w:rsidRPr="007B2402">
        <w:rPr>
          <w:shd w:val="clear" w:color="auto" w:fill="FFFFFF"/>
          <w:lang w:val="en-US"/>
        </w:rPr>
        <w:t>20.</w:t>
      </w:r>
    </w:p>
  </w:footnote>
  <w:footnote w:id="45">
    <w:p w14:paraId="05930C39" w14:textId="0B8F4AF2" w:rsidR="00920DEA" w:rsidRPr="007B2402" w:rsidRDefault="00920DEA" w:rsidP="005B1590">
      <w:pPr>
        <w:pStyle w:val="Footnotes"/>
        <w:spacing w:after="80"/>
        <w:rPr>
          <w:b/>
          <w:lang w:val="en-US"/>
        </w:rPr>
      </w:pPr>
      <w:r w:rsidRPr="007B2402">
        <w:rPr>
          <w:rStyle w:val="Refdenotaalpie"/>
          <w:rFonts w:ascii="Verdana" w:hAnsi="Verdana"/>
          <w:szCs w:val="16"/>
          <w:lang w:val="en-US"/>
        </w:rPr>
        <w:footnoteRef/>
      </w:r>
      <w:r w:rsidRPr="007B2402">
        <w:rPr>
          <w:lang w:val="en-US"/>
        </w:rPr>
        <w:t xml:space="preserve"> The document consists of the pages dedicated to Vladimir Herzog in the publication: “</w:t>
      </w:r>
      <w:r w:rsidRPr="007B2402">
        <w:rPr>
          <w:i/>
          <w:lang w:val="en-US"/>
        </w:rPr>
        <w:t>Direito à Memória e à Verdade” [The Right to memory and truth].</w:t>
      </w:r>
      <w:r w:rsidRPr="007B2402">
        <w:rPr>
          <w:b/>
          <w:lang w:val="en-US"/>
        </w:rPr>
        <w:t xml:space="preserve"> </w:t>
      </w:r>
    </w:p>
  </w:footnote>
  <w:footnote w:id="46">
    <w:p w14:paraId="7548AB1D" w14:textId="0C0E9327" w:rsidR="00920DEA" w:rsidRPr="007B2402" w:rsidRDefault="00920DEA" w:rsidP="00AC1A5E">
      <w:pPr>
        <w:pStyle w:val="Footnotes"/>
        <w:spacing w:after="80"/>
        <w:rPr>
          <w:b/>
          <w:lang w:val="en-US"/>
        </w:rPr>
      </w:pPr>
      <w:r w:rsidRPr="007B2402">
        <w:rPr>
          <w:rStyle w:val="Refdenotaalpie"/>
          <w:rFonts w:ascii="Verdana" w:eastAsia="Batang" w:hAnsi="Verdana"/>
          <w:spacing w:val="0"/>
          <w:szCs w:val="16"/>
          <w:lang w:val="en-US"/>
        </w:rPr>
        <w:footnoteRef/>
      </w:r>
      <w:r w:rsidRPr="007B2402">
        <w:rPr>
          <w:lang w:val="en-US"/>
        </w:rPr>
        <w:t xml:space="preserve"> The State presented various observations on the annexes and argued that it was not sufficient that probative documents were merely submitted; rather, the parties were required to include arguments relating the evidence to the facts that it was supposed to represent and, in the case of alleged financial disbursements, the items and their justification had to be clearly established.</w:t>
      </w:r>
    </w:p>
  </w:footnote>
  <w:footnote w:id="47">
    <w:p w14:paraId="7FD97184" w14:textId="0F3615BE" w:rsidR="00920DEA" w:rsidRPr="007B2402" w:rsidRDefault="00920DEA" w:rsidP="005B1590">
      <w:pPr>
        <w:pStyle w:val="Footnotes"/>
        <w:spacing w:after="80"/>
        <w:rPr>
          <w:b/>
          <w:lang w:val="en-US"/>
        </w:rPr>
      </w:pPr>
      <w:r w:rsidRPr="007B2402">
        <w:rPr>
          <w:vertAlign w:val="superscript"/>
          <w:lang w:val="en-US"/>
        </w:rPr>
        <w:footnoteRef/>
      </w:r>
      <w:r w:rsidRPr="007B2402">
        <w:rPr>
          <w:lang w:val="en-US"/>
        </w:rPr>
        <w:t xml:space="preserve"> </w:t>
      </w:r>
      <w:r w:rsidRPr="007B2402">
        <w:rPr>
          <w:i/>
          <w:lang w:val="en-US"/>
        </w:rPr>
        <w:t>Cf. Case of the “White Van” (Paniagua Morales et al.) v. Guatemala. Merits</w:t>
      </w:r>
      <w:r w:rsidRPr="007B2402">
        <w:rPr>
          <w:lang w:val="en-US"/>
        </w:rPr>
        <w:t xml:space="preserve">, para. 76, and </w:t>
      </w:r>
      <w:r w:rsidRPr="007B2402">
        <w:rPr>
          <w:i/>
          <w:lang w:val="en-US"/>
        </w:rPr>
        <w:t xml:space="preserve">Case of Andrade Salmón v. Bolivia. Merits, reparations and costs. </w:t>
      </w:r>
      <w:r w:rsidRPr="007B2402">
        <w:rPr>
          <w:lang w:val="en-US"/>
        </w:rPr>
        <w:t>Judgment of December 1, 2015, Series C No 330, para. 22.</w:t>
      </w:r>
    </w:p>
  </w:footnote>
  <w:footnote w:id="48">
    <w:p w14:paraId="53E4CA11" w14:textId="79B8B6F1" w:rsidR="00920DEA" w:rsidRPr="007B2402" w:rsidRDefault="00920DEA" w:rsidP="005B1590">
      <w:pPr>
        <w:pStyle w:val="Textonotapie"/>
        <w:spacing w:after="80"/>
        <w:rPr>
          <w:szCs w:val="16"/>
          <w:lang w:val="es-CR"/>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Case of Gomes Lund et al. </w:t>
      </w:r>
      <w:r w:rsidRPr="007B2402">
        <w:rPr>
          <w:i/>
          <w:szCs w:val="16"/>
          <w:lang w:val="es-CR"/>
        </w:rPr>
        <w:t xml:space="preserve">("Guerrilha do Araguaia") v. Brazil. </w:t>
      </w:r>
      <w:r w:rsidRPr="007B2402">
        <w:rPr>
          <w:i/>
          <w:szCs w:val="16"/>
          <w:lang w:val="en-US"/>
        </w:rPr>
        <w:t xml:space="preserve">Preliminary objections, merits, reparations and costs. </w:t>
      </w:r>
      <w:r w:rsidRPr="007B2402">
        <w:rPr>
          <w:szCs w:val="16"/>
          <w:lang w:val="en-US"/>
        </w:rPr>
        <w:t xml:space="preserve">Judgment of November 24, 2010. Series C No. 219, paras. </w:t>
      </w:r>
      <w:r w:rsidRPr="007B2402">
        <w:rPr>
          <w:szCs w:val="16"/>
          <w:lang w:val="es-CR"/>
        </w:rPr>
        <w:t xml:space="preserve">85 and </w:t>
      </w:r>
      <w:r w:rsidRPr="007B2402">
        <w:rPr>
          <w:i/>
          <w:szCs w:val="16"/>
          <w:lang w:val="es-CR"/>
        </w:rPr>
        <w:t>ff.</w:t>
      </w:r>
      <w:r w:rsidRPr="007B2402">
        <w:rPr>
          <w:szCs w:val="16"/>
          <w:lang w:val="es-CR"/>
        </w:rPr>
        <w:t xml:space="preserve"> </w:t>
      </w:r>
    </w:p>
  </w:footnote>
  <w:footnote w:id="49">
    <w:p w14:paraId="36041955" w14:textId="3C7F7D37" w:rsidR="00920DEA" w:rsidRPr="007B2402" w:rsidRDefault="00920DEA" w:rsidP="005B1590">
      <w:pPr>
        <w:pStyle w:val="Textonotapie"/>
        <w:spacing w:after="80"/>
        <w:rPr>
          <w:szCs w:val="16"/>
          <w:lang w:val="es-CR"/>
        </w:rPr>
      </w:pPr>
      <w:r w:rsidRPr="007B2402">
        <w:rPr>
          <w:rStyle w:val="Refdenotaalpie"/>
          <w:rFonts w:ascii="Verdana" w:hAnsi="Verdana"/>
          <w:szCs w:val="16"/>
          <w:lang w:val="en-US"/>
        </w:rPr>
        <w:footnoteRef/>
      </w:r>
      <w:r w:rsidRPr="007B2402">
        <w:rPr>
          <w:szCs w:val="16"/>
          <w:lang w:val="es-CR"/>
        </w:rPr>
        <w:t xml:space="preserve"> Federal Public Prosecution Service, </w:t>
      </w:r>
      <w:r w:rsidRPr="007B2402">
        <w:rPr>
          <w:i/>
          <w:szCs w:val="16"/>
          <w:lang w:val="es-CR"/>
        </w:rPr>
        <w:t>Crimes da Ditadura Militar: Relatório sobre as atividades de persecuc</w:t>
      </w:r>
      <w:r w:rsidRPr="007B2402">
        <w:rPr>
          <w:rFonts w:ascii="Arial" w:eastAsia="Calibri" w:hAnsi="Arial" w:cs="Arial"/>
          <w:i/>
          <w:szCs w:val="16"/>
          <w:lang w:val="es-CR"/>
        </w:rPr>
        <w:t>̧</w:t>
      </w:r>
      <w:r w:rsidRPr="007B2402">
        <w:rPr>
          <w:i/>
          <w:szCs w:val="16"/>
          <w:lang w:val="es-CR"/>
        </w:rPr>
        <w:t>ão penal desenvolvidas pelo MPF em matéria de graves viola</w:t>
      </w:r>
      <w:r w:rsidRPr="007B2402">
        <w:rPr>
          <w:rFonts w:eastAsia="Calibri" w:cs="Calibri"/>
          <w:i/>
          <w:szCs w:val="16"/>
          <w:lang w:val="es-CR"/>
        </w:rPr>
        <w:t>c</w:t>
      </w:r>
      <w:r w:rsidRPr="007B2402">
        <w:rPr>
          <w:rFonts w:ascii="Arial" w:eastAsia="Calibri" w:hAnsi="Arial" w:cs="Arial"/>
          <w:i/>
          <w:szCs w:val="16"/>
          <w:lang w:val="es-CR"/>
        </w:rPr>
        <w:t>̧</w:t>
      </w:r>
      <w:r w:rsidRPr="007B2402">
        <w:rPr>
          <w:i/>
          <w:szCs w:val="16"/>
          <w:lang w:val="es-CR"/>
        </w:rPr>
        <w:t>ões a DH cometidas por agentes do Estado durante o regime de exceção</w:t>
      </w:r>
      <w:r w:rsidRPr="007B2402">
        <w:rPr>
          <w:szCs w:val="16"/>
          <w:lang w:val="es-CR"/>
        </w:rPr>
        <w:t xml:space="preserve">, Brasília, 2017, p. 86 (evidence file, folio 14283). </w:t>
      </w:r>
    </w:p>
  </w:footnote>
  <w:footnote w:id="50">
    <w:p w14:paraId="564CB143" w14:textId="79BE9D46" w:rsidR="00920DEA" w:rsidRPr="007B2402" w:rsidRDefault="00920DEA" w:rsidP="005B1590">
      <w:pPr>
        <w:pStyle w:val="Textonotapie"/>
        <w:spacing w:after="80"/>
        <w:rPr>
          <w:b/>
          <w:szCs w:val="16"/>
          <w:lang w:val="en-US"/>
        </w:rPr>
      </w:pPr>
      <w:r w:rsidRPr="007B2402">
        <w:rPr>
          <w:rStyle w:val="Refdenotaalpie"/>
          <w:rFonts w:ascii="Verdana" w:hAnsi="Verdana"/>
          <w:szCs w:val="16"/>
          <w:lang w:val="en-US"/>
        </w:rPr>
        <w:footnoteRef/>
      </w:r>
      <w:r w:rsidRPr="007B2402">
        <w:rPr>
          <w:szCs w:val="16"/>
          <w:lang w:val="es-CR"/>
        </w:rPr>
        <w:t xml:space="preserve"> Dantas, Audálio. </w:t>
      </w:r>
      <w:r w:rsidRPr="007B2402">
        <w:rPr>
          <w:i/>
          <w:szCs w:val="16"/>
          <w:lang w:val="es-CR"/>
        </w:rPr>
        <w:t>As duas guerras de Vlado Herzog</w:t>
      </w:r>
      <w:r w:rsidRPr="007B2402">
        <w:rPr>
          <w:szCs w:val="16"/>
          <w:lang w:val="es-CR"/>
        </w:rPr>
        <w:t xml:space="preserve">. Rio de Janeiro. Editorial Civilização Brazileira, 2014 (evidence file, folio 3691); Markun, Paulo. </w:t>
      </w:r>
      <w:r w:rsidRPr="007B2402">
        <w:rPr>
          <w:i/>
          <w:iCs/>
          <w:szCs w:val="16"/>
          <w:lang w:val="es-CR"/>
        </w:rPr>
        <w:t>Meu querido Vlado.</w:t>
      </w:r>
      <w:r w:rsidRPr="007B2402">
        <w:rPr>
          <w:szCs w:val="16"/>
          <w:lang w:val="es-CR"/>
        </w:rPr>
        <w:t xml:space="preserve"> </w:t>
      </w:r>
      <w:r w:rsidRPr="007B2402">
        <w:rPr>
          <w:i/>
          <w:szCs w:val="16"/>
          <w:lang w:val="es-CR"/>
        </w:rPr>
        <w:t>A história de Vladimir Herzog e do sonho de uma geração</w:t>
      </w:r>
      <w:r w:rsidRPr="007B2402">
        <w:rPr>
          <w:szCs w:val="16"/>
          <w:lang w:val="es-CR"/>
        </w:rPr>
        <w:t xml:space="preserve">. </w:t>
      </w:r>
      <w:r w:rsidRPr="007B2402">
        <w:rPr>
          <w:szCs w:val="16"/>
          <w:lang w:val="en-US"/>
        </w:rPr>
        <w:t xml:space="preserve">Rio de Janeiro: Objetiva, 2005, pp. 11-12 (evidence file, folios 8759 to 8769); and Brazil. Office of the President of the Republic. Special Secretariat for Human Rights. </w:t>
      </w:r>
      <w:r w:rsidRPr="007B2402">
        <w:rPr>
          <w:i/>
          <w:szCs w:val="16"/>
          <w:lang w:val="en-US"/>
        </w:rPr>
        <w:t xml:space="preserve">Direito à Memória e à Verdade, </w:t>
      </w:r>
      <w:r w:rsidRPr="007B2402">
        <w:rPr>
          <w:szCs w:val="16"/>
          <w:lang w:val="en-US"/>
        </w:rPr>
        <w:t>Special Commission on Political Deaths and Disppearances. Brasilia, Special Secretariat for Human Rights, 2007, p. 374 (evidence file, folio 372). Brazil. Report of the National Truth Commission. December 10, 2014 (evidence file, folio 3273).</w:t>
      </w:r>
    </w:p>
  </w:footnote>
  <w:footnote w:id="51">
    <w:p w14:paraId="573939F2" w14:textId="7A639E85" w:rsidR="00920DEA" w:rsidRPr="007B2402" w:rsidRDefault="00920DEA" w:rsidP="005B1590">
      <w:pPr>
        <w:pStyle w:val="Textonotapie"/>
        <w:spacing w:after="80"/>
        <w:rPr>
          <w:szCs w:val="16"/>
          <w:lang w:val="es-CR"/>
        </w:rPr>
      </w:pPr>
      <w:r w:rsidRPr="007B2402">
        <w:rPr>
          <w:rStyle w:val="Refdenotaalpie"/>
          <w:rFonts w:ascii="Verdana" w:hAnsi="Verdana"/>
          <w:szCs w:val="16"/>
          <w:lang w:val="en-US"/>
        </w:rPr>
        <w:footnoteRef/>
      </w:r>
      <w:r w:rsidRPr="007B2402">
        <w:rPr>
          <w:szCs w:val="16"/>
          <w:lang w:val="es-CR"/>
        </w:rPr>
        <w:t xml:space="preserve"> Markun, Paulo. </w:t>
      </w:r>
      <w:r w:rsidRPr="007B2402">
        <w:rPr>
          <w:i/>
          <w:szCs w:val="16"/>
          <w:lang w:val="es-CR"/>
        </w:rPr>
        <w:t>Meu querido Vlado. A história de Vladimir Herzog e do sonho de uma geração</w:t>
      </w:r>
      <w:r w:rsidRPr="007B2402">
        <w:rPr>
          <w:szCs w:val="16"/>
          <w:lang w:val="es-CR"/>
        </w:rPr>
        <w:t xml:space="preserve">, pp. 112 and 113 (evidence file, folios 8782 and 8783). </w:t>
      </w:r>
    </w:p>
  </w:footnote>
  <w:footnote w:id="52">
    <w:p w14:paraId="2175FCCF" w14:textId="3E433464" w:rsidR="00920DEA" w:rsidRPr="007B2402" w:rsidRDefault="00920DEA" w:rsidP="005B1590">
      <w:pPr>
        <w:pStyle w:val="Textonotapie"/>
        <w:spacing w:after="80"/>
        <w:rPr>
          <w:szCs w:val="16"/>
          <w:lang w:val="es-CR"/>
        </w:rPr>
      </w:pPr>
      <w:r w:rsidRPr="007B2402">
        <w:rPr>
          <w:rStyle w:val="Refdenotaalpie"/>
          <w:rFonts w:ascii="Verdana" w:hAnsi="Verdana"/>
          <w:szCs w:val="16"/>
          <w:lang w:val="en-US"/>
        </w:rPr>
        <w:footnoteRef/>
      </w:r>
      <w:r w:rsidRPr="007B2402">
        <w:rPr>
          <w:szCs w:val="16"/>
          <w:lang w:val="es-CR"/>
        </w:rPr>
        <w:t xml:space="preserve"> Dantas, Audálio. </w:t>
      </w:r>
      <w:r w:rsidRPr="007B2402">
        <w:rPr>
          <w:i/>
          <w:szCs w:val="16"/>
          <w:lang w:val="es-CR"/>
        </w:rPr>
        <w:t>As duas guerras de Vlado Herzog</w:t>
      </w:r>
      <w:r w:rsidRPr="007B2402">
        <w:rPr>
          <w:szCs w:val="16"/>
          <w:lang w:val="es-CR"/>
        </w:rPr>
        <w:t xml:space="preserve"> (evidence file, folio 3691)</w:t>
      </w:r>
    </w:p>
  </w:footnote>
  <w:footnote w:id="53">
    <w:p w14:paraId="4970D440" w14:textId="19EB3BFF"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Report of the National Truth Commission (evidence file, folio 3273). </w:t>
      </w:r>
    </w:p>
  </w:footnote>
  <w:footnote w:id="54">
    <w:p w14:paraId="088B8534" w14:textId="16DCA492"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Report of the National Truth Commission (evidence file, folios 3249 and 3250). </w:t>
      </w:r>
    </w:p>
  </w:footnote>
  <w:footnote w:id="55">
    <w:p w14:paraId="6B81C938" w14:textId="4C2A2AF0"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Report of the National Truth Commission (evidence file, folio 3281). </w:t>
      </w:r>
    </w:p>
  </w:footnote>
  <w:footnote w:id="56">
    <w:p w14:paraId="2A56D5B8" w14:textId="12FB12E1"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Statement by Clarice Herzog during the public hearing; </w:t>
      </w:r>
      <w:r w:rsidRPr="007B2402">
        <w:rPr>
          <w:i/>
          <w:szCs w:val="16"/>
          <w:lang w:val="en-US"/>
        </w:rPr>
        <w:t>Direito à Memória e à Verdade</w:t>
      </w:r>
      <w:r w:rsidRPr="007B2402">
        <w:rPr>
          <w:szCs w:val="16"/>
          <w:lang w:val="en-US"/>
        </w:rPr>
        <w:t>: Special Commission on Political Deaths and Disappearances (evidence file, folios 405 and 406). Report of the National Truth Commission (evidence file, folio 3299); Committee of Families of the Political Disappeared. "1975: Vladimir Herzog." in: Dossier of the Dicttoship: Political Deaths and Disappearances in Brazil, 1964-1985. 2nd edition, 2007 (evidence file, folios 3976 and 3977).</w:t>
      </w:r>
    </w:p>
  </w:footnote>
  <w:footnote w:id="57">
    <w:p w14:paraId="4F6CD8A5" w14:textId="18C6D8B6"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Markun, Paulo. </w:t>
      </w:r>
      <w:r w:rsidRPr="007B2402">
        <w:rPr>
          <w:i/>
          <w:szCs w:val="16"/>
          <w:lang w:val="en-US"/>
        </w:rPr>
        <w:t>Meu querido Vlado. A história de Vladimir Herzog e do sonho de uma geração</w:t>
      </w:r>
      <w:r w:rsidRPr="007B2402">
        <w:rPr>
          <w:szCs w:val="16"/>
          <w:lang w:val="en-US"/>
        </w:rPr>
        <w:t xml:space="preserve"> (evidence file, folios 8748 to 8751); Committee of Families of the Political Disappeared. "1975: Vladimir Herzog" (evidence file, folio 3977). </w:t>
      </w:r>
    </w:p>
  </w:footnote>
  <w:footnote w:id="58">
    <w:p w14:paraId="1DC007E3" w14:textId="56418B26" w:rsidR="00920DEA" w:rsidRPr="007B2402" w:rsidRDefault="00920DEA" w:rsidP="005B1590">
      <w:pPr>
        <w:pStyle w:val="Textonotapie"/>
        <w:spacing w:after="80"/>
        <w:rPr>
          <w:szCs w:val="16"/>
          <w:lang w:val="es-CR"/>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Direito à Memória e à Verdade</w:t>
      </w:r>
      <w:r w:rsidRPr="007B2402">
        <w:rPr>
          <w:szCs w:val="16"/>
          <w:lang w:val="en-US"/>
        </w:rPr>
        <w:t>: Special Commission on Political Deaths and Disappearances (evidence file, folios 405 and 407); Report of the National Truth Commission (evidence file, folios 1004 and 3299); Committee of Families of the Political Disappeared. "1975: Vladimir Herzog" (evidence file, folio 3977); Pages devoted to Vladimir Herzog in the publication “</w:t>
      </w:r>
      <w:r w:rsidRPr="007B2402">
        <w:rPr>
          <w:i/>
          <w:szCs w:val="16"/>
          <w:lang w:val="en-US"/>
        </w:rPr>
        <w:t>Direito à memória e à verdade</w:t>
      </w:r>
      <w:r w:rsidRPr="007B2402">
        <w:rPr>
          <w:szCs w:val="16"/>
          <w:lang w:val="en-US"/>
        </w:rPr>
        <w:t xml:space="preserve">” (evidence file, folio 10337.3); Markun, Paulo. </w:t>
      </w:r>
      <w:r w:rsidRPr="007B2402">
        <w:rPr>
          <w:i/>
          <w:iCs/>
          <w:szCs w:val="16"/>
          <w:lang w:val="es-CR"/>
        </w:rPr>
        <w:t xml:space="preserve">Meu querido Vlado. A história de Vladimir Herzog e do sonho de uma geração </w:t>
      </w:r>
      <w:r w:rsidRPr="007B2402">
        <w:rPr>
          <w:szCs w:val="16"/>
          <w:lang w:val="es-CR"/>
        </w:rPr>
        <w:t xml:space="preserve">(evidence file, folios 8759 to 8767). </w:t>
      </w:r>
    </w:p>
  </w:footnote>
  <w:footnote w:id="59">
    <w:p w14:paraId="6AFB500D" w14:textId="069C03AA"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Report of the National Truth Commission (evidence file, folio 3317). </w:t>
      </w:r>
    </w:p>
  </w:footnote>
  <w:footnote w:id="60">
    <w:p w14:paraId="463AF297" w14:textId="3FD5D245"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Report of the National Truth Commission (evidence file, folio 3273). </w:t>
      </w:r>
    </w:p>
  </w:footnote>
  <w:footnote w:id="61">
    <w:p w14:paraId="5E796C09" w14:textId="5B126D0D" w:rsidR="00920DEA" w:rsidRPr="007B2402" w:rsidRDefault="00920DEA" w:rsidP="005B1590">
      <w:pPr>
        <w:pStyle w:val="Textonotapie"/>
        <w:spacing w:after="80"/>
        <w:rPr>
          <w:szCs w:val="16"/>
          <w:lang w:val="es-CR"/>
        </w:rPr>
      </w:pPr>
      <w:r w:rsidRPr="007B2402">
        <w:rPr>
          <w:rStyle w:val="Refdenotaalpie"/>
          <w:rFonts w:ascii="Verdana" w:hAnsi="Verdana"/>
          <w:szCs w:val="16"/>
          <w:lang w:val="en-US"/>
        </w:rPr>
        <w:footnoteRef/>
      </w:r>
      <w:r w:rsidRPr="007B2402">
        <w:rPr>
          <w:szCs w:val="16"/>
          <w:lang w:val="es-CR"/>
        </w:rPr>
        <w:t xml:space="preserve"> Federal Public Prosecution Service, </w:t>
      </w:r>
      <w:r w:rsidRPr="007B2402">
        <w:rPr>
          <w:i/>
          <w:szCs w:val="16"/>
          <w:lang w:val="es-CR"/>
        </w:rPr>
        <w:t>Crimes da Ditadura Militar</w:t>
      </w:r>
      <w:r w:rsidRPr="007B2402">
        <w:rPr>
          <w:szCs w:val="16"/>
          <w:lang w:val="es-CR"/>
        </w:rPr>
        <w:t>, p. 228 (evidence file, folio 14425).</w:t>
      </w:r>
    </w:p>
  </w:footnote>
  <w:footnote w:id="62">
    <w:p w14:paraId="733285A9" w14:textId="0E5FFC77" w:rsidR="00920DEA" w:rsidRPr="007B2402" w:rsidRDefault="00920DEA" w:rsidP="005B1590">
      <w:pPr>
        <w:pStyle w:val="Textonotapie"/>
        <w:spacing w:after="80"/>
        <w:rPr>
          <w:szCs w:val="16"/>
          <w:lang w:val="es-CR"/>
        </w:rPr>
      </w:pPr>
      <w:r w:rsidRPr="007B2402">
        <w:rPr>
          <w:rStyle w:val="Refdenotaalpie"/>
          <w:rFonts w:ascii="Verdana" w:hAnsi="Verdana"/>
          <w:szCs w:val="16"/>
          <w:lang w:val="en-US"/>
        </w:rPr>
        <w:footnoteRef/>
      </w:r>
      <w:r w:rsidRPr="007B2402">
        <w:rPr>
          <w:szCs w:val="16"/>
          <w:lang w:val="es-CR"/>
        </w:rPr>
        <w:t xml:space="preserve"> Markun, Paulo. </w:t>
      </w:r>
      <w:r w:rsidRPr="007B2402">
        <w:rPr>
          <w:i/>
          <w:szCs w:val="16"/>
          <w:lang w:val="es-CR"/>
        </w:rPr>
        <w:t>Meu querido Vlado. A história de Vladimir Herzog e do sonho de uma geração</w:t>
      </w:r>
      <w:r w:rsidRPr="007B2402">
        <w:rPr>
          <w:szCs w:val="16"/>
          <w:lang w:val="es-CR"/>
        </w:rPr>
        <w:t xml:space="preserve">, pp. 111 to 137 (evidence file, folios 8782 a 8795). </w:t>
      </w:r>
    </w:p>
  </w:footnote>
  <w:footnote w:id="63">
    <w:p w14:paraId="743E8FEA" w14:textId="0AF01BBE"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Report of the National Truth Commission (evidence file, folio 3251). </w:t>
      </w:r>
    </w:p>
  </w:footnote>
  <w:footnote w:id="64">
    <w:p w14:paraId="2D2209DF" w14:textId="1780F31C"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Report of the National Truth Commission (evidence file, folios 3141 and 3250).</w:t>
      </w:r>
    </w:p>
  </w:footnote>
  <w:footnote w:id="65">
    <w:p w14:paraId="1F23F706" w14:textId="6AD22119"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Report of the National Truth Commission (evidence file, folio 3123).</w:t>
      </w:r>
    </w:p>
  </w:footnote>
  <w:footnote w:id="66">
    <w:p w14:paraId="41C87420" w14:textId="6225F807"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Federal Public Prosecution Service, </w:t>
      </w:r>
      <w:r w:rsidRPr="007B2402">
        <w:rPr>
          <w:i/>
          <w:iCs/>
          <w:szCs w:val="16"/>
          <w:lang w:val="en-US"/>
        </w:rPr>
        <w:t>Crimes da Ditadura Militar</w:t>
      </w:r>
      <w:r w:rsidRPr="007B2402">
        <w:rPr>
          <w:szCs w:val="16"/>
          <w:lang w:val="en-US"/>
        </w:rPr>
        <w:t>, pp. 76 and 77 (evidence file, folios 14273 and 14274).</w:t>
      </w:r>
    </w:p>
  </w:footnote>
  <w:footnote w:id="67">
    <w:p w14:paraId="421BCC63" w14:textId="37DFD16A" w:rsidR="00920DEA" w:rsidRPr="007B2402" w:rsidRDefault="00920DEA" w:rsidP="005B1590">
      <w:pPr>
        <w:pStyle w:val="Textonotapie"/>
        <w:spacing w:after="80"/>
        <w:rPr>
          <w:szCs w:val="16"/>
          <w:lang w:val="es-CR"/>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Direito à Memória e à Verdade:</w:t>
      </w:r>
      <w:r w:rsidRPr="007B2402">
        <w:rPr>
          <w:szCs w:val="16"/>
          <w:lang w:val="en-US"/>
        </w:rPr>
        <w:t xml:space="preserve"> Special Commission on Political Deaths and Disappearances (evidence file, folio 406); Markun, Paulo. </w:t>
      </w:r>
      <w:r w:rsidRPr="007B2402">
        <w:rPr>
          <w:i/>
          <w:szCs w:val="16"/>
          <w:lang w:val="es-CR"/>
        </w:rPr>
        <w:t>Meu querido Vlado. A história de Vladimir Herzog e do sonho de uma geração</w:t>
      </w:r>
      <w:r w:rsidRPr="007B2402">
        <w:rPr>
          <w:szCs w:val="16"/>
          <w:lang w:val="es-CR"/>
        </w:rPr>
        <w:t>, pp. 132 and 133 (evidence file, folio 8793).</w:t>
      </w:r>
    </w:p>
  </w:footnote>
  <w:footnote w:id="68">
    <w:p w14:paraId="3F7CC6DC" w14:textId="5F79DC57" w:rsidR="00920DEA" w:rsidRPr="007B2402" w:rsidRDefault="00920DEA" w:rsidP="005B1590">
      <w:pPr>
        <w:pStyle w:val="Textonotapie"/>
        <w:spacing w:after="80"/>
        <w:rPr>
          <w:szCs w:val="16"/>
          <w:lang w:val="es-CR"/>
        </w:rPr>
      </w:pPr>
      <w:r w:rsidRPr="007B2402">
        <w:rPr>
          <w:rStyle w:val="Refdenotaalpie"/>
          <w:rFonts w:ascii="Verdana" w:hAnsi="Verdana"/>
          <w:szCs w:val="16"/>
          <w:lang w:val="en-US"/>
        </w:rPr>
        <w:footnoteRef/>
      </w:r>
      <w:r w:rsidRPr="007B2402">
        <w:rPr>
          <w:szCs w:val="16"/>
          <w:lang w:val="en-US"/>
        </w:rPr>
        <w:t xml:space="preserve"> </w:t>
      </w:r>
      <w:r w:rsidRPr="007B2402">
        <w:rPr>
          <w:i/>
          <w:iCs/>
          <w:szCs w:val="16"/>
          <w:lang w:val="en-US"/>
        </w:rPr>
        <w:t>Direito à Memória e à Verdade</w:t>
      </w:r>
      <w:r w:rsidRPr="007B2402">
        <w:rPr>
          <w:szCs w:val="16"/>
          <w:lang w:val="en-US"/>
        </w:rPr>
        <w:t xml:space="preserve">: Special Commission on Political Deaths and Disappearances (evidence file, folio 406); Report of the National Truth Commission (evidence file, folio 3299); Markun, Paulo. </w:t>
      </w:r>
      <w:r w:rsidRPr="007B2402">
        <w:rPr>
          <w:i/>
          <w:szCs w:val="16"/>
          <w:lang w:val="es-CR"/>
        </w:rPr>
        <w:t>Meu querido Vlado. A história de Vladimir Herzog e do sonho de uma geração</w:t>
      </w:r>
      <w:r w:rsidRPr="007B2402">
        <w:rPr>
          <w:szCs w:val="16"/>
          <w:lang w:val="es-CR"/>
        </w:rPr>
        <w:t>, p. 133 (evidence file, folio 8793).</w:t>
      </w:r>
    </w:p>
  </w:footnote>
  <w:footnote w:id="69">
    <w:p w14:paraId="30E5B80B" w14:textId="4F7D9171"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The “</w:t>
      </w:r>
      <w:r w:rsidRPr="007B2402">
        <w:rPr>
          <w:i/>
          <w:szCs w:val="16"/>
          <w:lang w:val="en-US"/>
        </w:rPr>
        <w:t>pimentinha</w:t>
      </w:r>
      <w:r w:rsidRPr="007B2402">
        <w:rPr>
          <w:szCs w:val="16"/>
          <w:lang w:val="en-US"/>
        </w:rPr>
        <w:t>” was an electric shock device, commonly known as an “electric prod” in Latin America.</w:t>
      </w:r>
    </w:p>
  </w:footnote>
  <w:footnote w:id="70">
    <w:p w14:paraId="77D25AD4" w14:textId="7C3AB548"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Proceeding No. 2008.61.81.013434-2, São Paulo Federal Justice System, Volume 2, folio 280, statements of  Rodolfo Osvaldo Konder, of November 7, 1975 (evidence file, folios 3965 to 3967); Markun, Paulo. </w:t>
      </w:r>
      <w:r w:rsidRPr="007B2402">
        <w:rPr>
          <w:i/>
          <w:szCs w:val="16"/>
          <w:lang w:val="en-US"/>
        </w:rPr>
        <w:t>Meu querido Vlado. A história de Vladimir Herzog e do sonho de uma geração</w:t>
      </w:r>
      <w:r w:rsidRPr="007B2402">
        <w:rPr>
          <w:szCs w:val="16"/>
          <w:lang w:val="en-US"/>
        </w:rPr>
        <w:t>, pp. 134 and 135 (evidence file, folio 8794); Report of the National Truth Commission (evidence file, folios 3300, 3301 and 11097).</w:t>
      </w:r>
    </w:p>
  </w:footnote>
  <w:footnote w:id="71">
    <w:p w14:paraId="5BF3793D" w14:textId="00917558"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Report of the National Truth Commission (evidence file, folio 3300).</w:t>
      </w:r>
    </w:p>
  </w:footnote>
  <w:footnote w:id="72">
    <w:p w14:paraId="267F0DAD" w14:textId="6BD5DAB2"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Report of the National Truth Commission (evidence file, folios 1003 and 3300).</w:t>
      </w:r>
    </w:p>
  </w:footnote>
  <w:footnote w:id="73">
    <w:p w14:paraId="733C6AA1" w14:textId="480C59AB"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Report of the National Truth Commission (evidence file, folio 1004); Proceeding No. 2008.61.81.013434-2, São Paulo Federal Justice System, Volumen 3, folios 492 and 493, Official Note of the Second Army Command.</w:t>
      </w:r>
    </w:p>
  </w:footnote>
  <w:footnote w:id="74">
    <w:p w14:paraId="6FD398F3" w14:textId="6E046F89"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s-CR"/>
        </w:rPr>
        <w:t xml:space="preserve"> Brazil. </w:t>
      </w:r>
      <w:r w:rsidRPr="007B2402">
        <w:rPr>
          <w:i/>
          <w:iCs/>
          <w:szCs w:val="16"/>
          <w:lang w:val="es-CR"/>
        </w:rPr>
        <w:t>Desaparecidos políticos, um capitulo não encerrado da historia Brazileira.</w:t>
      </w:r>
      <w:r w:rsidRPr="007B2402">
        <w:rPr>
          <w:szCs w:val="16"/>
          <w:lang w:val="es-CR"/>
        </w:rPr>
        <w:t xml:space="preserve"> </w:t>
      </w:r>
      <w:r w:rsidRPr="007B2402">
        <w:rPr>
          <w:szCs w:val="16"/>
          <w:lang w:val="en-US"/>
        </w:rPr>
        <w:t>Editorial Instituto Macuco. São Paulo: 2012 (evidence file, folio 7245); Expert opinion of John Dinges (evidence file, folio 14565). Report of the National Truth Commission (evidence file, folio 635)</w:t>
      </w:r>
    </w:p>
  </w:footnote>
  <w:footnote w:id="75">
    <w:p w14:paraId="239F82DD" w14:textId="2DCB0912" w:rsidR="00920DEA" w:rsidRPr="007B2402" w:rsidRDefault="00920DEA" w:rsidP="005B1590">
      <w:pPr>
        <w:pStyle w:val="Textonotapie"/>
        <w:spacing w:after="80"/>
        <w:rPr>
          <w:b/>
          <w:szCs w:val="16"/>
          <w:lang w:val="en-US"/>
        </w:rPr>
      </w:pPr>
      <w:r w:rsidRPr="007B2402">
        <w:rPr>
          <w:rStyle w:val="Refdenotaalpie"/>
          <w:rFonts w:ascii="Verdana" w:hAnsi="Verdana"/>
          <w:szCs w:val="16"/>
          <w:lang w:val="en-US"/>
        </w:rPr>
        <w:footnoteRef/>
      </w:r>
      <w:r w:rsidRPr="007B2402">
        <w:rPr>
          <w:szCs w:val="16"/>
          <w:lang w:val="en-US"/>
        </w:rPr>
        <w:t xml:space="preserve"> Dantas, Audálio. </w:t>
      </w:r>
      <w:r w:rsidRPr="007B2402">
        <w:rPr>
          <w:i/>
          <w:szCs w:val="16"/>
          <w:lang w:val="es-CR"/>
        </w:rPr>
        <w:t>As duas guerras de Vlado Herzog</w:t>
      </w:r>
      <w:r w:rsidRPr="007B2402">
        <w:rPr>
          <w:szCs w:val="16"/>
          <w:lang w:val="es-CR"/>
        </w:rPr>
        <w:t xml:space="preserve"> (evidence file, folios 3825 and 3883); Figueiredo, Lucas. </w:t>
      </w:r>
      <w:r w:rsidRPr="007B2402">
        <w:rPr>
          <w:i/>
          <w:szCs w:val="16"/>
          <w:lang w:val="es-CR"/>
        </w:rPr>
        <w:t>Lugar nenhum: militares e civis na ocultação dos documentos da ditadura</w:t>
      </w:r>
      <w:r w:rsidRPr="007B2402">
        <w:rPr>
          <w:szCs w:val="16"/>
          <w:lang w:val="es-CR"/>
        </w:rPr>
        <w:t xml:space="preserve">. </w:t>
      </w:r>
      <w:r w:rsidRPr="007B2402">
        <w:rPr>
          <w:szCs w:val="16"/>
          <w:lang w:val="en-US"/>
        </w:rPr>
        <w:t>1st ed. São Paulo: Companhia das Letras, 2015, p. 94 (evidence file, folio 8678);</w:t>
      </w:r>
      <w:r w:rsidRPr="007B2402">
        <w:rPr>
          <w:rFonts w:eastAsiaTheme="minorHAnsi" w:cstheme="minorBidi"/>
          <w:noProof w:val="0"/>
          <w:szCs w:val="16"/>
          <w:lang w:val="en-US"/>
        </w:rPr>
        <w:t xml:space="preserve"> </w:t>
      </w:r>
      <w:r w:rsidRPr="007B2402">
        <w:rPr>
          <w:szCs w:val="16"/>
          <w:lang w:val="en-US"/>
        </w:rPr>
        <w:t xml:space="preserve">Report of the National Truth Commission (evidence file, folio 635) </w:t>
      </w:r>
    </w:p>
  </w:footnote>
  <w:footnote w:id="76">
    <w:p w14:paraId="396C1102" w14:textId="7E03CCCC"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iCs/>
          <w:szCs w:val="16"/>
          <w:lang w:val="en-US"/>
        </w:rPr>
        <w:t>Direito à Memória e à Verdade</w:t>
      </w:r>
      <w:r w:rsidRPr="007B2402">
        <w:rPr>
          <w:szCs w:val="16"/>
          <w:lang w:val="en-US"/>
        </w:rPr>
        <w:t>: Special Commission on Political Deaths and Disappearances (evidence file, folio 406); Report of the National Truth Commission (evidence file, folio 635 and 3300).</w:t>
      </w:r>
    </w:p>
  </w:footnote>
  <w:footnote w:id="77">
    <w:p w14:paraId="01D54077" w14:textId="56A6E28C" w:rsidR="00920DEA" w:rsidRPr="007B2402" w:rsidRDefault="00920DEA" w:rsidP="005B1590">
      <w:pPr>
        <w:pStyle w:val="Textonotapie"/>
        <w:spacing w:after="80"/>
        <w:rPr>
          <w:szCs w:val="16"/>
          <w:lang w:val="es-CR"/>
        </w:rPr>
      </w:pPr>
      <w:r w:rsidRPr="007B2402">
        <w:rPr>
          <w:rStyle w:val="Refdenotaalpie"/>
          <w:rFonts w:ascii="Verdana" w:hAnsi="Verdana"/>
          <w:szCs w:val="16"/>
          <w:lang w:val="en-US"/>
        </w:rPr>
        <w:footnoteRef/>
      </w:r>
      <w:r w:rsidRPr="007B2402">
        <w:rPr>
          <w:szCs w:val="16"/>
          <w:lang w:val="en-US"/>
        </w:rPr>
        <w:t xml:space="preserve"> Report of the National Truth Commission (evidence file, folio 3300); Dantas, Audálio. </w:t>
      </w:r>
      <w:r w:rsidRPr="007B2402">
        <w:rPr>
          <w:i/>
          <w:szCs w:val="16"/>
          <w:lang w:val="es-CR"/>
        </w:rPr>
        <w:t>As duas guerras de Vlado Herzog</w:t>
      </w:r>
      <w:r w:rsidRPr="007B2402">
        <w:rPr>
          <w:szCs w:val="16"/>
          <w:lang w:val="es-CR"/>
        </w:rPr>
        <w:t xml:space="preserve"> (evidence file, folios 3897 and 3898).</w:t>
      </w:r>
    </w:p>
  </w:footnote>
  <w:footnote w:id="78">
    <w:p w14:paraId="6D16B453" w14:textId="0A91C4BC"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Report of the National Truth Commission (evidence file, folio 3300).</w:t>
      </w:r>
    </w:p>
  </w:footnote>
  <w:footnote w:id="79">
    <w:p w14:paraId="1B10BC9B" w14:textId="672F1D45" w:rsidR="00920DEA" w:rsidRPr="007B2402" w:rsidRDefault="00920DEA" w:rsidP="005B1590">
      <w:pPr>
        <w:pStyle w:val="Textonotapie"/>
        <w:spacing w:after="80"/>
        <w:rPr>
          <w:b/>
          <w:szCs w:val="16"/>
          <w:lang w:val="en-US"/>
        </w:rPr>
      </w:pPr>
      <w:r w:rsidRPr="007B2402">
        <w:rPr>
          <w:rStyle w:val="Refdenotaalpie"/>
          <w:rFonts w:ascii="Verdana" w:hAnsi="Verdana"/>
          <w:szCs w:val="16"/>
          <w:lang w:val="en-US"/>
        </w:rPr>
        <w:footnoteRef/>
      </w:r>
      <w:r w:rsidRPr="007B2402">
        <w:rPr>
          <w:szCs w:val="16"/>
          <w:lang w:val="es-CR"/>
        </w:rPr>
        <w:t xml:space="preserve"> São Paulo Municipal Chamber. CPI – Perus/Desaparecidos. </w:t>
      </w:r>
      <w:r w:rsidRPr="007B2402">
        <w:rPr>
          <w:i/>
          <w:szCs w:val="16"/>
          <w:lang w:val="es-CR"/>
        </w:rPr>
        <w:t>In</w:t>
      </w:r>
      <w:r w:rsidRPr="007B2402">
        <w:rPr>
          <w:szCs w:val="16"/>
          <w:lang w:val="es-CR"/>
        </w:rPr>
        <w:t xml:space="preserve">: </w:t>
      </w:r>
      <w:r w:rsidRPr="007B2402">
        <w:rPr>
          <w:i/>
          <w:iCs/>
          <w:szCs w:val="16"/>
          <w:lang w:val="es-CR"/>
        </w:rPr>
        <w:t>Vala clandestina de Perus: desaparecidos políticos, um capitulo não encerrado da historia Brazileira</w:t>
      </w:r>
      <w:r w:rsidRPr="007B2402">
        <w:rPr>
          <w:szCs w:val="16"/>
          <w:lang w:val="es-CR"/>
        </w:rPr>
        <w:t xml:space="preserve">. </w:t>
      </w:r>
      <w:r w:rsidRPr="007B2402">
        <w:rPr>
          <w:szCs w:val="16"/>
          <w:lang w:val="en-US"/>
        </w:rPr>
        <w:t xml:space="preserve">São Paulo: Instituto Macuco, 2012, folio 172 (evidence file, folio 3535); Expert opinion of Sergio Suiama provided during the hearing; Federal Public Prosecution Service, </w:t>
      </w:r>
      <w:r w:rsidRPr="007B2402">
        <w:rPr>
          <w:i/>
          <w:szCs w:val="16"/>
          <w:lang w:val="en-US"/>
        </w:rPr>
        <w:t>Crimes da Ditadura Militar,</w:t>
      </w:r>
      <w:r w:rsidRPr="007B2402">
        <w:rPr>
          <w:szCs w:val="16"/>
          <w:lang w:val="en-US"/>
        </w:rPr>
        <w:t xml:space="preserve"> p. 116 (evidence file, folio 14313). </w:t>
      </w:r>
    </w:p>
  </w:footnote>
  <w:footnote w:id="80">
    <w:p w14:paraId="6C2058CD" w14:textId="6D78F482"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Dantas, Audálio. </w:t>
      </w:r>
      <w:r w:rsidRPr="007B2402">
        <w:rPr>
          <w:i/>
          <w:szCs w:val="16"/>
          <w:lang w:val="en-US"/>
        </w:rPr>
        <w:t>As duas guerras de Vlado Herzog</w:t>
      </w:r>
      <w:r w:rsidRPr="007B2402">
        <w:rPr>
          <w:szCs w:val="16"/>
          <w:lang w:val="en-US"/>
        </w:rPr>
        <w:t xml:space="preserve"> (evidence file, folio 3897); Proceeding No. 2008.61.81.013434-2, São Paulo Federal Justice System, Volumen 1, folio 129, Opinion of the Military Public Prosecutor requesting closure, of February 12, 1976 (evidence file, folio 4249); Proceeding No. 2008.61.81.013434-2, São Paulo Federal Justice System, Volumen 1, folio 130/132, Decision to close the Military Police Investigation of March 8, 1976 (evidence file, folios 4252 to 4255); Report of the National Truth Commission (evidence file, folio 3300); Markun, Paulo. </w:t>
      </w:r>
      <w:r w:rsidRPr="007B2402">
        <w:rPr>
          <w:i/>
          <w:szCs w:val="16"/>
          <w:lang w:val="en-US"/>
        </w:rPr>
        <w:t>Meu querido Vlado. A história de Vladimir Herzog e do sonho de uma geração,</w:t>
      </w:r>
      <w:r w:rsidRPr="007B2402">
        <w:rPr>
          <w:szCs w:val="16"/>
          <w:lang w:val="en-US"/>
        </w:rPr>
        <w:t xml:space="preserve"> p. 112 (evidence file, folio 8783); </w:t>
      </w:r>
      <w:r w:rsidRPr="007B2402">
        <w:rPr>
          <w:i/>
          <w:iCs/>
          <w:szCs w:val="16"/>
          <w:lang w:val="en-US"/>
        </w:rPr>
        <w:t>Direito à Memória e à Verdade:</w:t>
      </w:r>
      <w:r w:rsidRPr="007B2402">
        <w:rPr>
          <w:szCs w:val="16"/>
          <w:lang w:val="en-US"/>
        </w:rPr>
        <w:t xml:space="preserve"> Special Commission on Political Deaths and Disappearances, p. 408 (evidence file, folio 406).</w:t>
      </w:r>
    </w:p>
  </w:footnote>
  <w:footnote w:id="81">
    <w:p w14:paraId="2FFBB027" w14:textId="22411B31"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rFonts w:eastAsiaTheme="minorHAnsi" w:cstheme="minorBidi"/>
          <w:noProof w:val="0"/>
          <w:szCs w:val="16"/>
          <w:lang w:val="en-US"/>
        </w:rPr>
        <w:t xml:space="preserve"> </w:t>
      </w:r>
      <w:r w:rsidRPr="007B2402">
        <w:rPr>
          <w:szCs w:val="16"/>
          <w:lang w:val="en-US"/>
        </w:rPr>
        <w:t>Proceeding No. 2008.61.81.013434-2, São Paulo Federal Justice System, Volumen 1, folio 129, Opinion of the Military Public Prosecutor requesting closure of February 12, 1976 (evidence file, folio 4249).</w:t>
      </w:r>
    </w:p>
  </w:footnote>
  <w:footnote w:id="82">
    <w:p w14:paraId="65A18F6C" w14:textId="16D1D1CD"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rStyle w:val="Refdenotaalpie"/>
          <w:rFonts w:ascii="Verdana" w:hAnsi="Verdana"/>
          <w:szCs w:val="16"/>
          <w:lang w:val="en-US"/>
        </w:rPr>
        <w:t xml:space="preserve"> </w:t>
      </w:r>
      <w:r w:rsidRPr="007B2402">
        <w:rPr>
          <w:szCs w:val="16"/>
          <w:lang w:val="en-US"/>
        </w:rPr>
        <w:t>Proceeding No. 2008.61.81.013434-2, folio 629, Death certificate of Vladimir Herzog, dated Deceber 9, 1975 (evidence file, folio 4210).</w:t>
      </w:r>
    </w:p>
  </w:footnote>
  <w:footnote w:id="83">
    <w:p w14:paraId="0208187A" w14:textId="5733C2E1"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Statement by Clarice Herzog during the public hearing. </w:t>
      </w:r>
    </w:p>
  </w:footnote>
  <w:footnote w:id="84">
    <w:p w14:paraId="71AEFE8D" w14:textId="1BC07A42"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The term “Union” or “Federal Union” is synonymous with the Federal Government in Brazil.</w:t>
      </w:r>
    </w:p>
  </w:footnote>
  <w:footnote w:id="85">
    <w:p w14:paraId="0B9FA590" w14:textId="79C2E401"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Proceeding No. 2008.61.81.013434-2, folios 326, 328 and 333 (evidence file, folios 4256 to 4272); Initial request of Declaratory action No. 136/76, of April 19, 1976 (evidence file, folio 4272).</w:t>
      </w:r>
    </w:p>
  </w:footnote>
  <w:footnote w:id="86">
    <w:p w14:paraId="069F435C" w14:textId="7D06530B"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Proceeding No. 2008.61.81.013434-2, folios 88-123 (evidence file, folios 4274 to 4309). </w:t>
      </w:r>
    </w:p>
  </w:footnote>
  <w:footnote w:id="87">
    <w:p w14:paraId="26E7D3D1" w14:textId="03DADFD5"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Proceeding No. 2008.61.81.013434-2, folios 268-270 (evidence file, folios 4311 to 4313). </w:t>
      </w:r>
    </w:p>
  </w:footnote>
  <w:footnote w:id="88">
    <w:p w14:paraId="26B5B460" w14:textId="36BCD961"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Proceeding No. 2008.61.81.013434-2, folios 431/452, Preliminary and sentencing hearing in Declaratory action No. 136/76, of May 16, 1978 (evidence file, folio 4333).</w:t>
      </w:r>
    </w:p>
  </w:footnote>
  <w:footnote w:id="89">
    <w:p w14:paraId="23D58358" w14:textId="5DA6745C"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Proceeding No. 2008.61.81.013434-2, folio 441, Statement by Harry Shibata in Declaratory action No. 136/76, of May 16, 1978 (evidence file, folio 4158); Proceeding No. 2008.61.81.013434-2, folio 431/452, Preliminary and sentencing hearing in Declaratory action No. 136/76, of May 16, 1978 (evidence file, folio 4342).</w:t>
      </w:r>
    </w:p>
  </w:footnote>
  <w:footnote w:id="90">
    <w:p w14:paraId="511C90D9" w14:textId="215D3ADF"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Proceeding No. 2008.61.81.013434-2, folio 431/452, Preliminary and sentencing hearing in Declaratory action No. 136/76, of May 16, 1978 (evidence file, folio 4349 to 4351); Proceeding No. 2008.61.81.013434-2, folio 448, Statement by Paulo Sérgio Markun in Declaratory action No. 136/76, of May 16, 1978 (evidence file, folios 4362 to 4366).</w:t>
      </w:r>
    </w:p>
  </w:footnote>
  <w:footnote w:id="91">
    <w:p w14:paraId="4FEDB26B" w14:textId="41CB2532"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Report of the National Truth Commission (evidence file, folio 3300 and 3301).</w:t>
      </w:r>
    </w:p>
  </w:footnote>
  <w:footnote w:id="92">
    <w:p w14:paraId="1DA5B890" w14:textId="0ADFD178"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Proceeding No. 2008.61.81.013434-2, Judgment in Declaratory action No. 136/76, October 27, 1978 (evidence file, folios 4074 to 4090).</w:t>
      </w:r>
    </w:p>
  </w:footnote>
  <w:footnote w:id="93">
    <w:p w14:paraId="4BCF9017" w14:textId="7ED1AC3F"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Proceeding No. 2008.61.81.013434-2, Judgment in Declaratory action No. 136/76, October 27, 1978 (evidence file, folios 4083 to 4091).</w:t>
      </w:r>
    </w:p>
  </w:footnote>
  <w:footnote w:id="94">
    <w:p w14:paraId="2CCA4B96" w14:textId="0BE04A70"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Proceeding No. 2008.61.81.013434-2, Judgment in Declaratory action No. 136/76, October 27, 1978 (evidence file, folios 4028 to 4094).</w:t>
      </w:r>
    </w:p>
  </w:footnote>
  <w:footnote w:id="95">
    <w:p w14:paraId="5307330A" w14:textId="45E8533A"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Proceeding No. 2008.61.81.013434-2, folios 725-743, Appeal by the Federal Union, November 17, 1978 (evidence file, folio 4377 to 4396).</w:t>
      </w:r>
    </w:p>
  </w:footnote>
  <w:footnote w:id="96">
    <w:p w14:paraId="2AFF959F" w14:textId="2B24C02B" w:rsidR="00920DEA" w:rsidRPr="007B2402" w:rsidRDefault="00920DEA" w:rsidP="005B1590">
      <w:pPr>
        <w:spacing w:after="80" w:line="240" w:lineRule="auto"/>
        <w:jc w:val="both"/>
        <w:rPr>
          <w:rFonts w:eastAsia="Times New Roman" w:cs="Arial"/>
          <w:sz w:val="16"/>
          <w:szCs w:val="16"/>
          <w:shd w:val="clear" w:color="auto" w:fill="FFFFFF"/>
          <w:lang w:val="en-US" w:eastAsia="en-GB"/>
        </w:rPr>
      </w:pPr>
      <w:r w:rsidRPr="007B2402">
        <w:rPr>
          <w:rStyle w:val="Refdenotaalpie"/>
          <w:rFonts w:ascii="Verdana" w:hAnsi="Verdana"/>
          <w:sz w:val="16"/>
          <w:szCs w:val="16"/>
          <w:lang w:val="en-US"/>
        </w:rPr>
        <w:footnoteRef/>
      </w:r>
      <w:r w:rsidRPr="007B2402">
        <w:rPr>
          <w:sz w:val="16"/>
          <w:szCs w:val="16"/>
          <w:lang w:val="en-US"/>
        </w:rPr>
        <w:t xml:space="preserve"> </w:t>
      </w:r>
      <w:r w:rsidRPr="007B2402">
        <w:rPr>
          <w:rFonts w:eastAsia="Times New Roman" w:cs="Arial"/>
          <w:sz w:val="16"/>
          <w:szCs w:val="16"/>
          <w:shd w:val="clear" w:color="auto" w:fill="FFFFFF"/>
          <w:lang w:val="en-US" w:eastAsia="en-GB"/>
        </w:rPr>
        <w:t>The “</w:t>
      </w:r>
      <w:r w:rsidRPr="007B2402">
        <w:rPr>
          <w:rFonts w:eastAsia="Times New Roman" w:cs="Arial"/>
          <w:i/>
          <w:iCs/>
          <w:sz w:val="16"/>
          <w:szCs w:val="16"/>
          <w:shd w:val="clear" w:color="auto" w:fill="FFFFFF"/>
          <w:lang w:val="en-US" w:eastAsia="en-GB"/>
        </w:rPr>
        <w:t>embargos infringentes</w:t>
      </w:r>
      <w:r w:rsidRPr="007B2402">
        <w:rPr>
          <w:rFonts w:eastAsia="Times New Roman" w:cs="Arial"/>
          <w:sz w:val="16"/>
          <w:szCs w:val="16"/>
          <w:shd w:val="clear" w:color="auto" w:fill="FFFFFF"/>
          <w:lang w:val="en-US" w:eastAsia="en-GB"/>
        </w:rPr>
        <w:t>” were an exclusive defense remedy based on the absence of unanimity in a collegiate decision. They also contested specific points on which there was disagreement. It should be pointed out that only the contested points could have suspensive effects or be reconsidered; the rest of the ruling remained unaltered.</w:t>
      </w:r>
    </w:p>
  </w:footnote>
  <w:footnote w:id="97">
    <w:p w14:paraId="563DE378" w14:textId="4810C665"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Federal Regional Court of the Third Region, Judgment on the request for reconsideration. No. 89.03.7264-2, of May 18, 1994 (evidence file, folio 4315 to 4328).</w:t>
      </w:r>
    </w:p>
  </w:footnote>
  <w:footnote w:id="98">
    <w:p w14:paraId="1F4C4E75" w14:textId="0C76ED9A" w:rsidR="00920DEA" w:rsidRPr="007B2402" w:rsidRDefault="00920DEA" w:rsidP="005B1590">
      <w:pPr>
        <w:spacing w:after="80" w:line="240" w:lineRule="auto"/>
        <w:jc w:val="both"/>
        <w:rPr>
          <w:rStyle w:val="Refdenotaalpie"/>
          <w:rFonts w:ascii="Verdana" w:hAnsi="Verdana"/>
          <w:sz w:val="16"/>
          <w:szCs w:val="16"/>
          <w:lang w:val="en-US"/>
        </w:rPr>
      </w:pPr>
      <w:r w:rsidRPr="007B2402">
        <w:rPr>
          <w:rStyle w:val="Refdenotaalpie"/>
          <w:rFonts w:ascii="Verdana" w:hAnsi="Verdana"/>
          <w:sz w:val="16"/>
          <w:szCs w:val="16"/>
          <w:lang w:val="en-US"/>
        </w:rPr>
        <w:footnoteRef/>
      </w:r>
      <w:r w:rsidRPr="007B2402">
        <w:rPr>
          <w:rStyle w:val="Refdenotaalpie"/>
          <w:rFonts w:ascii="Verdana" w:hAnsi="Verdana"/>
          <w:sz w:val="16"/>
          <w:szCs w:val="16"/>
          <w:lang w:val="en-US"/>
        </w:rPr>
        <w:t xml:space="preserve"> </w:t>
      </w:r>
      <w:r w:rsidRPr="007B2402">
        <w:rPr>
          <w:sz w:val="16"/>
          <w:szCs w:val="16"/>
          <w:lang w:val="en-US"/>
        </w:rPr>
        <w:t xml:space="preserve">Law No. 6,683, of August 28, 1979 (evidence file, folio 6825); </w:t>
      </w:r>
      <w:r w:rsidRPr="007B2402">
        <w:rPr>
          <w:i/>
          <w:sz w:val="16"/>
          <w:szCs w:val="16"/>
          <w:lang w:val="en-US"/>
        </w:rPr>
        <w:t>Direito à Memória e à Verdade</w:t>
      </w:r>
      <w:r w:rsidRPr="007B2402">
        <w:rPr>
          <w:sz w:val="16"/>
          <w:szCs w:val="16"/>
          <w:lang w:val="en-US"/>
        </w:rPr>
        <w:t>: Special Commission on Political Deaths and Disappearances (evidence file, folio 26).</w:t>
      </w:r>
    </w:p>
  </w:footnote>
  <w:footnote w:id="99">
    <w:p w14:paraId="4D6AAC81" w14:textId="18D4B834"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Case of Gomes Lund et al. </w:t>
      </w:r>
      <w:r w:rsidRPr="007B2402">
        <w:rPr>
          <w:i/>
          <w:szCs w:val="16"/>
          <w:lang w:val="es-CR"/>
        </w:rPr>
        <w:t>("Guerrilha do Araguaia") v. Brazil</w:t>
      </w:r>
      <w:r w:rsidRPr="007B2402">
        <w:rPr>
          <w:szCs w:val="16"/>
          <w:lang w:val="es-CR"/>
        </w:rPr>
        <w:t xml:space="preserve">, paras. </w:t>
      </w:r>
      <w:r w:rsidRPr="007B2402">
        <w:rPr>
          <w:szCs w:val="16"/>
          <w:lang w:val="en-US"/>
        </w:rPr>
        <w:t>135 and 136.</w:t>
      </w:r>
    </w:p>
  </w:footnote>
  <w:footnote w:id="100">
    <w:p w14:paraId="1068AE14" w14:textId="3C688FD9"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Case of Gomes Lund et al. ("Guerrilha do Araguaia") v. Brazil</w:t>
      </w:r>
      <w:r w:rsidRPr="007B2402">
        <w:rPr>
          <w:szCs w:val="16"/>
          <w:lang w:val="en-US"/>
        </w:rPr>
        <w:t>, para. 135.</w:t>
      </w:r>
    </w:p>
  </w:footnote>
  <w:footnote w:id="101">
    <w:p w14:paraId="5B679F1C" w14:textId="07F61D03"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Case of Gomes Lund et al. ("Guerrilha do Araguaia") v. Brazil</w:t>
      </w:r>
      <w:r w:rsidRPr="007B2402">
        <w:rPr>
          <w:szCs w:val="16"/>
          <w:lang w:val="en-US"/>
        </w:rPr>
        <w:t>, para. 174.</w:t>
      </w:r>
    </w:p>
  </w:footnote>
  <w:footnote w:id="102">
    <w:p w14:paraId="1AEAE73F" w14:textId="13CD73EC"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Weekly magazine “</w:t>
      </w:r>
      <w:r w:rsidRPr="007B2402">
        <w:rPr>
          <w:i/>
          <w:iCs/>
          <w:szCs w:val="16"/>
          <w:lang w:val="en-US"/>
        </w:rPr>
        <w:t>Isto é Senhor</w:t>
      </w:r>
      <w:r w:rsidRPr="007B2402">
        <w:rPr>
          <w:szCs w:val="16"/>
          <w:lang w:val="en-US"/>
        </w:rPr>
        <w:t>” of March 25, 1992, article “</w:t>
      </w:r>
      <w:r w:rsidRPr="007B2402">
        <w:rPr>
          <w:i/>
          <w:iCs/>
          <w:szCs w:val="16"/>
          <w:lang w:val="en-US"/>
        </w:rPr>
        <w:t>Eu, Capitão Ramiro, interroguei Herzog</w:t>
      </w:r>
      <w:r w:rsidRPr="007B2402">
        <w:rPr>
          <w:szCs w:val="16"/>
          <w:lang w:val="en-US"/>
        </w:rPr>
        <w:t>” (evidence file, folio 4127 to 4131); Proceeding No. 2008.61.81.013434-2, folios 974/982, Hélio Bicudo’s representative, April 27, 1992 (evidence file, folio 4439).</w:t>
      </w:r>
    </w:p>
  </w:footnote>
  <w:footnote w:id="103">
    <w:p w14:paraId="40B61548" w14:textId="4918463B"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Proceeding No. 2008.61.81.013434-2, folios 974/982, Hélio Bicudo’s representative, April 27, 1992 (evidence file, folio 4439/4447).</w:t>
      </w:r>
    </w:p>
  </w:footnote>
  <w:footnote w:id="104">
    <w:p w14:paraId="5D3BF341" w14:textId="03006086"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Proceeding No. 2008.61.81.013434-2, folios 1151, Public Prosecution Service request to open a police investigation dated May 4, 1992 (evidence file, folios 4448 to 4450).</w:t>
      </w:r>
    </w:p>
  </w:footnote>
  <w:footnote w:id="105">
    <w:p w14:paraId="5FEFF06F" w14:textId="28761CBA"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Habeas corpus</w:t>
      </w:r>
      <w:r w:rsidRPr="007B2402">
        <w:rPr>
          <w:szCs w:val="16"/>
          <w:lang w:val="en-US"/>
        </w:rPr>
        <w:t xml:space="preserve"> in favor of Pedro Antônio Mira Grancieri, No. 131.798/3-4-SP, of July 21, 1992, j. 13/10/92, Fourth Criminal Chamber, Proceeding No. 2008.61.81.013434-2, folios 1191-1198 (evidence file, folios 4478 to 4485).</w:t>
      </w:r>
    </w:p>
  </w:footnote>
  <w:footnote w:id="106">
    <w:p w14:paraId="12E7BAC7" w14:textId="7A6F8431"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Decision of October 13, 1992, in the </w:t>
      </w:r>
      <w:r w:rsidRPr="007B2402">
        <w:rPr>
          <w:i/>
          <w:szCs w:val="16"/>
          <w:lang w:val="en-US"/>
        </w:rPr>
        <w:t>habeas corpus</w:t>
      </w:r>
      <w:r w:rsidRPr="007B2402">
        <w:rPr>
          <w:szCs w:val="16"/>
          <w:lang w:val="en-US"/>
        </w:rPr>
        <w:t xml:space="preserve"> proceeding (evidence file, folios 4478 to 4485 and 13742 to 13749); Statement made during the hearing by Marlon Weichert.</w:t>
      </w:r>
    </w:p>
  </w:footnote>
  <w:footnote w:id="107">
    <w:p w14:paraId="5EF51FB6" w14:textId="4083B5B8" w:rsidR="00920DEA" w:rsidRPr="007B2402" w:rsidRDefault="00920DEA" w:rsidP="005B1590">
      <w:pPr>
        <w:pStyle w:val="Textonotapie"/>
        <w:tabs>
          <w:tab w:val="left" w:pos="0"/>
        </w:tabs>
        <w:spacing w:after="80"/>
        <w:rPr>
          <w:szCs w:val="16"/>
          <w:lang w:val="en-US"/>
        </w:rPr>
      </w:pPr>
      <w:r w:rsidRPr="007B2402">
        <w:rPr>
          <w:rStyle w:val="Refdenotaalpie"/>
          <w:rFonts w:ascii="Verdana" w:hAnsi="Verdana"/>
          <w:szCs w:val="16"/>
          <w:lang w:val="en-US"/>
        </w:rPr>
        <w:footnoteRef/>
      </w:r>
      <w:r w:rsidRPr="007B2402">
        <w:rPr>
          <w:szCs w:val="16"/>
          <w:lang w:val="en-US"/>
        </w:rPr>
        <w:t xml:space="preserve"> Proceeding No. 2008.61.81.013434-2, folio 1208, Special appeal of January 28, 1993, against the </w:t>
      </w:r>
      <w:r w:rsidRPr="007B2402">
        <w:rPr>
          <w:i/>
          <w:szCs w:val="16"/>
          <w:lang w:val="en-US"/>
        </w:rPr>
        <w:t>habeas corpus</w:t>
      </w:r>
      <w:r w:rsidRPr="007B2402">
        <w:rPr>
          <w:szCs w:val="16"/>
          <w:lang w:val="en-US"/>
        </w:rPr>
        <w:t xml:space="preserve"> decision (evidence file, folio 4487 to 4497).</w:t>
      </w:r>
    </w:p>
  </w:footnote>
  <w:footnote w:id="108">
    <w:p w14:paraId="7CCE6487" w14:textId="291AB3BE"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Proceeding No. 2008.61.81.013434-2, folio 1232/1242, Judgment of the Superior Court of Justice in Special Appeal No. 33.782-7-SP, of August 18, 1993 (evidence file, folios 4499 to 4509).</w:t>
      </w:r>
    </w:p>
  </w:footnote>
  <w:footnote w:id="109">
    <w:p w14:paraId="60517779" w14:textId="17AA5477"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Law No. 9,140 of December 4, 1995 (evidence file, folios 13724 to 13727).</w:t>
      </w:r>
    </w:p>
  </w:footnote>
  <w:footnote w:id="110">
    <w:p w14:paraId="54B90683" w14:textId="21251BC2"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Copy of extract from the sixth regular meeting of the Commission  on Political Deaths and Disappearances, published in the Official Gazette of April 11, 1996 (evidence file, folio 13729); Statement by Clarice Herzog during the public hearing.</w:t>
      </w:r>
    </w:p>
  </w:footnote>
  <w:footnote w:id="111">
    <w:p w14:paraId="593BC05B" w14:textId="53D34782"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Decree No. 2,255 of June 16, 1997 (evidence file, folio 13732).</w:t>
      </w:r>
    </w:p>
  </w:footnote>
  <w:footnote w:id="112">
    <w:p w14:paraId="644F4B0F" w14:textId="7392B12F" w:rsidR="00920DEA" w:rsidRPr="007B2402" w:rsidRDefault="00920DEA" w:rsidP="005B1590">
      <w:pPr>
        <w:spacing w:after="80" w:line="240" w:lineRule="auto"/>
        <w:jc w:val="both"/>
        <w:rPr>
          <w:sz w:val="16"/>
          <w:szCs w:val="16"/>
          <w:lang w:val="en-US"/>
        </w:rPr>
      </w:pPr>
      <w:r w:rsidRPr="007B2402">
        <w:rPr>
          <w:rStyle w:val="Refdenotaalpie"/>
          <w:rFonts w:ascii="Verdana" w:hAnsi="Verdana"/>
          <w:sz w:val="16"/>
          <w:szCs w:val="16"/>
          <w:lang w:val="en-US"/>
        </w:rPr>
        <w:footnoteRef/>
      </w:r>
      <w:r w:rsidRPr="007B2402">
        <w:rPr>
          <w:sz w:val="16"/>
          <w:szCs w:val="16"/>
          <w:lang w:val="en-US"/>
        </w:rPr>
        <w:t xml:space="preserve"> </w:t>
      </w:r>
      <w:r w:rsidRPr="007B2402">
        <w:rPr>
          <w:i/>
          <w:iCs/>
          <w:sz w:val="16"/>
          <w:szCs w:val="16"/>
          <w:lang w:val="en-US"/>
        </w:rPr>
        <w:t>Direito à Memória e à Verdade</w:t>
      </w:r>
      <w:r w:rsidRPr="007B2402">
        <w:rPr>
          <w:sz w:val="16"/>
          <w:szCs w:val="16"/>
          <w:lang w:val="en-US"/>
        </w:rPr>
        <w:t>: Special Commission on Political Deaths and Disappearances (evidence file, folios 1 to 499); Statement by Clarice Herzog during the public hearing.</w:t>
      </w:r>
    </w:p>
  </w:footnote>
  <w:footnote w:id="113">
    <w:p w14:paraId="50FF5CC9" w14:textId="62B0CC66"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iCs/>
          <w:szCs w:val="16"/>
          <w:lang w:val="en-US"/>
        </w:rPr>
        <w:t>Direito à Memória e à Verdade</w:t>
      </w:r>
      <w:r w:rsidRPr="007B2402">
        <w:rPr>
          <w:szCs w:val="16"/>
          <w:lang w:val="en-US"/>
        </w:rPr>
        <w:t>: Special Commission on Political Deaths and Disappearances (evidence file, folios 405 to 407).</w:t>
      </w:r>
    </w:p>
  </w:footnote>
  <w:footnote w:id="114">
    <w:p w14:paraId="6F9758CB" w14:textId="5A841D0E" w:rsidR="00920DEA" w:rsidRPr="007B2402" w:rsidRDefault="00920DEA" w:rsidP="005B1590">
      <w:pPr>
        <w:pStyle w:val="Textonotapie"/>
        <w:spacing w:after="80"/>
        <w:rPr>
          <w:b/>
          <w:szCs w:val="16"/>
          <w:lang w:val="en-US"/>
        </w:rPr>
      </w:pPr>
      <w:r w:rsidRPr="007B2402">
        <w:rPr>
          <w:rStyle w:val="Refdenotaalpie"/>
          <w:rFonts w:ascii="Verdana" w:hAnsi="Verdana"/>
          <w:szCs w:val="16"/>
          <w:lang w:val="en-US"/>
        </w:rPr>
        <w:footnoteRef/>
      </w:r>
      <w:r w:rsidRPr="007B2402">
        <w:rPr>
          <w:szCs w:val="16"/>
          <w:lang w:val="en-US"/>
        </w:rPr>
        <w:t xml:space="preserve"> Brief of Fabio Konder Comparato submitted to the Prosecutor of the Republic, São Paulo, November 19, 2007). (evidence file, folios 3521 to 3527). </w:t>
      </w:r>
    </w:p>
  </w:footnote>
  <w:footnote w:id="115">
    <w:p w14:paraId="1C36526B" w14:textId="0E443D6C"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rStyle w:val="Refdenotaalpie"/>
          <w:rFonts w:ascii="Verdana" w:hAnsi="Verdana"/>
          <w:szCs w:val="16"/>
          <w:lang w:val="en-US"/>
        </w:rPr>
        <w:t xml:space="preserve"> </w:t>
      </w:r>
      <w:r w:rsidRPr="007B2402">
        <w:rPr>
          <w:szCs w:val="16"/>
          <w:lang w:val="en-US"/>
        </w:rPr>
        <w:t>Proceeding No. 2008.61.81.013434-2, folio 1279, Ofício No. GABPR12-EAGF/SP-000109/2008, of March 5, 2008 (evidence file, folios 4511 to 4513).</w:t>
      </w:r>
    </w:p>
  </w:footnote>
  <w:footnote w:id="116">
    <w:p w14:paraId="6B049149" w14:textId="7FC0E808"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Proceeding No. 2008.61.81.013434-2, folios 2-50, Regional Prosecutor of the Republic’s request to close the case (evidence file, folios 4515 to 4563).</w:t>
      </w:r>
    </w:p>
  </w:footnote>
  <w:footnote w:id="117">
    <w:p w14:paraId="29468320" w14:textId="22D9C521"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Proceeding No. 2008.61.81.013434-2, Regional Prosecutor of the Republic’s request to file the case (evidence file, folio 4541).</w:t>
      </w:r>
    </w:p>
  </w:footnote>
  <w:footnote w:id="118">
    <w:p w14:paraId="112121CB" w14:textId="30076729"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Proceeding No. 2008.61.81.013434-2, Regional Prosecutor of the Republic’s request to file the case (evidence file, folios 4536 to 4539).</w:t>
      </w:r>
    </w:p>
  </w:footnote>
  <w:footnote w:id="119">
    <w:p w14:paraId="3F1A20F1" w14:textId="447C5290"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rStyle w:val="Refdenotaalpie"/>
          <w:rFonts w:ascii="Verdana" w:hAnsi="Verdana"/>
          <w:szCs w:val="16"/>
          <w:lang w:val="en-US"/>
        </w:rPr>
        <w:t xml:space="preserve"> </w:t>
      </w:r>
      <w:r w:rsidRPr="007B2402">
        <w:rPr>
          <w:szCs w:val="16"/>
          <w:lang w:val="en-US"/>
        </w:rPr>
        <w:t>Proceeding No. 2008.61.81.013434-2, Regional Prosecutor of the Republic’s request to file the case (evidence file, folio 4525).</w:t>
      </w:r>
    </w:p>
  </w:footnote>
  <w:footnote w:id="120">
    <w:p w14:paraId="686EA03B" w14:textId="3ADF6AC5"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rStyle w:val="Refdenotaalpie"/>
          <w:rFonts w:ascii="Verdana" w:hAnsi="Verdana"/>
          <w:szCs w:val="16"/>
          <w:lang w:val="en-US"/>
        </w:rPr>
        <w:t xml:space="preserve"> </w:t>
      </w:r>
      <w:r w:rsidRPr="007B2402">
        <w:rPr>
          <w:szCs w:val="16"/>
          <w:lang w:val="en-US"/>
        </w:rPr>
        <w:t>Proceeding No. 2008.61.81.013434-2, Regional Prosecutor of the Republic’s request to file the case (evidence file, folios 4514 to 4563); Statement made during the hearing by Marlon Weichert.</w:t>
      </w:r>
    </w:p>
  </w:footnote>
  <w:footnote w:id="121">
    <w:p w14:paraId="7705D9BD" w14:textId="4C4BE1A7"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Proceeding No. 2008.61.81.013434-2, Regional Prosecutor of the Republic’s request to file the case (evidence file, folios 4527 and 4528).</w:t>
      </w:r>
    </w:p>
  </w:footnote>
  <w:footnote w:id="122">
    <w:p w14:paraId="4335488E" w14:textId="6534BA7B"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Proceeding No. 2008.61.81.013434-2, Regional Prosecutor of the Republic’s request to file the case (evidence file, folios 4539 a 4561).</w:t>
      </w:r>
    </w:p>
  </w:footnote>
  <w:footnote w:id="123">
    <w:p w14:paraId="6E2D48C0" w14:textId="45224A20"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rStyle w:val="Refdenotaalpie"/>
          <w:rFonts w:ascii="Verdana" w:hAnsi="Verdana"/>
          <w:szCs w:val="16"/>
          <w:lang w:val="en-US"/>
        </w:rPr>
        <w:t xml:space="preserve"> </w:t>
      </w:r>
      <w:r w:rsidRPr="007B2402">
        <w:rPr>
          <w:szCs w:val="16"/>
          <w:lang w:val="en-US"/>
        </w:rPr>
        <w:t>Proceeding No. 2008.61.81.013434-2, Regional Prosecutor of the Republic’s request to file the case (evidence file, folio 4552).</w:t>
      </w:r>
    </w:p>
  </w:footnote>
  <w:footnote w:id="124">
    <w:p w14:paraId="5A4CCD6F" w14:textId="1976CD9C"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Proceeding No. 2008.61.81.013434-2, Decision of the Federal Judge of January 9, 2009 (evidence file, folio 4574).</w:t>
      </w:r>
    </w:p>
  </w:footnote>
  <w:footnote w:id="125">
    <w:p w14:paraId="4F71F384" w14:textId="78EF6A99"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Proceeding No. 2008.61.81.013434-2, Decision of the Federal Judge of January 9, 2009 (evidence file, folio 4577).</w:t>
      </w:r>
    </w:p>
  </w:footnote>
  <w:footnote w:id="126">
    <w:p w14:paraId="6197E0C6" w14:textId="1740882B"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Proceeding No. 2008.61.81.013434-2, Decision of the Federal Judge of January 9, 2009 (evidence file, folio 4581).</w:t>
      </w:r>
    </w:p>
  </w:footnote>
  <w:footnote w:id="127">
    <w:p w14:paraId="1A96F342" w14:textId="55AD12E3"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rStyle w:val="Refdenotaalpie"/>
          <w:rFonts w:ascii="Verdana" w:hAnsi="Verdana"/>
          <w:szCs w:val="16"/>
          <w:lang w:val="en-US"/>
        </w:rPr>
        <w:t xml:space="preserve"> </w:t>
      </w:r>
      <w:r w:rsidRPr="007B2402">
        <w:rPr>
          <w:szCs w:val="16"/>
          <w:lang w:val="en-US"/>
        </w:rPr>
        <w:t>Proceeding No. 2008.61.81.013434-2, Decision of the Federal Judge of January 9, 2009.(4565 a 4581); Proceeding No. 2008.61.81.013434-2, Federal Public Prosecution Service investigation proceeding (evidence file, folio 6641 to 6657).</w:t>
      </w:r>
    </w:p>
  </w:footnote>
  <w:footnote w:id="128">
    <w:p w14:paraId="2BFEF0F6" w14:textId="4F1A47CF"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rStyle w:val="Refdenotaalpie"/>
          <w:rFonts w:ascii="Verdana" w:hAnsi="Verdana"/>
          <w:szCs w:val="16"/>
          <w:lang w:val="en-US"/>
        </w:rPr>
        <w:t xml:space="preserve"> </w:t>
      </w:r>
      <w:r w:rsidRPr="007B2402">
        <w:rPr>
          <w:szCs w:val="16"/>
          <w:lang w:val="en-US"/>
        </w:rPr>
        <w:t xml:space="preserve">Initial petition of Public civil action No. 2008.61.00.011414-5, of May 14, 2008 (evidence file, folio 4583 to 4656); Copy of the record of Public civil action No. 2008.61.00.011414-5 (evidence file, folio 8930/10336); Statement made during the hearing by Marlon Weichert. </w:t>
      </w:r>
    </w:p>
  </w:footnote>
  <w:footnote w:id="129">
    <w:p w14:paraId="6E6ED9DE" w14:textId="23BDEBA0"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Proceeding No. 2008.61.00.011414-5. Eighth Federal Court of São Paulo. Judgment of May 5, 2010, folios 18 and 20 (evidence file, folios 4658 to 4677); Copy of the record of Public civil action No. 2008.61.00.011414-5 (evidence file, folios 8930 to 10336).</w:t>
      </w:r>
    </w:p>
  </w:footnote>
  <w:footnote w:id="130">
    <w:p w14:paraId="2DA904F2" w14:textId="21AE6534"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Proceeding No. 2008.61.00.011414-5, Judgment of May 5, 2010, folios 18 and 20 (evidence file, folio 4664).</w:t>
      </w:r>
    </w:p>
  </w:footnote>
  <w:footnote w:id="131">
    <w:p w14:paraId="482F95F3" w14:textId="0CBB986C"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Proceeding No. 2008.61.00.011414-5, Judgment of May 5, 2010, folios 18 and 20 (evidence file, folio 4676).</w:t>
      </w:r>
    </w:p>
  </w:footnote>
  <w:footnote w:id="132">
    <w:p w14:paraId="6498638A" w14:textId="3A9BE5E1"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rStyle w:val="Refdenotaalpie"/>
          <w:rFonts w:ascii="Verdana" w:hAnsi="Verdana"/>
          <w:szCs w:val="16"/>
          <w:lang w:val="en-US"/>
        </w:rPr>
        <w:t xml:space="preserve"> </w:t>
      </w:r>
      <w:r w:rsidRPr="007B2402">
        <w:rPr>
          <w:szCs w:val="16"/>
          <w:lang w:val="en-US"/>
        </w:rPr>
        <w:t>Copy of the record of Public civil action No. 2008.61.00.011414-5 (evidence file, folios 8930 to 10336); Appeal No. 0011414-28.2008.4.03.6100 of January 17, 2011 (evidence file, folios 4679 to 4680); Proceeding No. 2008.61.01.00.011414-5 (evidence file, folio 6708); Proceeding No. 2008.61.00.011414-5 Public civil action, Appeal (evidence file, folios 6664 to 6705).</w:t>
      </w:r>
    </w:p>
  </w:footnote>
  <w:footnote w:id="133">
    <w:p w14:paraId="452FA449" w14:textId="5CB3B4E2"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Consulted at: http://www.jfsp.jus.br/foruns-federais/ on March 1, 2018.</w:t>
      </w:r>
    </w:p>
  </w:footnote>
  <w:footnote w:id="134">
    <w:p w14:paraId="4FBE67B9" w14:textId="2DAD269B"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Brazil, Presidency of the Republic, Law No. 12.528, of November 18, 2011; Statement made during the hearing by Marlon Weichert.</w:t>
      </w:r>
    </w:p>
  </w:footnote>
  <w:footnote w:id="135">
    <w:p w14:paraId="569E10ED" w14:textId="34E49671"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Report of the National Truth Commission (evidence file, folio 3301).</w:t>
      </w:r>
    </w:p>
  </w:footnote>
  <w:footnote w:id="136">
    <w:p w14:paraId="08FC4372" w14:textId="14BA3212"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National Truth Commission, </w:t>
      </w:r>
      <w:r w:rsidRPr="007B2402">
        <w:rPr>
          <w:i/>
          <w:szCs w:val="16"/>
          <w:lang w:val="en-US"/>
        </w:rPr>
        <w:t>Laudo Pericial Indireto produzido em decorrência da morte de Vladimir Herzog</w:t>
      </w:r>
      <w:r w:rsidRPr="007B2402">
        <w:rPr>
          <w:szCs w:val="16"/>
          <w:lang w:val="en-US"/>
        </w:rPr>
        <w:t>, September 29, 2014 (evidence file, folios 6745 and 6746).</w:t>
      </w:r>
    </w:p>
  </w:footnote>
  <w:footnote w:id="137">
    <w:p w14:paraId="50B41CBE" w14:textId="2F7B8776" w:rsidR="00920DEA" w:rsidRPr="007B2402" w:rsidRDefault="00920DEA" w:rsidP="00283370">
      <w:pPr>
        <w:pStyle w:val="Textonotapie"/>
        <w:spacing w:after="80"/>
        <w:rPr>
          <w:szCs w:val="16"/>
          <w:lang w:val="en-US"/>
        </w:rPr>
      </w:pPr>
      <w:r w:rsidRPr="007B2402">
        <w:rPr>
          <w:rStyle w:val="Refdenotaalpie"/>
          <w:rFonts w:ascii="Verdana" w:hAnsi="Verdana"/>
          <w:szCs w:val="16"/>
          <w:lang w:val="en-US"/>
        </w:rPr>
        <w:footnoteRef/>
      </w:r>
      <w:r w:rsidRPr="007B2402">
        <w:rPr>
          <w:rStyle w:val="Refdenotaalpie"/>
          <w:rFonts w:ascii="Verdana" w:hAnsi="Verdana"/>
          <w:szCs w:val="16"/>
          <w:lang w:val="en-US"/>
        </w:rPr>
        <w:t xml:space="preserve"> </w:t>
      </w:r>
      <w:r w:rsidRPr="007B2402">
        <w:rPr>
          <w:szCs w:val="16"/>
          <w:lang w:val="en-US"/>
        </w:rPr>
        <w:t xml:space="preserve">Copy of the amended death certificate of Vladimir Herzog (evidence file, folios 13734 and 13735); Copy of the judgment in case No. 0046690- 64.2012.8.26.0100 (evidence file, folios 13737 to 13740); Statement by Clarice Herzog during the public hearing. </w:t>
      </w:r>
    </w:p>
  </w:footnote>
  <w:footnote w:id="138">
    <w:p w14:paraId="28BF84EF" w14:textId="1216EAF7" w:rsidR="00920DEA" w:rsidRPr="007B2402" w:rsidRDefault="00920DEA" w:rsidP="0028337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Report of the National Truth Commission (evidence file, folio 3301).</w:t>
      </w:r>
    </w:p>
  </w:footnote>
  <w:footnote w:id="139">
    <w:p w14:paraId="451897F2" w14:textId="277B79C2" w:rsidR="00920DEA" w:rsidRPr="007B2402" w:rsidRDefault="00920DEA" w:rsidP="00B34A75">
      <w:pPr>
        <w:tabs>
          <w:tab w:val="left" w:pos="480"/>
          <w:tab w:val="left" w:pos="1080"/>
          <w:tab w:val="left" w:pos="1680"/>
          <w:tab w:val="left" w:pos="5400"/>
        </w:tabs>
        <w:suppressAutoHyphens/>
        <w:spacing w:after="0" w:line="240" w:lineRule="auto"/>
        <w:jc w:val="both"/>
        <w:rPr>
          <w:spacing w:val="-3"/>
          <w:sz w:val="16"/>
          <w:szCs w:val="16"/>
          <w:lang w:val="en-US"/>
        </w:rPr>
      </w:pPr>
      <w:r w:rsidRPr="007B2402">
        <w:rPr>
          <w:rStyle w:val="Refdenotaalpie"/>
          <w:rFonts w:ascii="Verdana" w:hAnsi="Verdana"/>
          <w:sz w:val="16"/>
          <w:szCs w:val="16"/>
          <w:lang w:val="en-US"/>
        </w:rPr>
        <w:footnoteRef/>
      </w:r>
      <w:r w:rsidRPr="007B2402">
        <w:rPr>
          <w:sz w:val="16"/>
          <w:szCs w:val="16"/>
          <w:lang w:val="en-US"/>
        </w:rPr>
        <w:t xml:space="preserve"> Article 8. Right to a Fair Trial. “1. </w:t>
      </w:r>
      <w:bookmarkStart w:id="158" w:name="_Hlk6740513"/>
      <w:r w:rsidRPr="007B2402">
        <w:rPr>
          <w:sz w:val="16"/>
          <w:szCs w:val="16"/>
          <w:lang w:val="en-US"/>
        </w:rPr>
        <w:t>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w:t>
      </w:r>
      <w:bookmarkEnd w:id="158"/>
      <w:r w:rsidRPr="007B2402">
        <w:rPr>
          <w:sz w:val="16"/>
          <w:szCs w:val="16"/>
          <w:lang w:val="en-US"/>
        </w:rPr>
        <w:t>e.</w:t>
      </w:r>
    </w:p>
    <w:p w14:paraId="791CE537" w14:textId="7643A1D2" w:rsidR="00920DEA" w:rsidRPr="007B2402" w:rsidRDefault="00920DEA" w:rsidP="00B34A75">
      <w:pPr>
        <w:tabs>
          <w:tab w:val="left" w:pos="480"/>
          <w:tab w:val="left" w:pos="1080"/>
          <w:tab w:val="left" w:pos="1680"/>
          <w:tab w:val="left" w:pos="5400"/>
        </w:tabs>
        <w:suppressAutoHyphens/>
        <w:spacing w:after="0" w:line="240" w:lineRule="auto"/>
        <w:jc w:val="both"/>
        <w:rPr>
          <w:spacing w:val="-3"/>
          <w:sz w:val="16"/>
          <w:szCs w:val="16"/>
          <w:lang w:val="en-US"/>
        </w:rPr>
      </w:pPr>
      <w:r w:rsidRPr="007B2402">
        <w:rPr>
          <w:sz w:val="16"/>
          <w:szCs w:val="16"/>
          <w:lang w:val="en-US"/>
        </w:rPr>
        <w:t xml:space="preserve">2. </w:t>
      </w:r>
      <w:r w:rsidRPr="007B2402">
        <w:rPr>
          <w:spacing w:val="-3"/>
          <w:sz w:val="16"/>
          <w:szCs w:val="16"/>
          <w:lang w:val="en-US"/>
        </w:rPr>
        <w:t>Every person accused of a criminal offense has the right to be presumed innocent so long as his guilt has not been proven according to law.  During the Proceeding, every person is entitled, with full equality, to the following minimum guarantees: a. the right of the accused to be assisted without charge by a translator or interpreter, if he does not understand or does not speak the language of the tribunal or court; b. prior notification in detail to the accused of the charges against him; c. adequate time and means for the preparation of his defense; d. the right of the accused to defend himself personally or to be assisted by legal counsel of his own choosing, and to communicate freely and privately with his counsel; e. the inalienable right to be assisted by counsel provided by the state, paid or not as the domestic law provides, if the accused does not defend himself personally or engage his own counsel within the time period established by law; f. the right of the defense to examine witnesses present in the court and to obtain the appearance, as witnesses, of experts or other persons who may throw light on the facts; g. the right not to be compelled to be a witness against himself or to plead guilty; and h. the right to appeal the judgment to a higher court.</w:t>
      </w:r>
    </w:p>
    <w:p w14:paraId="622D3F52" w14:textId="3F20715C" w:rsidR="00920DEA" w:rsidRPr="007B2402" w:rsidRDefault="00920DEA" w:rsidP="00B34A75">
      <w:pPr>
        <w:pStyle w:val="Textonotapie"/>
        <w:rPr>
          <w:szCs w:val="16"/>
          <w:lang w:val="en-US"/>
        </w:rPr>
      </w:pPr>
      <w:r w:rsidRPr="007B2402">
        <w:rPr>
          <w:szCs w:val="16"/>
          <w:lang w:val="en-US"/>
        </w:rPr>
        <w:t xml:space="preserve">3. </w:t>
      </w:r>
      <w:r w:rsidRPr="007B2402">
        <w:rPr>
          <w:spacing w:val="-3"/>
          <w:szCs w:val="16"/>
          <w:lang w:val="en-US"/>
        </w:rPr>
        <w:t>A confession of guilt by the accused shall be valid only if it is made without coercion of any kind.</w:t>
      </w:r>
      <w:r w:rsidRPr="007B2402">
        <w:rPr>
          <w:szCs w:val="16"/>
          <w:lang w:val="en-US"/>
        </w:rPr>
        <w:t xml:space="preserve">. </w:t>
      </w:r>
    </w:p>
    <w:p w14:paraId="2E7EE945" w14:textId="4E698B5D" w:rsidR="00920DEA" w:rsidRPr="007B2402" w:rsidRDefault="00920DEA" w:rsidP="00B34A75">
      <w:pPr>
        <w:pStyle w:val="Textonotapie"/>
        <w:rPr>
          <w:szCs w:val="16"/>
          <w:lang w:val="en-US"/>
        </w:rPr>
      </w:pPr>
      <w:r w:rsidRPr="007B2402">
        <w:rPr>
          <w:szCs w:val="16"/>
          <w:lang w:val="en-US"/>
        </w:rPr>
        <w:t xml:space="preserve">4. </w:t>
      </w:r>
      <w:r w:rsidRPr="007B2402">
        <w:rPr>
          <w:spacing w:val="-3"/>
          <w:szCs w:val="16"/>
          <w:lang w:val="en-US"/>
        </w:rPr>
        <w:t>An accused person acquitted by a non-appealable judgment shall not be subjected to a new trial for the same cause</w:t>
      </w:r>
      <w:r w:rsidRPr="007B2402">
        <w:rPr>
          <w:szCs w:val="16"/>
          <w:lang w:val="en-US"/>
        </w:rPr>
        <w:t xml:space="preserve">. </w:t>
      </w:r>
    </w:p>
    <w:p w14:paraId="565B8B7B" w14:textId="7817023E" w:rsidR="00920DEA" w:rsidRPr="007B2402" w:rsidRDefault="00920DEA" w:rsidP="005B1590">
      <w:pPr>
        <w:pStyle w:val="Textonotapie"/>
        <w:spacing w:after="80"/>
        <w:rPr>
          <w:szCs w:val="16"/>
          <w:lang w:val="en-US"/>
        </w:rPr>
      </w:pPr>
      <w:r w:rsidRPr="007B2402">
        <w:rPr>
          <w:szCs w:val="16"/>
          <w:lang w:val="en-US"/>
        </w:rPr>
        <w:t xml:space="preserve">5. </w:t>
      </w:r>
      <w:r w:rsidRPr="007B2402">
        <w:rPr>
          <w:spacing w:val="-3"/>
          <w:szCs w:val="16"/>
          <w:lang w:val="en-US"/>
        </w:rPr>
        <w:t>Criminal Proceeding shall be public, except insofar as may be necessary to protect the interests of justice</w:t>
      </w:r>
      <w:r w:rsidRPr="007B2402">
        <w:rPr>
          <w:szCs w:val="16"/>
          <w:lang w:val="en-US"/>
        </w:rPr>
        <w:t>.”</w:t>
      </w:r>
    </w:p>
  </w:footnote>
  <w:footnote w:id="140">
    <w:p w14:paraId="4D7F3A66" w14:textId="0B574199" w:rsidR="00920DEA" w:rsidRPr="007B2402" w:rsidRDefault="00920DEA" w:rsidP="00B34A75">
      <w:pPr>
        <w:pStyle w:val="Textonotapie"/>
        <w:rPr>
          <w:szCs w:val="16"/>
          <w:lang w:val="en-US"/>
        </w:rPr>
      </w:pPr>
      <w:r w:rsidRPr="007B2402">
        <w:rPr>
          <w:rStyle w:val="Refdenotaalpie"/>
          <w:rFonts w:ascii="Verdana" w:hAnsi="Verdana"/>
          <w:szCs w:val="16"/>
          <w:lang w:val="en-US"/>
        </w:rPr>
        <w:footnoteRef/>
      </w:r>
      <w:r w:rsidRPr="007B2402">
        <w:rPr>
          <w:szCs w:val="16"/>
          <w:lang w:val="en-US"/>
        </w:rPr>
        <w:t xml:space="preserve"> Article 25. Judicial Protection. “1. </w:t>
      </w:r>
      <w:r w:rsidRPr="007B2402">
        <w:rPr>
          <w:spacing w:val="-3"/>
          <w:szCs w:val="16"/>
          <w:lang w:val="en-US"/>
        </w:rPr>
        <w:t>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r w:rsidRPr="007B2402">
        <w:rPr>
          <w:szCs w:val="16"/>
          <w:lang w:val="en-US"/>
        </w:rPr>
        <w:t xml:space="preserve">. </w:t>
      </w:r>
    </w:p>
    <w:p w14:paraId="1102D28A" w14:textId="3EDC6F93" w:rsidR="00920DEA" w:rsidRPr="007B2402" w:rsidRDefault="00920DEA" w:rsidP="00BF1A22">
      <w:pPr>
        <w:tabs>
          <w:tab w:val="left" w:pos="480"/>
          <w:tab w:val="left" w:pos="1080"/>
          <w:tab w:val="left" w:pos="1680"/>
          <w:tab w:val="left" w:pos="5400"/>
        </w:tabs>
        <w:suppressAutoHyphens/>
        <w:spacing w:after="80" w:line="240" w:lineRule="auto"/>
        <w:jc w:val="both"/>
        <w:rPr>
          <w:spacing w:val="-3"/>
          <w:sz w:val="16"/>
          <w:szCs w:val="16"/>
          <w:lang w:val="en-US"/>
        </w:rPr>
      </w:pPr>
      <w:r w:rsidRPr="007B2402">
        <w:rPr>
          <w:sz w:val="16"/>
          <w:szCs w:val="16"/>
          <w:lang w:val="en-US"/>
        </w:rPr>
        <w:t xml:space="preserve">2. </w:t>
      </w:r>
      <w:r w:rsidRPr="007B2402">
        <w:rPr>
          <w:spacing w:val="-3"/>
          <w:sz w:val="16"/>
          <w:szCs w:val="16"/>
          <w:lang w:val="en-US"/>
        </w:rPr>
        <w:t>The States Parties undertake: a. to ensure that any person claiming such remedy shall have his rights determined by the competent authority provided for by the legal system of the state; b. to develop the possibilities of judicial remedy; and c. to ensure that the competent authorities shall enforce such remedies when granted.”</w:t>
      </w:r>
    </w:p>
  </w:footnote>
  <w:footnote w:id="141">
    <w:p w14:paraId="3453BE57" w14:textId="2A6A1B77"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Article 1. Obligation to Respect Rights. “1. </w:t>
      </w:r>
      <w:r w:rsidRPr="007B2402">
        <w:rPr>
          <w:spacing w:val="-3"/>
          <w:szCs w:val="16"/>
          <w:lang w:val="en-US"/>
        </w:rPr>
        <w:t>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r w:rsidRPr="007B2402">
        <w:rPr>
          <w:szCs w:val="16"/>
          <w:lang w:val="en-US"/>
        </w:rPr>
        <w:t>”</w:t>
      </w:r>
    </w:p>
  </w:footnote>
  <w:footnote w:id="142">
    <w:p w14:paraId="0BB9F104" w14:textId="3CF4A778"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Article 2. Domestic Legal Effects. “</w:t>
      </w:r>
      <w:r w:rsidRPr="007B2402">
        <w:rPr>
          <w:spacing w:val="-3"/>
          <w:szCs w:val="16"/>
          <w:lang w:val="en-US"/>
        </w:rPr>
        <w:t>Where the exercise of any of the rights or freedoms referred to in Article 1 is not already ensured by legislative or other provisions, the States Parties undertake to adopt, in accordance with their constitutional processes and the provisions of this Convention, such legislative or other measures as may be necessary to give effect to those rights or freedoms</w:t>
      </w:r>
      <w:r w:rsidRPr="007B2402">
        <w:rPr>
          <w:szCs w:val="16"/>
          <w:lang w:val="en-US"/>
        </w:rPr>
        <w:t>.”</w:t>
      </w:r>
    </w:p>
  </w:footnote>
  <w:footnote w:id="143">
    <w:p w14:paraId="775FDF05" w14:textId="11D6948A"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Article 1. “</w:t>
      </w:r>
      <w:r w:rsidRPr="007B2402">
        <w:rPr>
          <w:rFonts w:eastAsia="Times New Roman" w:cs="Tahoma"/>
          <w:bCs/>
          <w:szCs w:val="16"/>
          <w:lang w:val="en-US"/>
        </w:rPr>
        <w:t>The State Parties undertake to prevent and punish torture in accordance with the terms of this Convention</w:t>
      </w:r>
      <w:r w:rsidRPr="007B2402">
        <w:rPr>
          <w:szCs w:val="16"/>
          <w:lang w:val="en-US"/>
        </w:rPr>
        <w:t>.”</w:t>
      </w:r>
    </w:p>
  </w:footnote>
  <w:footnote w:id="144">
    <w:p w14:paraId="494975CD" w14:textId="77777777" w:rsidR="00920DEA" w:rsidRPr="007B2402" w:rsidRDefault="00920DEA" w:rsidP="00B34A75">
      <w:pPr>
        <w:spacing w:after="0" w:line="240" w:lineRule="auto"/>
        <w:ind w:right="75"/>
        <w:rPr>
          <w:rFonts w:eastAsia="Times New Roman" w:cs="Arial"/>
          <w:bCs/>
          <w:sz w:val="16"/>
          <w:szCs w:val="16"/>
          <w:lang w:val="en-US"/>
        </w:rPr>
      </w:pPr>
      <w:r w:rsidRPr="007B2402">
        <w:rPr>
          <w:rStyle w:val="Refdenotaalpie"/>
          <w:rFonts w:ascii="Verdana" w:hAnsi="Verdana"/>
          <w:sz w:val="16"/>
          <w:szCs w:val="16"/>
          <w:lang w:val="en-US"/>
        </w:rPr>
        <w:footnoteRef/>
      </w:r>
      <w:r w:rsidRPr="007B2402">
        <w:rPr>
          <w:sz w:val="16"/>
          <w:szCs w:val="16"/>
          <w:lang w:val="en-US"/>
        </w:rPr>
        <w:t xml:space="preserve"> Article 6. “</w:t>
      </w:r>
      <w:r w:rsidRPr="007B2402">
        <w:rPr>
          <w:rFonts w:eastAsia="Times New Roman" w:cs="Tahoma"/>
          <w:bCs/>
          <w:sz w:val="16"/>
          <w:szCs w:val="16"/>
          <w:lang w:val="en-US"/>
        </w:rPr>
        <w:t>In accordance with the terms of Article 1, the States Parties shall take effective measures to prevent and punish torture within their jurisdiction.</w:t>
      </w:r>
    </w:p>
    <w:p w14:paraId="22390A06" w14:textId="77777777" w:rsidR="00920DEA" w:rsidRPr="007B2402" w:rsidRDefault="00920DEA" w:rsidP="00B34A75">
      <w:pPr>
        <w:spacing w:after="0" w:line="240" w:lineRule="auto"/>
        <w:ind w:right="75"/>
        <w:rPr>
          <w:rFonts w:eastAsia="Times New Roman" w:cs="Arial"/>
          <w:bCs/>
          <w:sz w:val="16"/>
          <w:szCs w:val="16"/>
          <w:lang w:val="en-US"/>
        </w:rPr>
      </w:pPr>
      <w:r w:rsidRPr="007B2402">
        <w:rPr>
          <w:rFonts w:eastAsia="Times New Roman" w:cs="Tahoma"/>
          <w:bCs/>
          <w:sz w:val="16"/>
          <w:szCs w:val="16"/>
          <w:lang w:val="en-US"/>
        </w:rPr>
        <w:t>The States Parties shall ensure that all acts of torture and attempts to commit torture are offenses under their criminal law and shall make such acts punishable by severe penalties that take into account their serious nature.</w:t>
      </w:r>
    </w:p>
    <w:p w14:paraId="34C37AC7" w14:textId="25FC14DC" w:rsidR="00920DEA" w:rsidRPr="007B2402" w:rsidRDefault="00920DEA" w:rsidP="006C4C2D">
      <w:pPr>
        <w:spacing w:after="80" w:line="240" w:lineRule="auto"/>
        <w:ind w:right="75"/>
        <w:rPr>
          <w:rFonts w:eastAsia="Times New Roman" w:cs="Arial"/>
          <w:bCs/>
          <w:sz w:val="16"/>
          <w:szCs w:val="16"/>
          <w:lang w:val="en-US"/>
        </w:rPr>
      </w:pPr>
      <w:r w:rsidRPr="007B2402">
        <w:rPr>
          <w:rFonts w:eastAsia="Times New Roman" w:cs="Tahoma"/>
          <w:bCs/>
          <w:sz w:val="16"/>
          <w:szCs w:val="16"/>
          <w:lang w:val="en-US"/>
        </w:rPr>
        <w:t>The States Parties likewise shall take effective measures to prevent and punish other cruel, inhuman, or degrading treatment or punishment within their jurisdiction.”</w:t>
      </w:r>
    </w:p>
  </w:footnote>
  <w:footnote w:id="145">
    <w:p w14:paraId="6E09EE95" w14:textId="77777777" w:rsidR="00920DEA" w:rsidRPr="007B2402" w:rsidRDefault="00920DEA" w:rsidP="004D347B">
      <w:pPr>
        <w:spacing w:after="0" w:line="240" w:lineRule="auto"/>
        <w:ind w:right="75"/>
        <w:jc w:val="both"/>
        <w:rPr>
          <w:rFonts w:eastAsia="Times New Roman" w:cs="Tahoma"/>
          <w:bCs/>
          <w:sz w:val="16"/>
          <w:szCs w:val="16"/>
          <w:lang w:val="en-US"/>
        </w:rPr>
      </w:pPr>
      <w:r w:rsidRPr="007B2402">
        <w:rPr>
          <w:rStyle w:val="Refdenotaalpie"/>
          <w:rFonts w:ascii="Verdana" w:hAnsi="Verdana"/>
          <w:sz w:val="16"/>
          <w:szCs w:val="16"/>
          <w:lang w:val="en-US"/>
        </w:rPr>
        <w:footnoteRef/>
      </w:r>
      <w:r w:rsidRPr="007B2402">
        <w:rPr>
          <w:sz w:val="16"/>
          <w:szCs w:val="16"/>
          <w:lang w:val="en-US"/>
        </w:rPr>
        <w:t xml:space="preserve"> Article 8. “</w:t>
      </w:r>
      <w:r w:rsidRPr="007B2402">
        <w:rPr>
          <w:rFonts w:eastAsia="Times New Roman" w:cs="Tahoma"/>
          <w:bCs/>
          <w:sz w:val="16"/>
          <w:szCs w:val="16"/>
          <w:lang w:val="en-US"/>
        </w:rPr>
        <w:t xml:space="preserve">The States Parties shall guarantee that any person making an accusation of having been subjected to torture within their jurisdiction shall have the right to an impartial examination of his case. </w:t>
      </w:r>
    </w:p>
    <w:p w14:paraId="352AE0AC" w14:textId="3737AD8E" w:rsidR="00920DEA" w:rsidRPr="007B2402" w:rsidRDefault="00920DEA" w:rsidP="004D347B">
      <w:pPr>
        <w:spacing w:after="0" w:line="240" w:lineRule="auto"/>
        <w:ind w:right="75"/>
        <w:jc w:val="both"/>
        <w:rPr>
          <w:rFonts w:eastAsia="Times New Roman" w:cs="Arial"/>
          <w:bCs/>
          <w:sz w:val="16"/>
          <w:szCs w:val="16"/>
          <w:lang w:val="en-US"/>
        </w:rPr>
      </w:pPr>
      <w:r w:rsidRPr="007B2402">
        <w:rPr>
          <w:rFonts w:eastAsia="Times New Roman" w:cs="Tahoma"/>
          <w:bCs/>
          <w:sz w:val="16"/>
          <w:szCs w:val="16"/>
          <w:lang w:val="en-US"/>
        </w:rPr>
        <w:t xml:space="preserve">Likewise, if there is an accusation or well-grounded reason to believe that an act of torture has been committed within their jurisdiction, the States Parties shall guarantee that their respective authorities will proceed properly and immediately to conduct an investigation into the case and to initiate, whenever appropriate, the corresponding criminal process. </w:t>
      </w:r>
    </w:p>
    <w:p w14:paraId="4F03F483" w14:textId="288CFCC2" w:rsidR="00920DEA" w:rsidRPr="007B2402" w:rsidRDefault="00920DEA" w:rsidP="004D347B">
      <w:pPr>
        <w:spacing w:after="80" w:line="240" w:lineRule="auto"/>
        <w:ind w:right="75"/>
        <w:jc w:val="both"/>
        <w:rPr>
          <w:rFonts w:eastAsia="Times New Roman" w:cs="Arial"/>
          <w:bCs/>
          <w:sz w:val="16"/>
          <w:szCs w:val="16"/>
          <w:lang w:val="en-US"/>
        </w:rPr>
      </w:pPr>
      <w:r w:rsidRPr="007B2402">
        <w:rPr>
          <w:rFonts w:eastAsia="Times New Roman" w:cs="Tahoma"/>
          <w:bCs/>
          <w:sz w:val="16"/>
          <w:szCs w:val="16"/>
          <w:lang w:val="en-US"/>
        </w:rPr>
        <w:t>After all the domestic legal procedures of the respective State and the corresponding appeals have been exhausted, the case may be submitted to the international fora whose competence has been recognized by that State.”</w:t>
      </w:r>
    </w:p>
  </w:footnote>
  <w:footnote w:id="146">
    <w:p w14:paraId="65C82DAA" w14:textId="45F8E5B6" w:rsidR="00920DEA" w:rsidRPr="007B2402" w:rsidRDefault="00920DEA" w:rsidP="005B1590">
      <w:pPr>
        <w:pStyle w:val="Textonotapie"/>
        <w:spacing w:after="80"/>
        <w:rPr>
          <w:bCs/>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w:t>
      </w:r>
      <w:r w:rsidRPr="007B2402">
        <w:rPr>
          <w:bCs/>
          <w:i/>
          <w:szCs w:val="16"/>
          <w:lang w:val="en-US"/>
        </w:rPr>
        <w:t xml:space="preserve">Case of Almonacid Arellano et al. v. Chile. Preliminary objections, merits, reparations and costs. </w:t>
      </w:r>
      <w:r w:rsidRPr="007B2402">
        <w:rPr>
          <w:bCs/>
          <w:szCs w:val="16"/>
          <w:lang w:val="en-US"/>
        </w:rPr>
        <w:t xml:space="preserve">Judgment of September 26, 2006. Series C No. 154, paras. 94 and </w:t>
      </w:r>
      <w:r w:rsidRPr="007B2402">
        <w:rPr>
          <w:bCs/>
          <w:i/>
          <w:iCs/>
          <w:szCs w:val="16"/>
          <w:lang w:val="en-US"/>
        </w:rPr>
        <w:t>ff</w:t>
      </w:r>
      <w:r w:rsidRPr="007B2402">
        <w:rPr>
          <w:bCs/>
          <w:szCs w:val="16"/>
          <w:lang w:val="en-US"/>
        </w:rPr>
        <w:t xml:space="preserve">: </w:t>
      </w:r>
    </w:p>
    <w:p w14:paraId="0BC21786" w14:textId="1F74D3F5" w:rsidR="00920DEA" w:rsidRPr="007B2402" w:rsidRDefault="00920DEA" w:rsidP="004D0AEC">
      <w:pPr>
        <w:pStyle w:val="Textonotapie"/>
        <w:spacing w:after="80"/>
        <w:ind w:left="284" w:right="587"/>
        <w:rPr>
          <w:rFonts w:cs="Arial"/>
          <w:szCs w:val="16"/>
          <w:lang w:val="en-US"/>
        </w:rPr>
      </w:pPr>
      <w:r w:rsidRPr="007B2402">
        <w:rPr>
          <w:szCs w:val="16"/>
          <w:lang w:val="en-US"/>
        </w:rPr>
        <w:t xml:space="preserve">94. </w:t>
      </w:r>
      <w:r w:rsidRPr="007B2402">
        <w:rPr>
          <w:rFonts w:cs="Arial"/>
          <w:szCs w:val="16"/>
          <w:lang w:val="en-US"/>
        </w:rPr>
        <w:t xml:space="preserve">The development of the concept of a “crime against humanity” started at the beginning of the last century. In the preamble to The Hague Convention on Laws and Customs of War on Land (1907) (Convention IV), the High Contracting Parties established that “the inhabitants and the belligerents remain under the protection and the rule of the principles of the law of Nations as they result from the usages established among civilized peoples, from the laws of humanity, and the dictates of the public conscience.” Likewise, the term “crimes against humanity and civilization” was used by the Governments of France, the United Kingdom and Russia on May 28, 1915, to denounce the massacre of Armenians in Turkey. </w:t>
      </w:r>
    </w:p>
    <w:p w14:paraId="707E0777" w14:textId="5BA5E002" w:rsidR="00920DEA" w:rsidRPr="007B2402" w:rsidRDefault="00920DEA" w:rsidP="004D0AEC">
      <w:pPr>
        <w:spacing w:after="80" w:line="240" w:lineRule="auto"/>
        <w:ind w:left="284" w:right="584"/>
        <w:jc w:val="both"/>
        <w:rPr>
          <w:rFonts w:cs="Arial"/>
          <w:sz w:val="16"/>
          <w:szCs w:val="16"/>
          <w:lang w:val="en-US"/>
        </w:rPr>
      </w:pPr>
      <w:r w:rsidRPr="007B2402">
        <w:rPr>
          <w:sz w:val="16"/>
          <w:szCs w:val="16"/>
          <w:lang w:val="en-US"/>
        </w:rPr>
        <w:t xml:space="preserve">95. </w:t>
      </w:r>
      <w:r w:rsidRPr="007B2402">
        <w:rPr>
          <w:rFonts w:cs="Arial"/>
          <w:sz w:val="16"/>
          <w:szCs w:val="16"/>
          <w:lang w:val="en-US"/>
        </w:rPr>
        <w:t xml:space="preserve">Murder as a crime against humanity was included for the first time in Article 6(c) of the Charter of the International Military Tribunal of Nuremberg which was annexed to the Agreement to establish an International Military Tribunal for the trial and punishment of the main war criminals of the European Axis countries, signed in London on August 8, 1945 (the “London Charter”). Shortly afterwards, on December 20, 1945, the Control Council Law No. 10 also considered murder as a crime against humanity in its Article II(c). Similarly, the crime of murder was included in Article 5(c) of the Charter of the International Military Tribunal for the trial of the main war criminals of the Far East (Tokyo Charter), adopted on January 19, 1946. </w:t>
      </w:r>
    </w:p>
    <w:p w14:paraId="77B77BEE" w14:textId="5B7090CB" w:rsidR="00920DEA" w:rsidRPr="007B2402" w:rsidRDefault="00920DEA" w:rsidP="004D0AEC">
      <w:pPr>
        <w:tabs>
          <w:tab w:val="left" w:pos="7290"/>
        </w:tabs>
        <w:spacing w:after="80" w:line="240" w:lineRule="auto"/>
        <w:ind w:left="284" w:right="584"/>
        <w:jc w:val="both"/>
        <w:rPr>
          <w:rFonts w:cs="Arial"/>
          <w:sz w:val="16"/>
          <w:szCs w:val="16"/>
          <w:lang w:val="en-US"/>
        </w:rPr>
      </w:pPr>
      <w:r w:rsidRPr="007B2402">
        <w:rPr>
          <w:sz w:val="16"/>
          <w:szCs w:val="16"/>
          <w:lang w:val="en-US"/>
        </w:rPr>
        <w:t xml:space="preserve">96. </w:t>
      </w:r>
      <w:r w:rsidRPr="007B2402">
        <w:rPr>
          <w:rFonts w:cs="Arial"/>
          <w:sz w:val="16"/>
          <w:szCs w:val="16"/>
          <w:lang w:val="en-US"/>
        </w:rPr>
        <w:t>Furthermore, the Court acknowledges that the Nuremberg Charter played an important role in establishing the elements that characterize a crime as a “crime against humanity.” This Charter provided the first articulation of the elements for such a crime. The original conception of such elements remained basically unaltered as of the date of the death of Mr. Almonacid Arellano, with the exception that crimes against humanity may be committed during both times of peaceful and times of war. On that basis, the Court acknowledges that crimes against humanity include the perpetration of inhuman acts, such as murder, committed in a context of widespread or systematic attacks against civilians. A single illegal act such as those mentioned above, committed within the described background, would suffice for a crime against humanity to arise. In the same sense, the International Tribunal for the Former Yugoslavia rendered judgment in the Case of Prosecutor v. Dusko Tadic, when considering that “a single act committed by a perpetrator within a context of a widespread or systematic attack against the civil population brings about individual criminal liability, and it is not necessary for the perpetrator to commit numerous offenses in order to be considered responsible.” […].</w:t>
      </w:r>
    </w:p>
    <w:p w14:paraId="1D7B11C4" w14:textId="3B4D20A9" w:rsidR="00920DEA" w:rsidRPr="007B2402" w:rsidRDefault="00920DEA" w:rsidP="004D0AEC">
      <w:pPr>
        <w:pStyle w:val="Textonotapie"/>
        <w:spacing w:after="80"/>
        <w:ind w:left="284" w:right="587"/>
        <w:rPr>
          <w:rFonts w:cs="Arial"/>
          <w:szCs w:val="16"/>
          <w:lang w:val="en-US"/>
        </w:rPr>
      </w:pPr>
      <w:r w:rsidRPr="007B2402">
        <w:rPr>
          <w:szCs w:val="16"/>
          <w:lang w:val="en-US"/>
        </w:rPr>
        <w:t xml:space="preserve">97. </w:t>
      </w:r>
      <w:r w:rsidRPr="007B2402">
        <w:rPr>
          <w:rFonts w:cs="Arial"/>
          <w:szCs w:val="16"/>
          <w:lang w:val="en-US"/>
        </w:rPr>
        <w:t>On the other hand, the International Military Tribunal for the trial of the Major War Criminals (hereinafter the “Nuremberg Tribunal”), which had jurisdiction to hear the cases of crimes included in the London Charter, stated that the Nuremberg Charter “is the expression of international law existing at the moment of its creation, and to such extent, is in itself a contribution to international law.” In this way, it provided recognition of the existence of an international custom, as an expression of international law, which prohibited such crimes</w:t>
      </w:r>
      <w:r w:rsidRPr="007B2402">
        <w:rPr>
          <w:szCs w:val="16"/>
          <w:lang w:val="en-US"/>
        </w:rPr>
        <w:t xml:space="preserve">. </w:t>
      </w:r>
    </w:p>
    <w:p w14:paraId="15653DCF" w14:textId="7589EC3D" w:rsidR="00920DEA" w:rsidRPr="007B2402" w:rsidRDefault="00920DEA" w:rsidP="005B1590">
      <w:pPr>
        <w:pStyle w:val="Textonotapie"/>
        <w:spacing w:after="80"/>
        <w:ind w:left="284" w:right="587"/>
        <w:rPr>
          <w:szCs w:val="16"/>
          <w:lang w:val="en-US"/>
        </w:rPr>
      </w:pPr>
      <w:r w:rsidRPr="007B2402">
        <w:rPr>
          <w:szCs w:val="16"/>
          <w:lang w:val="en-US"/>
        </w:rPr>
        <w:t xml:space="preserve">98. </w:t>
      </w:r>
      <w:r w:rsidRPr="007B2402">
        <w:rPr>
          <w:rFonts w:cs="Arial"/>
          <w:szCs w:val="16"/>
          <w:lang w:val="en-US"/>
        </w:rPr>
        <w:t>The prohibition of crimes against humanity, including murder, was further corroborated by the United Nations. On December 11, 1946, the General Assembly confirmed “the principles of international law recognized by the Charter of the Nuremberg Tribunal and the judgments of said Tribunal.” Furthermore, in 1947, the General Assembly entrusted the International Law Commission with “formulating the international law principles recognized by the Charter and by the judgments of the Nuremberg Tribunal.” These principles were adopted in 1950. Among them, Principle VI(c) classifies murder as a crime against humanity. Likewise, the Court points out that Article 3 common to the Geneva Conventions of 1949, to which Chile has been a party since 1950, also prohibits “homicide in all its forms” of persons that do not directly take part in the hostilities.</w:t>
      </w:r>
    </w:p>
  </w:footnote>
  <w:footnote w:id="147">
    <w:p w14:paraId="6800EB1D" w14:textId="535B587E" w:rsidR="00920DEA" w:rsidRPr="007B2402" w:rsidRDefault="00920DEA" w:rsidP="005B1590">
      <w:pPr>
        <w:pStyle w:val="Textonotapie"/>
        <w:spacing w:after="80"/>
        <w:rPr>
          <w:bCs/>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bCs/>
          <w:i/>
          <w:szCs w:val="16"/>
          <w:lang w:val="en-US"/>
        </w:rPr>
        <w:t>Case of Almonacid Arellano et al. v. Chile</w:t>
      </w:r>
      <w:r w:rsidRPr="007B2402">
        <w:rPr>
          <w:bCs/>
          <w:szCs w:val="16"/>
          <w:lang w:val="en-US"/>
        </w:rPr>
        <w:t xml:space="preserve">, para. 99. </w:t>
      </w:r>
    </w:p>
  </w:footnote>
  <w:footnote w:id="148">
    <w:p w14:paraId="0648AB3A" w14:textId="126838BB"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w:t>
      </w:r>
      <w:r w:rsidRPr="007B2402">
        <w:rPr>
          <w:bCs/>
          <w:i/>
          <w:szCs w:val="16"/>
          <w:lang w:val="en-US"/>
        </w:rPr>
        <w:t>Case of Goiburú et al. v. Paraguay. Merits, reparations and costs</w:t>
      </w:r>
      <w:r w:rsidRPr="007B2402">
        <w:rPr>
          <w:bCs/>
          <w:szCs w:val="16"/>
          <w:lang w:val="en-US"/>
        </w:rPr>
        <w:t>. Judgment of Septmber 22, 2006. Series C No. 153, para. 82 and 128.</w:t>
      </w:r>
    </w:p>
  </w:footnote>
  <w:footnote w:id="149">
    <w:p w14:paraId="2CDD94EE" w14:textId="12658D09" w:rsidR="00920DEA" w:rsidRPr="007B2402" w:rsidRDefault="00920DEA" w:rsidP="005B1590">
      <w:pPr>
        <w:pStyle w:val="Textonotapie"/>
        <w:spacing w:after="80"/>
        <w:rPr>
          <w:szCs w:val="16"/>
          <w:lang w:val="es-CR"/>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w:t>
      </w:r>
      <w:r w:rsidRPr="007B2402">
        <w:rPr>
          <w:bCs/>
          <w:i/>
          <w:szCs w:val="16"/>
          <w:lang w:val="en-US"/>
        </w:rPr>
        <w:t>Case of Gelman v. Uruguay. Merits and Reparaciones</w:t>
      </w:r>
      <w:r w:rsidRPr="007B2402">
        <w:rPr>
          <w:bCs/>
          <w:szCs w:val="16"/>
          <w:lang w:val="en-US"/>
        </w:rPr>
        <w:t xml:space="preserve">. Judgment of February 24, 2011. </w:t>
      </w:r>
      <w:r w:rsidRPr="007B2402">
        <w:rPr>
          <w:bCs/>
          <w:szCs w:val="16"/>
          <w:lang w:val="es-CR"/>
        </w:rPr>
        <w:t>Series C No. 221, para. 99.</w:t>
      </w:r>
    </w:p>
  </w:footnote>
  <w:footnote w:id="150">
    <w:p w14:paraId="4BA74587" w14:textId="1AC911C4"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s-CR"/>
        </w:rPr>
        <w:t xml:space="preserve"> </w:t>
      </w:r>
      <w:r w:rsidRPr="007B2402">
        <w:rPr>
          <w:i/>
          <w:szCs w:val="16"/>
          <w:lang w:val="es-CR"/>
        </w:rPr>
        <w:t xml:space="preserve">Cf. Case of La Cantuta v. Peru. </w:t>
      </w:r>
      <w:r w:rsidRPr="007B2402">
        <w:rPr>
          <w:i/>
          <w:szCs w:val="16"/>
          <w:lang w:val="en-US"/>
        </w:rPr>
        <w:t>Merits, reparations and costs</w:t>
      </w:r>
      <w:r w:rsidRPr="007B2402">
        <w:rPr>
          <w:szCs w:val="16"/>
          <w:lang w:val="en-US"/>
        </w:rPr>
        <w:t>. Judgment of November 29, 2006. Series C No. 162, para. 225.</w:t>
      </w:r>
    </w:p>
  </w:footnote>
  <w:footnote w:id="151">
    <w:p w14:paraId="6B23286D" w14:textId="1FEA6E20"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w:t>
      </w:r>
      <w:r w:rsidRPr="007B2402">
        <w:rPr>
          <w:bCs/>
          <w:i/>
          <w:szCs w:val="16"/>
          <w:lang w:val="en-US"/>
        </w:rPr>
        <w:t>Case of the Miguel Castro Castro Prison  v. Peru. Merits, reparations and costs</w:t>
      </w:r>
      <w:r w:rsidRPr="007B2402">
        <w:rPr>
          <w:bCs/>
          <w:szCs w:val="16"/>
          <w:lang w:val="en-US"/>
        </w:rPr>
        <w:t>. Judgment of Novembr 25, 2006. Series C No. 160, para. 404.</w:t>
      </w:r>
    </w:p>
  </w:footnote>
  <w:footnote w:id="152">
    <w:p w14:paraId="3ED2DC60" w14:textId="311FF532"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w:t>
      </w:r>
      <w:r w:rsidRPr="007B2402">
        <w:rPr>
          <w:bCs/>
          <w:i/>
          <w:szCs w:val="16"/>
          <w:lang w:val="en-US"/>
        </w:rPr>
        <w:t>Case of the Massacres of El Mozote and neighboring placesv. El Salvador</w:t>
      </w:r>
      <w:r w:rsidRPr="007B2402">
        <w:rPr>
          <w:bCs/>
          <w:szCs w:val="16"/>
          <w:lang w:val="en-US"/>
        </w:rPr>
        <w:t xml:space="preserve">. </w:t>
      </w:r>
      <w:r w:rsidRPr="007B2402">
        <w:rPr>
          <w:bCs/>
          <w:i/>
          <w:szCs w:val="16"/>
          <w:lang w:val="en-US"/>
        </w:rPr>
        <w:t>Merits, reparations and costs</w:t>
      </w:r>
      <w:r w:rsidRPr="007B2402">
        <w:rPr>
          <w:bCs/>
          <w:szCs w:val="16"/>
          <w:lang w:val="en-US"/>
        </w:rPr>
        <w:t>. Judgment of October 25, 2012. Series C No. 252, para. 286.</w:t>
      </w:r>
    </w:p>
  </w:footnote>
  <w:footnote w:id="153">
    <w:p w14:paraId="3A5D359A" w14:textId="13CD9462"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w:t>
      </w:r>
      <w:r w:rsidRPr="007B2402">
        <w:rPr>
          <w:bCs/>
          <w:i/>
          <w:szCs w:val="16"/>
          <w:lang w:val="en-US"/>
        </w:rPr>
        <w:t xml:space="preserve">Case of the Hacienda Brasil Verde Workers v. Brazil, </w:t>
      </w:r>
      <w:r w:rsidRPr="007B2402">
        <w:rPr>
          <w:bCs/>
          <w:szCs w:val="16"/>
          <w:lang w:val="en-US"/>
        </w:rPr>
        <w:t>paras. 248 to 306.</w:t>
      </w:r>
    </w:p>
  </w:footnote>
  <w:footnote w:id="154">
    <w:p w14:paraId="24DE2FE9" w14:textId="789EBE03" w:rsidR="00920DEA" w:rsidRPr="007B2402" w:rsidRDefault="00920DEA" w:rsidP="005B1590">
      <w:pPr>
        <w:pStyle w:val="Textonotapie"/>
        <w:spacing w:after="80"/>
        <w:rPr>
          <w:szCs w:val="16"/>
          <w:lang w:val="en-US"/>
        </w:rPr>
      </w:pPr>
      <w:r w:rsidRPr="007B2402">
        <w:rPr>
          <w:rStyle w:val="Refdenotaalpie"/>
          <w:rFonts w:ascii="Verdana" w:eastAsia="Calibri" w:hAnsi="Verdana"/>
          <w:szCs w:val="16"/>
          <w:lang w:val="en-US"/>
        </w:rPr>
        <w:footnoteRef/>
      </w:r>
      <w:r w:rsidRPr="007B2402">
        <w:rPr>
          <w:szCs w:val="16"/>
          <w:lang w:val="en-US"/>
        </w:rPr>
        <w:t xml:space="preserve"> </w:t>
      </w:r>
      <w:r w:rsidRPr="007B2402">
        <w:rPr>
          <w:i/>
          <w:szCs w:val="16"/>
          <w:lang w:val="en-US"/>
        </w:rPr>
        <w:t xml:space="preserve">Cf. </w:t>
      </w:r>
      <w:r w:rsidRPr="007B2402">
        <w:rPr>
          <w:rFonts w:cs="Arial"/>
          <w:i/>
          <w:szCs w:val="16"/>
          <w:lang w:val="en-US"/>
        </w:rPr>
        <w:t xml:space="preserve">Case of Manuel Cepeda Vargas v. Colombia. </w:t>
      </w:r>
      <w:r w:rsidRPr="007B2402">
        <w:rPr>
          <w:rFonts w:cs="Arial"/>
          <w:szCs w:val="16"/>
          <w:lang w:val="en-US"/>
        </w:rPr>
        <w:t>Preliminary objections, merits, reparations and costs. Judgment of May 26, 2010. Series C No. 213</w:t>
      </w:r>
      <w:r w:rsidRPr="007B2402">
        <w:rPr>
          <w:rFonts w:cs="Arial"/>
          <w:i/>
          <w:szCs w:val="16"/>
          <w:lang w:val="en-US"/>
        </w:rPr>
        <w:t xml:space="preserve">, </w:t>
      </w:r>
      <w:r w:rsidRPr="007B2402">
        <w:rPr>
          <w:rFonts w:cs="Arial"/>
          <w:szCs w:val="16"/>
          <w:lang w:val="en-US"/>
        </w:rPr>
        <w:t xml:space="preserve">para. 42; </w:t>
      </w:r>
      <w:r w:rsidRPr="007B2402">
        <w:rPr>
          <w:rFonts w:cs="Arial"/>
          <w:i/>
          <w:szCs w:val="16"/>
          <w:lang w:val="en-US"/>
        </w:rPr>
        <w:t>Case of Gudiel Álvarez et al. ("Diario Militar") v. Guatemala.</w:t>
      </w:r>
      <w:r w:rsidRPr="007B2402">
        <w:rPr>
          <w:rFonts w:cs="Arial"/>
          <w:szCs w:val="16"/>
          <w:lang w:val="en-US"/>
        </w:rPr>
        <w:t xml:space="preserve"> Merits Reparations and costs. Judgment of November 20, 2012. Series C No. 253, para. 215.</w:t>
      </w:r>
    </w:p>
  </w:footnote>
  <w:footnote w:id="155">
    <w:p w14:paraId="5BF8AA26" w14:textId="7DB48820" w:rsidR="00920DEA" w:rsidRPr="007B2402" w:rsidRDefault="00920DEA" w:rsidP="005B1590">
      <w:pPr>
        <w:pStyle w:val="Textonotapie"/>
        <w:spacing w:after="80"/>
        <w:rPr>
          <w:lang w:val="fr-FR"/>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UN. General Assembly. </w:t>
      </w:r>
      <w:r w:rsidRPr="007B2402">
        <w:rPr>
          <w:i/>
          <w:szCs w:val="16"/>
          <w:lang w:val="en-US"/>
        </w:rPr>
        <w:t>Convention on the Non-Applicability of Statutory Limitations to War Crimes and Crimes against Humanity</w:t>
      </w:r>
      <w:r w:rsidRPr="007B2402">
        <w:rPr>
          <w:szCs w:val="16"/>
          <w:lang w:val="en-US"/>
        </w:rPr>
        <w:t xml:space="preserve">. </w:t>
      </w:r>
      <w:r w:rsidRPr="007B2402">
        <w:rPr>
          <w:szCs w:val="16"/>
          <w:lang w:val="fr-FR"/>
        </w:rPr>
        <w:t xml:space="preserve">Resolution 2391 (XXIII), November 26, 1968. Disponible </w:t>
      </w:r>
      <w:r w:rsidRPr="007B2402">
        <w:rPr>
          <w:rStyle w:val="Hipervnculo"/>
          <w:lang w:val="fr-FR"/>
        </w:rPr>
        <w:t xml:space="preserve">   </w:t>
      </w:r>
      <w:hyperlink r:id="rId4" w:history="1">
        <w:r w:rsidRPr="007B2402">
          <w:rPr>
            <w:rStyle w:val="Hipervnculo"/>
            <w:lang w:val="fr-FR"/>
          </w:rPr>
          <w:t>https://undocs.org/A/RES/2391(XXIII)</w:t>
        </w:r>
      </w:hyperlink>
      <w:r w:rsidRPr="007B2402">
        <w:rPr>
          <w:lang w:val="fr-FR"/>
        </w:rPr>
        <w:t>.</w:t>
      </w:r>
    </w:p>
  </w:footnote>
  <w:footnote w:id="156">
    <w:p w14:paraId="63530E7B" w14:textId="16B3CF58" w:rsidR="00920DEA" w:rsidRPr="007B2402" w:rsidRDefault="00920DEA" w:rsidP="005B1590">
      <w:pPr>
        <w:pStyle w:val="Textonotapie"/>
        <w:spacing w:after="80"/>
        <w:rPr>
          <w:lang w:val="en-US"/>
        </w:rPr>
      </w:pPr>
      <w:r w:rsidRPr="007B2402">
        <w:rPr>
          <w:rStyle w:val="Refdenotaalpie"/>
          <w:rFonts w:ascii="Verdana" w:hAnsi="Verdana"/>
          <w:szCs w:val="16"/>
          <w:lang w:val="en-US"/>
        </w:rPr>
        <w:footnoteRef/>
      </w:r>
      <w:r w:rsidRPr="007B2402">
        <w:rPr>
          <w:szCs w:val="16"/>
          <w:lang w:val="fr-FR"/>
        </w:rPr>
        <w:t xml:space="preserve"> </w:t>
      </w:r>
      <w:r w:rsidRPr="007B2402">
        <w:rPr>
          <w:i/>
          <w:szCs w:val="16"/>
          <w:lang w:val="fr-FR"/>
        </w:rPr>
        <w:t xml:space="preserve">Cf. </w:t>
      </w:r>
      <w:r w:rsidRPr="007B2402">
        <w:rPr>
          <w:szCs w:val="16"/>
          <w:lang w:val="fr-FR"/>
        </w:rPr>
        <w:t xml:space="preserve">UN. </w:t>
      </w:r>
      <w:r w:rsidRPr="007B2402">
        <w:rPr>
          <w:szCs w:val="16"/>
          <w:lang w:val="en-US"/>
        </w:rPr>
        <w:t xml:space="preserve">General Assembly. </w:t>
      </w:r>
      <w:r w:rsidRPr="007B2402">
        <w:rPr>
          <w:i/>
          <w:szCs w:val="16"/>
          <w:lang w:val="en-US"/>
        </w:rPr>
        <w:t>Question of the punishment of war criminals and of persons who have committed crimes against humanity</w:t>
      </w:r>
      <w:r w:rsidRPr="007B2402">
        <w:rPr>
          <w:szCs w:val="16"/>
          <w:lang w:val="en-US"/>
        </w:rPr>
        <w:t xml:space="preserve">, Resolution 2338 (XXII), December 18 1967. Available at </w:t>
      </w:r>
      <w:hyperlink r:id="rId5" w:history="1">
        <w:r w:rsidRPr="007B2402">
          <w:rPr>
            <w:rStyle w:val="Hipervnculo"/>
            <w:lang w:val="en-US"/>
          </w:rPr>
          <w:t>https://undocs.org/en/A/RES/2338(XXII)</w:t>
        </w:r>
      </w:hyperlink>
      <w:r w:rsidRPr="007B2402">
        <w:rPr>
          <w:lang w:val="en-US"/>
        </w:rPr>
        <w:t>.</w:t>
      </w:r>
    </w:p>
  </w:footnote>
  <w:footnote w:id="157">
    <w:p w14:paraId="1BE8E20D" w14:textId="371C18FA" w:rsidR="00920DEA" w:rsidRPr="007B2402" w:rsidRDefault="00920DEA" w:rsidP="005B1590">
      <w:pPr>
        <w:pStyle w:val="Textonotapie"/>
        <w:spacing w:after="80"/>
        <w:rPr>
          <w:rFonts w:cs="Arial"/>
          <w:szCs w:val="16"/>
          <w:lang w:val="en-US"/>
        </w:rPr>
      </w:pPr>
      <w:r w:rsidRPr="007B2402">
        <w:rPr>
          <w:rStyle w:val="Refdenotaalpie"/>
          <w:rFonts w:ascii="Verdana" w:hAnsi="Verdana" w:cs="Arial"/>
          <w:szCs w:val="16"/>
          <w:lang w:val="en-US"/>
        </w:rPr>
        <w:footnoteRef/>
      </w:r>
      <w:r w:rsidRPr="007B2402">
        <w:rPr>
          <w:rFonts w:cs="Arial"/>
          <w:szCs w:val="16"/>
          <w:lang w:val="en-US"/>
        </w:rPr>
        <w:t xml:space="preserve"> See, in this regard, for example: Supreme Court of Justice of the Nation, Argentina: Appeal. Judgment of June 14, 2005, Case of Julio Héctor Simón </w:t>
      </w:r>
      <w:r w:rsidRPr="007B2402">
        <w:rPr>
          <w:rFonts w:cs="Arial"/>
          <w:i/>
          <w:iCs/>
          <w:szCs w:val="16"/>
          <w:lang w:val="en-US"/>
        </w:rPr>
        <w:t>et al.,</w:t>
      </w:r>
      <w:r w:rsidRPr="007B2402">
        <w:rPr>
          <w:rFonts w:cs="Arial"/>
          <w:szCs w:val="16"/>
          <w:lang w:val="en-US"/>
        </w:rPr>
        <w:t xml:space="preserve"> case No. 17,768, </w:t>
      </w:r>
      <w:r w:rsidRPr="007B2402">
        <w:rPr>
          <w:rFonts w:cs="Arial"/>
          <w:i/>
          <w:iCs/>
          <w:szCs w:val="16"/>
          <w:lang w:val="en-US"/>
        </w:rPr>
        <w:t>considerandum</w:t>
      </w:r>
      <w:r w:rsidRPr="007B2402">
        <w:rPr>
          <w:rFonts w:cs="Arial"/>
          <w:szCs w:val="16"/>
          <w:lang w:val="en-US"/>
        </w:rPr>
        <w:t xml:space="preserve"> 42; </w:t>
      </w:r>
      <w:r w:rsidRPr="007B2402">
        <w:rPr>
          <w:szCs w:val="16"/>
          <w:lang w:val="en-US"/>
        </w:rPr>
        <w:t xml:space="preserve">Appeal. Judgment of August 24, 2004, Case of Arancibia Clavel, Enrique Lautaro, </w:t>
      </w:r>
      <w:r w:rsidRPr="007B2402">
        <w:rPr>
          <w:rFonts w:cs="Arial"/>
          <w:szCs w:val="16"/>
          <w:lang w:val="en-US"/>
        </w:rPr>
        <w:t>case No</w:t>
      </w:r>
      <w:r w:rsidRPr="007B2402">
        <w:rPr>
          <w:szCs w:val="16"/>
          <w:lang w:val="en-US"/>
        </w:rPr>
        <w:t>. 259</w:t>
      </w:r>
      <w:r w:rsidRPr="007B2402">
        <w:rPr>
          <w:rFonts w:cs="Arial"/>
          <w:szCs w:val="16"/>
          <w:lang w:val="en-US"/>
        </w:rPr>
        <w:t xml:space="preserve">, </w:t>
      </w:r>
      <w:r w:rsidRPr="007B2402">
        <w:rPr>
          <w:rFonts w:cs="Arial"/>
          <w:i/>
          <w:iCs/>
          <w:szCs w:val="16"/>
          <w:lang w:val="en-US"/>
        </w:rPr>
        <w:t>consideranda</w:t>
      </w:r>
      <w:r w:rsidRPr="007B2402">
        <w:rPr>
          <w:rFonts w:cs="Arial"/>
          <w:szCs w:val="16"/>
          <w:lang w:val="en-US"/>
        </w:rPr>
        <w:t xml:space="preserve"> 29, 38 and 39; </w:t>
      </w:r>
      <w:r w:rsidRPr="007B2402">
        <w:rPr>
          <w:szCs w:val="16"/>
          <w:lang w:val="en-US"/>
        </w:rPr>
        <w:t xml:space="preserve">Ordinary appeal. Judgment of November 2, 1995, Case of Erich Priebke No. 16,063/94, </w:t>
      </w:r>
      <w:r w:rsidRPr="007B2402">
        <w:rPr>
          <w:rFonts w:cs="Arial"/>
          <w:i/>
          <w:iCs/>
          <w:szCs w:val="16"/>
          <w:lang w:val="en-US"/>
        </w:rPr>
        <w:t>consideranda</w:t>
      </w:r>
      <w:r w:rsidRPr="007B2402">
        <w:rPr>
          <w:szCs w:val="16"/>
          <w:lang w:val="en-US"/>
        </w:rPr>
        <w:t xml:space="preserve"> 4 and 5; </w:t>
      </w:r>
      <w:r w:rsidRPr="007B2402">
        <w:rPr>
          <w:rFonts w:cs="Arial"/>
          <w:i/>
          <w:iCs/>
          <w:szCs w:val="16"/>
          <w:lang w:val="en-US"/>
        </w:rPr>
        <w:t>considerada</w:t>
      </w:r>
      <w:r w:rsidRPr="007B2402">
        <w:rPr>
          <w:rFonts w:cs="Times New Roman"/>
          <w:szCs w:val="16"/>
          <w:lang w:val="en-US"/>
        </w:rPr>
        <w:t xml:space="preserve"> 89 and 90 of the Concurring opinion of Judge Gustavo A. Bossert. See also: Federal Criminal and Correctional Appeaals Chamber, </w:t>
      </w:r>
      <w:r w:rsidRPr="007B2402">
        <w:rPr>
          <w:szCs w:val="16"/>
          <w:lang w:val="en-US"/>
        </w:rPr>
        <w:t xml:space="preserve">Argentina, Appeal for annulment. September 9, 1999, Case of Videla </w:t>
      </w:r>
      <w:r w:rsidRPr="007B2402">
        <w:rPr>
          <w:i/>
          <w:iCs/>
          <w:szCs w:val="16"/>
          <w:lang w:val="en-US"/>
        </w:rPr>
        <w:t>et al.,</w:t>
      </w:r>
      <w:r w:rsidRPr="007B2402">
        <w:rPr>
          <w:szCs w:val="16"/>
          <w:lang w:val="en-US"/>
        </w:rPr>
        <w:t xml:space="preserve"> </w:t>
      </w:r>
      <w:r w:rsidRPr="007B2402">
        <w:rPr>
          <w:i/>
          <w:iCs/>
          <w:szCs w:val="16"/>
          <w:lang w:val="en-US"/>
        </w:rPr>
        <w:t>c</w:t>
      </w:r>
      <w:r w:rsidRPr="007B2402">
        <w:rPr>
          <w:rFonts w:cs="Arial"/>
          <w:i/>
          <w:iCs/>
          <w:szCs w:val="16"/>
          <w:lang w:val="en-US"/>
        </w:rPr>
        <w:t>onsiderandum</w:t>
      </w:r>
      <w:r w:rsidRPr="007B2402">
        <w:rPr>
          <w:szCs w:val="16"/>
          <w:lang w:val="en-US"/>
        </w:rPr>
        <w:t xml:space="preserve"> III</w:t>
      </w:r>
      <w:r w:rsidRPr="007B2402">
        <w:rPr>
          <w:rFonts w:cs="Verdana"/>
          <w:szCs w:val="16"/>
          <w:lang w:val="en-US"/>
        </w:rPr>
        <w:t xml:space="preserve">; Federal Oral Criminal Court of </w:t>
      </w:r>
      <w:r w:rsidRPr="007B2402">
        <w:rPr>
          <w:rFonts w:cs="Arial"/>
          <w:szCs w:val="16"/>
          <w:lang w:val="en-US"/>
        </w:rPr>
        <w:t>La Plata. Judgment of September 19, 2006, Case of “</w:t>
      </w:r>
      <w:r w:rsidRPr="007B2402">
        <w:rPr>
          <w:rFonts w:cs="Arial"/>
          <w:i/>
          <w:iCs/>
          <w:szCs w:val="16"/>
          <w:lang w:val="en-US"/>
        </w:rPr>
        <w:t>Circuito Camps</w:t>
      </w:r>
      <w:r w:rsidRPr="007B2402">
        <w:rPr>
          <w:rFonts w:cs="Arial"/>
          <w:szCs w:val="16"/>
          <w:lang w:val="en-US"/>
        </w:rPr>
        <w:t xml:space="preserve">” </w:t>
      </w:r>
      <w:r w:rsidRPr="007B2402">
        <w:rPr>
          <w:rFonts w:cs="Arial"/>
          <w:i/>
          <w:iCs/>
          <w:szCs w:val="16"/>
          <w:lang w:val="en-US"/>
        </w:rPr>
        <w:t>et al.</w:t>
      </w:r>
      <w:r w:rsidRPr="007B2402">
        <w:rPr>
          <w:rFonts w:cs="Arial"/>
          <w:szCs w:val="16"/>
          <w:lang w:val="en-US"/>
        </w:rPr>
        <w:t xml:space="preserve"> (Miguel Osvaldo Etchecolatz), Case No. 2251/06, </w:t>
      </w:r>
      <w:r w:rsidRPr="007B2402">
        <w:rPr>
          <w:rFonts w:cs="Arial"/>
          <w:i/>
          <w:iCs/>
          <w:szCs w:val="16"/>
          <w:lang w:val="en-US"/>
        </w:rPr>
        <w:t>considerandum</w:t>
      </w:r>
      <w:r w:rsidRPr="007B2402">
        <w:rPr>
          <w:rFonts w:cs="Arial"/>
          <w:szCs w:val="16"/>
          <w:lang w:val="en-US"/>
        </w:rPr>
        <w:t xml:space="preserve"> IV.a; </w:t>
      </w:r>
      <w:r w:rsidRPr="007B2402">
        <w:rPr>
          <w:rFonts w:cs="Verdana"/>
          <w:szCs w:val="16"/>
          <w:lang w:val="en-US"/>
        </w:rPr>
        <w:t>Federal Oral Criminal Court</w:t>
      </w:r>
      <w:r w:rsidRPr="007B2402">
        <w:rPr>
          <w:szCs w:val="16"/>
          <w:lang w:val="en-US"/>
        </w:rPr>
        <w:t xml:space="preserve"> No. 1 of San Martín. Judgment for crimes against humanity. August 12, 2009, General Riveros </w:t>
      </w:r>
      <w:r w:rsidRPr="007B2402">
        <w:rPr>
          <w:i/>
          <w:iCs/>
          <w:szCs w:val="16"/>
          <w:lang w:val="en-US"/>
        </w:rPr>
        <w:t>et al.</w:t>
      </w:r>
      <w:r w:rsidRPr="007B2402">
        <w:rPr>
          <w:szCs w:val="16"/>
          <w:lang w:val="en-US"/>
        </w:rPr>
        <w:t xml:space="preserve"> in the case of Floreal Edgardo Avellaneda </w:t>
      </w:r>
      <w:r w:rsidRPr="007B2402">
        <w:rPr>
          <w:i/>
          <w:iCs/>
          <w:szCs w:val="16"/>
          <w:lang w:val="en-US"/>
        </w:rPr>
        <w:t>et al.,</w:t>
      </w:r>
      <w:r w:rsidRPr="007B2402">
        <w:rPr>
          <w:szCs w:val="16"/>
          <w:lang w:val="en-US"/>
        </w:rPr>
        <w:t xml:space="preserve"> </w:t>
      </w:r>
      <w:r w:rsidRPr="007B2402">
        <w:rPr>
          <w:i/>
          <w:iCs/>
          <w:szCs w:val="16"/>
          <w:lang w:val="en-US"/>
        </w:rPr>
        <w:t>considerandum</w:t>
      </w:r>
      <w:r w:rsidRPr="007B2402">
        <w:rPr>
          <w:szCs w:val="16"/>
          <w:lang w:val="en-US"/>
        </w:rPr>
        <w:t xml:space="preserve"> I.</w:t>
      </w:r>
      <w:r w:rsidRPr="007B2402">
        <w:rPr>
          <w:rFonts w:cs="Arial"/>
          <w:szCs w:val="16"/>
          <w:lang w:val="en-US"/>
        </w:rPr>
        <w:t xml:space="preserve"> Similarly, Supreme Court of Justice of Uruguay: Cassation appeal, August 12, 2015. Case file 97-78/2012, Ruling 1.061/2015, </w:t>
      </w:r>
      <w:r w:rsidRPr="007B2402">
        <w:rPr>
          <w:rFonts w:cs="Arial"/>
          <w:i/>
          <w:iCs/>
          <w:szCs w:val="16"/>
          <w:lang w:val="en-US"/>
        </w:rPr>
        <w:t>consideranda</w:t>
      </w:r>
      <w:r w:rsidRPr="007B2402">
        <w:rPr>
          <w:rFonts w:cs="Arial"/>
          <w:szCs w:val="16"/>
          <w:lang w:val="en-US"/>
        </w:rPr>
        <w:t xml:space="preserve"> III.1.b; Cassation appeal, August 24, 2016. Case file 170-298/2011, Ruling 1.280/2016, </w:t>
      </w:r>
      <w:r w:rsidRPr="007B2402">
        <w:rPr>
          <w:rFonts w:cs="Arial"/>
          <w:i/>
          <w:iCs/>
          <w:szCs w:val="16"/>
          <w:lang w:val="en-US"/>
        </w:rPr>
        <w:t>consideranda</w:t>
      </w:r>
      <w:r w:rsidRPr="007B2402">
        <w:rPr>
          <w:rFonts w:cs="Arial"/>
          <w:szCs w:val="16"/>
          <w:lang w:val="en-US"/>
        </w:rPr>
        <w:t xml:space="preserve"> III.1 and III.2; Cassation appeal, September 8, 2016. Case file 395-136/2012, Fuling 1.383/2016, </w:t>
      </w:r>
      <w:r w:rsidRPr="007B2402">
        <w:rPr>
          <w:rFonts w:cs="Arial"/>
          <w:i/>
          <w:iCs/>
          <w:szCs w:val="16"/>
          <w:lang w:val="en-US"/>
        </w:rPr>
        <w:t>consideranda</w:t>
      </w:r>
      <w:r w:rsidRPr="007B2402">
        <w:rPr>
          <w:rFonts w:cs="Arial"/>
          <w:szCs w:val="16"/>
          <w:lang w:val="en-US"/>
        </w:rPr>
        <w:t xml:space="preserve"> III.2 and III.3. In addition, see: expert opinion of Juan Ernesto Méndez, paras. 34 to 48 (evidence file, folios 14072 to 14077).</w:t>
      </w:r>
    </w:p>
  </w:footnote>
  <w:footnote w:id="158">
    <w:p w14:paraId="5034E091" w14:textId="79FAAA58" w:rsidR="00920DEA" w:rsidRPr="007B2402" w:rsidRDefault="00920DEA" w:rsidP="005B1590">
      <w:pPr>
        <w:spacing w:after="80" w:line="240" w:lineRule="auto"/>
        <w:jc w:val="both"/>
        <w:rPr>
          <w:rFonts w:cs="Arial"/>
          <w:sz w:val="16"/>
          <w:szCs w:val="16"/>
          <w:lang w:val="en-US"/>
        </w:rPr>
      </w:pPr>
      <w:r w:rsidRPr="007B2402">
        <w:rPr>
          <w:rStyle w:val="Refdenotaalpie"/>
          <w:rFonts w:ascii="Verdana" w:hAnsi="Verdana" w:cs="Arial"/>
          <w:sz w:val="16"/>
          <w:szCs w:val="16"/>
          <w:lang w:val="en-US"/>
        </w:rPr>
        <w:footnoteRef/>
      </w:r>
      <w:r w:rsidRPr="007B2402">
        <w:rPr>
          <w:rFonts w:cs="Arial"/>
          <w:sz w:val="16"/>
          <w:szCs w:val="16"/>
          <w:lang w:val="en-US"/>
        </w:rPr>
        <w:t xml:space="preserve"> </w:t>
      </w:r>
      <w:r w:rsidRPr="007B2402">
        <w:rPr>
          <w:i/>
          <w:sz w:val="16"/>
          <w:szCs w:val="16"/>
          <w:lang w:val="en-US"/>
        </w:rPr>
        <w:t xml:space="preserve">Cf. </w:t>
      </w:r>
      <w:r w:rsidRPr="007B2402">
        <w:rPr>
          <w:sz w:val="16"/>
          <w:szCs w:val="16"/>
          <w:lang w:val="en-US"/>
        </w:rPr>
        <w:t xml:space="preserve">UN. Commission on Human Rights. </w:t>
      </w:r>
      <w:r w:rsidRPr="007B2402">
        <w:rPr>
          <w:i/>
          <w:sz w:val="16"/>
          <w:szCs w:val="16"/>
          <w:lang w:val="en-US"/>
        </w:rPr>
        <w:t>Study submitted by the Secretary-General on the question of the non-applicability of statutory limitation to war crimes and crimes against humanity</w:t>
      </w:r>
      <w:r w:rsidRPr="007B2402">
        <w:rPr>
          <w:sz w:val="16"/>
          <w:szCs w:val="16"/>
          <w:lang w:val="en-US"/>
        </w:rPr>
        <w:t xml:space="preserve">. E/CN.4/906. February 15, 1966, paras. 157  160. Available at </w:t>
      </w:r>
      <w:hyperlink r:id="rId6" w:history="1">
        <w:r w:rsidRPr="007B2402">
          <w:rPr>
            <w:rStyle w:val="Hipervnculo"/>
            <w:sz w:val="16"/>
            <w:szCs w:val="16"/>
            <w:lang w:val="en-US"/>
          </w:rPr>
          <w:t>http://undocs.org/E/CN.4/906</w:t>
        </w:r>
      </w:hyperlink>
      <w:r w:rsidRPr="007B2402">
        <w:rPr>
          <w:sz w:val="16"/>
          <w:szCs w:val="16"/>
          <w:lang w:val="en-US"/>
        </w:rPr>
        <w:t>.</w:t>
      </w:r>
    </w:p>
  </w:footnote>
  <w:footnote w:id="159">
    <w:p w14:paraId="1797FE55" w14:textId="6AA085A8" w:rsidR="00920DEA" w:rsidRPr="007B2402" w:rsidRDefault="00920DEA" w:rsidP="00A01192">
      <w:pPr>
        <w:tabs>
          <w:tab w:val="left" w:pos="7290"/>
        </w:tabs>
        <w:spacing w:after="80" w:line="240" w:lineRule="auto"/>
        <w:ind w:right="44"/>
        <w:jc w:val="both"/>
        <w:rPr>
          <w:i/>
          <w:sz w:val="16"/>
          <w:szCs w:val="16"/>
          <w:lang w:val="en-US"/>
        </w:rPr>
      </w:pPr>
      <w:r w:rsidRPr="007B2402">
        <w:rPr>
          <w:rStyle w:val="Refdenotaalpie"/>
          <w:rFonts w:ascii="Verdana" w:hAnsi="Verdana"/>
          <w:sz w:val="16"/>
          <w:szCs w:val="16"/>
          <w:lang w:val="en-US"/>
        </w:rPr>
        <w:footnoteRef/>
      </w:r>
      <w:r w:rsidRPr="007B2402">
        <w:rPr>
          <w:sz w:val="16"/>
          <w:szCs w:val="16"/>
          <w:lang w:val="en-US"/>
        </w:rPr>
        <w:t xml:space="preserve"> </w:t>
      </w:r>
      <w:r w:rsidRPr="007B2402">
        <w:rPr>
          <w:i/>
          <w:sz w:val="16"/>
          <w:szCs w:val="16"/>
          <w:lang w:val="en-US"/>
        </w:rPr>
        <w:t xml:space="preserve">Cf. </w:t>
      </w:r>
      <w:r w:rsidRPr="007B2402">
        <w:rPr>
          <w:sz w:val="16"/>
          <w:szCs w:val="16"/>
          <w:lang w:val="en-US"/>
        </w:rPr>
        <w:t xml:space="preserve">UN. Commission on Human Rights. </w:t>
      </w:r>
      <w:r w:rsidRPr="007B2402">
        <w:rPr>
          <w:i/>
          <w:sz w:val="16"/>
          <w:szCs w:val="16"/>
          <w:lang w:val="en-US"/>
        </w:rPr>
        <w:t>Study submitted by the Secretary-General on the question of the non-applicability of statutory limitation to war crimes and crimes against humanity</w:t>
      </w:r>
      <w:r w:rsidRPr="007B2402">
        <w:rPr>
          <w:sz w:val="16"/>
          <w:szCs w:val="16"/>
          <w:lang w:val="en-US"/>
        </w:rPr>
        <w:t xml:space="preserve">. E/CN.4/906. February 15, 1966, </w:t>
      </w:r>
      <w:r w:rsidRPr="007B2402">
        <w:rPr>
          <w:rFonts w:cs="Arial"/>
          <w:sz w:val="16"/>
          <w:szCs w:val="16"/>
          <w:lang w:val="en-US"/>
        </w:rPr>
        <w:t xml:space="preserve">para. 159: “[…] </w:t>
      </w:r>
      <w:r w:rsidRPr="007B2402">
        <w:rPr>
          <w:rFonts w:cs="Courier New"/>
          <w:sz w:val="16"/>
          <w:szCs w:val="16"/>
          <w:lang w:val="en-US"/>
        </w:rPr>
        <w:t xml:space="preserve">159. Thus, the principle that there is no period of limitation does not derive only from the intention of the international "legislator", who has clearly and urgently stressed the need for the sure and effective punishment of serious crimes under international law; it does not derive only from the universal conscience, which revolts against the idea that such crimes can go unpunished; it does not derive only from the state of positive municipal law, which has often hesitated, or even refused, to recognize the institution of statutory limitation in the case of serious crimes; it derives also, and above all, from the fact that none of the reasons usually advanced in favour of statutory limitation for crimes under ordinary municipal law justifies such limitation for the international crimes in question. The latter crimes cannot, from either the legal or the moral standpoint, be placed on the same footing as the former. If a crime under municipal law, however serious, goes unpunished through the operation of the statute of limitations, the fact does not usually make itself felt even in the narrow social environment, in which the crime was committed; the criminal, lawfully released for one or another of the reasons underlying the statute of limitations (remorse, forgiveness, loss of validity of proofs, etc.) quietly resumes his place in society and lives at peace with it. In contrast, impunity for a crime against peace or against humanity or for a serious war crime, whether acquired through statutory limitation or through any other means, arouses violent reactions on a very large scale; consequently, the result might be to expose the guilty party, now immune from any legal prosecution, to the "private justice" of the victims or of those bound to them by ties of blood, land, race, religion and so on. Because of the "exceptional" gravity, the "gigantic" magnitude and, above all, the "incomprehensible” motives of such international crimes, all these people, whose numbers can be readily imagined in each case, tend to be "unable ever to forget" and to be undeterred by any obstacle, legal or otherwise, from ensuring that, once the guilty are "unmasked", they are punished as they deserve. There is, therefore, every reason to consider whether the principle that there is no period of limitation for such crimes is not a rule of </w:t>
      </w:r>
      <w:r w:rsidRPr="007B2402">
        <w:rPr>
          <w:rFonts w:cs="Courier New"/>
          <w:i/>
          <w:iCs/>
          <w:sz w:val="16"/>
          <w:szCs w:val="16"/>
          <w:lang w:val="en-US"/>
        </w:rPr>
        <w:t>jus cogens</w:t>
      </w:r>
      <w:r w:rsidRPr="007B2402">
        <w:rPr>
          <w:rFonts w:cs="Courier New"/>
          <w:sz w:val="16"/>
          <w:szCs w:val="16"/>
          <w:lang w:val="en-US"/>
        </w:rPr>
        <w:t>, a peremptory rule, a fundamental rule of the international public order from which States can make no departure even by treaty.”</w:t>
      </w:r>
    </w:p>
  </w:footnote>
  <w:footnote w:id="160">
    <w:p w14:paraId="3D04CCAF" w14:textId="4185F230" w:rsidR="00920DEA" w:rsidRPr="007B2402" w:rsidRDefault="00920DEA" w:rsidP="005347CA">
      <w:pPr>
        <w:tabs>
          <w:tab w:val="left" w:pos="7290"/>
        </w:tabs>
        <w:spacing w:line="240" w:lineRule="auto"/>
        <w:ind w:right="44"/>
        <w:jc w:val="both"/>
        <w:rPr>
          <w:rFonts w:cs="Courier New"/>
          <w:sz w:val="16"/>
          <w:szCs w:val="16"/>
          <w:lang w:val="en-US"/>
        </w:rPr>
      </w:pPr>
      <w:r w:rsidRPr="007B2402">
        <w:rPr>
          <w:rStyle w:val="Refdenotaalpie"/>
          <w:rFonts w:ascii="Verdana" w:hAnsi="Verdana"/>
          <w:sz w:val="16"/>
          <w:szCs w:val="16"/>
          <w:lang w:val="en-US"/>
        </w:rPr>
        <w:footnoteRef/>
      </w:r>
      <w:r w:rsidRPr="007B2402">
        <w:rPr>
          <w:sz w:val="16"/>
          <w:szCs w:val="16"/>
          <w:lang w:val="en-US"/>
        </w:rPr>
        <w:t xml:space="preserve"> </w:t>
      </w:r>
      <w:r w:rsidRPr="007B2402">
        <w:rPr>
          <w:i/>
          <w:sz w:val="16"/>
          <w:szCs w:val="16"/>
          <w:lang w:val="en-US"/>
        </w:rPr>
        <w:t>Cf.</w:t>
      </w:r>
      <w:r w:rsidRPr="007B2402">
        <w:rPr>
          <w:sz w:val="16"/>
          <w:szCs w:val="16"/>
          <w:lang w:val="en-US"/>
        </w:rPr>
        <w:t xml:space="preserve"> UN. International Law Commission. </w:t>
      </w:r>
      <w:r w:rsidRPr="007B2402">
        <w:rPr>
          <w:rFonts w:cs="Arial"/>
          <w:i/>
          <w:iCs/>
          <w:sz w:val="16"/>
          <w:szCs w:val="16"/>
          <w:lang w:val="en-US"/>
        </w:rPr>
        <w:t>Draft</w:t>
      </w:r>
      <w:r w:rsidRPr="007B2402">
        <w:rPr>
          <w:rFonts w:cs="Courier New"/>
          <w:i/>
          <w:iCs/>
          <w:sz w:val="16"/>
          <w:szCs w:val="16"/>
          <w:lang w:val="en-US"/>
        </w:rPr>
        <w:t xml:space="preserve"> code of crimes against the peace and security of mankind.</w:t>
      </w:r>
      <w:r w:rsidRPr="007B2402">
        <w:rPr>
          <w:rFonts w:cs="Courier New"/>
          <w:sz w:val="16"/>
          <w:szCs w:val="16"/>
          <w:lang w:val="en-US"/>
        </w:rPr>
        <w:t xml:space="preserve"> </w:t>
      </w:r>
      <w:r w:rsidRPr="007B2402">
        <w:rPr>
          <w:sz w:val="16"/>
          <w:szCs w:val="16"/>
          <w:lang w:val="en-US"/>
        </w:rPr>
        <w:t xml:space="preserve">A/CN.4/L.532. July 8, 1996. Available at: </w:t>
      </w:r>
      <w:hyperlink r:id="rId7" w:history="1">
        <w:r w:rsidRPr="007B2402">
          <w:rPr>
            <w:rStyle w:val="Hipervnculo"/>
            <w:sz w:val="16"/>
            <w:szCs w:val="16"/>
            <w:lang w:val="en-US"/>
          </w:rPr>
          <w:t>https://undocs.org/en/A/CN.4/L.532</w:t>
        </w:r>
      </w:hyperlink>
      <w:r w:rsidRPr="007B2402">
        <w:rPr>
          <w:sz w:val="16"/>
          <w:szCs w:val="16"/>
          <w:lang w:val="en-US"/>
        </w:rPr>
        <w:t>.</w:t>
      </w:r>
      <w:r w:rsidRPr="007B2402">
        <w:rPr>
          <w:rFonts w:cs="Courier New"/>
          <w:sz w:val="16"/>
          <w:szCs w:val="16"/>
          <w:lang w:val="en-US"/>
        </w:rPr>
        <w:t xml:space="preserve"> </w:t>
      </w:r>
      <w:r w:rsidRPr="007B2402">
        <w:rPr>
          <w:sz w:val="16"/>
          <w:szCs w:val="16"/>
          <w:lang w:val="en-US"/>
        </w:rPr>
        <w:t xml:space="preserve">In particular, the draft code established that: “[…] </w:t>
      </w:r>
      <w:r w:rsidRPr="007B2402">
        <w:rPr>
          <w:rFonts w:cs="Courier New"/>
          <w:sz w:val="16"/>
          <w:szCs w:val="16"/>
          <w:lang w:val="en-US"/>
        </w:rPr>
        <w:t>Crimes against the peace and security of mankind are crimes under international law and punishable as such, whether or not they are punishable under national law</w:t>
      </w:r>
      <w:r w:rsidRPr="007B2402">
        <w:rPr>
          <w:sz w:val="16"/>
          <w:szCs w:val="16"/>
          <w:lang w:val="en-US"/>
        </w:rPr>
        <w:t xml:space="preserve">” (Article 1.2); “[…] </w:t>
      </w:r>
      <w:r w:rsidRPr="007B2402">
        <w:rPr>
          <w:rFonts w:cs="Courier New"/>
          <w:sz w:val="16"/>
          <w:szCs w:val="16"/>
          <w:lang w:val="en-US"/>
        </w:rPr>
        <w:t>each State Party shall take such measures as may be necessary to establish its jurisdiction over the crimes set out in articles 17, 18, 19 and 20, irrespective of where or by whom those crimes were committed. Jurisdiction over the crime set out in article 15 shall rest with an international criminal court. However, a State Party is not precluded from trying its nationals for the crime set out in article 16</w:t>
      </w:r>
      <w:r w:rsidRPr="007B2402">
        <w:rPr>
          <w:sz w:val="16"/>
          <w:szCs w:val="16"/>
          <w:lang w:val="en-US"/>
        </w:rPr>
        <w:t xml:space="preserve">” (Article 8); “[…] </w:t>
      </w:r>
      <w:r w:rsidRPr="007B2402">
        <w:rPr>
          <w:rFonts w:cs="Courier New"/>
          <w:sz w:val="16"/>
          <w:szCs w:val="16"/>
          <w:lang w:val="en-US"/>
        </w:rPr>
        <w:t>the State Party in the territory of which an individual alleged to have committed a crime set out in article 17, 18, 19 or 20 is found shall extradite or prosecute that individual”</w:t>
      </w:r>
      <w:r w:rsidRPr="007B2402">
        <w:rPr>
          <w:sz w:val="16"/>
          <w:szCs w:val="16"/>
          <w:lang w:val="en-US"/>
        </w:rPr>
        <w:t xml:space="preserve"> (Article 9); “1. </w:t>
      </w:r>
      <w:r w:rsidRPr="007B2402">
        <w:rPr>
          <w:rFonts w:cs="Courier New"/>
          <w:sz w:val="16"/>
          <w:szCs w:val="16"/>
          <w:lang w:val="en-US"/>
        </w:rPr>
        <w:t>No one shall be convicted under the present Code for acts committed before its entry into force. 2. Nothing in this article precludes the trial of anyone for any act which, at the time when it was committed, was criminal in accordance with international law or national law</w:t>
      </w:r>
      <w:r w:rsidRPr="007B2402">
        <w:rPr>
          <w:sz w:val="16"/>
          <w:szCs w:val="16"/>
          <w:lang w:val="en-US"/>
        </w:rPr>
        <w:t>” (Article 13). In addition, among the crimes against the peace and security of mankind, the International Law Commission indicated the following as crimes against humanity: “(a) murder; […] (c) torture; […] [and] (j</w:t>
      </w:r>
      <w:r w:rsidRPr="007B2402">
        <w:rPr>
          <w:rFonts w:cs="Courier New"/>
          <w:sz w:val="16"/>
          <w:szCs w:val="16"/>
          <w:lang w:val="en-US"/>
        </w:rPr>
        <w:t>) other inhumane acts which severely damage physical or mental integrity, health or human dignity, such as mutilation and severe bodily harm</w:t>
      </w:r>
      <w:r w:rsidRPr="007B2402">
        <w:rPr>
          <w:sz w:val="16"/>
          <w:szCs w:val="16"/>
          <w:lang w:val="en-US"/>
        </w:rPr>
        <w:t>” (Article 18).</w:t>
      </w:r>
    </w:p>
  </w:footnote>
  <w:footnote w:id="161">
    <w:p w14:paraId="7C2D2C30" w14:textId="7AD3230C"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Statute of the International Criminal Court adopted at Rome on July 17, 1998, and entered into force on July 1, 2002 (hereinafter “the Statute of the International Criminal Court”) “Article 5. Crimes within the jurisdiction of the Court. The jurisdiction of the Court shall be limited to the most serious crimes of concern to the international community as a whole. The Court has jurisdiction in accordance with this Statute with respect to the following crimes: (a) The crime of genocide; (b) Crimes against humanity; (c) War crimes; (d) The crime of aggression.”</w:t>
      </w:r>
    </w:p>
  </w:footnote>
  <w:footnote w:id="162">
    <w:p w14:paraId="6C052CBD" w14:textId="7090AE2C" w:rsidR="00920DEA" w:rsidRPr="007B2402" w:rsidRDefault="00920DEA" w:rsidP="003C0A15">
      <w:pPr>
        <w:spacing w:after="80" w:line="240" w:lineRule="auto"/>
        <w:jc w:val="both"/>
        <w:rPr>
          <w:sz w:val="16"/>
          <w:szCs w:val="16"/>
          <w:lang w:val="en-US"/>
        </w:rPr>
      </w:pPr>
      <w:r w:rsidRPr="007B2402">
        <w:rPr>
          <w:rStyle w:val="Refdenotaalpie"/>
          <w:rFonts w:ascii="Verdana" w:hAnsi="Verdana"/>
          <w:sz w:val="16"/>
          <w:szCs w:val="16"/>
          <w:lang w:val="en-US"/>
        </w:rPr>
        <w:footnoteRef/>
      </w:r>
      <w:r w:rsidRPr="007B2402">
        <w:rPr>
          <w:sz w:val="16"/>
          <w:szCs w:val="16"/>
          <w:lang w:val="en-US"/>
        </w:rPr>
        <w:t xml:space="preserve"> </w:t>
      </w:r>
      <w:r w:rsidRPr="007B2402">
        <w:rPr>
          <w:i/>
          <w:sz w:val="16"/>
          <w:szCs w:val="16"/>
          <w:lang w:val="en-US"/>
        </w:rPr>
        <w:t>Cf.</w:t>
      </w:r>
      <w:r w:rsidRPr="007B2402">
        <w:rPr>
          <w:sz w:val="16"/>
          <w:szCs w:val="16"/>
          <w:lang w:val="en-US"/>
        </w:rPr>
        <w:t xml:space="preserve"> Statute of the International Criminal Court, “Article 7. Crimes against humanity. 1. For the purpose of this Statute, "crime against humanity" means any of the following acts when committed as part of a widespread or systematic attack directed against any civilian population, with knowledge of the attack: (a) Murder; (b) Extermination; (c) Enslavement; (d) Deportation or forcible transfer of population; (e) Imprisonment or other severe deprivation of physical liberty in violation of fundamental rules of international law; (f) Torture; (g) Rape, sexual slavery, enforced prostitution, forced pregnancy, enforced sterilization, or any other form of sexual violence of comparable gravity; (h) Persecution against any identifiable group or collectivity on political, racial, national, ethnic, cultural, religious, gender as defined in paragraph 3, or other grounds that are universally recognized as impermissible under international law, in connection with any act referred to in this paragraph or any crime within the jurisdiction of the Court; (i) Enforced disappearance of persons; (j) The crime of apartheid; (k) Other inhumane acts of a similar character intentionally causing great suffering, or serious injury to body or to mental or physical health. 2. For the purpose of paragraph 1: (a) "Attack directed against any civilian population" means a course of conduct involving the multiple commission of acts referred to in paragraph 1 against any civilian population, pursuant to or in furtherance of a State or organizational policy to commit such attack; (b) "Extermination" includes the intentional infliction of conditions of life, inter alia the deprivation of access to food and medicine, calculated to bring about the destruction of part of a population; (c) "Enslavement" means the exercise of any or all of the powers attaching to the right of ownership over a person and includes the exercise of such power in the course of trafficking in persons, in particular women and children; (d) "Deportation or forcible transfer of population" means forced displacement of the persons concerned by expulsion or other coercive acts from the area in which they are lawfully present, without grounds permitted under international law; (e) "Torture" means the intentional infliction of severe pain or suffering, whether physical or mental, upon a person in the custody or under the control of the accused; except that torture shall not include pain or suffering arising only from, inherent in or incidental to, lawful sanctions; (f) "Forced pregnancy" means the unlawful confinement of a woman forcibly made pregnant, with the intent of affecting the ethnic composition of any population or carrying out other grave violations of international law. This definition shall not in any way be interpreted as affecting national laws relating to pregnancy; (g) "Persecution" means the intentional and severe deprivation of fundamental rights contrary to international law by reason of the identity of the group or collectivity; (h) "The crime of apartheid" means inhumane acts of a character similar to those referred to in paragraph 1, committed in the context of an institutionalized regime of systematic oppression and domination by one racial group over any other racial group or groups and committed with the intention of maintaining that regime; (i) "Enforced disappearance of persons" means the arrest, detention or abduction of persons by, or with the authorization, support or acquiescence of, a State or a political organization, followed by a refusal to acknowledge that deprivation of freedom or to give information on the fate or whereabouts of those persons, with the intention of removing them from the protection of the law for a prolonged period of time. 3. For the purpose of this Statute, it is understood that the term "gender" refers to the two sexes, male and female, within the context of society. The term "gender" does not indicate any meaning different from the above.”</w:t>
      </w:r>
    </w:p>
  </w:footnote>
  <w:footnote w:id="163">
    <w:p w14:paraId="1D923FE1" w14:textId="09EABB8A" w:rsidR="00920DEA" w:rsidRPr="007B2402" w:rsidRDefault="00920DEA" w:rsidP="005B1590">
      <w:pPr>
        <w:pStyle w:val="Textonotapie"/>
        <w:spacing w:after="80"/>
        <w:rPr>
          <w:rFonts w:cs="Arial"/>
          <w:szCs w:val="16"/>
          <w:lang w:val="en-US"/>
        </w:rPr>
      </w:pPr>
      <w:r w:rsidRPr="007B2402">
        <w:rPr>
          <w:rStyle w:val="Refdenotaalpie"/>
          <w:rFonts w:ascii="Verdana" w:hAnsi="Verdana" w:cs="Arial"/>
          <w:szCs w:val="16"/>
          <w:lang w:val="en-US"/>
        </w:rPr>
        <w:footnoteRef/>
      </w:r>
      <w:r w:rsidRPr="007B2402">
        <w:rPr>
          <w:rFonts w:cs="Arial"/>
          <w:szCs w:val="16"/>
          <w:lang w:val="en-US"/>
        </w:rPr>
        <w:t xml:space="preserve"> </w:t>
      </w:r>
      <w:r w:rsidRPr="007B2402">
        <w:rPr>
          <w:i/>
          <w:szCs w:val="16"/>
          <w:lang w:val="en-US"/>
        </w:rPr>
        <w:t xml:space="preserve">Cf. </w:t>
      </w:r>
      <w:r w:rsidRPr="007B2402">
        <w:rPr>
          <w:szCs w:val="16"/>
          <w:lang w:val="en-US"/>
        </w:rPr>
        <w:t>Statute of the International Criminal Court.</w:t>
      </w:r>
      <w:r w:rsidRPr="007B2402">
        <w:rPr>
          <w:rFonts w:cs="Arial"/>
          <w:szCs w:val="16"/>
          <w:lang w:val="en-US"/>
        </w:rPr>
        <w:t xml:space="preserve"> “Article 29. </w:t>
      </w:r>
      <w:r w:rsidRPr="007B2402">
        <w:rPr>
          <w:szCs w:val="16"/>
          <w:lang w:val="en-US"/>
        </w:rPr>
        <w:t>Non-applicability of statute of limitations. The crimes within the jurisdiction of the Court shall not be subject to any statute of limitation.”</w:t>
      </w:r>
    </w:p>
  </w:footnote>
  <w:footnote w:id="164">
    <w:p w14:paraId="2AA24A9F" w14:textId="7C895F8E" w:rsidR="00920DEA" w:rsidRPr="007B2402" w:rsidRDefault="00920DEA" w:rsidP="005B1590">
      <w:pPr>
        <w:pStyle w:val="Textonotapie"/>
        <w:spacing w:after="80"/>
        <w:rPr>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UN. </w:t>
      </w:r>
      <w:r w:rsidRPr="007B2402">
        <w:rPr>
          <w:i/>
          <w:szCs w:val="16"/>
          <w:lang w:val="en-US"/>
        </w:rPr>
        <w:t>Report of the International Law Commission on the work of its sixty-ninth session (1 May-2 June and 3 July-4 August 2017)</w:t>
      </w:r>
      <w:r w:rsidRPr="007B2402">
        <w:rPr>
          <w:szCs w:val="16"/>
          <w:lang w:val="en-US"/>
        </w:rPr>
        <w:t xml:space="preserve">. A/72/10, p. 9, para. 45. Available at </w:t>
      </w:r>
      <w:hyperlink r:id="rId8" w:history="1">
        <w:r w:rsidRPr="007B2402">
          <w:rPr>
            <w:rStyle w:val="Hipervnculo"/>
            <w:lang w:val="en-US"/>
          </w:rPr>
          <w:t>https://undocs.org/en/A/72/10</w:t>
        </w:r>
      </w:hyperlink>
      <w:r w:rsidRPr="007B2402">
        <w:rPr>
          <w:lang w:val="en-US"/>
        </w:rPr>
        <w:t>.</w:t>
      </w:r>
    </w:p>
  </w:footnote>
  <w:footnote w:id="165">
    <w:p w14:paraId="6543B204" w14:textId="3D23D774"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UN. </w:t>
      </w:r>
      <w:r w:rsidRPr="007B2402">
        <w:rPr>
          <w:i/>
          <w:szCs w:val="16"/>
          <w:lang w:val="en-US"/>
        </w:rPr>
        <w:t>Report of the International Law Commission on the work of its sixty-ninth session (1 May-2 June and 3 July-4 August 2017)</w:t>
      </w:r>
      <w:r w:rsidRPr="007B2402">
        <w:rPr>
          <w:szCs w:val="16"/>
          <w:lang w:val="en-US"/>
        </w:rPr>
        <w:t>. A/72/10, p.9.</w:t>
      </w:r>
    </w:p>
  </w:footnote>
  <w:footnote w:id="166">
    <w:p w14:paraId="1ACDF556" w14:textId="29DF749C" w:rsidR="00920DEA" w:rsidRPr="007B2402" w:rsidRDefault="00920DEA" w:rsidP="00185847">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UN. </w:t>
      </w:r>
      <w:r w:rsidRPr="007B2402">
        <w:rPr>
          <w:i/>
          <w:szCs w:val="16"/>
          <w:lang w:val="en-US"/>
        </w:rPr>
        <w:t>Report of the International Law Commission on the work of its sixty-ninth session (1 May-2 June and 3 July-4 August 2017)</w:t>
      </w:r>
      <w:r w:rsidRPr="007B2402">
        <w:rPr>
          <w:szCs w:val="16"/>
          <w:lang w:val="en-US"/>
        </w:rPr>
        <w:t>. A/72/10, p. 13.</w:t>
      </w:r>
    </w:p>
  </w:footnote>
  <w:footnote w:id="167">
    <w:p w14:paraId="4146A153" w14:textId="6695E0B0" w:rsidR="00920DEA" w:rsidRPr="007B2402" w:rsidRDefault="00920DEA" w:rsidP="00185847">
      <w:pPr>
        <w:tabs>
          <w:tab w:val="left" w:pos="7290"/>
        </w:tabs>
        <w:spacing w:after="80" w:line="240" w:lineRule="auto"/>
        <w:jc w:val="both"/>
        <w:rPr>
          <w:sz w:val="16"/>
          <w:szCs w:val="16"/>
          <w:lang w:val="en-US"/>
        </w:rPr>
      </w:pPr>
      <w:r w:rsidRPr="007B2402">
        <w:rPr>
          <w:rStyle w:val="Refdenotaalpie"/>
          <w:rFonts w:ascii="Verdana" w:hAnsi="Verdana"/>
          <w:sz w:val="16"/>
          <w:szCs w:val="16"/>
          <w:lang w:val="en-US"/>
        </w:rPr>
        <w:footnoteRef/>
      </w:r>
      <w:r w:rsidRPr="007B2402">
        <w:rPr>
          <w:sz w:val="16"/>
          <w:szCs w:val="16"/>
          <w:lang w:val="en-US"/>
        </w:rPr>
        <w:t xml:space="preserve"> </w:t>
      </w:r>
      <w:r w:rsidRPr="007B2402">
        <w:rPr>
          <w:i/>
          <w:sz w:val="16"/>
          <w:szCs w:val="16"/>
          <w:lang w:val="en-US"/>
        </w:rPr>
        <w:t>Cf.</w:t>
      </w:r>
      <w:r w:rsidRPr="007B2402">
        <w:rPr>
          <w:sz w:val="16"/>
          <w:szCs w:val="16"/>
          <w:lang w:val="en-US"/>
        </w:rPr>
        <w:t xml:space="preserve"> UN. </w:t>
      </w:r>
      <w:r w:rsidRPr="007B2402">
        <w:rPr>
          <w:i/>
          <w:sz w:val="16"/>
          <w:szCs w:val="16"/>
          <w:lang w:val="en-US"/>
        </w:rPr>
        <w:t>Report of the International Law Commission on the work of its fifty-third session, 23 April-1 June and 2 July-10 August</w:t>
      </w:r>
      <w:r w:rsidRPr="007B2402">
        <w:rPr>
          <w:sz w:val="16"/>
          <w:szCs w:val="16"/>
          <w:lang w:val="en-US"/>
        </w:rPr>
        <w:t xml:space="preserve"> 2001), A/56/10 p. 86. Paragraph (5) of the commentary on art. 26 of the Draft articles on responsibility of States for internationally wrongful acts indicates that […] Those peremptory norms that are clearly accepted and recognized include the prohibitions of […] crimes against humanity.” Available at: </w:t>
      </w:r>
      <w:hyperlink r:id="rId9" w:history="1">
        <w:r w:rsidRPr="007B2402">
          <w:rPr>
            <w:rStyle w:val="Hipervnculo"/>
            <w:sz w:val="16"/>
            <w:szCs w:val="16"/>
            <w:lang w:val="en-US"/>
          </w:rPr>
          <w:t>http://legal.un.org/ilc/ documentation/english/reports/a_56_10.pdf</w:t>
        </w:r>
      </w:hyperlink>
      <w:r w:rsidRPr="007B2402">
        <w:rPr>
          <w:sz w:val="16"/>
          <w:szCs w:val="16"/>
          <w:lang w:val="en-US"/>
        </w:rPr>
        <w:t xml:space="preserve">. See, also, UN. International Law Commission. </w:t>
      </w:r>
      <w:r w:rsidRPr="007B2402">
        <w:rPr>
          <w:i/>
          <w:iCs/>
          <w:sz w:val="16"/>
          <w:szCs w:val="16"/>
          <w:lang w:val="en-US"/>
        </w:rPr>
        <w:t xml:space="preserve">Fragmentation of international law: difficulties arising from the diversification and expansion of international law. </w:t>
      </w:r>
      <w:r w:rsidRPr="007B2402">
        <w:rPr>
          <w:sz w:val="16"/>
          <w:szCs w:val="16"/>
          <w:lang w:val="en-US"/>
        </w:rPr>
        <w:t xml:space="preserve">Report of the Study Group of the International Law Commission finalized by Martti Koskenniemi. A/CN.4/L.682. April 13, 2006, para. 374. This indicates that “Overall, the most frequently cited candidates for the status of </w:t>
      </w:r>
      <w:r w:rsidRPr="007B2402">
        <w:rPr>
          <w:i/>
          <w:iCs/>
          <w:sz w:val="16"/>
          <w:szCs w:val="16"/>
          <w:lang w:val="en-US"/>
        </w:rPr>
        <w:t>jus cogens</w:t>
      </w:r>
      <w:r w:rsidRPr="007B2402">
        <w:rPr>
          <w:sz w:val="16"/>
          <w:szCs w:val="16"/>
          <w:lang w:val="en-US"/>
        </w:rPr>
        <w:t xml:space="preserve"> include: (e) crimes against humanity,” Available at </w:t>
      </w:r>
      <w:hyperlink r:id="rId10" w:history="1">
        <w:r w:rsidRPr="007B2402">
          <w:rPr>
            <w:rStyle w:val="Hipervnculo"/>
            <w:sz w:val="16"/>
            <w:szCs w:val="16"/>
            <w:lang w:val="en-US"/>
          </w:rPr>
          <w:t>http://legal.un.org/ilc/documentation/english/a_cn4_l682.pdf</w:t>
        </w:r>
      </w:hyperlink>
      <w:r w:rsidRPr="007B2402">
        <w:rPr>
          <w:sz w:val="16"/>
          <w:szCs w:val="16"/>
          <w:lang w:val="en-US"/>
        </w:rPr>
        <w:t>.</w:t>
      </w:r>
    </w:p>
  </w:footnote>
  <w:footnote w:id="168">
    <w:p w14:paraId="7A45AA86" w14:textId="31F13E5C"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International Court of Justice (hereinafter “ICJ”). </w:t>
      </w:r>
      <w:r w:rsidRPr="007B2402">
        <w:rPr>
          <w:i/>
          <w:szCs w:val="16"/>
          <w:lang w:val="en-US"/>
        </w:rPr>
        <w:t>Questions relating to the obligation to prosecute or extradite (Belgium v. Senegal)</w:t>
      </w:r>
      <w:r w:rsidRPr="007B2402">
        <w:rPr>
          <w:szCs w:val="16"/>
          <w:lang w:val="en-US"/>
        </w:rPr>
        <w:t>, Judgment of July 20, 2012, p. 457, para. 99.</w:t>
      </w:r>
    </w:p>
  </w:footnote>
  <w:footnote w:id="169">
    <w:p w14:paraId="5DABD5AF" w14:textId="09D17226"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ICJ. </w:t>
      </w:r>
      <w:r w:rsidRPr="007B2402">
        <w:rPr>
          <w:i/>
          <w:szCs w:val="16"/>
          <w:lang w:val="en-US"/>
        </w:rPr>
        <w:t>Jurisdictional immunities of the State (Germany v. Italy: Greece intervening)</w:t>
      </w:r>
      <w:r w:rsidRPr="007B2402">
        <w:rPr>
          <w:szCs w:val="16"/>
          <w:lang w:val="en-US"/>
        </w:rPr>
        <w:t xml:space="preserve">, Judgment of February 3, 2012, p. 141, para. 95; International Criminal Tribunal for the former Yugoslavia (hereinafter “ICTY”). </w:t>
      </w:r>
      <w:r w:rsidRPr="007B2402">
        <w:rPr>
          <w:i/>
          <w:szCs w:val="16"/>
          <w:lang w:val="en-US"/>
        </w:rPr>
        <w:t>Prosecutor v. Furundžija</w:t>
      </w:r>
      <w:r w:rsidRPr="007B2402">
        <w:rPr>
          <w:szCs w:val="16"/>
          <w:lang w:val="en-US"/>
        </w:rPr>
        <w:t xml:space="preserve">, Judgment of December 10, 1998, case No. IT-95-17/1-T, para. 153; European Court of Human Rights (hereinafter “ECHR”). </w:t>
      </w:r>
      <w:r w:rsidRPr="007B2402">
        <w:rPr>
          <w:i/>
          <w:szCs w:val="16"/>
          <w:lang w:val="en-US"/>
        </w:rPr>
        <w:t xml:space="preserve">Case of Al-Adsani v. The United Kingdom </w:t>
      </w:r>
      <w:r w:rsidRPr="007B2402">
        <w:rPr>
          <w:szCs w:val="16"/>
          <w:lang w:val="en-US"/>
        </w:rPr>
        <w:t>[GS], No. 35763/97. Judgment of November 21, 2001, para. 61.</w:t>
      </w:r>
    </w:p>
  </w:footnote>
  <w:footnote w:id="170">
    <w:p w14:paraId="24316FEB" w14:textId="04B0E05F"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UN. </w:t>
      </w:r>
      <w:r w:rsidRPr="007B2402">
        <w:rPr>
          <w:i/>
          <w:szCs w:val="16"/>
          <w:lang w:val="en-US"/>
        </w:rPr>
        <w:t>Report of the International Law Commission on the work of its sixty-ninth session (1 May-2 June and 3 July-4 August 2017)</w:t>
      </w:r>
      <w:r w:rsidRPr="007B2402">
        <w:rPr>
          <w:szCs w:val="16"/>
          <w:lang w:val="en-US"/>
        </w:rPr>
        <w:t>. A/72/10, p. 26, commentary 4 on Article 2.</w:t>
      </w:r>
    </w:p>
  </w:footnote>
  <w:footnote w:id="171">
    <w:p w14:paraId="179F5FF1" w14:textId="282D864D" w:rsidR="00920DEA" w:rsidRPr="007B2402" w:rsidRDefault="00920DEA" w:rsidP="005B1590">
      <w:pPr>
        <w:pStyle w:val="Textonotapie"/>
        <w:spacing w:after="80"/>
        <w:rPr>
          <w:b/>
          <w:szCs w:val="16"/>
          <w:lang w:val="en-US"/>
        </w:rPr>
      </w:pPr>
      <w:r w:rsidRPr="007B2402">
        <w:rPr>
          <w:rStyle w:val="Refdenotaalpie"/>
          <w:rFonts w:ascii="Verdana" w:hAnsi="Verdana"/>
          <w:szCs w:val="16"/>
          <w:lang w:val="en-US"/>
        </w:rPr>
        <w:footnoteRef/>
      </w:r>
      <w:r w:rsidRPr="007B2402">
        <w:rPr>
          <w:b/>
          <w:szCs w:val="16"/>
          <w:lang w:val="en-US"/>
        </w:rPr>
        <w:t xml:space="preserve"> </w:t>
      </w:r>
      <w:r w:rsidRPr="007B2402">
        <w:rPr>
          <w:i/>
          <w:szCs w:val="16"/>
          <w:lang w:val="en-US"/>
        </w:rPr>
        <w:t>Cf.</w:t>
      </w:r>
      <w:r w:rsidRPr="007B2402">
        <w:rPr>
          <w:szCs w:val="16"/>
          <w:lang w:val="en-US"/>
        </w:rPr>
        <w:t xml:space="preserve"> ECHR</w:t>
      </w:r>
      <w:r w:rsidRPr="007B2402">
        <w:rPr>
          <w:i/>
          <w:szCs w:val="16"/>
          <w:lang w:val="en-US"/>
        </w:rPr>
        <w:t>.</w:t>
      </w:r>
      <w:r w:rsidRPr="007B2402">
        <w:rPr>
          <w:szCs w:val="16"/>
          <w:lang w:val="en-US"/>
        </w:rPr>
        <w:t xml:space="preserve"> </w:t>
      </w:r>
      <w:r w:rsidRPr="007B2402">
        <w:rPr>
          <w:i/>
          <w:szCs w:val="16"/>
          <w:lang w:val="en-US"/>
        </w:rPr>
        <w:t>Case of Kolk and Kislyiy v. Estonia</w:t>
      </w:r>
      <w:r w:rsidRPr="007B2402">
        <w:rPr>
          <w:szCs w:val="16"/>
          <w:lang w:val="en-US"/>
        </w:rPr>
        <w:t xml:space="preserve">, Nos. 23052/04 and 24018/04. Inadmissibility decision of January 17, 2006; See also, similarlyL </w:t>
      </w:r>
      <w:r w:rsidRPr="007B2402">
        <w:rPr>
          <w:i/>
          <w:szCs w:val="16"/>
          <w:lang w:val="en-US"/>
        </w:rPr>
        <w:t xml:space="preserve">Case of Vasiliauskas v. Lithuania </w:t>
      </w:r>
      <w:r w:rsidRPr="007B2402">
        <w:rPr>
          <w:szCs w:val="16"/>
          <w:lang w:val="en-US"/>
        </w:rPr>
        <w:t xml:space="preserve">[GS], No. 35343/05. Judgment of October 20, 2015, paras. 167, 168, 170 and 172; Extraordinary Chambers in the Courts of Cambodia (hereinafter “ECCC”). </w:t>
      </w:r>
      <w:r w:rsidRPr="007B2402">
        <w:rPr>
          <w:i/>
          <w:szCs w:val="16"/>
          <w:lang w:val="en-US"/>
        </w:rPr>
        <w:t xml:space="preserve">Decision on preliminary objections in the case against Ieng Sary </w:t>
      </w:r>
      <w:r w:rsidRPr="007B2402">
        <w:rPr>
          <w:rFonts w:cs="Arial"/>
          <w:i/>
          <w:szCs w:val="16"/>
          <w:lang w:val="en-US"/>
        </w:rPr>
        <w:t>(Ne Bis in Idem and Amnesty and Pardon)</w:t>
      </w:r>
      <w:r w:rsidRPr="007B2402">
        <w:rPr>
          <w:rFonts w:cs="Arial"/>
          <w:szCs w:val="16"/>
          <w:lang w:val="en-US"/>
        </w:rPr>
        <w:t xml:space="preserve">, Case No. 002/19-09-2007/ECCC/TC, Trial Judgment of November 3, 2011, para. 41. </w:t>
      </w:r>
    </w:p>
  </w:footnote>
  <w:footnote w:id="172">
    <w:p w14:paraId="583064A9" w14:textId="74DD25F4" w:rsidR="00920DEA" w:rsidRPr="007B2402" w:rsidRDefault="00920DEA" w:rsidP="004B46F7">
      <w:pPr>
        <w:spacing w:after="80" w:line="240" w:lineRule="auto"/>
        <w:jc w:val="both"/>
        <w:rPr>
          <w:sz w:val="16"/>
          <w:szCs w:val="16"/>
          <w:lang w:val="en-US"/>
        </w:rPr>
      </w:pPr>
      <w:r w:rsidRPr="007B2402">
        <w:rPr>
          <w:rStyle w:val="Refdenotaalpie"/>
          <w:rFonts w:ascii="Verdana" w:hAnsi="Verdana" w:cs="Arial"/>
          <w:sz w:val="16"/>
          <w:szCs w:val="16"/>
          <w:lang w:val="en-US"/>
        </w:rPr>
        <w:footnoteRef/>
      </w:r>
      <w:r w:rsidRPr="007B2402">
        <w:rPr>
          <w:rFonts w:cs="Arial"/>
          <w:sz w:val="16"/>
          <w:szCs w:val="16"/>
          <w:lang w:val="en-US"/>
        </w:rPr>
        <w:t xml:space="preserve"> See, in this regard, for example, Supreme Court of Justice of the Nation, Argentina: Appeal. Judgment of November 2, 1995, Case of Erich Priebke No. 16.063/94, </w:t>
      </w:r>
      <w:r w:rsidRPr="007B2402">
        <w:rPr>
          <w:i/>
          <w:sz w:val="16"/>
          <w:szCs w:val="16"/>
          <w:lang w:val="en-US"/>
        </w:rPr>
        <w:t>considerandum</w:t>
      </w:r>
      <w:r w:rsidRPr="007B2402">
        <w:rPr>
          <w:rFonts w:cs="Arial"/>
          <w:sz w:val="16"/>
          <w:szCs w:val="16"/>
          <w:lang w:val="en-US"/>
        </w:rPr>
        <w:t xml:space="preserve"> 4 and Concurring opinion of Judge Julio S. Nazareno and Eduardo Moline O’Connor, </w:t>
      </w:r>
      <w:r w:rsidRPr="007B2402">
        <w:rPr>
          <w:rFonts w:cs="Arial"/>
          <w:i/>
          <w:sz w:val="16"/>
          <w:szCs w:val="16"/>
          <w:lang w:val="en-US"/>
        </w:rPr>
        <w:t>consideranda</w:t>
      </w:r>
      <w:r w:rsidRPr="007B2402">
        <w:rPr>
          <w:rFonts w:cs="Arial"/>
          <w:sz w:val="16"/>
          <w:szCs w:val="16"/>
          <w:lang w:val="en-US"/>
        </w:rPr>
        <w:t xml:space="preserve"> 76 and 77; Appeal. Judgment of August 24, 2004, Case of Arancibia Clavel, Enrique Lautaro, case No. 259, </w:t>
      </w:r>
      <w:r w:rsidRPr="007B2402">
        <w:rPr>
          <w:rFonts w:cs="Arial"/>
          <w:i/>
          <w:sz w:val="16"/>
          <w:szCs w:val="16"/>
          <w:lang w:val="en-US"/>
        </w:rPr>
        <w:t>consideranda</w:t>
      </w:r>
      <w:r w:rsidRPr="007B2402">
        <w:rPr>
          <w:rFonts w:cs="Arial"/>
          <w:sz w:val="16"/>
          <w:szCs w:val="16"/>
          <w:lang w:val="en-US"/>
        </w:rPr>
        <w:t xml:space="preserve"> 34 to 38 and Opinion of Judge Antonio Boggiano, </w:t>
      </w:r>
      <w:r w:rsidRPr="007B2402">
        <w:rPr>
          <w:i/>
          <w:sz w:val="16"/>
          <w:szCs w:val="16"/>
          <w:lang w:val="en-US"/>
        </w:rPr>
        <w:t>considerandum</w:t>
      </w:r>
      <w:r w:rsidRPr="007B2402">
        <w:rPr>
          <w:rFonts w:cs="Arial"/>
          <w:sz w:val="16"/>
          <w:szCs w:val="16"/>
          <w:lang w:val="en-US"/>
        </w:rPr>
        <w:t xml:space="preserve"> 29; Appeal. Judgment of June 14, 2005, Case of Julio Héctor Simón </w:t>
      </w:r>
      <w:r w:rsidRPr="007B2402">
        <w:rPr>
          <w:rFonts w:cs="Arial"/>
          <w:i/>
          <w:iCs/>
          <w:sz w:val="16"/>
          <w:szCs w:val="16"/>
          <w:lang w:val="en-US"/>
        </w:rPr>
        <w:t>et al.,</w:t>
      </w:r>
      <w:r w:rsidRPr="007B2402">
        <w:rPr>
          <w:rFonts w:cs="Arial"/>
          <w:sz w:val="16"/>
          <w:szCs w:val="16"/>
          <w:lang w:val="en-US"/>
        </w:rPr>
        <w:t xml:space="preserve"> case No. 17.768, Opinion of Judge Antonio Boggiano, </w:t>
      </w:r>
      <w:r w:rsidRPr="007B2402">
        <w:rPr>
          <w:rFonts w:cs="Arial"/>
          <w:i/>
          <w:sz w:val="16"/>
          <w:szCs w:val="16"/>
          <w:lang w:val="en-US"/>
        </w:rPr>
        <w:t>consideranda</w:t>
      </w:r>
      <w:r w:rsidRPr="007B2402">
        <w:rPr>
          <w:rFonts w:cs="Arial"/>
          <w:sz w:val="16"/>
          <w:szCs w:val="16"/>
          <w:lang w:val="en-US"/>
        </w:rPr>
        <w:t xml:space="preserve"> 28 and 42; See also: Federal Criminal and Correctional Appeals Chamber, Argentina, Appeal for annulment. September 9, 1999, Case of Videla </w:t>
      </w:r>
      <w:r w:rsidRPr="007B2402">
        <w:rPr>
          <w:rFonts w:cs="Arial"/>
          <w:i/>
          <w:iCs/>
          <w:sz w:val="16"/>
          <w:szCs w:val="16"/>
          <w:lang w:val="en-US"/>
        </w:rPr>
        <w:t>et al.,</w:t>
      </w:r>
      <w:r w:rsidRPr="007B2402">
        <w:rPr>
          <w:rFonts w:cs="Arial"/>
          <w:sz w:val="16"/>
          <w:szCs w:val="16"/>
          <w:lang w:val="en-US"/>
        </w:rPr>
        <w:t xml:space="preserve"> </w:t>
      </w:r>
      <w:r w:rsidRPr="007B2402">
        <w:rPr>
          <w:i/>
          <w:sz w:val="16"/>
          <w:szCs w:val="16"/>
          <w:lang w:val="en-US"/>
        </w:rPr>
        <w:t>considerandum</w:t>
      </w:r>
      <w:r w:rsidRPr="007B2402">
        <w:rPr>
          <w:rFonts w:cs="Arial"/>
          <w:sz w:val="16"/>
          <w:szCs w:val="16"/>
          <w:lang w:val="en-US"/>
        </w:rPr>
        <w:t xml:space="preserve"> IV; Federal Criminal Oral Court No. 1 of San Martín, Judgment for crimes against humanity. August 12, 2009, General Riveros </w:t>
      </w:r>
      <w:r w:rsidRPr="007B2402">
        <w:rPr>
          <w:rFonts w:cs="Arial"/>
          <w:i/>
          <w:iCs/>
          <w:sz w:val="16"/>
          <w:szCs w:val="16"/>
          <w:lang w:val="en-US"/>
        </w:rPr>
        <w:t>et al.</w:t>
      </w:r>
      <w:r w:rsidRPr="007B2402">
        <w:rPr>
          <w:rFonts w:cs="Arial"/>
          <w:sz w:val="16"/>
          <w:szCs w:val="16"/>
          <w:lang w:val="en-US"/>
        </w:rPr>
        <w:t xml:space="preserve"> in the case of Floreal Edgardo Avellaneda </w:t>
      </w:r>
      <w:r w:rsidRPr="007B2402">
        <w:rPr>
          <w:rFonts w:cs="Arial"/>
          <w:i/>
          <w:iCs/>
          <w:sz w:val="16"/>
          <w:szCs w:val="16"/>
          <w:lang w:val="en-US"/>
        </w:rPr>
        <w:t>et al.,</w:t>
      </w:r>
      <w:r w:rsidRPr="007B2402">
        <w:rPr>
          <w:rFonts w:cs="Arial"/>
          <w:sz w:val="16"/>
          <w:szCs w:val="16"/>
          <w:lang w:val="en-US"/>
        </w:rPr>
        <w:t xml:space="preserve"> </w:t>
      </w:r>
      <w:r w:rsidRPr="007B2402">
        <w:rPr>
          <w:i/>
          <w:sz w:val="16"/>
          <w:szCs w:val="16"/>
          <w:lang w:val="en-US"/>
        </w:rPr>
        <w:t>considerandum</w:t>
      </w:r>
      <w:r w:rsidRPr="007B2402">
        <w:rPr>
          <w:rFonts w:cs="Arial"/>
          <w:sz w:val="16"/>
          <w:szCs w:val="16"/>
          <w:lang w:val="en-US"/>
        </w:rPr>
        <w:t xml:space="preserve"> I; </w:t>
      </w:r>
      <w:r w:rsidRPr="007B2402">
        <w:rPr>
          <w:sz w:val="16"/>
          <w:szCs w:val="16"/>
          <w:lang w:val="en-US"/>
        </w:rPr>
        <w:t>Federal Criminal Oral Court (La Plata). September 26, 2006, Case of “</w:t>
      </w:r>
      <w:r w:rsidRPr="007B2402">
        <w:rPr>
          <w:i/>
          <w:iCs/>
          <w:sz w:val="16"/>
          <w:szCs w:val="16"/>
          <w:lang w:val="en-US"/>
        </w:rPr>
        <w:t>Circuito Camps</w:t>
      </w:r>
      <w:r w:rsidRPr="007B2402">
        <w:rPr>
          <w:sz w:val="16"/>
          <w:szCs w:val="16"/>
          <w:lang w:val="en-US"/>
        </w:rPr>
        <w:t xml:space="preserve">” </w:t>
      </w:r>
      <w:r w:rsidRPr="007B2402">
        <w:rPr>
          <w:i/>
          <w:iCs/>
          <w:sz w:val="16"/>
          <w:szCs w:val="16"/>
          <w:lang w:val="en-US"/>
        </w:rPr>
        <w:t>et al.,</w:t>
      </w:r>
      <w:r w:rsidRPr="007B2402">
        <w:rPr>
          <w:sz w:val="16"/>
          <w:szCs w:val="16"/>
          <w:lang w:val="en-US"/>
        </w:rPr>
        <w:t xml:space="preserve"> case No. 2251/06, </w:t>
      </w:r>
      <w:r w:rsidRPr="007B2402">
        <w:rPr>
          <w:i/>
          <w:sz w:val="16"/>
          <w:szCs w:val="16"/>
          <w:lang w:val="en-US"/>
        </w:rPr>
        <w:t>considerandum</w:t>
      </w:r>
      <w:r w:rsidRPr="007B2402">
        <w:rPr>
          <w:sz w:val="16"/>
          <w:szCs w:val="16"/>
          <w:lang w:val="en-US"/>
        </w:rPr>
        <w:t xml:space="preserve"> IV.A</w:t>
      </w:r>
      <w:r w:rsidRPr="007B2402">
        <w:rPr>
          <w:rFonts w:cs="Arial"/>
          <w:sz w:val="16"/>
          <w:szCs w:val="16"/>
          <w:lang w:val="en-US"/>
        </w:rPr>
        <w:t xml:space="preserve">. See also: Supreme Court of Justice of the Republic of Peru. Special Criminal Chamber. Judgment of April 7, 2009, Case of Alberto Fujimori, File No. 17-2001, </w:t>
      </w:r>
      <w:r w:rsidRPr="007B2402">
        <w:rPr>
          <w:i/>
          <w:sz w:val="16"/>
          <w:szCs w:val="16"/>
          <w:lang w:val="en-US"/>
        </w:rPr>
        <w:t>consideranda</w:t>
      </w:r>
      <w:r w:rsidRPr="007B2402">
        <w:rPr>
          <w:rFonts w:cs="Arial"/>
          <w:sz w:val="16"/>
          <w:szCs w:val="16"/>
          <w:lang w:val="en-US"/>
        </w:rPr>
        <w:t xml:space="preserve"> 710 and 711; Superior Court of Justice of Lima. First Special Criminal Chamber. Judgment of September 15, 2010, File No. 28-2001-1ºSPE/CSJLI. Similarly, see: Supreme Court of Justice of Uruguay: Cassation appeal, August 12, 2015. Case file 97-78/2012, Judgment 1,061/2015, </w:t>
      </w:r>
      <w:r w:rsidRPr="007B2402">
        <w:rPr>
          <w:rFonts w:cs="Arial"/>
          <w:i/>
          <w:sz w:val="16"/>
          <w:szCs w:val="16"/>
          <w:lang w:val="en-US"/>
        </w:rPr>
        <w:t>considerandum</w:t>
      </w:r>
      <w:r w:rsidRPr="007B2402">
        <w:rPr>
          <w:rFonts w:cs="Arial"/>
          <w:sz w:val="16"/>
          <w:szCs w:val="16"/>
          <w:lang w:val="en-US"/>
        </w:rPr>
        <w:t xml:space="preserve"> III.1.b; Cassation appeal, August 24, 2016. Case file 170-298/2011, Judgment 1,280/2016, </w:t>
      </w:r>
      <w:r w:rsidRPr="007B2402">
        <w:rPr>
          <w:rFonts w:cs="Arial"/>
          <w:i/>
          <w:sz w:val="16"/>
          <w:szCs w:val="16"/>
          <w:lang w:val="en-US"/>
        </w:rPr>
        <w:t>considerandum</w:t>
      </w:r>
      <w:r w:rsidRPr="007B2402">
        <w:rPr>
          <w:rFonts w:cs="Arial"/>
          <w:sz w:val="16"/>
          <w:szCs w:val="16"/>
          <w:lang w:val="en-US"/>
        </w:rPr>
        <w:t xml:space="preserve"> III.1; Cassation appeal, September 8, 2016. Case file 395-136/2012, Judgment 1,383/2016, </w:t>
      </w:r>
      <w:r w:rsidRPr="007B2402">
        <w:rPr>
          <w:rFonts w:cs="Arial"/>
          <w:i/>
          <w:sz w:val="16"/>
          <w:szCs w:val="16"/>
          <w:lang w:val="en-US"/>
        </w:rPr>
        <w:t>considerandum</w:t>
      </w:r>
      <w:r w:rsidRPr="007B2402">
        <w:rPr>
          <w:rFonts w:cs="Arial"/>
          <w:sz w:val="16"/>
          <w:szCs w:val="16"/>
          <w:lang w:val="en-US"/>
        </w:rPr>
        <w:t xml:space="preserve"> III.3. </w:t>
      </w:r>
    </w:p>
  </w:footnote>
  <w:footnote w:id="173">
    <w:p w14:paraId="53928581" w14:textId="078870CC" w:rsidR="00920DEA" w:rsidRPr="007B2402" w:rsidRDefault="00920DEA" w:rsidP="004B46F7">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UN. Human Rights Council. </w:t>
      </w:r>
      <w:r w:rsidRPr="007B2402">
        <w:rPr>
          <w:i/>
          <w:szCs w:val="16"/>
          <w:lang w:val="en-US"/>
        </w:rPr>
        <w:t>Report of Special Rapporteur torture and other cruel, inhuman or degrading treatment or punishment</w:t>
      </w:r>
      <w:r w:rsidRPr="007B2402">
        <w:rPr>
          <w:szCs w:val="16"/>
          <w:lang w:val="en-US"/>
        </w:rPr>
        <w:t xml:space="preserve">. A/HRC/34/54. February 14, 2017, para. 18. Available at: </w:t>
      </w:r>
      <w:hyperlink r:id="rId11" w:history="1">
        <w:r w:rsidRPr="007B2402">
          <w:rPr>
            <w:rStyle w:val="Hipervnculo"/>
            <w:szCs w:val="16"/>
            <w:lang w:val="en-US"/>
          </w:rPr>
          <w:t>https://undocs.org/A/HRC/34/54</w:t>
        </w:r>
      </w:hyperlink>
      <w:r w:rsidRPr="007B2402">
        <w:rPr>
          <w:szCs w:val="16"/>
          <w:lang w:val="en-US"/>
        </w:rPr>
        <w:t xml:space="preserve">; International Law Commission </w:t>
      </w:r>
      <w:r w:rsidRPr="007B2402">
        <w:rPr>
          <w:i/>
          <w:szCs w:val="16"/>
          <w:lang w:val="en-US"/>
        </w:rPr>
        <w:t>First report on crimes against humanity by Sean D. Murphy, Special Rapporteur.</w:t>
      </w:r>
      <w:r w:rsidRPr="007B2402">
        <w:rPr>
          <w:szCs w:val="16"/>
          <w:lang w:val="en-US"/>
        </w:rPr>
        <w:t xml:space="preserve"> A/CN.4/680. February 17, 2015, para. 39. Available at: </w:t>
      </w:r>
      <w:hyperlink r:id="rId12" w:history="1">
        <w:r w:rsidRPr="007B2402">
          <w:rPr>
            <w:rStyle w:val="Hipervnculo"/>
            <w:szCs w:val="16"/>
            <w:lang w:val="en-US"/>
          </w:rPr>
          <w:t>https://undocs.org/en/A/CN.4/680</w:t>
        </w:r>
      </w:hyperlink>
      <w:r w:rsidRPr="007B2402">
        <w:rPr>
          <w:szCs w:val="16"/>
          <w:lang w:val="en-US"/>
        </w:rPr>
        <w:t>.</w:t>
      </w:r>
    </w:p>
  </w:footnote>
  <w:footnote w:id="174">
    <w:p w14:paraId="42B6E4C0" w14:textId="04AC2A61" w:rsidR="00920DEA" w:rsidRPr="007B2402" w:rsidRDefault="00920DEA" w:rsidP="004B46F7">
      <w:pPr>
        <w:tabs>
          <w:tab w:val="left" w:pos="7290"/>
        </w:tabs>
        <w:spacing w:after="80" w:line="240" w:lineRule="auto"/>
        <w:jc w:val="both"/>
        <w:rPr>
          <w:i/>
          <w:sz w:val="16"/>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sz w:val="16"/>
          <w:szCs w:val="16"/>
          <w:lang w:val="en-US"/>
        </w:rPr>
        <w:t>(a) Murder; (b) Extermination; (c) Enslavement; (d) Deportation or forcible transfer of population; (e) Imprisonment or other severe deprivation of physical liberty in violation of fundamental rules of international law; (f) Torture; (g) Rape, sexual slavery, enforced prostitution, forced pregnancy, enforced sterilization, or any other form of sexual violence of comparable gravity; (h) Persecution against any identifiable group or collectivity on political, racial, national, ethnic, cultural, religious, gender as defined in paragraph 3, or other grounds that are universally recognized as impermissible under international law, in connection with any act referred to in this paragraph or any crime within the jurisdiction of the Court; (i) Enforced disappearance of persons; (j) The crime of apartheid; (k) Other inhumane acts of a similar character intentionally causing great suffering, or serious injury to body or to mental or physical health.</w:t>
      </w:r>
    </w:p>
  </w:footnote>
  <w:footnote w:id="175">
    <w:p w14:paraId="1DE4F04F" w14:textId="2E95B582"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UN. </w:t>
      </w:r>
      <w:r w:rsidRPr="007B2402">
        <w:rPr>
          <w:i/>
          <w:szCs w:val="16"/>
          <w:lang w:val="en-US"/>
        </w:rPr>
        <w:t>Report of the International Law Commission on the work of its forty-eighth session (6 May-26 July, 1996)</w:t>
      </w:r>
      <w:r w:rsidRPr="007B2402">
        <w:rPr>
          <w:szCs w:val="16"/>
          <w:lang w:val="en-US"/>
        </w:rPr>
        <w:t xml:space="preserve">. A/51/10. p. 47. Commentaries 3, 4 and 5 on article 18 of the Draft code of crimes against the peace and security of mankind. Available at: </w:t>
      </w:r>
      <w:hyperlink r:id="rId13" w:history="1">
        <w:r w:rsidRPr="007B2402">
          <w:rPr>
            <w:rStyle w:val="Hipervnculo"/>
            <w:szCs w:val="16"/>
            <w:lang w:val="en-US"/>
          </w:rPr>
          <w:t>http://legal.un.org/ilc/documentation/english/reports/a_51_10.pdf</w:t>
        </w:r>
      </w:hyperlink>
      <w:r w:rsidRPr="007B2402">
        <w:rPr>
          <w:szCs w:val="16"/>
          <w:lang w:val="en-US"/>
        </w:rPr>
        <w:t>.</w:t>
      </w:r>
    </w:p>
  </w:footnote>
  <w:footnote w:id="176">
    <w:p w14:paraId="2C3EE8B7" w14:textId="30BDFF3A"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For a detailed analysis of the evolution and interpretation of the three general conditions for crimes against humanity, see UN. </w:t>
      </w:r>
      <w:r w:rsidRPr="007B2402">
        <w:rPr>
          <w:i/>
          <w:szCs w:val="16"/>
          <w:lang w:val="en-US"/>
        </w:rPr>
        <w:t>Report of the International Law Commission on the work of its sixty-ninth session (1 May-2 June and 3 July-4 August 2017)</w:t>
      </w:r>
      <w:r w:rsidRPr="007B2402">
        <w:rPr>
          <w:szCs w:val="16"/>
          <w:lang w:val="en-US"/>
        </w:rPr>
        <w:t xml:space="preserve">. A/72/10, pp. 33 and </w:t>
      </w:r>
      <w:r w:rsidRPr="007B2402">
        <w:rPr>
          <w:i/>
          <w:iCs/>
          <w:szCs w:val="16"/>
          <w:lang w:val="en-US"/>
        </w:rPr>
        <w:t>ff.</w:t>
      </w:r>
      <w:r w:rsidRPr="007B2402">
        <w:rPr>
          <w:szCs w:val="16"/>
          <w:lang w:val="en-US"/>
        </w:rPr>
        <w:t xml:space="preserve"> </w:t>
      </w:r>
    </w:p>
  </w:footnote>
  <w:footnote w:id="177">
    <w:p w14:paraId="04728F39" w14:textId="3E796E41"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ICTY. </w:t>
      </w:r>
      <w:r w:rsidRPr="007B2402">
        <w:rPr>
          <w:i/>
          <w:szCs w:val="16"/>
          <w:lang w:val="en-US"/>
        </w:rPr>
        <w:t>Prosecutor v. Duško Tadić</w:t>
      </w:r>
      <w:r w:rsidRPr="007B2402">
        <w:rPr>
          <w:szCs w:val="16"/>
          <w:lang w:val="en-US"/>
        </w:rPr>
        <w:t>. Judgment of May 7, 1997. Case No. IT-94-1-T, paras. 627- 660. In particular, the ICTY referred to the requirements of “widespread” and “systematic” as follows: “It is therefore the desire to exclude isolated or random acts from the notion of crimes against humanity that led to the inclusion of the requirement that the acts must be directed against a civilian “population”, and either a finding of widespreadness, which refers to the number of victims, or systematicity, indicating that a pattern or methodical plan is evident, fulfils this requirement” (para. 648).</w:t>
      </w:r>
      <w:r w:rsidRPr="007B2402">
        <w:rPr>
          <w:b/>
          <w:szCs w:val="16"/>
          <w:lang w:val="en-US"/>
        </w:rPr>
        <w:t xml:space="preserve"> </w:t>
      </w:r>
      <w:r w:rsidRPr="007B2402">
        <w:rPr>
          <w:szCs w:val="16"/>
          <w:lang w:val="en-US"/>
        </w:rPr>
        <w:t xml:space="preserve">See also: </w:t>
      </w:r>
      <w:r w:rsidRPr="007B2402">
        <w:rPr>
          <w:i/>
          <w:szCs w:val="16"/>
          <w:lang w:val="en-US"/>
        </w:rPr>
        <w:t>Prosecutor</w:t>
      </w:r>
      <w:r w:rsidRPr="007B2402">
        <w:rPr>
          <w:i/>
          <w:iCs/>
          <w:szCs w:val="16"/>
          <w:lang w:val="en-US"/>
        </w:rPr>
        <w:t xml:space="preserve"> v.</w:t>
      </w:r>
      <w:r w:rsidRPr="007B2402">
        <w:rPr>
          <w:i/>
          <w:szCs w:val="16"/>
          <w:lang w:val="en-US"/>
        </w:rPr>
        <w:t> </w:t>
      </w:r>
      <w:r w:rsidRPr="007B2402">
        <w:rPr>
          <w:i/>
          <w:iCs/>
          <w:szCs w:val="16"/>
          <w:lang w:val="en-US"/>
        </w:rPr>
        <w:t>Kupreškić</w:t>
      </w:r>
      <w:r w:rsidRPr="007B2402">
        <w:rPr>
          <w:i/>
          <w:szCs w:val="16"/>
          <w:lang w:val="en-US"/>
        </w:rPr>
        <w:t xml:space="preserve"> and Others.</w:t>
      </w:r>
      <w:r w:rsidRPr="007B2402">
        <w:rPr>
          <w:iCs/>
          <w:szCs w:val="16"/>
          <w:lang w:val="en-US"/>
        </w:rPr>
        <w:t xml:space="preserve"> Judgment of January 14, 2000. Case of No. </w:t>
      </w:r>
      <w:r w:rsidRPr="007B2402">
        <w:rPr>
          <w:szCs w:val="16"/>
          <w:lang w:val="en-US"/>
        </w:rPr>
        <w:t>IT</w:t>
      </w:r>
      <w:r w:rsidRPr="007B2402">
        <w:rPr>
          <w:szCs w:val="16"/>
          <w:lang w:val="en-US"/>
        </w:rPr>
        <w:noBreakHyphen/>
        <w:t>95</w:t>
      </w:r>
      <w:r w:rsidRPr="007B2402">
        <w:rPr>
          <w:szCs w:val="16"/>
          <w:lang w:val="en-US"/>
        </w:rPr>
        <w:noBreakHyphen/>
        <w:t>16-T, paras. 647 to 658.</w:t>
      </w:r>
    </w:p>
  </w:footnote>
  <w:footnote w:id="178">
    <w:p w14:paraId="39ED2FE9" w14:textId="194AE46B"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ICTR. </w:t>
      </w:r>
      <w:r w:rsidRPr="007B2402">
        <w:rPr>
          <w:i/>
          <w:szCs w:val="16"/>
          <w:lang w:val="en-US"/>
        </w:rPr>
        <w:t>Prosecutor v. Jean-Paul Akayesu</w:t>
      </w:r>
      <w:r w:rsidRPr="007B2402">
        <w:rPr>
          <w:szCs w:val="16"/>
          <w:lang w:val="en-US"/>
        </w:rPr>
        <w:t xml:space="preserve">. Judgment of September 2, 1998, Case of No. ICTR-96-4-T, para. 578. In addition, the ICTR considered that “[t]he concept of ‘widespread’ may be defined as massive, frequent, large scale action, carried out collectively with considerable seriousness and directed against a multiplicity of victims.” It added that “[t]he concept of ‘systematic' may be defined as thoroughly organised and following a regular pattern on the basis of a common policy involving substantial public or private resources. There is no requirement that this policy must be adopted formally as the policy of a state. There must however be some kind of preconceived plan or policy.” (para. 580). </w:t>
      </w:r>
    </w:p>
  </w:footnote>
  <w:footnote w:id="179">
    <w:p w14:paraId="5B53CBF1" w14:textId="2A1A4633"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SCSL. </w:t>
      </w:r>
      <w:r w:rsidRPr="007B2402">
        <w:rPr>
          <w:i/>
          <w:szCs w:val="16"/>
          <w:lang w:val="en-US"/>
        </w:rPr>
        <w:t>Prosecutor v. Alex Tamba Brima and Others.</w:t>
      </w:r>
      <w:r w:rsidRPr="007B2402">
        <w:rPr>
          <w:szCs w:val="16"/>
          <w:lang w:val="en-US"/>
        </w:rPr>
        <w:t xml:space="preserve"> Judgment of June 20, 2007, Case No. SCSL-04-16-T, paras. 214 to 222.</w:t>
      </w:r>
    </w:p>
  </w:footnote>
  <w:footnote w:id="180">
    <w:p w14:paraId="38C3D5A3" w14:textId="7EA4C316"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ECHR. </w:t>
      </w:r>
      <w:r w:rsidRPr="007B2402">
        <w:rPr>
          <w:i/>
          <w:szCs w:val="16"/>
          <w:lang w:val="en-US"/>
        </w:rPr>
        <w:t xml:space="preserve">Korbely v. Hungary </w:t>
      </w:r>
      <w:r w:rsidRPr="007B2402">
        <w:rPr>
          <w:szCs w:val="16"/>
          <w:lang w:val="en-US"/>
        </w:rPr>
        <w:t xml:space="preserve">[GS]. </w:t>
      </w:r>
      <w:r w:rsidRPr="007B2402">
        <w:rPr>
          <w:iCs/>
          <w:szCs w:val="16"/>
          <w:lang w:val="en-US"/>
        </w:rPr>
        <w:t>N</w:t>
      </w:r>
      <w:r w:rsidRPr="007B2402">
        <w:rPr>
          <w:szCs w:val="16"/>
          <w:lang w:val="en-US"/>
        </w:rPr>
        <w:t>o. 9174/02. Judgment of September 19, 2008, paras. 78 to 84.</w:t>
      </w:r>
    </w:p>
  </w:footnote>
  <w:footnote w:id="181">
    <w:p w14:paraId="7F53D4B5" w14:textId="798CE11C"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rFonts w:cs="Arial"/>
          <w:szCs w:val="16"/>
          <w:lang w:val="en-US"/>
        </w:rPr>
        <w:t>Federal Criminal Oral Court (La Plata). September 26, 2006, Case of “</w:t>
      </w:r>
      <w:r w:rsidRPr="007B2402">
        <w:rPr>
          <w:rFonts w:cs="Arial"/>
          <w:i/>
          <w:iCs/>
          <w:szCs w:val="16"/>
          <w:lang w:val="en-US"/>
        </w:rPr>
        <w:t>Circuito Camps</w:t>
      </w:r>
      <w:r w:rsidRPr="007B2402">
        <w:rPr>
          <w:rFonts w:cs="Arial"/>
          <w:szCs w:val="16"/>
          <w:lang w:val="en-US"/>
        </w:rPr>
        <w:t xml:space="preserve">” </w:t>
      </w:r>
      <w:r w:rsidRPr="007B2402">
        <w:rPr>
          <w:rFonts w:cs="Arial"/>
          <w:i/>
          <w:iCs/>
          <w:szCs w:val="16"/>
          <w:lang w:val="en-US"/>
        </w:rPr>
        <w:t>et al.,</w:t>
      </w:r>
      <w:r w:rsidRPr="007B2402">
        <w:rPr>
          <w:rFonts w:cs="Arial"/>
          <w:szCs w:val="16"/>
          <w:lang w:val="en-US"/>
        </w:rPr>
        <w:t xml:space="preserve"> case No.2251/06; Fourth Chamber of the Federal Criminal Cassation Court</w:t>
      </w:r>
      <w:r w:rsidRPr="007B2402">
        <w:rPr>
          <w:szCs w:val="16"/>
          <w:lang w:val="en-US"/>
        </w:rPr>
        <w:t xml:space="preserve">. Criminal cassation appeal. February 17, 2012, Case of Gregorio Rafael Molina, case No. 12821; </w:t>
      </w:r>
      <w:r w:rsidRPr="007B2402">
        <w:rPr>
          <w:rFonts w:cs="Arial"/>
          <w:szCs w:val="16"/>
          <w:lang w:val="en-US"/>
        </w:rPr>
        <w:t xml:space="preserve">Federal Criminal Oral Court No. 1 of San Martín. Judgment for crimes against humanity. August 12, 2009, General Riveros </w:t>
      </w:r>
      <w:r w:rsidRPr="007B2402">
        <w:rPr>
          <w:rFonts w:cs="Arial"/>
          <w:i/>
          <w:iCs/>
          <w:szCs w:val="16"/>
          <w:lang w:val="en-US"/>
        </w:rPr>
        <w:t>et al.</w:t>
      </w:r>
      <w:r w:rsidRPr="007B2402">
        <w:rPr>
          <w:rFonts w:cs="Arial"/>
          <w:szCs w:val="16"/>
          <w:lang w:val="en-US"/>
        </w:rPr>
        <w:t xml:space="preserve"> in the case of Floreal Edgardo Avellaneda et al..</w:t>
      </w:r>
    </w:p>
  </w:footnote>
  <w:footnote w:id="182">
    <w:p w14:paraId="4D379E40" w14:textId="75E74639"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Justice and Peace Chamber of the Superior Court of the Bogotá Judicial Circuit. Judgment and comprehensive reparation. December 1, 2011, Case files: 1100160002532008-83194; 1100160002532007-83070 (José Rubén Peña Tobón, </w:t>
      </w:r>
      <w:r w:rsidRPr="007B2402">
        <w:rPr>
          <w:i/>
          <w:iCs/>
          <w:szCs w:val="16"/>
          <w:lang w:val="en-US"/>
        </w:rPr>
        <w:t>et. al.,</w:t>
      </w:r>
      <w:r w:rsidRPr="007B2402">
        <w:rPr>
          <w:szCs w:val="16"/>
          <w:lang w:val="en-US"/>
        </w:rPr>
        <w:t xml:space="preserve"> petitioners), paras. 71 to 81; Criminal Cassation Chamber of the Supreme Court of Justice of Colombia. Appeal judgment. September 21, 2009, Proceedings No. 32022 (Gian Carlo Gutiérrez Suárez, petitioner), </w:t>
      </w:r>
      <w:r w:rsidRPr="007B2402">
        <w:rPr>
          <w:i/>
          <w:szCs w:val="16"/>
          <w:lang w:val="en-US"/>
        </w:rPr>
        <w:t>considerandum</w:t>
      </w:r>
      <w:r w:rsidRPr="007B2402">
        <w:rPr>
          <w:szCs w:val="16"/>
          <w:lang w:val="en-US"/>
        </w:rPr>
        <w:t xml:space="preserve"> 4 (pp. 190 to 199).</w:t>
      </w:r>
    </w:p>
  </w:footnote>
  <w:footnote w:id="183">
    <w:p w14:paraId="28B8F3F6" w14:textId="29A74134"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Supreme Court of Justice of the Republic of Peru. Special Criminal Chamber. Judgment of April 7, 2009, Case of Alberto Fujimori, File No. 17-2001, </w:t>
      </w:r>
      <w:r w:rsidRPr="007B2402">
        <w:rPr>
          <w:i/>
          <w:szCs w:val="16"/>
          <w:lang w:val="en-US"/>
        </w:rPr>
        <w:t>consideranda</w:t>
      </w:r>
      <w:r w:rsidRPr="007B2402">
        <w:rPr>
          <w:szCs w:val="16"/>
          <w:lang w:val="en-US"/>
        </w:rPr>
        <w:t xml:space="preserve"> 710 to 717.</w:t>
      </w:r>
    </w:p>
  </w:footnote>
  <w:footnote w:id="184">
    <w:p w14:paraId="24F24B2D" w14:textId="71D19016"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Supreme Court of Chile. Replacement judgment. July 8, 2010, Murder of Carlos Prats and Sofía Cuthbert, Case file No. 2596-09 </w:t>
      </w:r>
    </w:p>
  </w:footnote>
  <w:footnote w:id="185">
    <w:p w14:paraId="7DA7F702" w14:textId="17DA8186"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Constitutional Court of Guatemala. Amparo appeal. December 18, 2014, file 3340-2013, </w:t>
      </w:r>
      <w:r w:rsidRPr="007B2402">
        <w:rPr>
          <w:i/>
          <w:szCs w:val="16"/>
          <w:lang w:val="en-US"/>
        </w:rPr>
        <w:t>considerandum</w:t>
      </w:r>
      <w:r w:rsidRPr="007B2402">
        <w:rPr>
          <w:szCs w:val="16"/>
          <w:lang w:val="en-US"/>
        </w:rPr>
        <w:t xml:space="preserve"> IV.</w:t>
      </w:r>
    </w:p>
  </w:footnote>
  <w:footnote w:id="186">
    <w:p w14:paraId="25B5EA95" w14:textId="1D864C12"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w:t>
      </w:r>
      <w:r w:rsidRPr="007B2402">
        <w:rPr>
          <w:szCs w:val="16"/>
          <w:lang w:val="en-US"/>
        </w:rPr>
        <w:t>Vienna Convention on the Law of Treaties (Vienna, May 23, 1969), Art. 53.</w:t>
      </w:r>
    </w:p>
  </w:footnote>
  <w:footnote w:id="187">
    <w:p w14:paraId="3C38901B" w14:textId="038E6A1A"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 Case of Goiburú</w:t>
      </w:r>
      <w:r w:rsidRPr="007B2402">
        <w:rPr>
          <w:szCs w:val="16"/>
          <w:lang w:val="en-US"/>
        </w:rPr>
        <w:t xml:space="preserve"> </w:t>
      </w:r>
      <w:r w:rsidRPr="007B2402">
        <w:rPr>
          <w:i/>
          <w:szCs w:val="16"/>
          <w:lang w:val="en-US"/>
        </w:rPr>
        <w:t>v. Paraguay</w:t>
      </w:r>
      <w:r w:rsidRPr="007B2402">
        <w:rPr>
          <w:szCs w:val="16"/>
          <w:lang w:val="en-US"/>
        </w:rPr>
        <w:t>, para. 128.</w:t>
      </w:r>
    </w:p>
  </w:footnote>
  <w:footnote w:id="188">
    <w:p w14:paraId="60FD4335" w14:textId="4D8FC5FB"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 Case of La Cantuta v. Peru.</w:t>
      </w:r>
      <w:r w:rsidRPr="007B2402">
        <w:rPr>
          <w:szCs w:val="16"/>
          <w:lang w:val="en-US"/>
        </w:rPr>
        <w:t xml:space="preserve"> Merits, reparations and costs,</w:t>
      </w:r>
      <w:r w:rsidRPr="007B2402">
        <w:rPr>
          <w:i/>
          <w:szCs w:val="16"/>
          <w:lang w:val="en-US"/>
        </w:rPr>
        <w:t xml:space="preserve"> </w:t>
      </w:r>
      <w:r w:rsidRPr="007B2402">
        <w:rPr>
          <w:szCs w:val="16"/>
          <w:lang w:val="en-US"/>
        </w:rPr>
        <w:t>para. 160.</w:t>
      </w:r>
    </w:p>
  </w:footnote>
  <w:footnote w:id="189">
    <w:p w14:paraId="6F083B91" w14:textId="35C96C0E" w:rsidR="00920DEA" w:rsidRPr="007B2402" w:rsidRDefault="00920DEA" w:rsidP="005B1590">
      <w:pPr>
        <w:pStyle w:val="Textonotapie"/>
        <w:spacing w:after="80"/>
        <w:rPr>
          <w:rFonts w:cs="Palatino-Italic"/>
          <w:iCs/>
          <w:szCs w:val="16"/>
          <w:lang w:val="es-CR"/>
        </w:rPr>
      </w:pPr>
      <w:r w:rsidRPr="007B2402">
        <w:rPr>
          <w:rStyle w:val="2FootnotesChar"/>
          <w:rFonts w:eastAsia="Batang"/>
          <w:szCs w:val="16"/>
          <w:vertAlign w:val="superscript"/>
          <w:lang w:val="en-US"/>
        </w:rPr>
        <w:footnoteRef/>
      </w:r>
      <w:r w:rsidRPr="007B2402">
        <w:rPr>
          <w:rStyle w:val="2FootnotesChar"/>
          <w:rFonts w:eastAsia="Batang"/>
          <w:szCs w:val="16"/>
          <w:lang w:val="en-US"/>
        </w:rPr>
        <w:t xml:space="preserve"> </w:t>
      </w:r>
      <w:r w:rsidRPr="007B2402">
        <w:rPr>
          <w:rStyle w:val="2FootnotesChar"/>
          <w:rFonts w:eastAsia="Batang"/>
          <w:i/>
          <w:szCs w:val="16"/>
          <w:lang w:val="en-US"/>
        </w:rPr>
        <w:t>Cf.</w:t>
      </w:r>
      <w:r w:rsidRPr="007B2402">
        <w:rPr>
          <w:rStyle w:val="2FootnotesChar"/>
          <w:rFonts w:eastAsia="Batang"/>
          <w:szCs w:val="16"/>
          <w:lang w:val="en-US"/>
        </w:rPr>
        <w:t xml:space="preserve"> UN. </w:t>
      </w:r>
      <w:r w:rsidRPr="007B2402">
        <w:rPr>
          <w:rStyle w:val="2FootnotesChar"/>
          <w:rFonts w:eastAsia="Batang"/>
          <w:i/>
          <w:iCs w:val="0"/>
          <w:szCs w:val="16"/>
          <w:lang w:val="en-US"/>
        </w:rPr>
        <w:t>Report of the International</w:t>
      </w:r>
      <w:r w:rsidRPr="007B2402">
        <w:rPr>
          <w:rStyle w:val="2FootnotesChar"/>
          <w:rFonts w:eastAsia="Batang"/>
          <w:szCs w:val="16"/>
          <w:lang w:val="en-US"/>
        </w:rPr>
        <w:t xml:space="preserve"> </w:t>
      </w:r>
      <w:r w:rsidRPr="007B2402">
        <w:rPr>
          <w:rStyle w:val="2FootnotesChar"/>
          <w:rFonts w:eastAsia="Batang"/>
          <w:i/>
          <w:iCs w:val="0"/>
          <w:szCs w:val="16"/>
          <w:lang w:val="en-US"/>
        </w:rPr>
        <w:t xml:space="preserve">Law Commission </w:t>
      </w:r>
      <w:r w:rsidRPr="007B2402">
        <w:rPr>
          <w:i/>
          <w:iCs/>
          <w:szCs w:val="16"/>
          <w:lang w:val="en-US"/>
        </w:rPr>
        <w:t xml:space="preserve">covering its second session, </w:t>
      </w:r>
      <w:r w:rsidRPr="007B2402">
        <w:rPr>
          <w:rStyle w:val="2FootnotesChar"/>
          <w:rFonts w:eastAsia="Batang"/>
          <w:i/>
          <w:iCs w:val="0"/>
          <w:szCs w:val="16"/>
          <w:lang w:val="en-US"/>
        </w:rPr>
        <w:t>5 June – 29 July 1950.</w:t>
      </w:r>
      <w:r w:rsidRPr="007B2402">
        <w:rPr>
          <w:rStyle w:val="2FootnotesChar"/>
          <w:rFonts w:eastAsia="Batang"/>
          <w:szCs w:val="16"/>
          <w:lang w:val="en-US"/>
        </w:rPr>
        <w:t xml:space="preserve"> A/1316, p. 11. Principles of International Law recognized in the Charter of the </w:t>
      </w:r>
      <w:r w:rsidRPr="007B2402">
        <w:rPr>
          <w:rFonts w:cs="Arial"/>
          <w:lang w:val="en-US"/>
        </w:rPr>
        <w:t>Nürn</w:t>
      </w:r>
      <w:r w:rsidRPr="007B2402">
        <w:rPr>
          <w:rStyle w:val="2FootnotesChar"/>
          <w:rFonts w:eastAsia="Batang"/>
          <w:szCs w:val="16"/>
          <w:lang w:val="en-US"/>
        </w:rPr>
        <w:t>berg Tribunal and in the Judgment of the Tribunal, Principle II: “</w:t>
      </w:r>
      <w:r w:rsidRPr="007B2402">
        <w:rPr>
          <w:szCs w:val="16"/>
          <w:lang w:val="en-US"/>
        </w:rPr>
        <w:t>The fact that internal law does not impose a penalty for an act which constitutes a crime under international law does not relieve the person who committed the act from responsibility under international law.”</w:t>
      </w:r>
      <w:r w:rsidRPr="007B2402">
        <w:rPr>
          <w:rStyle w:val="2FootnotesChar"/>
          <w:rFonts w:eastAsia="Batang"/>
          <w:szCs w:val="16"/>
          <w:lang w:val="en-US"/>
        </w:rPr>
        <w:t xml:space="preserve"> Available at </w:t>
      </w:r>
      <w:hyperlink r:id="rId14" w:history="1">
        <w:r w:rsidRPr="007B2402">
          <w:rPr>
            <w:rStyle w:val="Hipervnculo"/>
            <w:rFonts w:cs="Palatino-Italic"/>
            <w:szCs w:val="16"/>
            <w:lang w:val="en-US"/>
          </w:rPr>
          <w:t>http://legal.un.org/ilc/documentation/english/reports/a_cn4_34.pdf</w:t>
        </w:r>
      </w:hyperlink>
      <w:r w:rsidRPr="007B2402">
        <w:rPr>
          <w:rStyle w:val="2FootnotesChar"/>
          <w:rFonts w:eastAsia="Batang"/>
          <w:szCs w:val="16"/>
          <w:lang w:val="en-US"/>
        </w:rPr>
        <w:t>. International Court of Justice,</w:t>
      </w:r>
      <w:r w:rsidRPr="007B2402">
        <w:rPr>
          <w:szCs w:val="16"/>
          <w:lang w:val="en-US"/>
        </w:rPr>
        <w:t xml:space="preserve"> Judgment of September7, 1927, Matter of S.S. Lotus (France v. Turkey), Series A, No. 10 (1927), 2 (20); ECHR</w:t>
      </w:r>
      <w:r w:rsidRPr="007B2402">
        <w:rPr>
          <w:i/>
          <w:szCs w:val="16"/>
          <w:lang w:val="en-US"/>
        </w:rPr>
        <w:t>.</w:t>
      </w:r>
      <w:r w:rsidRPr="007B2402">
        <w:rPr>
          <w:szCs w:val="16"/>
          <w:lang w:val="en-US"/>
        </w:rPr>
        <w:t xml:space="preserve"> </w:t>
      </w:r>
      <w:r w:rsidRPr="007B2402">
        <w:rPr>
          <w:i/>
          <w:szCs w:val="16"/>
          <w:lang w:val="en-US"/>
        </w:rPr>
        <w:t>Case of Kolk and Kislyiy v. Estonia</w:t>
      </w:r>
      <w:r w:rsidRPr="007B2402">
        <w:rPr>
          <w:szCs w:val="16"/>
          <w:lang w:val="en-US"/>
        </w:rPr>
        <w:t xml:space="preserve">, Nos. 23052/04 and 24018/04. Inadmissibility decision of January 17, 2006. See also: </w:t>
      </w:r>
      <w:r w:rsidRPr="007B2402">
        <w:rPr>
          <w:i/>
          <w:szCs w:val="16"/>
          <w:lang w:val="en-US"/>
        </w:rPr>
        <w:t xml:space="preserve">Case of Vasiliauskas v. Lithuania </w:t>
      </w:r>
      <w:r w:rsidRPr="007B2402">
        <w:rPr>
          <w:szCs w:val="16"/>
          <w:lang w:val="en-US"/>
        </w:rPr>
        <w:t xml:space="preserve">[GS], No. 35343/05. Judgment of October 20, 2015, paras. 167, 168, 170 and 172; ECCC. </w:t>
      </w:r>
      <w:r w:rsidRPr="007B2402">
        <w:rPr>
          <w:i/>
          <w:szCs w:val="16"/>
          <w:lang w:val="en-US"/>
        </w:rPr>
        <w:t xml:space="preserve">Decision on preliminary objections in the case against Ieng Sary </w:t>
      </w:r>
      <w:r w:rsidRPr="007B2402">
        <w:rPr>
          <w:rFonts w:cs="Arial"/>
          <w:i/>
          <w:szCs w:val="16"/>
          <w:lang w:val="en-US"/>
        </w:rPr>
        <w:t>(Ne Bis in Idem and Amnesty and Pardon)</w:t>
      </w:r>
      <w:r w:rsidRPr="007B2402">
        <w:rPr>
          <w:rFonts w:cs="Arial"/>
          <w:szCs w:val="16"/>
          <w:lang w:val="en-US"/>
        </w:rPr>
        <w:t xml:space="preserve">, Case No. 002/19-09-2007/ECCC/TC, Trial Judgment of November 3, 2011, para. 41. See also, for example, Supreme Court of Justice of the Nation, Argentina: </w:t>
      </w:r>
      <w:r w:rsidRPr="007B2402">
        <w:rPr>
          <w:szCs w:val="16"/>
          <w:lang w:val="en-US"/>
        </w:rPr>
        <w:t xml:space="preserve">Appeal. Judgment of November 2, 1995, Case of Erich Priebke No. 16,063/94, </w:t>
      </w:r>
      <w:r w:rsidRPr="007B2402">
        <w:rPr>
          <w:i/>
          <w:szCs w:val="16"/>
          <w:lang w:val="en-US"/>
        </w:rPr>
        <w:t>considerandum</w:t>
      </w:r>
      <w:r w:rsidRPr="007B2402">
        <w:rPr>
          <w:szCs w:val="16"/>
          <w:lang w:val="en-US"/>
        </w:rPr>
        <w:t xml:space="preserve"> 4 and Concurring opinion of Judge Julio S. Nazareno and Eduardo Moline O’Connor, </w:t>
      </w:r>
      <w:r w:rsidRPr="007B2402">
        <w:rPr>
          <w:i/>
          <w:szCs w:val="16"/>
          <w:lang w:val="en-US"/>
        </w:rPr>
        <w:t>consideranda</w:t>
      </w:r>
      <w:r w:rsidRPr="007B2402">
        <w:rPr>
          <w:szCs w:val="16"/>
          <w:lang w:val="en-US"/>
        </w:rPr>
        <w:t xml:space="preserve"> 76 and 77; Appeal. Judgment of August 24, 2004, Case of Arancibia Clavel, Enrique Lautaro, case No. 259, </w:t>
      </w:r>
      <w:r w:rsidRPr="007B2402">
        <w:rPr>
          <w:i/>
          <w:szCs w:val="16"/>
          <w:lang w:val="en-US"/>
        </w:rPr>
        <w:t>consideranda</w:t>
      </w:r>
      <w:r w:rsidRPr="007B2402">
        <w:rPr>
          <w:szCs w:val="16"/>
          <w:lang w:val="en-US"/>
        </w:rPr>
        <w:t xml:space="preserve"> 34 to 38 and Opinion of Judge Antonio Boggiano, </w:t>
      </w:r>
      <w:r w:rsidRPr="007B2402">
        <w:rPr>
          <w:i/>
          <w:szCs w:val="16"/>
          <w:lang w:val="en-US"/>
        </w:rPr>
        <w:t>considerandum</w:t>
      </w:r>
      <w:r w:rsidRPr="007B2402">
        <w:rPr>
          <w:szCs w:val="16"/>
          <w:lang w:val="en-US"/>
        </w:rPr>
        <w:t xml:space="preserve"> 29; Appeal. Judgment of June 14, 2005, Case of Julio Héctor Simón </w:t>
      </w:r>
      <w:r w:rsidRPr="007B2402">
        <w:rPr>
          <w:i/>
          <w:iCs/>
          <w:szCs w:val="16"/>
          <w:lang w:val="en-US"/>
        </w:rPr>
        <w:t>et al.,</w:t>
      </w:r>
      <w:r w:rsidRPr="007B2402">
        <w:rPr>
          <w:szCs w:val="16"/>
          <w:lang w:val="en-US"/>
        </w:rPr>
        <w:t xml:space="preserve"> case No. 17,768, Opinion of Judge Antonio Boggiano, </w:t>
      </w:r>
      <w:r w:rsidRPr="007B2402">
        <w:rPr>
          <w:i/>
          <w:szCs w:val="16"/>
          <w:lang w:val="en-US"/>
        </w:rPr>
        <w:t>considerandum</w:t>
      </w:r>
      <w:r w:rsidRPr="007B2402">
        <w:rPr>
          <w:szCs w:val="16"/>
          <w:lang w:val="en-US"/>
        </w:rPr>
        <w:t xml:space="preserve"> 42; Federal Criminal Oral Court (La Plata). September 26, 2006, Case of “</w:t>
      </w:r>
      <w:r w:rsidRPr="007B2402">
        <w:rPr>
          <w:i/>
          <w:iCs/>
          <w:szCs w:val="16"/>
          <w:lang w:val="en-US"/>
        </w:rPr>
        <w:t>Circuito Camps” et al.,</w:t>
      </w:r>
      <w:r w:rsidRPr="007B2402">
        <w:rPr>
          <w:szCs w:val="16"/>
          <w:lang w:val="en-US"/>
        </w:rPr>
        <w:t xml:space="preserve"> case No. 2251/06, </w:t>
      </w:r>
      <w:r w:rsidRPr="007B2402">
        <w:rPr>
          <w:i/>
          <w:szCs w:val="16"/>
          <w:lang w:val="en-US"/>
        </w:rPr>
        <w:t>considerandum</w:t>
      </w:r>
      <w:r w:rsidRPr="007B2402">
        <w:rPr>
          <w:szCs w:val="16"/>
          <w:lang w:val="en-US"/>
        </w:rPr>
        <w:t xml:space="preserve"> IV.A. Similarly, see also, </w:t>
      </w:r>
      <w:r w:rsidRPr="007B2402">
        <w:rPr>
          <w:rFonts w:cs="Arial"/>
          <w:szCs w:val="16"/>
          <w:lang w:val="en-US"/>
        </w:rPr>
        <w:t xml:space="preserve">Constitutional Court of Peru. Judgment of March 18, 2004, Case file No. 2488-2002, </w:t>
      </w:r>
      <w:r w:rsidRPr="007B2402">
        <w:rPr>
          <w:i/>
          <w:szCs w:val="16"/>
          <w:lang w:val="en-US"/>
        </w:rPr>
        <w:t>considerandum</w:t>
      </w:r>
      <w:r w:rsidRPr="007B2402">
        <w:rPr>
          <w:rFonts w:cs="Arial"/>
          <w:szCs w:val="16"/>
          <w:lang w:val="en-US"/>
        </w:rPr>
        <w:t xml:space="preserve"> 4; Supreme Court of Justice of Uruguay. Cassation appeal, August 12, 2015. Case file 97-78/2012, Judgment 1,061/2015, </w:t>
      </w:r>
      <w:r w:rsidRPr="007B2402">
        <w:rPr>
          <w:rFonts w:cs="Arial"/>
          <w:i/>
          <w:szCs w:val="16"/>
          <w:lang w:val="en-US"/>
        </w:rPr>
        <w:t>considerandum</w:t>
      </w:r>
      <w:r w:rsidRPr="007B2402">
        <w:rPr>
          <w:rFonts w:cs="Arial"/>
          <w:szCs w:val="16"/>
          <w:lang w:val="en-US"/>
        </w:rPr>
        <w:t xml:space="preserve"> III.1.b. See also, </w:t>
      </w:r>
      <w:r w:rsidRPr="007B2402">
        <w:rPr>
          <w:szCs w:val="16"/>
          <w:lang w:val="en-US"/>
        </w:rPr>
        <w:t xml:space="preserve">expert opinion of Juan Ernesto Méndez, para. </w:t>
      </w:r>
      <w:r w:rsidRPr="007B2402">
        <w:rPr>
          <w:szCs w:val="16"/>
          <w:lang w:val="es-CR"/>
        </w:rPr>
        <w:t>42 (evidence file, folio 14075).</w:t>
      </w:r>
    </w:p>
  </w:footnote>
  <w:footnote w:id="190">
    <w:p w14:paraId="29E2186C" w14:textId="2AC90E87" w:rsidR="00920DEA" w:rsidRPr="007B2402" w:rsidRDefault="00920DEA" w:rsidP="005B1590">
      <w:pPr>
        <w:pStyle w:val="Textonotapie"/>
        <w:spacing w:after="80"/>
        <w:rPr>
          <w:i/>
          <w:szCs w:val="16"/>
          <w:lang w:val="en-US"/>
        </w:rPr>
      </w:pPr>
      <w:r w:rsidRPr="007B2402">
        <w:rPr>
          <w:rStyle w:val="Refdenotaalpie"/>
          <w:rFonts w:ascii="Verdana" w:hAnsi="Verdana"/>
          <w:szCs w:val="16"/>
          <w:lang w:val="en-US"/>
        </w:rPr>
        <w:footnoteRef/>
      </w:r>
      <w:r w:rsidRPr="007B2402">
        <w:rPr>
          <w:szCs w:val="16"/>
          <w:lang w:val="es-CR"/>
        </w:rPr>
        <w:t xml:space="preserve"> </w:t>
      </w:r>
      <w:r w:rsidRPr="007B2402">
        <w:rPr>
          <w:i/>
          <w:szCs w:val="16"/>
          <w:lang w:val="es-CR"/>
        </w:rPr>
        <w:t>Cf. Case of Velásquez Rodríguez v. Honduras.</w:t>
      </w:r>
      <w:r w:rsidRPr="007B2402">
        <w:rPr>
          <w:szCs w:val="16"/>
          <w:lang w:val="es-CR"/>
        </w:rPr>
        <w:t xml:space="preserve"> </w:t>
      </w:r>
      <w:r w:rsidRPr="007B2402">
        <w:rPr>
          <w:szCs w:val="16"/>
          <w:lang w:val="en-US"/>
        </w:rPr>
        <w:t>Merits. Judgment of July 29, 1988. Series C No. 4, para. 166;</w:t>
      </w:r>
      <w:r w:rsidRPr="007B2402">
        <w:rPr>
          <w:i/>
          <w:szCs w:val="16"/>
          <w:lang w:val="en-US"/>
        </w:rPr>
        <w:t xml:space="preserve"> Case of Vásquez Durand et al. v. Ecuador. </w:t>
      </w:r>
      <w:r w:rsidRPr="007B2402">
        <w:rPr>
          <w:szCs w:val="16"/>
          <w:lang w:val="en-US"/>
        </w:rPr>
        <w:t xml:space="preserve">Preliminary objections, merits, reparations and costs. Judgment of February 15, 2017. Series C No. 332, para. 141. </w:t>
      </w:r>
    </w:p>
  </w:footnote>
  <w:footnote w:id="191">
    <w:p w14:paraId="61CFACB1" w14:textId="5CDAFCF9" w:rsidR="00920DEA" w:rsidRPr="007B2402" w:rsidRDefault="00920DEA" w:rsidP="005B1590">
      <w:pPr>
        <w:pStyle w:val="Textonotapie"/>
        <w:spacing w:after="80"/>
        <w:rPr>
          <w:szCs w:val="16"/>
          <w:lang w:val="es-CR"/>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 Case of Goiburú et al. v. Paraguay</w:t>
      </w:r>
      <w:r w:rsidRPr="007B2402">
        <w:rPr>
          <w:szCs w:val="16"/>
          <w:lang w:val="en-US"/>
        </w:rPr>
        <w:t>, para. 84;</w:t>
      </w:r>
      <w:r w:rsidRPr="007B2402">
        <w:rPr>
          <w:i/>
          <w:szCs w:val="16"/>
          <w:lang w:val="en-US"/>
        </w:rPr>
        <w:t xml:space="preserve"> Case of Gomes Lund et al. </w:t>
      </w:r>
      <w:r w:rsidRPr="007B2402">
        <w:rPr>
          <w:i/>
          <w:szCs w:val="16"/>
          <w:lang w:val="es-CR"/>
        </w:rPr>
        <w:t>("Guerrilha do Araguaia") v. Brazil</w:t>
      </w:r>
      <w:r w:rsidRPr="007B2402">
        <w:rPr>
          <w:szCs w:val="16"/>
          <w:lang w:val="es-CR"/>
        </w:rPr>
        <w:t xml:space="preserve">, para. 137. </w:t>
      </w:r>
    </w:p>
  </w:footnote>
  <w:footnote w:id="192">
    <w:p w14:paraId="7720EABF" w14:textId="55671BC8"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s-CR"/>
        </w:rPr>
        <w:t xml:space="preserve"> </w:t>
      </w:r>
      <w:r w:rsidRPr="007B2402">
        <w:rPr>
          <w:i/>
          <w:szCs w:val="16"/>
          <w:lang w:val="es-CR"/>
        </w:rPr>
        <w:t>Cf. Case of La Cantuta v. Peru.</w:t>
      </w:r>
      <w:r w:rsidRPr="007B2402">
        <w:rPr>
          <w:szCs w:val="16"/>
          <w:lang w:val="es-CR"/>
        </w:rPr>
        <w:t xml:space="preserve"> </w:t>
      </w:r>
      <w:r w:rsidRPr="007B2402">
        <w:rPr>
          <w:szCs w:val="16"/>
          <w:lang w:val="en-US"/>
        </w:rPr>
        <w:t>Merits, reparations and costs,</w:t>
      </w:r>
      <w:r w:rsidRPr="007B2402">
        <w:rPr>
          <w:i/>
          <w:szCs w:val="16"/>
          <w:lang w:val="en-US"/>
        </w:rPr>
        <w:t xml:space="preserve"> </w:t>
      </w:r>
      <w:r w:rsidRPr="007B2402">
        <w:rPr>
          <w:szCs w:val="16"/>
          <w:lang w:val="en-US"/>
        </w:rPr>
        <w:t xml:space="preserve">para. 115; </w:t>
      </w:r>
      <w:r w:rsidRPr="007B2402">
        <w:rPr>
          <w:i/>
          <w:szCs w:val="16"/>
          <w:lang w:val="en-US"/>
        </w:rPr>
        <w:t>Case of the Massacres of El Mozote and neighboring places v. El Salvador.</w:t>
      </w:r>
      <w:r w:rsidRPr="007B2402">
        <w:rPr>
          <w:szCs w:val="16"/>
          <w:lang w:val="en-US"/>
        </w:rPr>
        <w:t xml:space="preserve"> Merits, reparations and costs, para. 208.</w:t>
      </w:r>
    </w:p>
  </w:footnote>
  <w:footnote w:id="193">
    <w:p w14:paraId="44DAA988" w14:textId="0F40AF2E"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 Case of Barrios Altos v. Peru</w:t>
      </w:r>
      <w:r w:rsidRPr="007B2402">
        <w:rPr>
          <w:szCs w:val="16"/>
          <w:lang w:val="en-US"/>
        </w:rPr>
        <w:t>. Merits, para. 41</w:t>
      </w:r>
      <w:r w:rsidRPr="007B2402">
        <w:rPr>
          <w:i/>
          <w:szCs w:val="16"/>
          <w:lang w:val="en-US"/>
        </w:rPr>
        <w:t xml:space="preserve">; Case of Members of the village of Chichupac and neighboring communities in the municipality of Rabinal v. Guatemala. </w:t>
      </w:r>
      <w:r w:rsidRPr="007B2402">
        <w:rPr>
          <w:szCs w:val="16"/>
          <w:lang w:val="en-US"/>
        </w:rPr>
        <w:t xml:space="preserve">Preliminary objections, merits, reparations and costs. Judgment of November 30, 2016. Series C No. 328, para. 247. </w:t>
      </w:r>
    </w:p>
  </w:footnote>
  <w:footnote w:id="194">
    <w:p w14:paraId="13A6A1E6" w14:textId="4B3F9C38"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w:t>
      </w:r>
      <w:r w:rsidRPr="007B2402">
        <w:rPr>
          <w:szCs w:val="16"/>
          <w:lang w:val="en-US"/>
        </w:rPr>
        <w:t>Answering brief of the State (merits file, folios 349 and 350).</w:t>
      </w:r>
    </w:p>
  </w:footnote>
  <w:footnote w:id="195">
    <w:p w14:paraId="7A9D9FB6" w14:textId="11C61B29"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Report of the National Truth Commission (evidence file, folio 3301).</w:t>
      </w:r>
    </w:p>
  </w:footnote>
  <w:footnote w:id="196">
    <w:p w14:paraId="28DD7662" w14:textId="070D8D56"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Case of Gomes Lund et al. </w:t>
      </w:r>
      <w:r w:rsidRPr="007B2402">
        <w:rPr>
          <w:i/>
          <w:szCs w:val="16"/>
          <w:lang w:val="es-CR"/>
        </w:rPr>
        <w:t>("Guerrilha do Araguaia") v. Brazil</w:t>
      </w:r>
      <w:r w:rsidRPr="007B2402">
        <w:rPr>
          <w:bCs/>
          <w:i/>
          <w:szCs w:val="16"/>
          <w:lang w:val="es-CR"/>
        </w:rPr>
        <w:t xml:space="preserve">, </w:t>
      </w:r>
      <w:r w:rsidRPr="007B2402">
        <w:rPr>
          <w:bCs/>
          <w:szCs w:val="16"/>
          <w:lang w:val="es-CR"/>
        </w:rPr>
        <w:t>para.</w:t>
      </w:r>
      <w:r w:rsidRPr="007B2402">
        <w:rPr>
          <w:bCs/>
          <w:i/>
          <w:szCs w:val="16"/>
          <w:lang w:val="es-CR"/>
        </w:rPr>
        <w:t xml:space="preserve"> </w:t>
      </w:r>
      <w:r w:rsidRPr="007B2402">
        <w:rPr>
          <w:bCs/>
          <w:i/>
          <w:szCs w:val="16"/>
          <w:lang w:val="en-US"/>
        </w:rPr>
        <w:t>85.</w:t>
      </w:r>
    </w:p>
  </w:footnote>
  <w:footnote w:id="197">
    <w:p w14:paraId="0C04FAF0" w14:textId="56D1E956"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w:t>
      </w:r>
      <w:r w:rsidRPr="007B2402">
        <w:rPr>
          <w:i/>
          <w:iCs/>
          <w:szCs w:val="16"/>
          <w:lang w:val="en-US"/>
        </w:rPr>
        <w:t>Direito à Memória e à Verdade</w:t>
      </w:r>
      <w:r w:rsidRPr="007B2402">
        <w:rPr>
          <w:szCs w:val="16"/>
          <w:lang w:val="en-US"/>
        </w:rPr>
        <w:t xml:space="preserve">: Special Commission on Political Deaths and Disappearances (evidence file, folio 20). </w:t>
      </w:r>
    </w:p>
  </w:footnote>
  <w:footnote w:id="198">
    <w:p w14:paraId="361B795E" w14:textId="14F542D9"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Report of the National Truth Commission (evidence file, folios 642 and 668 to 671) and Federal Public Prosecution Service, </w:t>
      </w:r>
      <w:r w:rsidRPr="007B2402">
        <w:rPr>
          <w:i/>
          <w:iCs/>
          <w:szCs w:val="16"/>
          <w:lang w:val="en-US"/>
        </w:rPr>
        <w:t>Crimes da Ditadura Militar</w:t>
      </w:r>
      <w:r w:rsidRPr="007B2402">
        <w:rPr>
          <w:szCs w:val="16"/>
          <w:lang w:val="en-US"/>
        </w:rPr>
        <w:t>, pp. 56 and 57 (evidence file, folio 14254).</w:t>
      </w:r>
    </w:p>
  </w:footnote>
  <w:footnote w:id="199">
    <w:p w14:paraId="570BDD1E" w14:textId="41D79332"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w:t>
      </w:r>
      <w:r w:rsidRPr="007B2402">
        <w:rPr>
          <w:szCs w:val="16"/>
          <w:lang w:val="en-US"/>
        </w:rPr>
        <w:t xml:space="preserve">Report of the National Truth Commission (evidence file, folio 650) and Federal Public Prosecution Service, </w:t>
      </w:r>
      <w:r w:rsidRPr="007B2402">
        <w:rPr>
          <w:i/>
          <w:iCs/>
          <w:szCs w:val="16"/>
          <w:lang w:val="en-US"/>
        </w:rPr>
        <w:t>Crimes da Ditadura Militar</w:t>
      </w:r>
      <w:r w:rsidRPr="007B2402">
        <w:rPr>
          <w:szCs w:val="16"/>
          <w:lang w:val="en-US"/>
        </w:rPr>
        <w:t xml:space="preserve"> (evidence file, folio 14290).</w:t>
      </w:r>
    </w:p>
  </w:footnote>
  <w:footnote w:id="200">
    <w:p w14:paraId="2A431ED8" w14:textId="201230BD" w:rsidR="00920DEA" w:rsidRPr="007B2402" w:rsidRDefault="00920DEA" w:rsidP="00E9745A">
      <w:pPr>
        <w:pStyle w:val="Textonotapie"/>
        <w:spacing w:after="80"/>
        <w:rPr>
          <w:szCs w:val="16"/>
          <w:lang w:val="es-CR"/>
        </w:rPr>
      </w:pPr>
      <w:r w:rsidRPr="007B2402">
        <w:rPr>
          <w:rStyle w:val="Refdenotaalpie"/>
          <w:rFonts w:ascii="Verdana" w:hAnsi="Verdana"/>
          <w:szCs w:val="16"/>
          <w:lang w:val="en-US"/>
        </w:rPr>
        <w:footnoteRef/>
      </w:r>
      <w:r w:rsidRPr="007B2402">
        <w:rPr>
          <w:szCs w:val="16"/>
          <w:lang w:val="es-CR"/>
        </w:rPr>
        <w:t xml:space="preserve"> </w:t>
      </w:r>
      <w:r w:rsidRPr="007B2402">
        <w:rPr>
          <w:i/>
          <w:szCs w:val="16"/>
          <w:lang w:val="es-CR"/>
        </w:rPr>
        <w:t xml:space="preserve">Cf. </w:t>
      </w:r>
      <w:r w:rsidRPr="007B2402">
        <w:rPr>
          <w:i/>
          <w:iCs/>
          <w:szCs w:val="16"/>
          <w:lang w:val="es-CR"/>
        </w:rPr>
        <w:t>Crimes da Ditadura Militar</w:t>
      </w:r>
      <w:r w:rsidRPr="007B2402">
        <w:rPr>
          <w:szCs w:val="16"/>
          <w:lang w:val="es-CR"/>
        </w:rPr>
        <w:t>, pp. 56 and 57 (evidence file, folio 14254).</w:t>
      </w:r>
    </w:p>
    <w:p w14:paraId="7D2EBD28" w14:textId="36233FFD" w:rsidR="00920DEA" w:rsidRPr="007B2402" w:rsidRDefault="00920DEA" w:rsidP="00E9745A">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w:t>
      </w:r>
      <w:r w:rsidRPr="007B2402">
        <w:rPr>
          <w:szCs w:val="16"/>
          <w:lang w:val="en-US"/>
        </w:rPr>
        <w:t>Report of the National Truth Commission (evidence file, folio 3317) and Report of the National Truth Commission (evidence file, folio 634).</w:t>
      </w:r>
    </w:p>
  </w:footnote>
  <w:footnote w:id="201">
    <w:p w14:paraId="051BB201" w14:textId="2184693E"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w:t>
      </w:r>
      <w:r w:rsidRPr="007B2402">
        <w:rPr>
          <w:i/>
          <w:iCs/>
          <w:szCs w:val="16"/>
          <w:lang w:val="en-US"/>
        </w:rPr>
        <w:t>Direito à Memória e à Verdade</w:t>
      </w:r>
      <w:r w:rsidRPr="007B2402">
        <w:rPr>
          <w:szCs w:val="16"/>
          <w:lang w:val="en-US"/>
        </w:rPr>
        <w:t>: Special Commission on Political Deaths and Disappearances (evidence file, folio 20) and Report of the National Truth Commission (evidence file, folio 634).</w:t>
      </w:r>
    </w:p>
  </w:footnote>
  <w:footnote w:id="202">
    <w:p w14:paraId="12887741" w14:textId="4D47B314"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Report of the National Truth Commission (evidence file, folio 676). </w:t>
      </w:r>
    </w:p>
  </w:footnote>
  <w:footnote w:id="203">
    <w:p w14:paraId="1853B682" w14:textId="7BE30B33"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w:t>
      </w:r>
      <w:r w:rsidRPr="007B2402">
        <w:rPr>
          <w:szCs w:val="16"/>
          <w:lang w:val="en-US"/>
        </w:rPr>
        <w:t xml:space="preserve">Federal Public Prosecution Service, </w:t>
      </w:r>
      <w:r w:rsidRPr="007B2402">
        <w:rPr>
          <w:i/>
          <w:iCs/>
          <w:szCs w:val="16"/>
          <w:lang w:val="en-US"/>
        </w:rPr>
        <w:t>Crimes da Ditadura Militar</w:t>
      </w:r>
      <w:r w:rsidRPr="007B2402">
        <w:rPr>
          <w:szCs w:val="16"/>
          <w:lang w:val="en-US"/>
        </w:rPr>
        <w:t>, p. 93 (evidence file, folio 14290).</w:t>
      </w:r>
    </w:p>
  </w:footnote>
  <w:footnote w:id="204">
    <w:p w14:paraId="2623097A" w14:textId="77777777" w:rsidR="00920DEA" w:rsidRPr="007B2402" w:rsidRDefault="00920DEA" w:rsidP="000D6E3E">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w:t>
      </w:r>
      <w:r w:rsidRPr="007B2402">
        <w:rPr>
          <w:szCs w:val="16"/>
          <w:lang w:val="en-US"/>
        </w:rPr>
        <w:t>Report of the National Truth Commission (evidence file, folio 808).</w:t>
      </w:r>
    </w:p>
  </w:footnote>
  <w:footnote w:id="205">
    <w:p w14:paraId="6DF824BB" w14:textId="18079547"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w:t>
      </w:r>
      <w:r w:rsidRPr="007B2402">
        <w:rPr>
          <w:szCs w:val="16"/>
          <w:lang w:val="en-US"/>
        </w:rPr>
        <w:t xml:space="preserve">Federal Public Prosecution Service, </w:t>
      </w:r>
      <w:r w:rsidRPr="007B2402">
        <w:rPr>
          <w:i/>
          <w:iCs/>
          <w:szCs w:val="16"/>
          <w:lang w:val="en-US"/>
        </w:rPr>
        <w:t>Crimes da Ditadura Militar</w:t>
      </w:r>
      <w:r w:rsidRPr="007B2402">
        <w:rPr>
          <w:szCs w:val="16"/>
          <w:lang w:val="en-US"/>
        </w:rPr>
        <w:t>, p. 93 (evidence file, folio 14290).</w:t>
      </w:r>
    </w:p>
  </w:footnote>
  <w:footnote w:id="206">
    <w:p w14:paraId="63A61C3B" w14:textId="64211883"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w:t>
      </w:r>
      <w:r w:rsidRPr="007B2402">
        <w:rPr>
          <w:szCs w:val="16"/>
          <w:lang w:val="en-US"/>
        </w:rPr>
        <w:t xml:space="preserve">Federal Public Prosecution Service, </w:t>
      </w:r>
      <w:r w:rsidRPr="007B2402">
        <w:rPr>
          <w:i/>
          <w:iCs/>
          <w:szCs w:val="16"/>
          <w:lang w:val="en-US"/>
        </w:rPr>
        <w:t>Crimes da Ditadura Militar</w:t>
      </w:r>
      <w:r w:rsidRPr="007B2402">
        <w:rPr>
          <w:szCs w:val="16"/>
          <w:lang w:val="en-US"/>
        </w:rPr>
        <w:t>, pp. 76 and 77 (evidence file, folio 14273 and 14274).</w:t>
      </w:r>
    </w:p>
  </w:footnote>
  <w:footnote w:id="207">
    <w:p w14:paraId="7695FED6" w14:textId="443A97F8"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w:t>
      </w:r>
      <w:r w:rsidRPr="007B2402">
        <w:rPr>
          <w:szCs w:val="16"/>
          <w:lang w:val="en-US"/>
        </w:rPr>
        <w:t xml:space="preserve">Federal Public Prosecution Service, </w:t>
      </w:r>
      <w:r w:rsidRPr="007B2402">
        <w:rPr>
          <w:i/>
          <w:iCs/>
          <w:szCs w:val="16"/>
          <w:lang w:val="en-US"/>
        </w:rPr>
        <w:t>Crimes da Ditadura Militar</w:t>
      </w:r>
      <w:r w:rsidRPr="007B2402">
        <w:rPr>
          <w:szCs w:val="16"/>
          <w:lang w:val="en-US"/>
        </w:rPr>
        <w:t>, p. 54 (evidence file, folio 14251).</w:t>
      </w:r>
    </w:p>
  </w:footnote>
  <w:footnote w:id="208">
    <w:p w14:paraId="735E5E29" w14:textId="64B63706"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w:t>
      </w:r>
      <w:r w:rsidRPr="007B2402">
        <w:rPr>
          <w:szCs w:val="16"/>
          <w:lang w:val="en-US"/>
        </w:rPr>
        <w:t xml:space="preserve">Report of the National Truth Commission, pp. 152 and 153 (evidence file, folios 682 and 683) and Federal Public Prosecution Service, </w:t>
      </w:r>
      <w:r w:rsidRPr="007B2402">
        <w:rPr>
          <w:i/>
          <w:iCs/>
          <w:szCs w:val="16"/>
          <w:lang w:val="en-US"/>
        </w:rPr>
        <w:t>Crimes da Ditadura Militar</w:t>
      </w:r>
      <w:r w:rsidRPr="007B2402">
        <w:rPr>
          <w:szCs w:val="16"/>
          <w:lang w:val="en-US"/>
        </w:rPr>
        <w:t>, p. 80 (evidence file, folio 14277).</w:t>
      </w:r>
    </w:p>
  </w:footnote>
  <w:footnote w:id="209">
    <w:p w14:paraId="064F4601" w14:textId="2E89BFBF"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w:t>
      </w:r>
      <w:r w:rsidRPr="007B2402">
        <w:rPr>
          <w:szCs w:val="16"/>
          <w:lang w:val="en-US"/>
        </w:rPr>
        <w:t xml:space="preserve">Federal Public Prosecution Service, </w:t>
      </w:r>
      <w:r w:rsidRPr="007B2402">
        <w:rPr>
          <w:i/>
          <w:iCs/>
          <w:szCs w:val="16"/>
          <w:lang w:val="en-US"/>
        </w:rPr>
        <w:t>Crimes da Ditadura Militar</w:t>
      </w:r>
      <w:r w:rsidRPr="007B2402">
        <w:rPr>
          <w:szCs w:val="16"/>
          <w:lang w:val="en-US"/>
        </w:rPr>
        <w:t>, p. 54 (evidence file, folio 14251).</w:t>
      </w:r>
    </w:p>
  </w:footnote>
  <w:footnote w:id="210">
    <w:p w14:paraId="2A3D58A0" w14:textId="59DFA170"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w:t>
      </w:r>
      <w:r w:rsidRPr="007B2402">
        <w:rPr>
          <w:szCs w:val="16"/>
          <w:lang w:val="en-US"/>
        </w:rPr>
        <w:t xml:space="preserve">Federal Public Prosecution Service, </w:t>
      </w:r>
      <w:r w:rsidRPr="007B2402">
        <w:rPr>
          <w:i/>
          <w:iCs/>
          <w:szCs w:val="16"/>
          <w:lang w:val="en-US"/>
        </w:rPr>
        <w:t>Crimes da Ditadura Militar</w:t>
      </w:r>
      <w:r w:rsidRPr="007B2402">
        <w:rPr>
          <w:szCs w:val="16"/>
          <w:lang w:val="en-US"/>
        </w:rPr>
        <w:t>, p. 85 (evidence file, folio 14282).</w:t>
      </w:r>
    </w:p>
  </w:footnote>
  <w:footnote w:id="211">
    <w:p w14:paraId="0E7DB7D0" w14:textId="4948A65F"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w:t>
      </w:r>
      <w:r w:rsidRPr="007B2402">
        <w:rPr>
          <w:szCs w:val="16"/>
          <w:lang w:val="en-US"/>
        </w:rPr>
        <w:t xml:space="preserve">Federal Public Prosecution Service, </w:t>
      </w:r>
      <w:r w:rsidRPr="007B2402">
        <w:rPr>
          <w:i/>
          <w:iCs/>
          <w:szCs w:val="16"/>
          <w:lang w:val="en-US"/>
        </w:rPr>
        <w:t>Crimes da Ditadura Militar</w:t>
      </w:r>
      <w:r w:rsidRPr="007B2402">
        <w:rPr>
          <w:szCs w:val="16"/>
          <w:lang w:val="en-US"/>
        </w:rPr>
        <w:t>, pp. 73 and 74 (evidence file, folio 14270 and 14271).</w:t>
      </w:r>
    </w:p>
  </w:footnote>
  <w:footnote w:id="212">
    <w:p w14:paraId="08015732" w14:textId="7B48C724"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w:t>
      </w:r>
      <w:r w:rsidRPr="007B2402">
        <w:rPr>
          <w:szCs w:val="16"/>
          <w:lang w:val="en-US"/>
        </w:rPr>
        <w:t xml:space="preserve"> Report of the National Truth Commission, pp. 343 to 346 (evidence file, folios 873 to 878). </w:t>
      </w:r>
    </w:p>
  </w:footnote>
  <w:footnote w:id="213">
    <w:p w14:paraId="367AC838" w14:textId="7B56CA1F"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w:t>
      </w:r>
      <w:r w:rsidRPr="007B2402">
        <w:rPr>
          <w:szCs w:val="16"/>
          <w:lang w:val="en-US"/>
        </w:rPr>
        <w:t xml:space="preserve"> Report of the National Truth Commission, p. 144 (evidence file, folio 674).</w:t>
      </w:r>
    </w:p>
  </w:footnote>
  <w:footnote w:id="214">
    <w:p w14:paraId="1F5FE8E2" w14:textId="2E9FB9BD"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w:t>
      </w:r>
      <w:r w:rsidRPr="007B2402">
        <w:rPr>
          <w:szCs w:val="16"/>
          <w:lang w:val="en-US"/>
        </w:rPr>
        <w:t xml:space="preserve"> Report of the National Truth Commission, p. 350 (evidence file, folio 880). </w:t>
      </w:r>
    </w:p>
  </w:footnote>
  <w:footnote w:id="215">
    <w:p w14:paraId="3D75E617" w14:textId="1598CFB5"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The torturers used differnt devices to apply the electric shocks: a magneto (known as the "</w:t>
      </w:r>
      <w:r w:rsidRPr="007B2402">
        <w:rPr>
          <w:i/>
          <w:szCs w:val="16"/>
          <w:lang w:val="en-US"/>
        </w:rPr>
        <w:t>maquininha</w:t>
      </w:r>
      <w:r w:rsidRPr="007B2402">
        <w:rPr>
          <w:szCs w:val="16"/>
          <w:lang w:val="en-US"/>
        </w:rPr>
        <w:t>" in the OBAN and the "</w:t>
      </w:r>
      <w:r w:rsidRPr="007B2402">
        <w:rPr>
          <w:i/>
          <w:szCs w:val="16"/>
          <w:lang w:val="en-US"/>
        </w:rPr>
        <w:t>maricota</w:t>
      </w:r>
      <w:r w:rsidRPr="007B2402">
        <w:rPr>
          <w:szCs w:val="16"/>
          <w:lang w:val="en-US"/>
        </w:rPr>
        <w:t>" in the DOPS/RS); a field telephone (in prisons); a television (knows as the "Brigitte Bardot" in the DEOPS/SP); a microphone (in the DEOPS/SP); the "</w:t>
      </w:r>
      <w:r w:rsidRPr="007B2402">
        <w:rPr>
          <w:i/>
          <w:szCs w:val="16"/>
          <w:lang w:val="en-US"/>
        </w:rPr>
        <w:t>pianola,</w:t>
      </w:r>
      <w:r w:rsidRPr="007B2402">
        <w:rPr>
          <w:szCs w:val="16"/>
          <w:lang w:val="en-US"/>
        </w:rPr>
        <w:t xml:space="preserve">" an apparatus with several keys that permitted a controlled variation in the voltage of the electric current (in the PIC-Brasilia and in the DEOPS/SP); and also a direct shock from an electrical outlet of 110 and up to 220 volts. It was very common that the victim, on receiving the shocks, bit his tongue, injuring himself severely. Medical texts indicate that an electric shock applied to the head causes micro brain hemorraghes, destroying brain tissue and causing neuronal loss; at the very least, it caused memory loss and a real reduction in cognitive ability and, at times, permanent amnesia. The intensive application of electric shocks resulted in the death of many political prisoners, particularly those with heart conditions.  Report of the National Truth Commission, p. 366 (evidence file, folio 896). </w:t>
      </w:r>
    </w:p>
  </w:footnote>
  <w:footnote w:id="216">
    <w:p w14:paraId="6F08DED6" w14:textId="2839012C"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According to São Paulo political prisoners: “It is like an ‘electric chair.’ The victim is seated naked with his wrists tied to the arms of the chair and his legs forced back and held there by a bar. When the electric current is connected, the body receives shocks, mainly the buttocks and testicles; the legs are injured by hitting against the bar that restrains them In addition, there are complementary devices: the ‘electric helmet’ (a metal bucket placed on the head, where electric shocks are applied); throwing water on the body to increase the intensity of the shock; obliging the victim to eat salt which also increases the shock, causes intense thirst and makes the tongue, which has been bitten by the teeth, burn. All of this accompanied by blows to the body.” Report of the National Truth Commission, p. 367 (evidence file, folio 897).</w:t>
      </w:r>
    </w:p>
  </w:footnote>
  <w:footnote w:id="217">
    <w:p w14:paraId="4259B9D1" w14:textId="385FBBF0"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w:t>
      </w:r>
      <w:r w:rsidRPr="007B2402">
        <w:rPr>
          <w:szCs w:val="16"/>
          <w:lang w:val="en-US"/>
        </w:rPr>
        <w:t xml:space="preserve"> Report of the National Truth Commission, p. 368 (evidence file, folio 898).</w:t>
      </w:r>
    </w:p>
  </w:footnote>
  <w:footnote w:id="218">
    <w:p w14:paraId="073A6D5B" w14:textId="3A040740"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Other ways wer to submerge the detainee’s head in a tank, barrel or bucket of water, forcing his neck down; "</w:t>
      </w:r>
      <w:r w:rsidRPr="007B2402">
        <w:rPr>
          <w:i/>
          <w:szCs w:val="16"/>
          <w:lang w:val="en-US"/>
        </w:rPr>
        <w:t xml:space="preserve">pesquería” </w:t>
      </w:r>
      <w:r w:rsidRPr="007B2402">
        <w:rPr>
          <w:iCs/>
          <w:szCs w:val="16"/>
          <w:lang w:val="en-US"/>
        </w:rPr>
        <w:t>(the fishing line):</w:t>
      </w:r>
      <w:r w:rsidRPr="007B2402">
        <w:rPr>
          <w:szCs w:val="16"/>
          <w:lang w:val="en-US"/>
        </w:rPr>
        <w:t xml:space="preserve"> when a long rope was tied under the victim’s arms and he was thrown into a well and even into rivers or lakes, and the rope was jerked from time to time. Report of the National Truth Commission, pp. 368 and 369 (evidence file, folios 898 and 899).</w:t>
      </w:r>
    </w:p>
  </w:footnote>
  <w:footnote w:id="219">
    <w:p w14:paraId="6781FB25" w14:textId="291E9686"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w:t>
      </w:r>
      <w:r w:rsidRPr="007B2402">
        <w:rPr>
          <w:szCs w:val="16"/>
          <w:lang w:val="en-US"/>
        </w:rPr>
        <w:t xml:space="preserve"> Report of the National Truth Commission, p. 369 (evidence file, folio 899).</w:t>
      </w:r>
    </w:p>
  </w:footnote>
  <w:footnote w:id="220">
    <w:p w14:paraId="008CB866" w14:textId="1C05975A"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w:t>
      </w:r>
      <w:r w:rsidRPr="007B2402">
        <w:rPr>
          <w:szCs w:val="16"/>
          <w:lang w:val="en-US"/>
        </w:rPr>
        <w:t xml:space="preserve"> Report of the National Truth Commission, p. 369 (evidence file, folio 899).</w:t>
      </w:r>
    </w:p>
  </w:footnote>
  <w:footnote w:id="221">
    <w:p w14:paraId="318AE17F" w14:textId="22477521"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w:t>
      </w:r>
      <w:r w:rsidRPr="007B2402">
        <w:rPr>
          <w:szCs w:val="16"/>
          <w:lang w:val="en-US"/>
        </w:rPr>
        <w:t xml:space="preserve"> Report of the National Truth Commission, p. 369 (evidence file, folio 899).</w:t>
      </w:r>
    </w:p>
  </w:footnote>
  <w:footnote w:id="222">
    <w:p w14:paraId="37F980B5" w14:textId="65D4BDCF"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This was </w:t>
      </w:r>
      <w:r w:rsidRPr="007B2402">
        <w:rPr>
          <w:rStyle w:val="nfasis"/>
          <w:rFonts w:ascii="Verdana" w:hAnsi="Verdana"/>
          <w:i w:val="0"/>
          <w:iCs w:val="0"/>
          <w:lang w:val="en-US"/>
        </w:rPr>
        <w:t>sodium pentothal</w:t>
      </w:r>
      <w:r w:rsidRPr="007B2402">
        <w:rPr>
          <w:rStyle w:val="st"/>
          <w:i/>
          <w:iCs/>
          <w:lang w:val="en-US"/>
        </w:rPr>
        <w:t>,</w:t>
      </w:r>
      <w:r w:rsidRPr="007B2402">
        <w:rPr>
          <w:szCs w:val="16"/>
          <w:lang w:val="en-US"/>
        </w:rPr>
        <w:t xml:space="preserve"> a barbiturate (barbiturates and other hypnotic drugs have a progressive effect; first, sedative and then of general anesthesia, and lastly, of gradual </w:t>
      </w:r>
      <w:r w:rsidRPr="007B2402">
        <w:rPr>
          <w:lang w:val="en-US"/>
        </w:rPr>
        <w:t>respiratory depression</w:t>
      </w:r>
      <w:r w:rsidRPr="007B2402">
        <w:rPr>
          <w:szCs w:val="16"/>
          <w:lang w:val="en-US"/>
        </w:rPr>
        <w:t>). Report of the National Truth Commission, p. 370 (evidence file, folio 900).</w:t>
      </w:r>
    </w:p>
  </w:footnote>
  <w:footnote w:id="223">
    <w:p w14:paraId="79CB6E3D" w14:textId="7F3BD580"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The repeated application of these compresses and wads resulted in burns that caused great pain. Report of the National Truth Commission, p. 370 (evidence file, folio 900).</w:t>
      </w:r>
    </w:p>
  </w:footnote>
  <w:footnote w:id="224">
    <w:p w14:paraId="0C511173" w14:textId="661EAB67"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w:t>
      </w:r>
      <w:r w:rsidRPr="007B2402">
        <w:rPr>
          <w:szCs w:val="16"/>
          <w:lang w:val="en-US"/>
        </w:rPr>
        <w:t xml:space="preserve"> Report of the National Truth Commission, p. 370 (evidence file, folio 900).</w:t>
      </w:r>
    </w:p>
  </w:footnote>
  <w:footnote w:id="225">
    <w:p w14:paraId="1D1722D9" w14:textId="10AB84F3"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w:t>
      </w:r>
      <w:r w:rsidRPr="007B2402">
        <w:rPr>
          <w:szCs w:val="16"/>
          <w:lang w:val="en-US"/>
        </w:rPr>
        <w:t xml:space="preserve"> Report of the National Truth Commission, p. 371 (evidence file, folio 901).</w:t>
      </w:r>
    </w:p>
  </w:footnote>
  <w:footnote w:id="226">
    <w:p w14:paraId="1BA0AFE8" w14:textId="7C22AB9D"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w:t>
      </w:r>
      <w:r w:rsidRPr="007B2402">
        <w:rPr>
          <w:szCs w:val="16"/>
          <w:lang w:val="en-US"/>
        </w:rPr>
        <w:t xml:space="preserve"> Report of the National Truth Commission, p. 371 (evidence file, folio 901).</w:t>
      </w:r>
    </w:p>
  </w:footnote>
  <w:footnote w:id="227">
    <w:p w14:paraId="7E891F49" w14:textId="086EDD64"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w:t>
      </w:r>
      <w:r w:rsidRPr="007B2402">
        <w:rPr>
          <w:szCs w:val="16"/>
          <w:lang w:val="en-US"/>
        </w:rPr>
        <w:t xml:space="preserve"> Report of the National Truth Commission, p. 371 (evidence file, folio 901).</w:t>
      </w:r>
    </w:p>
  </w:footnote>
  <w:footnote w:id="228">
    <w:p w14:paraId="6D8222B6" w14:textId="6AADF0E9"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w:t>
      </w:r>
      <w:r w:rsidRPr="007B2402">
        <w:rPr>
          <w:szCs w:val="16"/>
          <w:lang w:val="en-US"/>
        </w:rPr>
        <w:t xml:space="preserve"> Report of the National Truth Commission, p. 371 (evidence file, folio 901).</w:t>
      </w:r>
    </w:p>
  </w:footnote>
  <w:footnote w:id="229">
    <w:p w14:paraId="347A8F3D" w14:textId="54E7AA71"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w:t>
      </w:r>
      <w:r w:rsidRPr="007B2402">
        <w:rPr>
          <w:szCs w:val="16"/>
          <w:lang w:val="en-US"/>
        </w:rPr>
        <w:t xml:space="preserve"> Report of the National Truth Commission, p. 371 (evidence file, folio 901).</w:t>
      </w:r>
    </w:p>
  </w:footnote>
  <w:footnote w:id="230">
    <w:p w14:paraId="5CD5D905" w14:textId="6ACD3ADD"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Report of the National Truth Commission, p. 372 (evidence file, folio 902)</w:t>
      </w:r>
    </w:p>
  </w:footnote>
  <w:footnote w:id="231">
    <w:p w14:paraId="12F3880F" w14:textId="5E583030" w:rsidR="00920DEA" w:rsidRPr="007B2402" w:rsidRDefault="00920DEA" w:rsidP="005B1590">
      <w:pPr>
        <w:pStyle w:val="Textonotapie"/>
        <w:spacing w:after="80"/>
        <w:rPr>
          <w:b/>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w:t>
      </w:r>
      <w:r w:rsidRPr="007B2402">
        <w:rPr>
          <w:szCs w:val="16"/>
          <w:lang w:val="en-US"/>
        </w:rPr>
        <w:t>Report of the National Truth Commission, p. 372 (evidence file, folio 902).</w:t>
      </w:r>
    </w:p>
  </w:footnote>
  <w:footnote w:id="232">
    <w:p w14:paraId="23B768DD" w14:textId="48A01D21"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In the case of the mice, they were very  destructive when introduced into the bodies of the victims because “this animal is unable to move backwards.” Report of the National Truth Commission, pp. 373 and 374 (evidence file, folios 903 and 904).</w:t>
      </w:r>
    </w:p>
  </w:footnote>
  <w:footnote w:id="233">
    <w:p w14:paraId="4E3EAFB7" w14:textId="5F3AB8B7"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Aurora Maria Nascimento Furtado was killed in this way.  Report of the National Truth Commission, p. 374 (evidence file, folio 904).</w:t>
      </w:r>
    </w:p>
  </w:footnote>
  <w:footnote w:id="234">
    <w:p w14:paraId="55E7D99E" w14:textId="0C6268C1"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w:t>
      </w:r>
      <w:r w:rsidRPr="007B2402">
        <w:rPr>
          <w:szCs w:val="16"/>
          <w:lang w:val="en-US"/>
        </w:rPr>
        <w:t xml:space="preserve"> Report of the National Truth Commission, p. 374 (evidence file, folio 904).</w:t>
      </w:r>
    </w:p>
  </w:footnote>
  <w:footnote w:id="235">
    <w:p w14:paraId="3A946FF2" w14:textId="21E75B00"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w:t>
      </w:r>
      <w:r w:rsidRPr="007B2402">
        <w:rPr>
          <w:szCs w:val="16"/>
          <w:lang w:val="en-US"/>
        </w:rPr>
        <w:t xml:space="preserve"> Report of the National Truth Commission, p. 375 (evidence file, folio 905).</w:t>
      </w:r>
    </w:p>
  </w:footnote>
  <w:footnote w:id="236">
    <w:p w14:paraId="6B975FD1" w14:textId="24E6DFB1"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w:t>
      </w:r>
      <w:r w:rsidRPr="007B2402">
        <w:rPr>
          <w:szCs w:val="16"/>
          <w:lang w:val="en-US"/>
        </w:rPr>
        <w:t xml:space="preserve"> Report of the National Truth Commission, p. 375 (evidence file, folio 905).</w:t>
      </w:r>
    </w:p>
  </w:footnote>
  <w:footnote w:id="237">
    <w:p w14:paraId="2943CB04" w14:textId="6FEAF915"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Other examples of these techniques are isolation, absolute prohibition to communicate with anyone, and sleep deprivation. Report of the National Truth Commission, p. 375 (evidence file, folio 905).</w:t>
      </w:r>
    </w:p>
  </w:footnote>
  <w:footnote w:id="238">
    <w:p w14:paraId="28D0161F" w14:textId="2A16A043"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w:t>
      </w:r>
      <w:r w:rsidRPr="007B2402">
        <w:rPr>
          <w:szCs w:val="16"/>
          <w:lang w:val="en-US"/>
        </w:rPr>
        <w:t xml:space="preserve"> Report of the National Truth Commission, p. 376 (evidence file, folio 906).</w:t>
      </w:r>
    </w:p>
  </w:footnote>
  <w:footnote w:id="239">
    <w:p w14:paraId="51ED698B" w14:textId="7742D456"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w:t>
      </w:r>
      <w:r w:rsidRPr="007B2402">
        <w:rPr>
          <w:szCs w:val="16"/>
          <w:lang w:val="en-US"/>
        </w:rPr>
        <w:t xml:space="preserve"> Report of the National Truth Commission, p. 378 (evidence file, folio 908).</w:t>
      </w:r>
    </w:p>
  </w:footnote>
  <w:footnote w:id="240">
    <w:p w14:paraId="1BF6E1E0" w14:textId="669CC64B"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rFonts w:eastAsia="Verdana" w:cs="Verdana"/>
          <w:i/>
          <w:szCs w:val="16"/>
          <w:lang w:val="en-US"/>
        </w:rPr>
        <w:t xml:space="preserve">Cf. </w:t>
      </w:r>
      <w:r w:rsidRPr="007B2402">
        <w:rPr>
          <w:rFonts w:eastAsia="Verdana" w:cs="Verdana"/>
          <w:bCs/>
          <w:i/>
          <w:szCs w:val="16"/>
          <w:lang w:val="en-US"/>
        </w:rPr>
        <w:t xml:space="preserve">Case of the Pueblo Bello Massacre v. Colombia. </w:t>
      </w:r>
      <w:r w:rsidRPr="007B2402">
        <w:rPr>
          <w:rFonts w:eastAsia="Verdana" w:cs="Verdana"/>
          <w:bCs/>
          <w:szCs w:val="16"/>
          <w:lang w:val="en-US"/>
        </w:rPr>
        <w:t xml:space="preserve">Judgment of January 31, 2006. </w:t>
      </w:r>
      <w:r w:rsidRPr="007B2402">
        <w:rPr>
          <w:rFonts w:eastAsia="Verdana" w:cs="Verdana"/>
          <w:bCs/>
          <w:szCs w:val="16"/>
          <w:lang w:val="es-CR"/>
        </w:rPr>
        <w:t>Series C No. 140</w:t>
      </w:r>
      <w:r w:rsidRPr="007B2402">
        <w:rPr>
          <w:rFonts w:eastAsia="Verdana" w:cs="Verdana"/>
          <w:i/>
          <w:szCs w:val="16"/>
          <w:lang w:val="es-CR"/>
        </w:rPr>
        <w:t xml:space="preserve">, </w:t>
      </w:r>
      <w:r w:rsidRPr="007B2402">
        <w:rPr>
          <w:rFonts w:eastAsia="Verdana" w:cs="Verdana"/>
          <w:szCs w:val="16"/>
          <w:lang w:val="es-CR"/>
        </w:rPr>
        <w:t xml:space="preserve">para. 143, and </w:t>
      </w:r>
      <w:r w:rsidRPr="007B2402">
        <w:rPr>
          <w:rFonts w:eastAsia="Verdana" w:cs="Verdana"/>
          <w:bCs/>
          <w:i/>
          <w:szCs w:val="16"/>
          <w:lang w:val="es-CR"/>
        </w:rPr>
        <w:t>Case of Favela Nova Brasília v. Brazil</w:t>
      </w:r>
      <w:r w:rsidRPr="007B2402">
        <w:rPr>
          <w:rFonts w:eastAsia="Verdana" w:cs="Verdana"/>
          <w:szCs w:val="16"/>
          <w:lang w:val="es-CR"/>
        </w:rPr>
        <w:t xml:space="preserve">, para. </w:t>
      </w:r>
      <w:r w:rsidRPr="007B2402">
        <w:rPr>
          <w:rFonts w:eastAsia="Verdana" w:cs="Verdana"/>
          <w:szCs w:val="16"/>
          <w:lang w:val="en-US"/>
        </w:rPr>
        <w:t>177.</w:t>
      </w:r>
    </w:p>
  </w:footnote>
  <w:footnote w:id="241">
    <w:p w14:paraId="694402D3" w14:textId="5712FF48" w:rsidR="00920DEA" w:rsidRPr="007B2402" w:rsidRDefault="00920DEA" w:rsidP="005B1590">
      <w:pPr>
        <w:pStyle w:val="Textonotapie"/>
        <w:spacing w:after="80"/>
        <w:rPr>
          <w:rFonts w:eastAsia="Verdana" w:cs="Verdana"/>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rFonts w:eastAsia="Verdana" w:cs="Verdana"/>
          <w:i/>
          <w:szCs w:val="16"/>
          <w:lang w:val="en-US"/>
        </w:rPr>
        <w:t xml:space="preserve">Cf. Case of Myrna Mack Chang v. Guatemala. Merits, reparations and costs. </w:t>
      </w:r>
      <w:r w:rsidRPr="007B2402">
        <w:rPr>
          <w:rFonts w:eastAsia="Verdana" w:cs="Verdana"/>
          <w:szCs w:val="16"/>
          <w:lang w:val="en-US"/>
        </w:rPr>
        <w:t xml:space="preserve">Judgment of November 25, 2003. Series C No. 101, para. 156, and </w:t>
      </w:r>
      <w:r w:rsidRPr="007B2402">
        <w:rPr>
          <w:rFonts w:eastAsia="Verdana" w:cs="Verdana"/>
          <w:bCs/>
          <w:i/>
          <w:szCs w:val="16"/>
          <w:lang w:val="en-US"/>
        </w:rPr>
        <w:t>Case of Favela Nova Brasília v. Brazil</w:t>
      </w:r>
      <w:r w:rsidRPr="007B2402">
        <w:rPr>
          <w:rFonts w:eastAsia="Verdana" w:cs="Verdana"/>
          <w:szCs w:val="16"/>
          <w:lang w:val="en-US"/>
        </w:rPr>
        <w:t>, para. 177.</w:t>
      </w:r>
    </w:p>
  </w:footnote>
  <w:footnote w:id="242">
    <w:p w14:paraId="712D382F" w14:textId="6531C5B8"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rFonts w:eastAsia="Verdana" w:cs="Verdana"/>
          <w:i/>
          <w:szCs w:val="16"/>
          <w:lang w:val="en-US"/>
        </w:rPr>
        <w:t xml:space="preserve">Cf. Case of the Pueblo Bello Massacre v. Colombia, </w:t>
      </w:r>
      <w:r w:rsidRPr="007B2402">
        <w:rPr>
          <w:rFonts w:eastAsia="Verdana" w:cs="Verdana"/>
          <w:szCs w:val="16"/>
          <w:lang w:val="en-US"/>
        </w:rPr>
        <w:t xml:space="preserve">para. 145, and </w:t>
      </w:r>
      <w:r w:rsidRPr="007B2402">
        <w:rPr>
          <w:rFonts w:eastAsia="Verdana" w:cs="Verdana"/>
          <w:bCs/>
          <w:i/>
          <w:szCs w:val="16"/>
          <w:lang w:val="en-US"/>
        </w:rPr>
        <w:t>Case of Favela Nova Brasília v. Brazil</w:t>
      </w:r>
      <w:r w:rsidRPr="007B2402">
        <w:rPr>
          <w:rFonts w:eastAsia="Verdana" w:cs="Verdana"/>
          <w:szCs w:val="16"/>
          <w:lang w:val="en-US"/>
        </w:rPr>
        <w:t>, para. 177</w:t>
      </w:r>
    </w:p>
  </w:footnote>
  <w:footnote w:id="243">
    <w:p w14:paraId="6ED1539D" w14:textId="3A352FFD" w:rsidR="00920DEA" w:rsidRPr="007B2402" w:rsidRDefault="00920DEA" w:rsidP="005B1590">
      <w:pPr>
        <w:pStyle w:val="Textonotapie"/>
        <w:tabs>
          <w:tab w:val="right" w:pos="0"/>
        </w:tabs>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w:t>
      </w:r>
      <w:r w:rsidRPr="007B2402">
        <w:rPr>
          <w:i/>
          <w:szCs w:val="16"/>
          <w:lang w:val="en-US"/>
        </w:rPr>
        <w:t>Case of the Río Negro Massacres v. Guatemala</w:t>
      </w:r>
      <w:r w:rsidRPr="007B2402">
        <w:rPr>
          <w:szCs w:val="16"/>
          <w:lang w:val="en-US"/>
        </w:rPr>
        <w:t xml:space="preserve">, para. 225, and </w:t>
      </w:r>
      <w:r w:rsidRPr="007B2402">
        <w:rPr>
          <w:i/>
          <w:szCs w:val="16"/>
          <w:lang w:val="en-US"/>
        </w:rPr>
        <w:t>Case of the Hacienda Brasil Verde Workers v. Brazil</w:t>
      </w:r>
      <w:r w:rsidRPr="007B2402">
        <w:rPr>
          <w:szCs w:val="16"/>
          <w:lang w:val="en-US"/>
        </w:rPr>
        <w:t>, para. 362.</w:t>
      </w:r>
    </w:p>
  </w:footnote>
  <w:footnote w:id="244">
    <w:p w14:paraId="6F81A7A4" w14:textId="09FA2049"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rStyle w:val="Refdenotaalpie"/>
          <w:rFonts w:ascii="Verdana" w:hAnsi="Verdana"/>
          <w:szCs w:val="16"/>
          <w:lang w:val="en-US"/>
        </w:rPr>
        <w:t xml:space="preserve"> </w:t>
      </w:r>
      <w:r w:rsidRPr="007B2402">
        <w:rPr>
          <w:szCs w:val="16"/>
          <w:lang w:val="en-US"/>
        </w:rPr>
        <w:t>Answering brief of the State, para. 15 (merits file, folio 319).</w:t>
      </w:r>
    </w:p>
  </w:footnote>
  <w:footnote w:id="245">
    <w:p w14:paraId="5C093749" w14:textId="24D9ECFB"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 Case of Durand and Ugarte v. Peru</w:t>
      </w:r>
      <w:r w:rsidRPr="007B2402">
        <w:rPr>
          <w:szCs w:val="16"/>
          <w:lang w:val="en-US"/>
        </w:rPr>
        <w:t xml:space="preserve">. Merits. Judgment of August 16, 2000. </w:t>
      </w:r>
      <w:r w:rsidRPr="007B2402">
        <w:rPr>
          <w:bCs/>
          <w:szCs w:val="16"/>
          <w:lang w:val="en-US"/>
        </w:rPr>
        <w:t>Series C No. 68</w:t>
      </w:r>
      <w:r w:rsidRPr="007B2402">
        <w:rPr>
          <w:szCs w:val="16"/>
          <w:lang w:val="en-US"/>
        </w:rPr>
        <w:t xml:space="preserve">, para. 117, and </w:t>
      </w:r>
      <w:r w:rsidRPr="007B2402">
        <w:rPr>
          <w:i/>
          <w:szCs w:val="16"/>
          <w:lang w:val="en-US"/>
        </w:rPr>
        <w:t xml:space="preserve">Case of Ortiz Hernández et al. v. Venezuela. </w:t>
      </w:r>
      <w:r w:rsidRPr="007B2402">
        <w:rPr>
          <w:szCs w:val="16"/>
          <w:lang w:val="en-US"/>
        </w:rPr>
        <w:t>Merits, reparations and costs. Judgment of August 22, 2017. Series C No. 338, para. 148.</w:t>
      </w:r>
    </w:p>
  </w:footnote>
  <w:footnote w:id="246">
    <w:p w14:paraId="689ADD55" w14:textId="5F981D63"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 Case of Durand and Ugarte v. Peru</w:t>
      </w:r>
      <w:r w:rsidRPr="007B2402">
        <w:rPr>
          <w:szCs w:val="16"/>
          <w:lang w:val="en-US"/>
        </w:rPr>
        <w:t xml:space="preserve">. </w:t>
      </w:r>
      <w:r w:rsidRPr="007B2402">
        <w:rPr>
          <w:szCs w:val="16"/>
          <w:lang w:val="es-CR"/>
        </w:rPr>
        <w:t xml:space="preserve">Merits, para. 117, and </w:t>
      </w:r>
      <w:r w:rsidRPr="007B2402">
        <w:rPr>
          <w:bCs/>
          <w:i/>
          <w:szCs w:val="16"/>
          <w:lang w:val="es-CR"/>
        </w:rPr>
        <w:t xml:space="preserve">Case of Ortiz Hernández et al. v. Venezuela, </w:t>
      </w:r>
      <w:r w:rsidRPr="007B2402">
        <w:rPr>
          <w:bCs/>
          <w:szCs w:val="16"/>
          <w:lang w:val="es-CR"/>
        </w:rPr>
        <w:t xml:space="preserve">para. </w:t>
      </w:r>
      <w:r w:rsidRPr="007B2402">
        <w:rPr>
          <w:bCs/>
          <w:szCs w:val="16"/>
          <w:lang w:val="en-US"/>
        </w:rPr>
        <w:t>148</w:t>
      </w:r>
      <w:r w:rsidRPr="007B2402">
        <w:rPr>
          <w:szCs w:val="16"/>
          <w:lang w:val="en-US"/>
        </w:rPr>
        <w:t>.</w:t>
      </w:r>
    </w:p>
  </w:footnote>
  <w:footnote w:id="247">
    <w:p w14:paraId="182A02B6" w14:textId="4AEEA911"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rStyle w:val="Refdenotaalpie"/>
          <w:rFonts w:ascii="Verdana" w:hAnsi="Verdana"/>
          <w:szCs w:val="16"/>
          <w:lang w:val="en-US"/>
        </w:rPr>
        <w:t xml:space="preserve"> </w:t>
      </w:r>
      <w:r w:rsidRPr="007B2402">
        <w:rPr>
          <w:bCs/>
          <w:i/>
          <w:szCs w:val="16"/>
          <w:lang w:val="en-US"/>
        </w:rPr>
        <w:t xml:space="preserve">Cf. </w:t>
      </w:r>
      <w:r w:rsidRPr="007B2402">
        <w:rPr>
          <w:i/>
          <w:szCs w:val="16"/>
          <w:lang w:val="en-US"/>
        </w:rPr>
        <w:t>Case of the La Rochela Massacre v. Colombia</w:t>
      </w:r>
      <w:r w:rsidRPr="007B2402">
        <w:rPr>
          <w:szCs w:val="16"/>
          <w:lang w:val="en-US"/>
        </w:rPr>
        <w:t xml:space="preserve">. Merits, reparations and costs. Judgment of May 11, 2007. Series C No. 163, para. 200, and </w:t>
      </w:r>
      <w:r w:rsidRPr="007B2402">
        <w:rPr>
          <w:bCs/>
          <w:i/>
          <w:szCs w:val="16"/>
          <w:lang w:val="en-US"/>
        </w:rPr>
        <w:t xml:space="preserve">Case of Ortiz Hernández et al. v. Venezuela, </w:t>
      </w:r>
      <w:r w:rsidRPr="007B2402">
        <w:rPr>
          <w:szCs w:val="16"/>
          <w:lang w:val="en-US"/>
        </w:rPr>
        <w:t>para. 148.</w:t>
      </w:r>
    </w:p>
  </w:footnote>
  <w:footnote w:id="248">
    <w:p w14:paraId="703CE501" w14:textId="77777777" w:rsidR="00920DEA" w:rsidRPr="007B2402" w:rsidRDefault="00920DEA" w:rsidP="003104A6">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Case of Quispialaya Vilcapoma v. Peru. </w:t>
      </w:r>
      <w:r w:rsidRPr="007B2402">
        <w:rPr>
          <w:szCs w:val="16"/>
          <w:lang w:val="en-US"/>
        </w:rPr>
        <w:t>Preliminary objections, merits, reparations and costs. Judgment of November 23, 2015. Series C No. 308, para. 146.</w:t>
      </w:r>
      <w:r w:rsidRPr="007B2402">
        <w:rPr>
          <w:b/>
          <w:szCs w:val="16"/>
          <w:lang w:val="en-US"/>
        </w:rPr>
        <w:t xml:space="preserve"> </w:t>
      </w:r>
    </w:p>
  </w:footnote>
  <w:footnote w:id="249">
    <w:p w14:paraId="659B3748" w14:textId="3A37FF9D" w:rsidR="00920DEA" w:rsidRPr="007B2402" w:rsidRDefault="00920DEA" w:rsidP="005B1590">
      <w:pPr>
        <w:pStyle w:val="Textonotapie"/>
        <w:spacing w:after="80"/>
        <w:rPr>
          <w:szCs w:val="16"/>
          <w:lang w:val="es-CR"/>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w:t>
      </w:r>
      <w:r w:rsidRPr="007B2402">
        <w:rPr>
          <w:i/>
          <w:szCs w:val="16"/>
          <w:lang w:val="en-US"/>
        </w:rPr>
        <w:t>Case of Radilla Pacheco v. Mexico</w:t>
      </w:r>
      <w:r w:rsidRPr="007B2402">
        <w:rPr>
          <w:szCs w:val="16"/>
          <w:lang w:val="en-US"/>
        </w:rPr>
        <w:t xml:space="preserve">. Preliminary objections, merits, reparations and costs. Judgment of November 23, 2009. Series C No. 209, para. 273, </w:t>
      </w:r>
      <w:r w:rsidRPr="007B2402">
        <w:rPr>
          <w:i/>
          <w:szCs w:val="16"/>
          <w:lang w:val="en-US"/>
        </w:rPr>
        <w:t>Case of Fernández Ortega et al. v. Mexico</w:t>
      </w:r>
      <w:r w:rsidRPr="007B2402">
        <w:rPr>
          <w:szCs w:val="16"/>
          <w:lang w:val="en-US"/>
        </w:rPr>
        <w:t xml:space="preserve">. Preliminary objection, Merits, reparations and costs. Judgment of August 30, 2010. Series C No. 215, para. 176, </w:t>
      </w:r>
      <w:r w:rsidRPr="007B2402">
        <w:rPr>
          <w:i/>
          <w:szCs w:val="16"/>
          <w:lang w:val="en-US"/>
        </w:rPr>
        <w:t>Case of Rosendo Cantú et al. v. Mexico</w:t>
      </w:r>
      <w:r w:rsidRPr="007B2402">
        <w:rPr>
          <w:szCs w:val="16"/>
          <w:lang w:val="en-US"/>
        </w:rPr>
        <w:t xml:space="preserve">. Preliminary objection, Merits, reparations and costs. Judgment of August 31, 2010. Series C No. 216, para. 160, </w:t>
      </w:r>
      <w:r w:rsidRPr="007B2402">
        <w:rPr>
          <w:bCs/>
          <w:i/>
          <w:szCs w:val="16"/>
          <w:lang w:val="en-US"/>
        </w:rPr>
        <w:t xml:space="preserve">Case of Escué Zapata v. Colombia. Merits, reparations and costs. </w:t>
      </w:r>
      <w:r w:rsidRPr="007B2402">
        <w:rPr>
          <w:bCs/>
          <w:szCs w:val="16"/>
          <w:lang w:val="en-US"/>
        </w:rPr>
        <w:t>Judgment of July 4, 2007. Series C No. 165</w:t>
      </w:r>
      <w:r w:rsidRPr="007B2402">
        <w:rPr>
          <w:szCs w:val="16"/>
          <w:lang w:val="en-US"/>
        </w:rPr>
        <w:t xml:space="preserve">, para. 105, </w:t>
      </w:r>
      <w:r w:rsidRPr="007B2402">
        <w:rPr>
          <w:bCs/>
          <w:i/>
          <w:szCs w:val="16"/>
          <w:lang w:val="en-US"/>
        </w:rPr>
        <w:t>Case of the Santa Barbara Campesino Community v. Peru</w:t>
      </w:r>
      <w:r w:rsidRPr="007B2402">
        <w:rPr>
          <w:szCs w:val="16"/>
          <w:lang w:val="en-US"/>
        </w:rPr>
        <w:t xml:space="preserve">, para. </w:t>
      </w:r>
      <w:r w:rsidRPr="007B2402">
        <w:rPr>
          <w:szCs w:val="16"/>
          <w:lang w:val="es-CR"/>
        </w:rPr>
        <w:t xml:space="preserve">245, </w:t>
      </w:r>
      <w:r w:rsidRPr="007B2402">
        <w:rPr>
          <w:i/>
          <w:szCs w:val="16"/>
          <w:lang w:val="es-CR"/>
        </w:rPr>
        <w:t>Case of Quispialaya Vilcapoma v. Peru</w:t>
      </w:r>
      <w:r w:rsidRPr="007B2402">
        <w:rPr>
          <w:szCs w:val="16"/>
          <w:lang w:val="es-CR"/>
        </w:rPr>
        <w:t xml:space="preserve">, para. 146, and </w:t>
      </w:r>
      <w:r w:rsidRPr="007B2402">
        <w:rPr>
          <w:i/>
          <w:szCs w:val="16"/>
          <w:lang w:val="es-CR"/>
        </w:rPr>
        <w:t>Case of Ortiz Hernández et al. v. Venezuela</w:t>
      </w:r>
      <w:r w:rsidRPr="007B2402">
        <w:rPr>
          <w:szCs w:val="16"/>
          <w:lang w:val="es-CR"/>
        </w:rPr>
        <w:t>, para. 148.</w:t>
      </w:r>
    </w:p>
  </w:footnote>
  <w:footnote w:id="250">
    <w:p w14:paraId="0EA4A8E4" w14:textId="02D90182" w:rsidR="00920DEA" w:rsidRPr="007B2402" w:rsidRDefault="00920DEA" w:rsidP="005B1590">
      <w:pPr>
        <w:pStyle w:val="Textonotapie"/>
        <w:spacing w:after="80"/>
        <w:rPr>
          <w:szCs w:val="16"/>
          <w:lang w:val="es-CR"/>
        </w:rPr>
      </w:pPr>
      <w:r w:rsidRPr="007B2402">
        <w:rPr>
          <w:rStyle w:val="Refdenotaalpie"/>
          <w:rFonts w:ascii="Verdana" w:hAnsi="Verdana"/>
          <w:szCs w:val="16"/>
          <w:lang w:val="en-US"/>
        </w:rPr>
        <w:footnoteRef/>
      </w:r>
      <w:r w:rsidRPr="007B2402">
        <w:rPr>
          <w:szCs w:val="16"/>
          <w:lang w:val="es-CR"/>
        </w:rPr>
        <w:t xml:space="preserve"> </w:t>
      </w:r>
      <w:r w:rsidRPr="007B2402">
        <w:rPr>
          <w:i/>
          <w:szCs w:val="16"/>
          <w:lang w:val="es-CR"/>
        </w:rPr>
        <w:t>Cf.</w:t>
      </w:r>
      <w:r w:rsidRPr="007B2402">
        <w:rPr>
          <w:szCs w:val="16"/>
          <w:lang w:val="es-CR"/>
        </w:rPr>
        <w:t xml:space="preserve"> </w:t>
      </w:r>
      <w:r w:rsidRPr="007B2402">
        <w:rPr>
          <w:i/>
          <w:szCs w:val="16"/>
          <w:lang w:val="es-CR"/>
        </w:rPr>
        <w:t>Case of Radilla Pacheco v. Mexico</w:t>
      </w:r>
      <w:r w:rsidRPr="007B2402">
        <w:rPr>
          <w:szCs w:val="16"/>
          <w:lang w:val="es-CR"/>
        </w:rPr>
        <w:t xml:space="preserve">, para. 272, </w:t>
      </w:r>
      <w:r w:rsidRPr="007B2402">
        <w:rPr>
          <w:i/>
          <w:szCs w:val="16"/>
          <w:lang w:val="es-CR"/>
        </w:rPr>
        <w:t>Case of Fernández Ortega et al. v. Mexico</w:t>
      </w:r>
      <w:r w:rsidRPr="007B2402">
        <w:rPr>
          <w:szCs w:val="16"/>
          <w:lang w:val="es-CR"/>
        </w:rPr>
        <w:t xml:space="preserve">, para. </w:t>
      </w:r>
      <w:r w:rsidRPr="007B2402">
        <w:rPr>
          <w:szCs w:val="16"/>
          <w:lang w:val="en-US"/>
        </w:rPr>
        <w:t xml:space="preserve">176, and </w:t>
      </w:r>
      <w:r w:rsidRPr="007B2402">
        <w:rPr>
          <w:i/>
          <w:szCs w:val="16"/>
          <w:lang w:val="en-US"/>
        </w:rPr>
        <w:t>Case of Rosendo Cantú et al. v. Mexico</w:t>
      </w:r>
      <w:r w:rsidRPr="007B2402">
        <w:rPr>
          <w:szCs w:val="16"/>
          <w:lang w:val="en-US"/>
        </w:rPr>
        <w:t xml:space="preserve">, para. 160, </w:t>
      </w:r>
      <w:r w:rsidRPr="007B2402">
        <w:rPr>
          <w:i/>
          <w:szCs w:val="16"/>
          <w:lang w:val="en-US"/>
        </w:rPr>
        <w:t xml:space="preserve">Case of </w:t>
      </w:r>
      <w:r w:rsidRPr="007B2402">
        <w:rPr>
          <w:bCs/>
          <w:i/>
          <w:szCs w:val="16"/>
          <w:lang w:val="en-US"/>
        </w:rPr>
        <w:t xml:space="preserve">Castillo Petruzzi et al. v. Peru. Merits, reparations and costs. </w:t>
      </w:r>
      <w:r w:rsidRPr="007B2402">
        <w:rPr>
          <w:bCs/>
          <w:szCs w:val="16"/>
          <w:lang w:val="en-US"/>
        </w:rPr>
        <w:t>Judgment of May 30, 1999. Series C No. 52</w:t>
      </w:r>
      <w:r w:rsidRPr="007B2402">
        <w:rPr>
          <w:szCs w:val="16"/>
          <w:lang w:val="en-US"/>
        </w:rPr>
        <w:t xml:space="preserve">, para. 128, </w:t>
      </w:r>
      <w:r w:rsidRPr="007B2402">
        <w:rPr>
          <w:i/>
          <w:szCs w:val="16"/>
          <w:lang w:val="en-US"/>
        </w:rPr>
        <w:t>Case of Quispialaya Vilcapoma v. Peru</w:t>
      </w:r>
      <w:r w:rsidRPr="007B2402">
        <w:rPr>
          <w:szCs w:val="16"/>
          <w:lang w:val="en-US"/>
        </w:rPr>
        <w:t xml:space="preserve">, para. </w:t>
      </w:r>
      <w:r w:rsidRPr="007B2402">
        <w:rPr>
          <w:szCs w:val="16"/>
          <w:lang w:val="es-CR"/>
        </w:rPr>
        <w:t xml:space="preserve">146, and </w:t>
      </w:r>
      <w:r w:rsidRPr="007B2402">
        <w:rPr>
          <w:i/>
          <w:szCs w:val="16"/>
          <w:lang w:val="es-CR"/>
        </w:rPr>
        <w:t>Case of Ortiz Hernández et al. v. Venezuela</w:t>
      </w:r>
      <w:r w:rsidRPr="007B2402">
        <w:rPr>
          <w:szCs w:val="16"/>
          <w:lang w:val="es-CR"/>
        </w:rPr>
        <w:t>, para. 148.</w:t>
      </w:r>
    </w:p>
  </w:footnote>
  <w:footnote w:id="251">
    <w:p w14:paraId="5DEFDD3C" w14:textId="5CE39005"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s-CR"/>
        </w:rPr>
        <w:t xml:space="preserve"> </w:t>
      </w:r>
      <w:r w:rsidRPr="007B2402">
        <w:rPr>
          <w:i/>
          <w:szCs w:val="16"/>
          <w:lang w:val="es-CR"/>
        </w:rPr>
        <w:t>Cf. Case of Radilla Pacheco v. Mexico</w:t>
      </w:r>
      <w:r w:rsidRPr="007B2402">
        <w:rPr>
          <w:szCs w:val="16"/>
          <w:lang w:val="es-CR"/>
        </w:rPr>
        <w:t xml:space="preserve">, para. 313, </w:t>
      </w:r>
      <w:r w:rsidRPr="007B2402">
        <w:rPr>
          <w:i/>
          <w:szCs w:val="16"/>
          <w:lang w:val="es-CR"/>
        </w:rPr>
        <w:t>Case of Fernández Ortega et al. v. Mexico,</w:t>
      </w:r>
      <w:r w:rsidRPr="007B2402">
        <w:rPr>
          <w:szCs w:val="16"/>
          <w:lang w:val="es-CR"/>
        </w:rPr>
        <w:t xml:space="preserve"> para. </w:t>
      </w:r>
      <w:r w:rsidRPr="007B2402">
        <w:rPr>
          <w:szCs w:val="16"/>
          <w:lang w:val="en-US"/>
        </w:rPr>
        <w:t xml:space="preserve">179, and </w:t>
      </w:r>
      <w:r w:rsidRPr="007B2402">
        <w:rPr>
          <w:i/>
          <w:szCs w:val="16"/>
          <w:lang w:val="en-US"/>
        </w:rPr>
        <w:t>Case of Rosendo Cantú et al. v. Mexico</w:t>
      </w:r>
      <w:r w:rsidRPr="007B2402">
        <w:rPr>
          <w:szCs w:val="16"/>
          <w:lang w:val="en-US"/>
        </w:rPr>
        <w:t xml:space="preserve">, para. 163, </w:t>
      </w:r>
      <w:r w:rsidRPr="007B2402">
        <w:rPr>
          <w:i/>
          <w:szCs w:val="16"/>
          <w:lang w:val="en-US"/>
        </w:rPr>
        <w:t xml:space="preserve">Case of </w:t>
      </w:r>
      <w:r w:rsidRPr="007B2402">
        <w:rPr>
          <w:bCs/>
          <w:i/>
          <w:szCs w:val="16"/>
          <w:lang w:val="en-US"/>
        </w:rPr>
        <w:t>Castillo Petruzzi et al. v. Peru. Merits, reparations and costs</w:t>
      </w:r>
      <w:r w:rsidRPr="007B2402">
        <w:rPr>
          <w:szCs w:val="16"/>
          <w:lang w:val="en-US"/>
        </w:rPr>
        <w:t xml:space="preserve">, para. </w:t>
      </w:r>
      <w:r w:rsidRPr="007B2402">
        <w:rPr>
          <w:szCs w:val="16"/>
          <w:lang w:val="es-CR"/>
        </w:rPr>
        <w:t xml:space="preserve">128, </w:t>
      </w:r>
      <w:r w:rsidRPr="007B2402">
        <w:rPr>
          <w:i/>
          <w:szCs w:val="16"/>
          <w:lang w:val="es-CR"/>
        </w:rPr>
        <w:t>Case of Quispialaya Vilcapoma v. Peru</w:t>
      </w:r>
      <w:r w:rsidRPr="007B2402">
        <w:rPr>
          <w:szCs w:val="16"/>
          <w:lang w:val="es-CR"/>
        </w:rPr>
        <w:t xml:space="preserve">, para. 146, and </w:t>
      </w:r>
      <w:r w:rsidRPr="007B2402">
        <w:rPr>
          <w:i/>
          <w:szCs w:val="16"/>
          <w:lang w:val="es-CR"/>
        </w:rPr>
        <w:t>Case of Ortiz Hernández et al. v. Venezuela</w:t>
      </w:r>
      <w:r w:rsidRPr="007B2402">
        <w:rPr>
          <w:szCs w:val="16"/>
          <w:lang w:val="es-CR"/>
        </w:rPr>
        <w:t xml:space="preserve">, para. </w:t>
      </w:r>
      <w:r w:rsidRPr="007B2402">
        <w:rPr>
          <w:szCs w:val="16"/>
          <w:lang w:val="en-US"/>
        </w:rPr>
        <w:t>148.</w:t>
      </w:r>
    </w:p>
  </w:footnote>
  <w:footnote w:id="252">
    <w:p w14:paraId="39F1B9E7" w14:textId="2E03E189" w:rsidR="00920DEA" w:rsidRPr="007B2402" w:rsidRDefault="00920DEA" w:rsidP="005B1590">
      <w:pPr>
        <w:pStyle w:val="Textonotapie"/>
        <w:spacing w:after="80"/>
        <w:jc w:val="left"/>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w:t>
      </w:r>
      <w:r w:rsidRPr="007B2402">
        <w:rPr>
          <w:i/>
          <w:szCs w:val="16"/>
          <w:lang w:val="en-US"/>
        </w:rPr>
        <w:t>mutatis mutandi, Case of the Río Negro Massacres v. Guatemala</w:t>
      </w:r>
      <w:r w:rsidRPr="007B2402">
        <w:rPr>
          <w:szCs w:val="16"/>
          <w:lang w:val="en-US"/>
        </w:rPr>
        <w:t>, para. 225.</w:t>
      </w:r>
    </w:p>
  </w:footnote>
  <w:footnote w:id="253">
    <w:p w14:paraId="6F21E958" w14:textId="70890C15"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Substitute Federal Judge of the First Federal Criminal and Sentencing Court. Decision No. 2008.61.81.013434-2, January 9, 2009, p. 9 (evidence file, folio 4573).</w:t>
      </w:r>
    </w:p>
  </w:footnote>
  <w:footnote w:id="254">
    <w:p w14:paraId="7592EACD" w14:textId="560610DE"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Case of Gomes Lund et al. </w:t>
      </w:r>
      <w:r w:rsidRPr="007B2402">
        <w:rPr>
          <w:i/>
          <w:szCs w:val="16"/>
          <w:lang w:val="es-CR"/>
        </w:rPr>
        <w:t>("Guerrilha do Araguaia") v. Brazil</w:t>
      </w:r>
      <w:r w:rsidRPr="007B2402">
        <w:rPr>
          <w:szCs w:val="16"/>
          <w:lang w:val="es-CR"/>
        </w:rPr>
        <w:t xml:space="preserve">, para. </w:t>
      </w:r>
      <w:r w:rsidRPr="007B2402">
        <w:rPr>
          <w:szCs w:val="16"/>
          <w:lang w:val="en-US"/>
        </w:rPr>
        <w:t>137.</w:t>
      </w:r>
    </w:p>
  </w:footnote>
  <w:footnote w:id="255">
    <w:p w14:paraId="2046B369" w14:textId="08C8BF85"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The Court has considered that “serious human rights violations” have their own connotation and consequences. </w:t>
      </w:r>
      <w:r w:rsidRPr="007B2402">
        <w:rPr>
          <w:i/>
          <w:szCs w:val="16"/>
          <w:lang w:val="en-US"/>
        </w:rPr>
        <w:t>Cf. Case of Escher et al. v. Brazil</w:t>
      </w:r>
      <w:r w:rsidRPr="007B2402">
        <w:rPr>
          <w:szCs w:val="16"/>
          <w:lang w:val="en-US"/>
        </w:rPr>
        <w:t xml:space="preserve">. </w:t>
      </w:r>
      <w:r w:rsidRPr="007B2402">
        <w:rPr>
          <w:i/>
          <w:szCs w:val="16"/>
          <w:lang w:val="en-US"/>
        </w:rPr>
        <w:t xml:space="preserve">Monitoring compliance with judgment. </w:t>
      </w:r>
      <w:r w:rsidRPr="007B2402">
        <w:rPr>
          <w:szCs w:val="16"/>
          <w:lang w:val="en-US"/>
        </w:rPr>
        <w:t>Order of the Inter-American Court of Human Rights of June 19, 2012, para. 20.</w:t>
      </w:r>
      <w:r w:rsidRPr="007B2402">
        <w:rPr>
          <w:i/>
          <w:szCs w:val="16"/>
          <w:lang w:val="en-US"/>
        </w:rPr>
        <w:t xml:space="preserve"> </w:t>
      </w:r>
    </w:p>
  </w:footnote>
  <w:footnote w:id="256">
    <w:p w14:paraId="535D9424" w14:textId="6B745CDD"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w:t>
      </w:r>
      <w:r w:rsidRPr="007B2402">
        <w:rPr>
          <w:i/>
          <w:szCs w:val="16"/>
          <w:lang w:val="en-US"/>
        </w:rPr>
        <w:t xml:space="preserve">Case of Barrios Altos v. Peru. </w:t>
      </w:r>
      <w:r w:rsidRPr="007B2402">
        <w:rPr>
          <w:szCs w:val="16"/>
          <w:lang w:val="en-US"/>
        </w:rPr>
        <w:t xml:space="preserve">Merits, para. 41; </w:t>
      </w:r>
      <w:r w:rsidRPr="007B2402">
        <w:rPr>
          <w:i/>
          <w:szCs w:val="16"/>
          <w:lang w:val="en-US"/>
        </w:rPr>
        <w:t>Case of Almonacid Arellano v. Chile</w:t>
      </w:r>
      <w:r w:rsidRPr="007B2402">
        <w:rPr>
          <w:szCs w:val="16"/>
          <w:lang w:val="en-US"/>
        </w:rPr>
        <w:t xml:space="preserve">, para. 110; </w:t>
      </w:r>
      <w:r w:rsidRPr="007B2402">
        <w:rPr>
          <w:i/>
          <w:szCs w:val="16"/>
          <w:lang w:val="en-US"/>
        </w:rPr>
        <w:t>Case of the La Rochela Massacre v. Colombia</w:t>
      </w:r>
      <w:r w:rsidRPr="007B2402">
        <w:rPr>
          <w:szCs w:val="16"/>
          <w:lang w:val="en-US"/>
        </w:rPr>
        <w:t xml:space="preserve">, para. 294; </w:t>
      </w:r>
      <w:r w:rsidRPr="007B2402">
        <w:rPr>
          <w:i/>
          <w:szCs w:val="16"/>
          <w:lang w:val="en-US"/>
        </w:rPr>
        <w:t>Case of Albán Cornejo v. Ecuador.</w:t>
      </w:r>
      <w:r w:rsidRPr="007B2402">
        <w:rPr>
          <w:szCs w:val="16"/>
          <w:lang w:val="en-US"/>
        </w:rPr>
        <w:t xml:space="preserve"> Merits, reparations and costs. Judgment of November 22, 2007. Series C No. 171. para. 111; </w:t>
      </w:r>
      <w:r w:rsidRPr="007B2402">
        <w:rPr>
          <w:i/>
          <w:szCs w:val="16"/>
          <w:lang w:val="en-US"/>
        </w:rPr>
        <w:t>Case of Vera Vera et al. v. Ecuador</w:t>
      </w:r>
      <w:r w:rsidRPr="007B2402">
        <w:rPr>
          <w:szCs w:val="16"/>
          <w:lang w:val="en-US"/>
        </w:rPr>
        <w:t xml:space="preserve">. </w:t>
      </w:r>
      <w:r w:rsidRPr="007B2402">
        <w:rPr>
          <w:i/>
          <w:szCs w:val="16"/>
          <w:lang w:val="en-US"/>
        </w:rPr>
        <w:t>Preliminary objection, Merits, reparations and costs</w:t>
      </w:r>
      <w:r w:rsidRPr="007B2402">
        <w:rPr>
          <w:szCs w:val="16"/>
          <w:lang w:val="en-US"/>
        </w:rPr>
        <w:t xml:space="preserve">. Judgment of May 19, 2011. Series C No. 226, párr 117. </w:t>
      </w:r>
    </w:p>
  </w:footnote>
  <w:footnote w:id="257">
    <w:p w14:paraId="7134A829" w14:textId="1867F775" w:rsidR="00920DEA" w:rsidRPr="007B2402" w:rsidRDefault="00920DEA" w:rsidP="005B1590">
      <w:pPr>
        <w:pStyle w:val="Textonotapie"/>
        <w:spacing w:after="80"/>
        <w:rPr>
          <w:i/>
          <w:szCs w:val="16"/>
          <w:lang w:val="en-US"/>
        </w:rPr>
      </w:pPr>
      <w:r w:rsidRPr="007B2402">
        <w:rPr>
          <w:rStyle w:val="Refdenotaalpie"/>
          <w:rFonts w:ascii="Verdana" w:hAnsi="Verdana"/>
          <w:szCs w:val="16"/>
          <w:lang w:val="en-US"/>
        </w:rPr>
        <w:footnoteRef/>
      </w:r>
      <w:r w:rsidRPr="007B2402">
        <w:rPr>
          <w:i/>
          <w:szCs w:val="16"/>
          <w:lang w:val="en-US"/>
        </w:rPr>
        <w:t xml:space="preserve"> “</w:t>
      </w:r>
      <w:r w:rsidRPr="007B2402">
        <w:rPr>
          <w:szCs w:val="16"/>
          <w:lang w:val="en-US"/>
        </w:rPr>
        <w:t>The protection of human rights against particularly serious, inadmissible violations that might go unpunished – thus diluting the duty to administer criminal justice stemming from the guarntee obligation of the State – has caused certain facts to be excluded from the ordinary statute of limitations system, even a more strict statute of limitations applied on certain conditions and longer terms intended to give extended life to the State’s right to prosecute.”</w:t>
      </w:r>
      <w:r w:rsidRPr="007B2402">
        <w:rPr>
          <w:i/>
          <w:szCs w:val="16"/>
          <w:lang w:val="en-US"/>
        </w:rPr>
        <w:t xml:space="preserve"> </w:t>
      </w:r>
      <w:r w:rsidRPr="007B2402">
        <w:rPr>
          <w:szCs w:val="16"/>
          <w:lang w:val="en-US"/>
        </w:rPr>
        <w:t xml:space="preserve">Separate opinion of Judge Sergio García Ramírez with regard to the judgment of the Inter-American Court of Human Rights in the </w:t>
      </w:r>
      <w:r w:rsidRPr="007B2402">
        <w:rPr>
          <w:i/>
          <w:szCs w:val="16"/>
          <w:lang w:val="en-US"/>
        </w:rPr>
        <w:t>Case of Albán Cornejo et al. v. Ecuador.</w:t>
      </w:r>
      <w:r w:rsidRPr="007B2402">
        <w:rPr>
          <w:szCs w:val="16"/>
          <w:lang w:val="en-US"/>
        </w:rPr>
        <w:t xml:space="preserve"> </w:t>
      </w:r>
      <w:r w:rsidRPr="007B2402">
        <w:rPr>
          <w:i/>
          <w:szCs w:val="16"/>
          <w:lang w:val="en-US"/>
        </w:rPr>
        <w:t>Merits</w:t>
      </w:r>
      <w:r w:rsidRPr="007B2402">
        <w:rPr>
          <w:szCs w:val="16"/>
          <w:lang w:val="en-US"/>
        </w:rPr>
        <w:t>, para. 29</w:t>
      </w:r>
      <w:r w:rsidRPr="007B2402">
        <w:rPr>
          <w:i/>
          <w:szCs w:val="16"/>
          <w:lang w:val="en-US"/>
        </w:rPr>
        <w:t>.</w:t>
      </w:r>
    </w:p>
  </w:footnote>
  <w:footnote w:id="258">
    <w:p w14:paraId="0C24101A" w14:textId="0628B339"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w:t>
      </w:r>
      <w:r w:rsidRPr="007B2402">
        <w:rPr>
          <w:i/>
          <w:szCs w:val="16"/>
          <w:lang w:val="en-US"/>
        </w:rPr>
        <w:t>Case of Bueno Alves v. Argentina.</w:t>
      </w:r>
      <w:r w:rsidRPr="007B2402">
        <w:rPr>
          <w:szCs w:val="16"/>
          <w:lang w:val="en-US"/>
        </w:rPr>
        <w:t xml:space="preserve"> Monitoring compliance with judgment. Resolution of the Inter-American Court of Human Rights of July 5, 2011, </w:t>
      </w:r>
      <w:r w:rsidRPr="007B2402">
        <w:rPr>
          <w:i/>
          <w:iCs/>
          <w:szCs w:val="16"/>
          <w:lang w:val="en-US"/>
        </w:rPr>
        <w:t>considerandum</w:t>
      </w:r>
      <w:r w:rsidRPr="007B2402">
        <w:rPr>
          <w:szCs w:val="16"/>
          <w:lang w:val="en-US"/>
        </w:rPr>
        <w:t xml:space="preserve"> 40.</w:t>
      </w:r>
    </w:p>
  </w:footnote>
  <w:footnote w:id="259">
    <w:p w14:paraId="5E8A7BCD" w14:textId="56D8D221"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w:t>
      </w:r>
      <w:r w:rsidRPr="007B2402">
        <w:rPr>
          <w:i/>
          <w:szCs w:val="16"/>
          <w:lang w:val="en-US"/>
        </w:rPr>
        <w:t>Case of Albán Cornejo v. Ecuador.</w:t>
      </w:r>
      <w:r w:rsidRPr="007B2402">
        <w:rPr>
          <w:szCs w:val="16"/>
          <w:lang w:val="en-US"/>
        </w:rPr>
        <w:t xml:space="preserve"> Merits, para. 111; </w:t>
      </w:r>
      <w:r w:rsidRPr="007B2402">
        <w:rPr>
          <w:i/>
          <w:szCs w:val="16"/>
          <w:lang w:val="en-US"/>
        </w:rPr>
        <w:t>Case of Vera and otra v. Ecuador</w:t>
      </w:r>
      <w:r w:rsidRPr="007B2402">
        <w:rPr>
          <w:szCs w:val="16"/>
          <w:lang w:val="en-US"/>
        </w:rPr>
        <w:t>, para. 117.</w:t>
      </w:r>
    </w:p>
  </w:footnote>
  <w:footnote w:id="260">
    <w:p w14:paraId="01BC56D2" w14:textId="64DD00C0" w:rsidR="00920DEA" w:rsidRPr="007B2402" w:rsidRDefault="00920DEA" w:rsidP="005B1590">
      <w:pPr>
        <w:pStyle w:val="Textonotapie"/>
        <w:spacing w:after="80"/>
        <w:rPr>
          <w:b/>
          <w:szCs w:val="16"/>
          <w:lang w:val="en-US"/>
        </w:rPr>
      </w:pPr>
      <w:r w:rsidRPr="007B2402">
        <w:rPr>
          <w:rStyle w:val="Refdenotaalpie"/>
          <w:rFonts w:ascii="Verdana" w:hAnsi="Verdana"/>
          <w:szCs w:val="16"/>
          <w:lang w:val="en-US"/>
        </w:rPr>
        <w:footnoteRef/>
      </w:r>
      <w:r w:rsidRPr="007B2402">
        <w:rPr>
          <w:szCs w:val="16"/>
          <w:lang w:val="en-US"/>
        </w:rPr>
        <w:t xml:space="preserve"> See, </w:t>
      </w:r>
      <w:r w:rsidRPr="007B2402">
        <w:rPr>
          <w:i/>
          <w:iCs/>
          <w:szCs w:val="16"/>
          <w:lang w:val="en-US"/>
        </w:rPr>
        <w:t>inter alia</w:t>
      </w:r>
      <w:r w:rsidRPr="007B2402">
        <w:rPr>
          <w:szCs w:val="16"/>
          <w:lang w:val="en-US"/>
        </w:rPr>
        <w:t xml:space="preserve">, </w:t>
      </w:r>
      <w:r w:rsidRPr="007B2402">
        <w:rPr>
          <w:i/>
          <w:szCs w:val="16"/>
          <w:lang w:val="en-US"/>
        </w:rPr>
        <w:t xml:space="preserve">Case of Barrios Altos v. Peru. </w:t>
      </w:r>
      <w:r w:rsidRPr="007B2402">
        <w:rPr>
          <w:szCs w:val="16"/>
          <w:lang w:val="en-US"/>
        </w:rPr>
        <w:t xml:space="preserve">Merits, para. 41; </w:t>
      </w:r>
      <w:r w:rsidRPr="007B2402">
        <w:rPr>
          <w:i/>
          <w:szCs w:val="16"/>
          <w:lang w:val="en-US"/>
        </w:rPr>
        <w:t>Case of the Gómez Paquiyauri Brothers v. Peru. Merits, reparations and costs</w:t>
      </w:r>
      <w:r w:rsidRPr="007B2402">
        <w:rPr>
          <w:szCs w:val="16"/>
          <w:lang w:val="en-US"/>
        </w:rPr>
        <w:t xml:space="preserve">. Judgment of July 8, 2004. Series C No. 110, para. 150, 151 and 152; </w:t>
      </w:r>
      <w:r w:rsidRPr="007B2402">
        <w:rPr>
          <w:i/>
          <w:szCs w:val="16"/>
          <w:lang w:val="en-US"/>
        </w:rPr>
        <w:t>Case of the Moiwana Community v. Suriname. Preliminary objections, merits, reparations and costs</w:t>
      </w:r>
      <w:r w:rsidRPr="007B2402">
        <w:rPr>
          <w:szCs w:val="16"/>
          <w:lang w:val="en-US"/>
        </w:rPr>
        <w:t xml:space="preserve">. Judgment of June 15, 2005. Series C No. 124, para. 167; </w:t>
      </w:r>
      <w:r w:rsidRPr="007B2402">
        <w:rPr>
          <w:i/>
          <w:szCs w:val="16"/>
          <w:lang w:val="en-US"/>
        </w:rPr>
        <w:t>Case of Ibsen Cárdenas and Ibsen Peña v. Bolivia. Merits, reparations and costs</w:t>
      </w:r>
      <w:r w:rsidRPr="007B2402">
        <w:rPr>
          <w:szCs w:val="16"/>
          <w:lang w:val="en-US"/>
        </w:rPr>
        <w:t xml:space="preserve">. Judgment of September 1, 2010. Series C No. 217, para. </w:t>
      </w:r>
      <w:r w:rsidRPr="007B2402">
        <w:rPr>
          <w:szCs w:val="16"/>
          <w:lang w:val="es-CR"/>
        </w:rPr>
        <w:t xml:space="preserve">207; </w:t>
      </w:r>
      <w:r w:rsidRPr="007B2402">
        <w:rPr>
          <w:i/>
          <w:szCs w:val="16"/>
          <w:lang w:val="es-CR"/>
        </w:rPr>
        <w:t>Case of Gomes Lund et al. ("Guerrilha do Araguaia") v. Brazil</w:t>
      </w:r>
      <w:r w:rsidRPr="007B2402">
        <w:rPr>
          <w:szCs w:val="16"/>
          <w:lang w:val="es-CR"/>
        </w:rPr>
        <w:t xml:space="preserve">, para. 171; </w:t>
      </w:r>
      <w:r w:rsidRPr="007B2402">
        <w:rPr>
          <w:i/>
          <w:szCs w:val="16"/>
          <w:lang w:val="es-CR"/>
        </w:rPr>
        <w:t>Case of Vera Vera et al. v. Ecuador</w:t>
      </w:r>
      <w:r w:rsidRPr="007B2402">
        <w:rPr>
          <w:szCs w:val="16"/>
          <w:lang w:val="es-CR"/>
        </w:rPr>
        <w:t xml:space="preserve">, para. </w:t>
      </w:r>
      <w:r w:rsidRPr="007B2402">
        <w:rPr>
          <w:szCs w:val="16"/>
          <w:lang w:val="en-US"/>
        </w:rPr>
        <w:t xml:space="preserve">117, and </w:t>
      </w:r>
      <w:r w:rsidRPr="007B2402">
        <w:rPr>
          <w:i/>
          <w:szCs w:val="16"/>
          <w:lang w:val="en-US"/>
        </w:rPr>
        <w:t>Case of the Hacienda Brasil Verde Workers v. Brazil</w:t>
      </w:r>
      <w:r w:rsidRPr="007B2402">
        <w:rPr>
          <w:szCs w:val="16"/>
          <w:lang w:val="en-US"/>
        </w:rPr>
        <w:t xml:space="preserve">, para. 454. </w:t>
      </w:r>
    </w:p>
  </w:footnote>
  <w:footnote w:id="261">
    <w:p w14:paraId="2C8B620B" w14:textId="1570FE5F"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UN. </w:t>
      </w:r>
      <w:r w:rsidRPr="007B2402">
        <w:rPr>
          <w:i/>
          <w:szCs w:val="16"/>
          <w:lang w:val="en-US"/>
        </w:rPr>
        <w:t>Report of the International Law Commission on the work of its sixty-ninth session (1 May-2 June and 3 July-4 August 2017)</w:t>
      </w:r>
      <w:r w:rsidRPr="007B2402">
        <w:rPr>
          <w:szCs w:val="16"/>
          <w:lang w:val="en-US"/>
        </w:rPr>
        <w:t xml:space="preserve">. A/72/10, commentary 34 on article 6 of the Draft articles on crimes against humanity, p. 70, citing Control Council Law No. 10 on Punishment </w:t>
      </w:r>
      <w:r w:rsidRPr="007B2402">
        <w:rPr>
          <w:rStyle w:val="st"/>
          <w:lang w:val="en-US"/>
        </w:rPr>
        <w:t>of Persons Guilty of War Crimes, Crimes Against Peace and Against Humanity</w:t>
      </w:r>
      <w:r w:rsidRPr="007B2402">
        <w:rPr>
          <w:szCs w:val="16"/>
          <w:lang w:val="en-US"/>
        </w:rPr>
        <w:t xml:space="preserve">, art. II, para. 5; UN. General Assembly. </w:t>
      </w:r>
      <w:r w:rsidRPr="007B2402">
        <w:rPr>
          <w:i/>
          <w:szCs w:val="16"/>
          <w:lang w:val="en-US"/>
        </w:rPr>
        <w:t>Question of the punishment of war criminals and of persons who have committed crimes against humanity</w:t>
      </w:r>
      <w:r w:rsidRPr="007B2402">
        <w:rPr>
          <w:szCs w:val="16"/>
          <w:lang w:val="en-US"/>
        </w:rPr>
        <w:t xml:space="preserve">, Resolution 2338 (XXII), December 18, 1967. </w:t>
      </w:r>
    </w:p>
  </w:footnote>
  <w:footnote w:id="262">
    <w:p w14:paraId="4F18F29E" w14:textId="4C3C11EF"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UN. </w:t>
      </w:r>
      <w:r w:rsidRPr="007B2402">
        <w:rPr>
          <w:i/>
          <w:szCs w:val="16"/>
          <w:lang w:val="en-US"/>
        </w:rPr>
        <w:t>Report of the International Law Commission on the work of its sixty-ninth session (1 May-2 June and 3 July-4 August 2017)</w:t>
      </w:r>
      <w:r w:rsidRPr="007B2402">
        <w:rPr>
          <w:szCs w:val="16"/>
          <w:lang w:val="en-US"/>
        </w:rPr>
        <w:t xml:space="preserve">. A/72/10, commentary 35 on article 6 of the Draft articles on crimes against humanity, p. 70, citing UN. General Assembly. </w:t>
      </w:r>
      <w:r w:rsidRPr="007B2402">
        <w:rPr>
          <w:i/>
          <w:szCs w:val="16"/>
          <w:lang w:val="en-US"/>
        </w:rPr>
        <w:t>Question of the punishment of war criminals and of persons who have committed crimes against humanity</w:t>
      </w:r>
      <w:r w:rsidRPr="007B2402">
        <w:rPr>
          <w:szCs w:val="16"/>
          <w:lang w:val="en-US"/>
        </w:rPr>
        <w:t xml:space="preserve">, Resolution 2338 (XXII), December 18, 1967; see also Resolution 2712 (XXV) of December 15, 1970 (available at: </w:t>
      </w:r>
      <w:hyperlink r:id="rId15" w:history="1">
        <w:r w:rsidRPr="007B2402">
          <w:rPr>
            <w:rStyle w:val="Hipervnculo"/>
            <w:szCs w:val="16"/>
            <w:lang w:val="en-US"/>
          </w:rPr>
          <w:t>https://undocs.org/en/A/RES/2712(XXV)</w:t>
        </w:r>
      </w:hyperlink>
      <w:r w:rsidRPr="007B2402">
        <w:rPr>
          <w:szCs w:val="16"/>
          <w:lang w:val="en-US"/>
        </w:rPr>
        <w:t xml:space="preserve">), and Resolution 2840 (XXVI) of December 18, 1971 (available at: </w:t>
      </w:r>
      <w:hyperlink r:id="rId16" w:history="1">
        <w:r w:rsidRPr="007B2402">
          <w:rPr>
            <w:rStyle w:val="Hipervnculo"/>
            <w:szCs w:val="16"/>
            <w:lang w:val="en-US"/>
          </w:rPr>
          <w:t>https://undocs.org/en/A/RES/2840(XXVI)</w:t>
        </w:r>
      </w:hyperlink>
      <w:r w:rsidRPr="007B2402">
        <w:rPr>
          <w:szCs w:val="16"/>
          <w:lang w:val="en-US"/>
        </w:rPr>
        <w:t>).</w:t>
      </w:r>
    </w:p>
  </w:footnote>
  <w:footnote w:id="263">
    <w:p w14:paraId="6A2842D4" w14:textId="3087C70A"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UN. General Assembly. </w:t>
      </w:r>
      <w:r w:rsidRPr="007B2402">
        <w:rPr>
          <w:i/>
          <w:szCs w:val="16"/>
          <w:lang w:val="en-US"/>
        </w:rPr>
        <w:t>Convention on the Non-Applicability of Statutory Limitations to War Crimes and Crimes against Humanity</w:t>
      </w:r>
      <w:r w:rsidRPr="007B2402">
        <w:rPr>
          <w:szCs w:val="16"/>
          <w:lang w:val="en-US"/>
        </w:rPr>
        <w:t xml:space="preserve">, Resolutión 2391(XXIII), November 26, 1968, Article IV. Available at </w:t>
      </w:r>
      <w:hyperlink r:id="rId17" w:history="1">
        <w:r w:rsidRPr="007B2402">
          <w:rPr>
            <w:rStyle w:val="Hipervnculo"/>
            <w:szCs w:val="16"/>
            <w:lang w:val="en-US"/>
          </w:rPr>
          <w:t>https://undocs.org/en/ a/res/2391(XXIII)</w:t>
        </w:r>
      </w:hyperlink>
      <w:r w:rsidRPr="007B2402">
        <w:rPr>
          <w:szCs w:val="16"/>
          <w:lang w:val="en-US"/>
        </w:rPr>
        <w:t>.</w:t>
      </w:r>
    </w:p>
  </w:footnote>
  <w:footnote w:id="264">
    <w:p w14:paraId="19A13998" w14:textId="606DD59B" w:rsidR="00920DEA" w:rsidRPr="007B2402" w:rsidRDefault="00920DEA" w:rsidP="00D35CA6">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Parliament of the Kingdom of Cambodia. </w:t>
      </w:r>
      <w:r w:rsidRPr="007B2402">
        <w:rPr>
          <w:i/>
          <w:szCs w:val="16"/>
          <w:lang w:val="en-US"/>
        </w:rPr>
        <w:t xml:space="preserve">Law on the Establishment of the Extraordinary Chambers in the Courts of Cambodia for the Prosecution of Crimes Committed during the Period of Democratic Kampuchea, promulgated on August 10, </w:t>
      </w:r>
      <w:r w:rsidRPr="007B2402">
        <w:rPr>
          <w:szCs w:val="16"/>
          <w:lang w:val="en-US"/>
        </w:rPr>
        <w:t xml:space="preserve">2001, with amendments adopted on October 27, 2004 (NS/RKM/1004/006), art. 5; United Nations Transitional Administration in East Timor. </w:t>
      </w:r>
      <w:r w:rsidRPr="007B2402">
        <w:rPr>
          <w:i/>
          <w:szCs w:val="16"/>
          <w:lang w:val="en-US"/>
        </w:rPr>
        <w:t>Regulation No. 2000/15 on the Establishment of Panels with Exclusive Jurisdiction over Serious Criminal Offences</w:t>
      </w:r>
      <w:r w:rsidRPr="007B2402">
        <w:rPr>
          <w:szCs w:val="16"/>
          <w:lang w:val="en-US"/>
        </w:rPr>
        <w:t>. UNTAET/REG/2000/15, June 6, 2000, art. 17.1.</w:t>
      </w:r>
    </w:p>
  </w:footnote>
  <w:footnote w:id="265">
    <w:p w14:paraId="54DBE8DB" w14:textId="3351D987" w:rsidR="00920DEA" w:rsidRPr="007B2402" w:rsidRDefault="00920DEA" w:rsidP="00D35CA6">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UN. </w:t>
      </w:r>
      <w:r w:rsidRPr="007B2402">
        <w:rPr>
          <w:i/>
          <w:szCs w:val="16"/>
          <w:lang w:val="en-US"/>
        </w:rPr>
        <w:t>Report of the International Law Commission on the work of its sixty-ninth session (1 May-2 June and 3 July-4 August 2017)</w:t>
      </w:r>
      <w:r w:rsidRPr="007B2402">
        <w:rPr>
          <w:szCs w:val="16"/>
          <w:lang w:val="en-US"/>
        </w:rPr>
        <w:t xml:space="preserve">. A/72/10, p. 9, para. 45. Available at </w:t>
      </w:r>
      <w:hyperlink r:id="rId18" w:history="1">
        <w:r w:rsidRPr="007B2402">
          <w:rPr>
            <w:rStyle w:val="Hipervnculo"/>
            <w:szCs w:val="16"/>
            <w:lang w:val="en-US"/>
          </w:rPr>
          <w:t>https://undocs.org/en/A/72/10</w:t>
        </w:r>
      </w:hyperlink>
      <w:r w:rsidRPr="007B2402">
        <w:rPr>
          <w:szCs w:val="16"/>
          <w:lang w:val="en-US"/>
        </w:rPr>
        <w:t>, commentary 35 on Article 6 of the Draft articles on crimes against humanity, p. 71.</w:t>
      </w:r>
    </w:p>
  </w:footnote>
  <w:footnote w:id="266">
    <w:p w14:paraId="13810755" w14:textId="078CACCB" w:rsidR="00920DEA" w:rsidRPr="007B2402" w:rsidRDefault="00920DEA" w:rsidP="00741903">
      <w:pPr>
        <w:spacing w:after="80" w:line="240" w:lineRule="auto"/>
        <w:jc w:val="both"/>
        <w:rPr>
          <w:sz w:val="16"/>
          <w:szCs w:val="16"/>
          <w:lang w:val="en-US"/>
        </w:rPr>
      </w:pPr>
      <w:r w:rsidRPr="007B2402">
        <w:rPr>
          <w:rStyle w:val="Refdenotaalpie"/>
          <w:rFonts w:ascii="Verdana" w:hAnsi="Verdana"/>
          <w:sz w:val="16"/>
          <w:szCs w:val="16"/>
          <w:lang w:val="en-US"/>
        </w:rPr>
        <w:footnoteRef/>
      </w:r>
      <w:r w:rsidRPr="007B2402">
        <w:rPr>
          <w:sz w:val="16"/>
          <w:szCs w:val="16"/>
          <w:lang w:val="en-US"/>
        </w:rPr>
        <w:t xml:space="preserve"> See, for example, Report of the Committee against Torture, Thirty-seventh session (6-24 November 2006) Thirty-eighth session (30 April-18 May 2007) (A/62/44), Chapter III, Consideration of reports by States Parties under Article 19 of the Convention: Mexico, para. 35, Concluding observation 16, and Italy, para. 40, Concluding observation 19; See also, for example, Report of the Human Rights Committee (Ninety-first session (15 October-2 November 2007) Ninety-second session (17 March-4 April 2008) Ninety-third session (7-25 July 2008) (A/63/40 (Vol. I)), Chapter IV, Consideration of reports submitted by States Parties under Article 40 of the Covenant and of country situations in the absence of a report resulting in public concluding observations, Panama (section A, para. 79, observation 7). </w:t>
      </w:r>
    </w:p>
  </w:footnote>
  <w:footnote w:id="267">
    <w:p w14:paraId="370B9C09" w14:textId="6A3E83DA" w:rsidR="00920DEA" w:rsidRPr="007B2402" w:rsidRDefault="00920DEA" w:rsidP="00D35CA6">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ECHR. </w:t>
      </w:r>
      <w:r w:rsidRPr="007B2402">
        <w:rPr>
          <w:i/>
          <w:szCs w:val="16"/>
          <w:lang w:val="en-US"/>
        </w:rPr>
        <w:t>Aslakhanova and Others. v. Russia</w:t>
      </w:r>
      <w:r w:rsidRPr="007B2402">
        <w:rPr>
          <w:szCs w:val="16"/>
          <w:lang w:val="en-US"/>
        </w:rPr>
        <w:t>, Nos. 2944/06 and 8300/07, 50184/07, 332/08, 42509/10, Judgment of December 18, 2012, para. 237: “Lastly, the application of the statute of limitations to the bulk of investigations of the abductions committed prior to 2007 has to be addressed. Bearing in mind the seriousness of the crimes, the large number of persons affected and the relevant legal standards applicable to such situations in modern-day democracies, the Court finds that the termination of pending investigations into abductions solely on the grounds that the time-limit has expired is contrary to the obligations under Article 2 of the Convention. The Court also notes that there is little ground to be overly prescriptive as regards the possibility of an obligation to investigate unlawful killings arising many years after the events, since the public interest in obtaining the prosecution and conviction of perpetrators is firmly recognised, particularly in the context of war crimes and crimes against humanity.”</w:t>
      </w:r>
    </w:p>
  </w:footnote>
  <w:footnote w:id="268">
    <w:p w14:paraId="536DE660" w14:textId="6D3FA824"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ECHR. </w:t>
      </w:r>
      <w:r w:rsidRPr="007B2402">
        <w:rPr>
          <w:i/>
          <w:szCs w:val="16"/>
          <w:lang w:val="en-US"/>
        </w:rPr>
        <w:t>Aslakhanova et al. v. Russia</w:t>
      </w:r>
      <w:r w:rsidRPr="007B2402">
        <w:rPr>
          <w:szCs w:val="16"/>
          <w:lang w:val="en-US"/>
        </w:rPr>
        <w:t xml:space="preserve">, Nos. 2944/06 and 8300/07, 50184/07, 332/08, 42509/10, Judgment of December 18, 2012, para. 237, citing </w:t>
      </w:r>
      <w:r w:rsidRPr="007B2402">
        <w:rPr>
          <w:i/>
          <w:szCs w:val="16"/>
          <w:lang w:val="en-US"/>
        </w:rPr>
        <w:t>Brecknell v. The United Kingdom</w:t>
      </w:r>
      <w:r w:rsidRPr="007B2402">
        <w:rPr>
          <w:szCs w:val="16"/>
          <w:lang w:val="en-US"/>
        </w:rPr>
        <w:t xml:space="preserve"> No. 32457/04, Judgment of November 27, 2007, para. 69.</w:t>
      </w:r>
    </w:p>
  </w:footnote>
  <w:footnote w:id="269">
    <w:p w14:paraId="5634DD22" w14:textId="584F8B3D"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w:t>
      </w:r>
      <w:r w:rsidRPr="007B2402">
        <w:rPr>
          <w:szCs w:val="16"/>
          <w:lang w:val="en-US"/>
        </w:rPr>
        <w:t xml:space="preserve">Constitutional Court. Judgment of March 21, 2011, 25% of the legal quorum of members of Congress against the Executive. Case file No. 0024-2010-PI/TC, </w:t>
      </w:r>
      <w:r w:rsidRPr="007B2402">
        <w:rPr>
          <w:i/>
          <w:szCs w:val="16"/>
          <w:lang w:val="en-US"/>
        </w:rPr>
        <w:t>considerandum</w:t>
      </w:r>
      <w:r w:rsidRPr="007B2402">
        <w:rPr>
          <w:szCs w:val="16"/>
          <w:lang w:val="en-US"/>
        </w:rPr>
        <w:t xml:space="preserve"> §7; Superior Court of Justice of Lima. First Special Criminal Chamber. Judgment of September 15, 2010, File No. 28-2001-1ºSPE/CSJLI.</w:t>
      </w:r>
    </w:p>
  </w:footnote>
  <w:footnote w:id="270">
    <w:p w14:paraId="3766B53A" w14:textId="26C9158B"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w:t>
      </w:r>
      <w:r w:rsidRPr="007B2402">
        <w:rPr>
          <w:szCs w:val="16"/>
          <w:lang w:val="en-US"/>
        </w:rPr>
        <w:t xml:space="preserve">Supreme Court of the Nations, </w:t>
      </w:r>
      <w:r w:rsidRPr="007B2402">
        <w:rPr>
          <w:i/>
          <w:iCs/>
          <w:szCs w:val="16"/>
          <w:lang w:val="en-US"/>
        </w:rPr>
        <w:t>inter alia</w:t>
      </w:r>
      <w:r w:rsidRPr="007B2402">
        <w:rPr>
          <w:szCs w:val="16"/>
          <w:lang w:val="en-US"/>
        </w:rPr>
        <w:t xml:space="preserve">: Appeal judgment of November 2, 1995, Case of Erich Priebke No. 16,063/94, </w:t>
      </w:r>
      <w:r w:rsidRPr="007B2402">
        <w:rPr>
          <w:i/>
          <w:szCs w:val="16"/>
          <w:lang w:val="en-US"/>
        </w:rPr>
        <w:t>considerandum</w:t>
      </w:r>
      <w:r w:rsidRPr="007B2402">
        <w:rPr>
          <w:szCs w:val="16"/>
          <w:lang w:val="en-US"/>
        </w:rPr>
        <w:t xml:space="preserve"> 5; Appeal. Judgment of August 24, 2004, Case of Arancibia Clavel, Enrique Lautaro, case No. 259, </w:t>
      </w:r>
      <w:r w:rsidRPr="007B2402">
        <w:rPr>
          <w:i/>
          <w:szCs w:val="16"/>
          <w:lang w:val="en-US"/>
        </w:rPr>
        <w:t>consideranda</w:t>
      </w:r>
      <w:r w:rsidRPr="007B2402">
        <w:rPr>
          <w:szCs w:val="16"/>
          <w:lang w:val="en-US"/>
        </w:rPr>
        <w:t xml:space="preserve"> 12 to 38; and Appeal. Judgment of June 14, 2005, Case of Julio Héctor Simón </w:t>
      </w:r>
      <w:r w:rsidRPr="007B2402">
        <w:rPr>
          <w:i/>
          <w:iCs/>
          <w:szCs w:val="16"/>
          <w:lang w:val="en-US"/>
        </w:rPr>
        <w:t>et al.,</w:t>
      </w:r>
      <w:r w:rsidRPr="007B2402">
        <w:rPr>
          <w:szCs w:val="16"/>
          <w:lang w:val="en-US"/>
        </w:rPr>
        <w:t xml:space="preserve"> case No. 17,768, </w:t>
      </w:r>
      <w:r w:rsidRPr="007B2402">
        <w:rPr>
          <w:i/>
          <w:szCs w:val="16"/>
          <w:lang w:val="en-US"/>
        </w:rPr>
        <w:t>considerandum</w:t>
      </w:r>
      <w:r w:rsidRPr="007B2402">
        <w:rPr>
          <w:szCs w:val="16"/>
          <w:lang w:val="en-US"/>
        </w:rPr>
        <w:t xml:space="preserve"> 30. See also: Argentine Federal Criminal and Correctional Appeals Chamber, Appeal. Judgment of September 9, 1999, Massera ref/objections, Case No. 30514, </w:t>
      </w:r>
      <w:r w:rsidRPr="007B2402">
        <w:rPr>
          <w:i/>
          <w:szCs w:val="16"/>
          <w:lang w:val="en-US"/>
        </w:rPr>
        <w:t>considerandum</w:t>
      </w:r>
      <w:r w:rsidRPr="007B2402">
        <w:rPr>
          <w:szCs w:val="16"/>
          <w:lang w:val="en-US"/>
        </w:rPr>
        <w:t xml:space="preserve"> III; Federal Criminal Oral Court No. 1 of San Martín Judgment for crimes against humanity. August 12, 2009, General Riveros </w:t>
      </w:r>
      <w:r w:rsidRPr="007B2402">
        <w:rPr>
          <w:i/>
          <w:iCs/>
          <w:szCs w:val="16"/>
          <w:lang w:val="en-US"/>
        </w:rPr>
        <w:t>et al.</w:t>
      </w:r>
      <w:r w:rsidRPr="007B2402">
        <w:rPr>
          <w:szCs w:val="16"/>
          <w:lang w:val="en-US"/>
        </w:rPr>
        <w:t xml:space="preserve"> in the case of Floreal Edgardo Avellaneda </w:t>
      </w:r>
      <w:r w:rsidRPr="007B2402">
        <w:rPr>
          <w:i/>
          <w:iCs/>
          <w:szCs w:val="16"/>
          <w:lang w:val="en-US"/>
        </w:rPr>
        <w:t>et al.,</w:t>
      </w:r>
      <w:r w:rsidRPr="007B2402">
        <w:rPr>
          <w:szCs w:val="16"/>
          <w:lang w:val="en-US"/>
        </w:rPr>
        <w:t xml:space="preserve"> </w:t>
      </w:r>
      <w:r w:rsidRPr="007B2402">
        <w:rPr>
          <w:i/>
          <w:szCs w:val="16"/>
          <w:lang w:val="en-US"/>
        </w:rPr>
        <w:t>considerandum</w:t>
      </w:r>
      <w:r w:rsidRPr="007B2402">
        <w:rPr>
          <w:szCs w:val="16"/>
          <w:lang w:val="en-US"/>
        </w:rPr>
        <w:t xml:space="preserve"> I; Argentine Federal Criminal and Correctional Appeals Chamber, Appeal for annulment. September 9, 1999, Case of Videla </w:t>
      </w:r>
      <w:r w:rsidRPr="007B2402">
        <w:rPr>
          <w:i/>
          <w:iCs/>
          <w:szCs w:val="16"/>
          <w:lang w:val="en-US"/>
        </w:rPr>
        <w:t>et al.,</w:t>
      </w:r>
      <w:r w:rsidRPr="007B2402">
        <w:rPr>
          <w:szCs w:val="16"/>
          <w:lang w:val="en-US"/>
        </w:rPr>
        <w:t xml:space="preserve"> </w:t>
      </w:r>
      <w:r w:rsidRPr="007B2402">
        <w:rPr>
          <w:i/>
          <w:szCs w:val="16"/>
          <w:lang w:val="en-US"/>
        </w:rPr>
        <w:t>considerandum</w:t>
      </w:r>
      <w:r w:rsidRPr="007B2402">
        <w:rPr>
          <w:szCs w:val="16"/>
          <w:lang w:val="en-US"/>
        </w:rPr>
        <w:t xml:space="preserve"> III</w:t>
      </w:r>
      <w:r w:rsidRPr="007B2402">
        <w:rPr>
          <w:rFonts w:cs="Verdana"/>
          <w:szCs w:val="16"/>
          <w:lang w:val="en-US"/>
        </w:rPr>
        <w:t xml:space="preserve">; Federal Appeals Chamber of </w:t>
      </w:r>
      <w:r w:rsidRPr="007B2402">
        <w:rPr>
          <w:szCs w:val="16"/>
          <w:lang w:val="en-US"/>
        </w:rPr>
        <w:t xml:space="preserve">La Plata (Chamber II). Decision of July 17, 2014, FLP 259/2003/17/CA3, </w:t>
      </w:r>
      <w:r w:rsidRPr="007B2402">
        <w:rPr>
          <w:i/>
          <w:szCs w:val="16"/>
          <w:lang w:val="en-US"/>
        </w:rPr>
        <w:t>consideranda</w:t>
      </w:r>
      <w:r w:rsidRPr="007B2402">
        <w:rPr>
          <w:szCs w:val="16"/>
          <w:lang w:val="en-US"/>
        </w:rPr>
        <w:t xml:space="preserve"> VI and VII.</w:t>
      </w:r>
      <w:r w:rsidRPr="007B2402">
        <w:rPr>
          <w:b/>
          <w:szCs w:val="16"/>
          <w:lang w:val="en-US"/>
        </w:rPr>
        <w:t xml:space="preserve"> </w:t>
      </w:r>
    </w:p>
  </w:footnote>
  <w:footnote w:id="271">
    <w:p w14:paraId="7A434024" w14:textId="154D15D1"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w:t>
      </w:r>
      <w:r w:rsidRPr="007B2402">
        <w:rPr>
          <w:szCs w:val="16"/>
          <w:lang w:val="en-US"/>
        </w:rPr>
        <w:t xml:space="preserve">Supreme Court of Justice, Criminal Chamber. Cassation judgment on the merits. December 13, 2006, Case No. 559-04, Case of Molco de Choshuenco (Paulino Flores Rivas </w:t>
      </w:r>
      <w:r w:rsidRPr="007B2402">
        <w:rPr>
          <w:i/>
          <w:iCs/>
          <w:szCs w:val="16"/>
          <w:lang w:val="en-US"/>
        </w:rPr>
        <w:t>et al</w:t>
      </w:r>
      <w:r w:rsidRPr="007B2402">
        <w:rPr>
          <w:szCs w:val="16"/>
          <w:lang w:val="en-US"/>
        </w:rPr>
        <w:t xml:space="preserve">.), </w:t>
      </w:r>
      <w:r w:rsidRPr="007B2402">
        <w:rPr>
          <w:i/>
          <w:szCs w:val="16"/>
          <w:lang w:val="en-US"/>
        </w:rPr>
        <w:t>consideranda</w:t>
      </w:r>
      <w:r w:rsidRPr="007B2402">
        <w:rPr>
          <w:szCs w:val="16"/>
          <w:lang w:val="en-US"/>
        </w:rPr>
        <w:t xml:space="preserve"> 2 and 12 to 19; Second Chamber of the Supreme. Cassation judgment on form and merits. Novembr 17, 2004, Case No. 517-2004, </w:t>
      </w:r>
      <w:r w:rsidRPr="007B2402">
        <w:rPr>
          <w:i/>
          <w:szCs w:val="16"/>
          <w:lang w:val="en-US"/>
        </w:rPr>
        <w:t>consideranda</w:t>
      </w:r>
      <w:r w:rsidRPr="007B2402">
        <w:rPr>
          <w:szCs w:val="16"/>
          <w:lang w:val="en-US"/>
        </w:rPr>
        <w:t xml:space="preserve"> 33 and 37; Appeals Court of Santiago, Chile, Case of Sandoval, Judgment of January 4, 2004. Case No. 2182-98, </w:t>
      </w:r>
      <w:r w:rsidRPr="007B2402">
        <w:rPr>
          <w:i/>
          <w:szCs w:val="16"/>
          <w:lang w:val="en-US"/>
        </w:rPr>
        <w:t>consideranda</w:t>
      </w:r>
      <w:r w:rsidRPr="007B2402">
        <w:rPr>
          <w:szCs w:val="16"/>
          <w:lang w:val="en-US"/>
        </w:rPr>
        <w:t xml:space="preserve"> 33 and 37.</w:t>
      </w:r>
    </w:p>
  </w:footnote>
  <w:footnote w:id="272">
    <w:p w14:paraId="0100AFA0" w14:textId="3F0CD253"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Constitutional Court: Judgment on constitutionality. July 31, 2002, C-580/02 and Judgment on constitutionality. August 18, 2011, C-620/11. See also: Council of State, Administrative Contentious Chamber (Third Section, Subsection C). Judgment of September 17, 2013, Case No: 25000-23-26-000-2012-00537-01(45092).</w:t>
      </w:r>
      <w:r w:rsidRPr="007B2402">
        <w:rPr>
          <w:b/>
          <w:szCs w:val="16"/>
          <w:lang w:val="en-US"/>
        </w:rPr>
        <w:t xml:space="preserve"> </w:t>
      </w:r>
    </w:p>
  </w:footnote>
  <w:footnote w:id="273">
    <w:p w14:paraId="125E3B0F" w14:textId="14697FBF"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Constitutional Chamber of the Supreme Court of Justice. Consultation on constitutionality. January 12, 1996, File 6543-S-95 Opinion No.0230-96, </w:t>
      </w:r>
      <w:r w:rsidRPr="007B2402">
        <w:rPr>
          <w:i/>
          <w:iCs/>
          <w:szCs w:val="16"/>
          <w:lang w:val="en-US"/>
        </w:rPr>
        <w:t>considerandum</w:t>
      </w:r>
      <w:r w:rsidRPr="007B2402">
        <w:rPr>
          <w:szCs w:val="16"/>
          <w:lang w:val="en-US"/>
        </w:rPr>
        <w:t xml:space="preserve"> II.B.2.</w:t>
      </w:r>
      <w:r w:rsidRPr="007B2402">
        <w:rPr>
          <w:b/>
          <w:szCs w:val="16"/>
          <w:lang w:val="en-US"/>
        </w:rPr>
        <w:t xml:space="preserve"> </w:t>
      </w:r>
    </w:p>
  </w:footnote>
  <w:footnote w:id="274">
    <w:p w14:paraId="5279BA6D" w14:textId="12C0872D"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w:t>
      </w:r>
      <w:r w:rsidRPr="007B2402">
        <w:rPr>
          <w:szCs w:val="16"/>
          <w:lang w:val="en-US"/>
        </w:rPr>
        <w:t xml:space="preserve">Constitutional Chamber of the Supreme Court of Justice of El Salvador. Unconstitucionality. July 13, 2016, File 44-2013/145-2013, </w:t>
      </w:r>
      <w:r w:rsidRPr="007B2402">
        <w:rPr>
          <w:i/>
          <w:iCs/>
          <w:szCs w:val="16"/>
          <w:lang w:val="en-US"/>
        </w:rPr>
        <w:t>considerandum</w:t>
      </w:r>
      <w:r w:rsidRPr="007B2402">
        <w:rPr>
          <w:szCs w:val="16"/>
          <w:lang w:val="en-US"/>
        </w:rPr>
        <w:t xml:space="preserve"> IV.</w:t>
      </w:r>
    </w:p>
  </w:footnote>
  <w:footnote w:id="275">
    <w:p w14:paraId="5A8A9A42" w14:textId="5178AC55"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w:t>
      </w:r>
      <w:r w:rsidRPr="007B2402">
        <w:rPr>
          <w:szCs w:val="16"/>
          <w:lang w:val="en-US"/>
        </w:rPr>
        <w:t xml:space="preserve">Constitutional Court. General unconstitutionality. November 8, 2016. File No. 3438-2016, </w:t>
      </w:r>
      <w:r w:rsidRPr="007B2402">
        <w:rPr>
          <w:i/>
          <w:iCs/>
          <w:szCs w:val="16"/>
          <w:lang w:val="en-US"/>
        </w:rPr>
        <w:t>considerandum</w:t>
      </w:r>
      <w:r w:rsidRPr="007B2402">
        <w:rPr>
          <w:szCs w:val="16"/>
          <w:lang w:val="en-US"/>
        </w:rPr>
        <w:t xml:space="preserve"> IV. </w:t>
      </w:r>
    </w:p>
  </w:footnote>
  <w:footnote w:id="276">
    <w:p w14:paraId="124CABEC" w14:textId="7B61BFE7"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Supreme Court of Justice of the Nation. Amparo review. Judgment of June 10, 2003, Plaintiff: Ricardo Miguel Cavallo,</w:t>
      </w:r>
      <w:r w:rsidRPr="007B2402" w:rsidDel="00650150">
        <w:rPr>
          <w:szCs w:val="16"/>
          <w:lang w:val="en-US"/>
        </w:rPr>
        <w:t xml:space="preserve"> </w:t>
      </w:r>
      <w:r w:rsidRPr="007B2402">
        <w:rPr>
          <w:szCs w:val="16"/>
          <w:lang w:val="en-US"/>
        </w:rPr>
        <w:t>No. 140/2002.</w:t>
      </w:r>
    </w:p>
  </w:footnote>
  <w:footnote w:id="277">
    <w:p w14:paraId="226C3D53" w14:textId="6AA05904"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w:t>
      </w:r>
      <w:r w:rsidRPr="007B2402">
        <w:rPr>
          <w:szCs w:val="16"/>
          <w:lang w:val="en-US"/>
        </w:rPr>
        <w:t>Supreme Court of Justice, Objection of unconstitucionality. May 5, 2008, Judgment No. 195, Basilio Pavón, Merardo Palacios, Osvaldo Vera and Walter Bower ref/ bodily injury in the exercise of public functions.</w:t>
      </w:r>
    </w:p>
  </w:footnote>
  <w:footnote w:id="278">
    <w:p w14:paraId="2D7962A9" w14:textId="6DAC1608" w:rsidR="00920DEA" w:rsidRPr="007B2402" w:rsidRDefault="00920DEA" w:rsidP="005B1590">
      <w:pPr>
        <w:pStyle w:val="Textonotapie"/>
        <w:tabs>
          <w:tab w:val="left" w:pos="2085"/>
        </w:tabs>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Supreme Court of Justice, Cassation appeal. August 24, 2016. Case file 170-298/2011, Judgment 1,280/2016, </w:t>
      </w:r>
      <w:r w:rsidRPr="007B2402">
        <w:rPr>
          <w:i/>
          <w:iCs/>
          <w:szCs w:val="16"/>
          <w:lang w:val="en-US"/>
        </w:rPr>
        <w:t>considerandum</w:t>
      </w:r>
      <w:r w:rsidRPr="007B2402">
        <w:rPr>
          <w:szCs w:val="16"/>
          <w:lang w:val="en-US"/>
        </w:rPr>
        <w:t xml:space="preserve"> III.</w:t>
      </w:r>
    </w:p>
  </w:footnote>
  <w:footnote w:id="279">
    <w:p w14:paraId="272EFF5B" w14:textId="25016D01"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Article 80 of the Constitution of Ecuador (2008) refers to the non-applicability of the statute of limitations for “actions and punishments for the crime of genocide, crimes against humanity, war crimes, forced disappearance of persons, or crimes of agression against a State.” </w:t>
      </w:r>
    </w:p>
  </w:footnote>
  <w:footnote w:id="280">
    <w:p w14:paraId="51070453" w14:textId="2929CFD3"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Article 99 of the Penal Code of El Salvador, Decree No. 1030, prohibits the statute of limitations for “torture, acts of terrorism, abduction, genocide, violation of the laws and customs of war, forced disappearance of persons, and persecution based on political, ideological or racial grounds or on sex or religion.”</w:t>
      </w:r>
    </w:p>
  </w:footnote>
  <w:footnote w:id="281">
    <w:p w14:paraId="153DBBD2" w14:textId="75A96B0A"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Article 8 of the National Reconciliation Law of Guatemala, Decree No. 145-96, excludes the statute of limitations for genocide, torture, forced disappearance and “those crimes that may not be subject to statutory limitations or the extinction of criminal responsibilities pursuant to domestic law or the international treaties ratified by Guatemala.”</w:t>
      </w:r>
      <w:r w:rsidRPr="007B2402">
        <w:rPr>
          <w:b/>
          <w:szCs w:val="16"/>
          <w:lang w:val="en-US"/>
        </w:rPr>
        <w:t xml:space="preserve"> </w:t>
      </w:r>
    </w:p>
  </w:footnote>
  <w:footnote w:id="282">
    <w:p w14:paraId="7C5B2EB1" w14:textId="7ED554D5"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Articles 16 and 131 of the Penal Code, Law No. 641 of 2007, excludes from the sphere of application of the statute of limitations the following crimes, among others: slavery and the slave trade; crimes against the international order; crimes of international trafficking of persons; sexual crimes against children and adolescents, and “any other crime that may be prosecuted in Nicaragua pursuant to the international instruments ratified by the country.”</w:t>
      </w:r>
    </w:p>
  </w:footnote>
  <w:footnote w:id="283">
    <w:p w14:paraId="511B4079" w14:textId="34673DEB"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Article 5 of the Constitution of Paraguay establishes that “[…] Genocide and torture, as well as the forced disappearance of persons, abduction and murder for political reasons are not subject to the statute of limitations.” This provision is reiterated in Article 102(3) of the 1997 Penal Code, Law No. 1,160/97.</w:t>
      </w:r>
    </w:p>
  </w:footnote>
  <w:footnote w:id="284">
    <w:p w14:paraId="1D854BAF" w14:textId="0E896CDC"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Article 120 of the Penal Code (2007) prohibits application of the statute of limitations to the crime of forced disappearance, and also to crimes against humanity.</w:t>
      </w:r>
      <w:r w:rsidRPr="007B2402">
        <w:rPr>
          <w:b/>
          <w:szCs w:val="16"/>
          <w:lang w:val="en-US"/>
        </w:rPr>
        <w:t xml:space="preserve"> </w:t>
      </w:r>
    </w:p>
  </w:footnote>
  <w:footnote w:id="285">
    <w:p w14:paraId="1DB5375E" w14:textId="265FD4F0"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Article 75 bis of the Penal Code prohibits application of the statute of limitations to genocide and war crimes, as well as other crimes against the physical integrity of the individual.</w:t>
      </w:r>
    </w:p>
  </w:footnote>
  <w:footnote w:id="286">
    <w:p w14:paraId="4C19CCDE" w14:textId="180D506F"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Article 29 of the Constitution of the Boivarian Republic of Venezuela prohibits the application of the statute of limitations to serious human rights violations, crimes against humanity and war crimes.</w:t>
      </w:r>
      <w:r w:rsidRPr="007B2402">
        <w:rPr>
          <w:b/>
          <w:szCs w:val="16"/>
          <w:lang w:val="en-US"/>
        </w:rPr>
        <w:t xml:space="preserve"> </w:t>
      </w:r>
    </w:p>
  </w:footnote>
  <w:footnote w:id="287">
    <w:p w14:paraId="2736E7E3" w14:textId="67DC19B5"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Article 8(4) of the American Convention: </w:t>
      </w:r>
      <w:r w:rsidRPr="007B2402">
        <w:rPr>
          <w:spacing w:val="-3"/>
          <w:szCs w:val="16"/>
          <w:lang w:val="en-US"/>
        </w:rPr>
        <w:t>An accused person acquitted by a non-appealable judgment shall not be subjected to a new trial for the same cause.</w:t>
      </w:r>
    </w:p>
  </w:footnote>
  <w:footnote w:id="288">
    <w:p w14:paraId="3D1D57D3" w14:textId="7C4D8F7E"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UN. </w:t>
      </w:r>
      <w:r w:rsidRPr="007B2402">
        <w:rPr>
          <w:i/>
          <w:szCs w:val="16"/>
          <w:lang w:val="en-US"/>
        </w:rPr>
        <w:t>Report of the International Law Commission on the work of its forty-eighth session (6 May-26 July, 1996)</w:t>
      </w:r>
      <w:r w:rsidRPr="007B2402">
        <w:rPr>
          <w:szCs w:val="16"/>
          <w:lang w:val="en-US"/>
        </w:rPr>
        <w:t>. A/51/10. p. 38. Commentary 10 on article 12 of the Draft code of crimes against the peace and security of mankind.</w:t>
      </w:r>
    </w:p>
  </w:footnote>
  <w:footnote w:id="289">
    <w:p w14:paraId="1A1E7981" w14:textId="1307594D" w:rsidR="00920DEA" w:rsidRPr="007B2402" w:rsidRDefault="00920DEA" w:rsidP="005B1590">
      <w:pPr>
        <w:pStyle w:val="Textonotapie"/>
        <w:spacing w:after="80"/>
        <w:rPr>
          <w:b/>
          <w:szCs w:val="16"/>
          <w:lang w:val="en-US"/>
        </w:rPr>
      </w:pPr>
      <w:r w:rsidRPr="007B2402">
        <w:rPr>
          <w:rStyle w:val="Refdenotaalpie"/>
          <w:rFonts w:ascii="Verdana" w:hAnsi="Verdana"/>
          <w:szCs w:val="16"/>
          <w:lang w:val="en-US"/>
        </w:rPr>
        <w:footnoteRef/>
      </w:r>
      <w:r w:rsidRPr="007B2402">
        <w:rPr>
          <w:szCs w:val="16"/>
          <w:lang w:val="en-US"/>
        </w:rPr>
        <w:t xml:space="preserve"> UN. </w:t>
      </w:r>
      <w:r w:rsidRPr="007B2402">
        <w:rPr>
          <w:i/>
          <w:szCs w:val="16"/>
          <w:lang w:val="en-US"/>
        </w:rPr>
        <w:t>Report of the International Law Commission on the work of its forty-eighth session (6 May-26 July, 1996)</w:t>
      </w:r>
      <w:r w:rsidRPr="007B2402">
        <w:rPr>
          <w:szCs w:val="16"/>
          <w:lang w:val="en-US"/>
        </w:rPr>
        <w:t>. A/51/10. p. 38. Commentary 10 on article 12 of the Draft code of crimes against the peace and security of mankind..</w:t>
      </w:r>
    </w:p>
  </w:footnote>
  <w:footnote w:id="290">
    <w:p w14:paraId="1E280AC1" w14:textId="23D068DF"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UN. </w:t>
      </w:r>
      <w:r w:rsidRPr="007B2402">
        <w:rPr>
          <w:i/>
          <w:szCs w:val="16"/>
          <w:lang w:val="en-US"/>
        </w:rPr>
        <w:t>Report of the International Law Commission on the work of its forty-eighth session (6 May-26 July, 1996)</w:t>
      </w:r>
      <w:r w:rsidRPr="007B2402">
        <w:rPr>
          <w:szCs w:val="16"/>
          <w:lang w:val="en-US"/>
        </w:rPr>
        <w:t>. A/51/10. p. 38. Commentary 11 on article 12 of the Draft code of crimes against the peace and security of mankind.</w:t>
      </w:r>
    </w:p>
  </w:footnote>
  <w:footnote w:id="291">
    <w:p w14:paraId="194BABC9" w14:textId="3A159376"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w:t>
      </w:r>
      <w:r w:rsidRPr="007B2402">
        <w:rPr>
          <w:bCs/>
          <w:i/>
          <w:szCs w:val="16"/>
          <w:lang w:val="en-US"/>
        </w:rPr>
        <w:t>Case of Bámaca Velásquez v. Guatemala</w:t>
      </w:r>
      <w:r w:rsidRPr="007B2402">
        <w:rPr>
          <w:szCs w:val="16"/>
          <w:lang w:val="en-US"/>
        </w:rPr>
        <w:t xml:space="preserve">. Monitoring compliance with judgment. Order of the Inter-American Court of Human Rights of November 18, 2010, </w:t>
      </w:r>
      <w:r w:rsidRPr="007B2402">
        <w:rPr>
          <w:i/>
          <w:szCs w:val="16"/>
          <w:lang w:val="en-US"/>
        </w:rPr>
        <w:t>considerandum</w:t>
      </w:r>
      <w:r w:rsidRPr="007B2402">
        <w:rPr>
          <w:szCs w:val="16"/>
          <w:lang w:val="en-US"/>
        </w:rPr>
        <w:t xml:space="preserve"> 44. See also: Supreme Court of Justice of the Nation, Argentina. Cassation appeal and unconstitutionality. Judgment of July 13, 2007, Case of Mazzeo, Julio Lilo </w:t>
      </w:r>
      <w:r w:rsidRPr="007B2402">
        <w:rPr>
          <w:i/>
          <w:iCs/>
          <w:szCs w:val="16"/>
          <w:lang w:val="en-US"/>
        </w:rPr>
        <w:t>et al.,</w:t>
      </w:r>
      <w:r w:rsidRPr="007B2402">
        <w:rPr>
          <w:szCs w:val="16"/>
          <w:lang w:val="en-US"/>
        </w:rPr>
        <w:t xml:space="preserve"> </w:t>
      </w:r>
      <w:r w:rsidRPr="007B2402">
        <w:rPr>
          <w:i/>
          <w:szCs w:val="16"/>
          <w:lang w:val="en-US"/>
        </w:rPr>
        <w:t>consideranda</w:t>
      </w:r>
      <w:r w:rsidRPr="007B2402">
        <w:rPr>
          <w:szCs w:val="16"/>
          <w:lang w:val="en-US"/>
        </w:rPr>
        <w:t xml:space="preserve"> 33 and 34; Federal Criminal Oral Court No. 1 of San Martín. Judgment for crimes against humanity. August 12, 2009, General Riveros </w:t>
      </w:r>
      <w:r w:rsidRPr="007B2402">
        <w:rPr>
          <w:i/>
          <w:iCs/>
          <w:szCs w:val="16"/>
          <w:lang w:val="en-US"/>
        </w:rPr>
        <w:t>et al.</w:t>
      </w:r>
      <w:r w:rsidRPr="007B2402">
        <w:rPr>
          <w:szCs w:val="16"/>
          <w:lang w:val="en-US"/>
        </w:rPr>
        <w:t xml:space="preserve"> in the case of Floreal Edgardo Avellaneda </w:t>
      </w:r>
      <w:r w:rsidRPr="007B2402">
        <w:rPr>
          <w:i/>
          <w:iCs/>
          <w:szCs w:val="16"/>
          <w:lang w:val="en-US"/>
        </w:rPr>
        <w:t>et al.,</w:t>
      </w:r>
      <w:r w:rsidRPr="007B2402">
        <w:rPr>
          <w:szCs w:val="16"/>
          <w:lang w:val="en-US"/>
        </w:rPr>
        <w:t xml:space="preserve"> </w:t>
      </w:r>
      <w:r w:rsidRPr="007B2402">
        <w:rPr>
          <w:i/>
          <w:szCs w:val="16"/>
          <w:lang w:val="en-US"/>
        </w:rPr>
        <w:t>considerandum</w:t>
      </w:r>
      <w:r w:rsidRPr="007B2402">
        <w:rPr>
          <w:szCs w:val="16"/>
          <w:lang w:val="en-US"/>
        </w:rPr>
        <w:t xml:space="preserve"> I. Similarly, see, Constitutional Court of Colombia. Judgment of January 20, 2003, C-004/03, </w:t>
      </w:r>
      <w:r w:rsidRPr="007B2402">
        <w:rPr>
          <w:i/>
          <w:szCs w:val="16"/>
          <w:lang w:val="en-US"/>
        </w:rPr>
        <w:t>consideranda</w:t>
      </w:r>
      <w:r w:rsidRPr="007B2402">
        <w:rPr>
          <w:szCs w:val="16"/>
          <w:lang w:val="en-US"/>
        </w:rPr>
        <w:t xml:space="preserve"> 30, 31 and 32 and ECCC. </w:t>
      </w:r>
      <w:r w:rsidRPr="007B2402">
        <w:rPr>
          <w:i/>
          <w:szCs w:val="16"/>
          <w:lang w:val="en-US"/>
        </w:rPr>
        <w:t xml:space="preserve">Decision on preliminary objections in the case against Ieng Sary </w:t>
      </w:r>
      <w:r w:rsidRPr="007B2402">
        <w:rPr>
          <w:rFonts w:cs="Arial"/>
          <w:i/>
          <w:szCs w:val="16"/>
          <w:lang w:val="en-US"/>
        </w:rPr>
        <w:t>(Ne Bis in Idem and Amnesty and Pardon)</w:t>
      </w:r>
      <w:r w:rsidRPr="007B2402">
        <w:rPr>
          <w:rFonts w:cs="Arial"/>
          <w:szCs w:val="16"/>
          <w:lang w:val="en-US"/>
        </w:rPr>
        <w:t xml:space="preserve">, Case No. 002/19-09-2007/ECCC/TC, Trial judgment of November 3, 2011, </w:t>
      </w:r>
      <w:r w:rsidRPr="007B2402">
        <w:rPr>
          <w:szCs w:val="16"/>
          <w:lang w:val="en-US"/>
        </w:rPr>
        <w:t>paras. 30, 33 and 34.</w:t>
      </w:r>
    </w:p>
  </w:footnote>
  <w:footnote w:id="292">
    <w:p w14:paraId="6D58424A" w14:textId="77F03D9A"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ECHR. </w:t>
      </w:r>
      <w:r w:rsidRPr="007B2402">
        <w:rPr>
          <w:i/>
          <w:szCs w:val="16"/>
          <w:lang w:val="en-US"/>
        </w:rPr>
        <w:t>Marguš v. Croatia</w:t>
      </w:r>
      <w:r w:rsidRPr="007B2402">
        <w:rPr>
          <w:szCs w:val="16"/>
          <w:lang w:val="en-US"/>
        </w:rPr>
        <w:t xml:space="preserve"> [GS], No. 4455/10, Judgment of May 27, 2014.</w:t>
      </w:r>
    </w:p>
  </w:footnote>
  <w:footnote w:id="293">
    <w:p w14:paraId="339ABA38" w14:textId="2E6AEF22"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Expert opinion of Maria Auxiliadora Minahim (evidence file, folio 14020).</w:t>
      </w:r>
    </w:p>
  </w:footnote>
  <w:footnote w:id="294">
    <w:p w14:paraId="28D5F5CF" w14:textId="59B77308"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This was recognized by the Federal Public Prosecution Service and the federal jurisdiction in 2008. The Substitute Federal Judge of the First Federal Criminal and Sentencing Court. Decision No. 2008.61.81.013434-2, January 9, 2009, p. 9 (evidence file, folio 4573).</w:t>
      </w:r>
    </w:p>
  </w:footnote>
  <w:footnote w:id="295">
    <w:p w14:paraId="25D34D9E" w14:textId="1364B12F"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In this case, the Court refers generically to “amnisties” to refer to laws that, regardless of what they are called, pursue the same objective.</w:t>
      </w:r>
    </w:p>
  </w:footnote>
  <w:footnote w:id="296">
    <w:p w14:paraId="65F76030" w14:textId="1876E0B9"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w:t>
      </w:r>
      <w:r w:rsidRPr="007B2402">
        <w:rPr>
          <w:i/>
          <w:szCs w:val="16"/>
          <w:lang w:val="en-US"/>
        </w:rPr>
        <w:t>Case of the Massacres of El Mozote and neighboring placesv. El Salvador</w:t>
      </w:r>
      <w:r w:rsidRPr="007B2402">
        <w:rPr>
          <w:szCs w:val="16"/>
          <w:lang w:val="en-US"/>
        </w:rPr>
        <w:t>. Merits, reparations and costs, para. 285.</w:t>
      </w:r>
    </w:p>
  </w:footnote>
  <w:footnote w:id="297">
    <w:p w14:paraId="79F2A6F7" w14:textId="4173F90E"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Article 6(5) of Protocol II Additional to the 1949 Geneva Conventions established that: “</w:t>
      </w:r>
      <w:r w:rsidRPr="007B2402">
        <w:rPr>
          <w:lang w:val="en-US"/>
        </w:rPr>
        <w:t>At the end of hostilities, the authorities in power shall endeavour to grant the broadest possible amnesty to persons who have participated in the armed conflict, or those deprived of their liberty for reasons related to the armed conflict, whether they are interned or detained.</w:t>
      </w:r>
      <w:r w:rsidRPr="007B2402">
        <w:rPr>
          <w:szCs w:val="16"/>
          <w:lang w:val="en-US"/>
        </w:rPr>
        <w:t>”</w:t>
      </w:r>
    </w:p>
  </w:footnote>
  <w:footnote w:id="298">
    <w:p w14:paraId="44A25BC5" w14:textId="10FBCE1B"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Case of the Massacres of El Mozote and neighboring placesv. Guatemala. </w:t>
      </w:r>
      <w:r w:rsidRPr="007B2402">
        <w:rPr>
          <w:szCs w:val="16"/>
          <w:lang w:val="en-US"/>
        </w:rPr>
        <w:t>Merits, reparations and costs, paras. 286.</w:t>
      </w:r>
    </w:p>
  </w:footnote>
  <w:footnote w:id="299">
    <w:p w14:paraId="6F56D13A" w14:textId="50FFA724"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United Nations Security Council. Report of Secretary-General. </w:t>
      </w:r>
      <w:r w:rsidRPr="007B2402">
        <w:rPr>
          <w:i/>
          <w:szCs w:val="16"/>
          <w:lang w:val="en-US"/>
        </w:rPr>
        <w:t xml:space="preserve">The rule of law and transitional justice in conflict and post-conflict societies. </w:t>
      </w:r>
      <w:r w:rsidRPr="007B2402">
        <w:rPr>
          <w:szCs w:val="16"/>
          <w:lang w:val="en-US"/>
        </w:rPr>
        <w:t xml:space="preserve">S/2004/616,  August 3, 2004, para. 10. Available at: </w:t>
      </w:r>
      <w:hyperlink r:id="rId19" w:history="1">
        <w:r w:rsidRPr="007B2402">
          <w:rPr>
            <w:rStyle w:val="Hipervnculo"/>
            <w:szCs w:val="16"/>
            <w:lang w:val="en-US"/>
          </w:rPr>
          <w:t>https://undocs.org/S/2004/616</w:t>
        </w:r>
      </w:hyperlink>
      <w:r w:rsidRPr="007B2402">
        <w:rPr>
          <w:szCs w:val="16"/>
          <w:lang w:val="en-US"/>
        </w:rPr>
        <w:t>.</w:t>
      </w:r>
    </w:p>
  </w:footnote>
  <w:footnote w:id="300">
    <w:p w14:paraId="4B619380" w14:textId="59BD32D1" w:rsidR="00920DEA" w:rsidRPr="007B2402" w:rsidRDefault="00920DEA" w:rsidP="005B1590">
      <w:pPr>
        <w:pStyle w:val="Textonotapie"/>
        <w:spacing w:after="80"/>
        <w:rPr>
          <w:rFonts w:cs="Times-Roman"/>
          <w:szCs w:val="16"/>
          <w:lang w:val="en-US" w:bidi="en-US"/>
        </w:rPr>
      </w:pPr>
      <w:r w:rsidRPr="007B2402">
        <w:rPr>
          <w:rStyle w:val="Refdenotaalpie"/>
          <w:rFonts w:ascii="Verdana" w:hAnsi="Verdana"/>
          <w:szCs w:val="16"/>
          <w:lang w:val="en-US"/>
        </w:rPr>
        <w:footnoteRef/>
      </w:r>
      <w:r w:rsidRPr="007B2402">
        <w:rPr>
          <w:i/>
          <w:szCs w:val="16"/>
          <w:lang w:val="en-US"/>
        </w:rPr>
        <w:t xml:space="preserve"> Cf.</w:t>
      </w:r>
      <w:r w:rsidRPr="007B2402">
        <w:rPr>
          <w:szCs w:val="16"/>
          <w:lang w:val="en-US"/>
        </w:rPr>
        <w:t xml:space="preserve"> Human Rights Council of the United Nations. </w:t>
      </w:r>
      <w:r w:rsidRPr="007B2402">
        <w:rPr>
          <w:rFonts w:cs="Times-Roman"/>
          <w:szCs w:val="16"/>
          <w:lang w:val="en-US" w:bidi="en-US"/>
        </w:rPr>
        <w:t xml:space="preserve">Report of the Office of the United Nations High Commissioner for Human Rights. </w:t>
      </w:r>
      <w:r w:rsidRPr="007B2402">
        <w:rPr>
          <w:rFonts w:cs="Times-Roman"/>
          <w:i/>
          <w:szCs w:val="16"/>
          <w:lang w:val="en-US" w:bidi="en-US"/>
        </w:rPr>
        <w:t>Right to the Truth.</w:t>
      </w:r>
      <w:r w:rsidRPr="007B2402">
        <w:rPr>
          <w:rFonts w:cs="Times-Roman"/>
          <w:szCs w:val="16"/>
          <w:lang w:val="en-US" w:bidi="en-US"/>
        </w:rPr>
        <w:t xml:space="preserve"> A/HRC/5/7, June 7, 2007, para. 20. Available at </w:t>
      </w:r>
      <w:hyperlink r:id="rId20" w:history="1">
        <w:r w:rsidRPr="007B2402">
          <w:rPr>
            <w:rStyle w:val="Hipervnculo"/>
            <w:rFonts w:cs="Times-Roman"/>
            <w:szCs w:val="16"/>
            <w:lang w:val="en-US" w:bidi="en-US"/>
          </w:rPr>
          <w:t>https://undocs.org/A/HRC/5/7</w:t>
        </w:r>
      </w:hyperlink>
      <w:r w:rsidRPr="007B2402">
        <w:rPr>
          <w:rFonts w:cs="Times-Roman"/>
          <w:szCs w:val="16"/>
          <w:lang w:val="en-US" w:bidi="en-US"/>
        </w:rPr>
        <w:t>.</w:t>
      </w:r>
    </w:p>
  </w:footnote>
  <w:footnote w:id="301">
    <w:p w14:paraId="7AC3BCAF" w14:textId="016C937F" w:rsidR="00920DEA" w:rsidRPr="007B2402" w:rsidRDefault="00920DEA" w:rsidP="005B1590">
      <w:pPr>
        <w:pStyle w:val="Textonotapie"/>
        <w:spacing w:after="80"/>
        <w:rPr>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w:t>
      </w:r>
      <w:r w:rsidRPr="007B2402">
        <w:rPr>
          <w:rFonts w:cs="Times-Roman"/>
          <w:szCs w:val="16"/>
          <w:lang w:val="en-US" w:bidi="en-US"/>
        </w:rPr>
        <w:t xml:space="preserve">Office of the United Nations High Commissioner for Human Rights. </w:t>
      </w:r>
      <w:r w:rsidRPr="007B2402">
        <w:rPr>
          <w:rFonts w:cs="Helvetica"/>
          <w:i/>
          <w:szCs w:val="16"/>
          <w:lang w:val="en-US" w:bidi="en-US"/>
        </w:rPr>
        <w:t>Rule-of-Law Tools for Post-conflict States. Amnisties</w:t>
      </w:r>
      <w:r w:rsidRPr="007B2402">
        <w:rPr>
          <w:rFonts w:cs="Helvetica"/>
          <w:szCs w:val="16"/>
          <w:lang w:val="en-US" w:bidi="en-US"/>
        </w:rPr>
        <w:t>.</w:t>
      </w:r>
      <w:r w:rsidRPr="007B2402">
        <w:rPr>
          <w:rFonts w:cs="Times-Roman"/>
          <w:szCs w:val="16"/>
          <w:lang w:val="en-US" w:bidi="en-US"/>
        </w:rPr>
        <w:t xml:space="preserve"> </w:t>
      </w:r>
      <w:r w:rsidRPr="007B2402">
        <w:rPr>
          <w:rFonts w:cs="Helvetica"/>
          <w:szCs w:val="16"/>
          <w:lang w:val="en-US" w:bidi="en-US"/>
        </w:rPr>
        <w:t>HR/PUB/09/1</w:t>
      </w:r>
      <w:r w:rsidRPr="007B2402">
        <w:rPr>
          <w:rFonts w:cs="Times-Roman"/>
          <w:szCs w:val="16"/>
          <w:lang w:val="en-US" w:bidi="en-US"/>
        </w:rPr>
        <w:t xml:space="preserve">, Publication of the United Nations, New York and Geneva, 2009, pp. 11 to 31. Available at </w:t>
      </w:r>
      <w:hyperlink r:id="rId21" w:history="1">
        <w:r w:rsidRPr="007B2402">
          <w:rPr>
            <w:rStyle w:val="Hipervnculo"/>
            <w:lang w:val="en-US"/>
          </w:rPr>
          <w:t>https://www.ohchr.org/Documents/Publications/Amnesties_en.pdf</w:t>
        </w:r>
      </w:hyperlink>
      <w:r w:rsidRPr="007B2402">
        <w:rPr>
          <w:lang w:val="en-US"/>
        </w:rPr>
        <w:t xml:space="preserve">. </w:t>
      </w:r>
      <w:r w:rsidRPr="007B2402">
        <w:rPr>
          <w:rFonts w:cs="Times-Roman"/>
          <w:szCs w:val="16"/>
          <w:lang w:val="en-US" w:bidi="en-US"/>
        </w:rPr>
        <w:t>Additionally, regarding the false dilemma between peace or reconciliation and justice, it stated that “[a]mnesties that</w:t>
      </w:r>
      <w:r w:rsidRPr="007B2402">
        <w:rPr>
          <w:rFonts w:cs="Arial"/>
          <w:lang w:val="en-US"/>
        </w:rPr>
        <w:t xml:space="preserve"> exempt from criminal sanction those responsible for atrocious crimes in the hope of securing </w:t>
      </w:r>
      <w:r w:rsidRPr="007B2402">
        <w:rPr>
          <w:rStyle w:val="highlight"/>
          <w:rFonts w:cs="Arial"/>
          <w:lang w:val="en-US"/>
        </w:rPr>
        <w:t xml:space="preserve">peace </w:t>
      </w:r>
      <w:r w:rsidRPr="007B2402">
        <w:rPr>
          <w:rFonts w:cs="Arial"/>
          <w:lang w:val="en-US"/>
        </w:rPr>
        <w:t>have often failed to achieve their aim and have instead emboldened their beneficiaries to commit further crimes</w:t>
      </w:r>
      <w:r w:rsidRPr="007B2402">
        <w:rPr>
          <w:rFonts w:cs="Times-Roman"/>
          <w:szCs w:val="16"/>
          <w:lang w:val="en-US" w:bidi="en-US"/>
        </w:rPr>
        <w:t xml:space="preserve">. </w:t>
      </w:r>
      <w:r w:rsidRPr="007B2402">
        <w:rPr>
          <w:rFonts w:cs="Arial"/>
          <w:lang w:val="en-US"/>
        </w:rPr>
        <w:t xml:space="preserve">Conversely, </w:t>
      </w:r>
      <w:r w:rsidRPr="007B2402">
        <w:rPr>
          <w:rStyle w:val="highlight"/>
          <w:rFonts w:cs="Arial"/>
          <w:lang w:val="en-US"/>
        </w:rPr>
        <w:t xml:space="preserve">peace </w:t>
      </w:r>
      <w:r w:rsidRPr="007B2402">
        <w:rPr>
          <w:rFonts w:cs="Arial"/>
          <w:lang w:val="en-US"/>
        </w:rPr>
        <w:t xml:space="preserve">agreements have been reached without amnesty provisions in some situations where amnesty had been said to be a necessary condition of </w:t>
      </w:r>
      <w:r w:rsidRPr="007B2402">
        <w:rPr>
          <w:rStyle w:val="highlight"/>
          <w:rFonts w:cs="Arial"/>
          <w:lang w:val="en-US"/>
        </w:rPr>
        <w:t xml:space="preserve">peace </w:t>
      </w:r>
      <w:r w:rsidRPr="007B2402">
        <w:rPr>
          <w:rFonts w:cs="Arial"/>
          <w:lang w:val="en-US"/>
        </w:rPr>
        <w:t>and where many had feared that indictments would prolong the conflict.</w:t>
      </w:r>
      <w:r w:rsidRPr="007B2402">
        <w:rPr>
          <w:rFonts w:cs="Times-Roman"/>
          <w:szCs w:val="16"/>
          <w:lang w:val="en-US" w:bidi="en-US"/>
        </w:rPr>
        <w:t>”</w:t>
      </w:r>
    </w:p>
  </w:footnote>
  <w:footnote w:id="302">
    <w:p w14:paraId="1D721A32" w14:textId="6BE1AC7A"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For a detailed analysis of the interventions of the Human Rights Committee, the Committee against Torture, the Working Group on Enforced Disappearances, the Committee for the Elimination of Discrmination against Women, and the Committee for the Elimination of Racial Discrimination, see, </w:t>
      </w:r>
      <w:r w:rsidRPr="007B2402">
        <w:rPr>
          <w:i/>
          <w:iCs/>
          <w:szCs w:val="16"/>
          <w:lang w:val="en-US"/>
        </w:rPr>
        <w:t>inter alia</w:t>
      </w:r>
      <w:r w:rsidRPr="007B2402">
        <w:rPr>
          <w:szCs w:val="16"/>
          <w:lang w:val="en-US"/>
        </w:rPr>
        <w:t xml:space="preserve">, </w:t>
      </w:r>
      <w:r w:rsidRPr="007B2402">
        <w:rPr>
          <w:i/>
          <w:szCs w:val="16"/>
          <w:lang w:val="en-US"/>
        </w:rPr>
        <w:t>Case of Gelman v. Uruguay</w:t>
      </w:r>
      <w:r w:rsidRPr="007B2402">
        <w:rPr>
          <w:szCs w:val="16"/>
          <w:lang w:val="en-US"/>
        </w:rPr>
        <w:t>, paras. 205 to 208. Several State have enacted domestic laws that prohibit amnesties and similar measure with regard to crimes against humanity.</w:t>
      </w:r>
    </w:p>
  </w:footnote>
  <w:footnote w:id="303">
    <w:p w14:paraId="18287E3E" w14:textId="2C9A792B"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ICTY</w:t>
      </w:r>
      <w:r w:rsidRPr="007B2402">
        <w:rPr>
          <w:i/>
          <w:szCs w:val="16"/>
          <w:lang w:val="en-US"/>
        </w:rPr>
        <w:t>.</w:t>
      </w:r>
      <w:r w:rsidRPr="007B2402">
        <w:rPr>
          <w:szCs w:val="16"/>
          <w:lang w:val="en-US"/>
        </w:rPr>
        <w:t xml:space="preserve"> </w:t>
      </w:r>
      <w:r w:rsidRPr="007B2402">
        <w:rPr>
          <w:i/>
          <w:szCs w:val="16"/>
          <w:lang w:val="en-US"/>
        </w:rPr>
        <w:t>Prosecutor</w:t>
      </w:r>
      <w:r w:rsidRPr="007B2402">
        <w:rPr>
          <w:rFonts w:cs="Helvetica"/>
          <w:i/>
          <w:szCs w:val="16"/>
          <w:lang w:val="en-US" w:bidi="en-US"/>
        </w:rPr>
        <w:t xml:space="preserve"> v. </w:t>
      </w:r>
      <w:r w:rsidRPr="007B2402">
        <w:rPr>
          <w:rFonts w:cs="Helvetica-Bold"/>
          <w:bCs/>
          <w:i/>
          <w:szCs w:val="16"/>
          <w:lang w:val="en-US" w:bidi="en-US"/>
        </w:rPr>
        <w:t>Furundžija</w:t>
      </w:r>
      <w:r w:rsidRPr="007B2402">
        <w:rPr>
          <w:szCs w:val="16"/>
          <w:lang w:val="en-US"/>
        </w:rPr>
        <w:t>. Judgment of December 10, 1998, Case No. IT-95-17/1-T, para. 155.</w:t>
      </w:r>
    </w:p>
  </w:footnote>
  <w:footnote w:id="304">
    <w:p w14:paraId="6BF055F4" w14:textId="23993ACB"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ICTY. </w:t>
      </w:r>
      <w:r w:rsidRPr="007B2402">
        <w:rPr>
          <w:i/>
          <w:szCs w:val="16"/>
          <w:lang w:val="en-US"/>
        </w:rPr>
        <w:t>Prosecutor v. Furundžija</w:t>
      </w:r>
      <w:r w:rsidRPr="007B2402">
        <w:rPr>
          <w:szCs w:val="16"/>
          <w:lang w:val="en-US"/>
        </w:rPr>
        <w:t>. Judgment of December 10, 1998, Case No. IT-95-17/1-T, para. 155.</w:t>
      </w:r>
    </w:p>
  </w:footnote>
  <w:footnote w:id="305">
    <w:p w14:paraId="2235CE06" w14:textId="5CA732AD"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w:t>
      </w:r>
      <w:r w:rsidRPr="007B2402">
        <w:rPr>
          <w:rFonts w:cs="Times-Bold"/>
          <w:bCs/>
          <w:szCs w:val="16"/>
          <w:lang w:val="en-US" w:bidi="en-US"/>
        </w:rPr>
        <w:t xml:space="preserve">SCSL. </w:t>
      </w:r>
      <w:r w:rsidRPr="007B2402">
        <w:rPr>
          <w:rFonts w:cs="Times-Bold"/>
          <w:bCs/>
          <w:i/>
          <w:szCs w:val="16"/>
          <w:lang w:val="en-US" w:bidi="en-US"/>
        </w:rPr>
        <w:t>Prosecutor v. Gbao</w:t>
      </w:r>
      <w:r w:rsidRPr="007B2402">
        <w:rPr>
          <w:rFonts w:cs="Times-Bold"/>
          <w:bCs/>
          <w:szCs w:val="16"/>
          <w:lang w:val="en-US" w:bidi="en-US"/>
        </w:rPr>
        <w:t xml:space="preserve">, Decision No. </w:t>
      </w:r>
      <w:r w:rsidRPr="007B2402">
        <w:rPr>
          <w:rFonts w:cs="ArialMT"/>
          <w:szCs w:val="16"/>
          <w:lang w:val="en-US" w:bidi="en-US"/>
        </w:rPr>
        <w:t xml:space="preserve">SCSL-04-15-PT-141 </w:t>
      </w:r>
      <w:r w:rsidRPr="007B2402">
        <w:rPr>
          <w:rFonts w:cs="Times-Bold"/>
          <w:bCs/>
          <w:szCs w:val="16"/>
          <w:lang w:val="en-US" w:bidi="en-US"/>
        </w:rPr>
        <w:t xml:space="preserve">of May 25, 2004, para. 10; SCSL. </w:t>
      </w:r>
      <w:r w:rsidRPr="007B2402">
        <w:rPr>
          <w:rFonts w:cs="Times-Bold"/>
          <w:bCs/>
          <w:i/>
          <w:szCs w:val="16"/>
          <w:lang w:val="en-US" w:bidi="en-US"/>
        </w:rPr>
        <w:t>Prosecutor v. Sesay, Callon and Gbao</w:t>
      </w:r>
      <w:r w:rsidRPr="007B2402">
        <w:rPr>
          <w:rFonts w:cs="Times-Bold"/>
          <w:bCs/>
          <w:szCs w:val="16"/>
          <w:lang w:val="en-US" w:bidi="en-US"/>
        </w:rPr>
        <w:t xml:space="preserve">, Judgment of March 2, 2009, Case No. </w:t>
      </w:r>
      <w:r w:rsidRPr="007B2402">
        <w:rPr>
          <w:rFonts w:cs="Times-Roman"/>
          <w:szCs w:val="16"/>
          <w:lang w:val="en-US" w:bidi="en-US"/>
        </w:rPr>
        <w:t>SCSL-04-15-T</w:t>
      </w:r>
      <w:r w:rsidRPr="007B2402">
        <w:rPr>
          <w:rFonts w:cs="Times-Bold"/>
          <w:bCs/>
          <w:szCs w:val="16"/>
          <w:lang w:val="en-US" w:bidi="en-US"/>
        </w:rPr>
        <w:t xml:space="preserve">, para. 54, and SCSL. </w:t>
      </w:r>
      <w:r w:rsidRPr="007B2402">
        <w:rPr>
          <w:rFonts w:cs="Times-Bold"/>
          <w:bCs/>
          <w:i/>
          <w:szCs w:val="16"/>
          <w:lang w:val="en-US" w:bidi="en-US"/>
        </w:rPr>
        <w:t>Prosecutor v. Sesay, Callon and Gbao</w:t>
      </w:r>
      <w:r w:rsidRPr="007B2402">
        <w:rPr>
          <w:rFonts w:cs="Times-Bold"/>
          <w:bCs/>
          <w:szCs w:val="16"/>
          <w:lang w:val="en-US" w:bidi="en-US"/>
        </w:rPr>
        <w:t xml:space="preserve">, Sentencing Judgment of April 8, 2009. Case No. </w:t>
      </w:r>
      <w:r w:rsidRPr="007B2402">
        <w:rPr>
          <w:rStyle w:val="Estilo1Car"/>
          <w:sz w:val="16"/>
          <w:szCs w:val="16"/>
          <w:lang w:val="en-US"/>
        </w:rPr>
        <w:t>SCSL</w:t>
      </w:r>
      <w:r w:rsidRPr="007B2402">
        <w:rPr>
          <w:rFonts w:cs="Times-Roman"/>
          <w:szCs w:val="16"/>
          <w:lang w:val="en-US" w:bidi="en-US"/>
        </w:rPr>
        <w:t>-04-15-T</w:t>
      </w:r>
      <w:r w:rsidRPr="007B2402">
        <w:rPr>
          <w:rFonts w:cs="Times-Bold"/>
          <w:bCs/>
          <w:szCs w:val="16"/>
          <w:lang w:val="en-US" w:bidi="en-US"/>
        </w:rPr>
        <w:t>, para. 253.</w:t>
      </w:r>
    </w:p>
  </w:footnote>
  <w:footnote w:id="306">
    <w:p w14:paraId="2A72D87D" w14:textId="05C18B0D" w:rsidR="00920DEA" w:rsidRPr="007B2402" w:rsidRDefault="00920DEA" w:rsidP="005B1590">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line="240" w:lineRule="auto"/>
        <w:jc w:val="both"/>
        <w:rPr>
          <w:rFonts w:cs="Times-Roman"/>
          <w:iCs/>
          <w:sz w:val="16"/>
          <w:szCs w:val="16"/>
          <w:lang w:val="en-US" w:bidi="en-US"/>
        </w:rPr>
      </w:pPr>
      <w:r w:rsidRPr="007B2402">
        <w:rPr>
          <w:rStyle w:val="Refdenotaalpie"/>
          <w:rFonts w:ascii="Verdana" w:hAnsi="Verdana"/>
          <w:sz w:val="16"/>
          <w:szCs w:val="16"/>
          <w:lang w:val="en-US"/>
        </w:rPr>
        <w:footnoteRef/>
      </w:r>
      <w:r w:rsidRPr="007B2402">
        <w:rPr>
          <w:sz w:val="16"/>
          <w:szCs w:val="16"/>
          <w:lang w:val="en-US"/>
        </w:rPr>
        <w:t xml:space="preserve"> </w:t>
      </w:r>
      <w:r w:rsidRPr="007B2402">
        <w:rPr>
          <w:i/>
          <w:sz w:val="16"/>
          <w:szCs w:val="16"/>
          <w:lang w:val="en-US"/>
        </w:rPr>
        <w:t>Cf.</w:t>
      </w:r>
      <w:r w:rsidRPr="007B2402">
        <w:rPr>
          <w:sz w:val="16"/>
          <w:szCs w:val="16"/>
          <w:lang w:val="en-US"/>
        </w:rPr>
        <w:t xml:space="preserve"> </w:t>
      </w:r>
      <w:r w:rsidRPr="007B2402">
        <w:rPr>
          <w:rFonts w:eastAsia="Batang" w:cs="Times New Roman"/>
          <w:sz w:val="16"/>
          <w:szCs w:val="16"/>
          <w:lang w:val="en-US"/>
        </w:rPr>
        <w:t>Agreement between the United Nations and the Lebanese Republic regarding the Establishment of a Special Tribunal for Lebanon,</w:t>
      </w:r>
      <w:r w:rsidRPr="007B2402">
        <w:rPr>
          <w:rFonts w:cs="Times-Bold"/>
          <w:bCs/>
          <w:sz w:val="16"/>
          <w:szCs w:val="16"/>
          <w:lang w:val="en-US" w:bidi="en-US"/>
        </w:rPr>
        <w:t xml:space="preserve"> S/RES/1757(2007), Annex, May 30, 2007, article 16, and Charter of the Special Tribunal for Lebanon. </w:t>
      </w:r>
      <w:r w:rsidRPr="007B2402">
        <w:rPr>
          <w:rFonts w:cs="Times-Roman"/>
          <w:sz w:val="16"/>
          <w:szCs w:val="16"/>
          <w:lang w:val="en-US" w:bidi="en-US"/>
        </w:rPr>
        <w:t xml:space="preserve">S/RES/1757(2007), Attachment, May 30, 2007, article 6. </w:t>
      </w:r>
      <w:r w:rsidRPr="007B2402">
        <w:rPr>
          <w:rFonts w:cs="Times-Bold"/>
          <w:bCs/>
          <w:sz w:val="16"/>
          <w:szCs w:val="16"/>
          <w:lang w:val="en-US" w:bidi="en-US"/>
        </w:rPr>
        <w:t xml:space="preserve">Available at: </w:t>
      </w:r>
      <w:hyperlink r:id="rId22" w:history="1">
        <w:r w:rsidRPr="007B2402">
          <w:rPr>
            <w:rStyle w:val="Hipervnculo"/>
            <w:sz w:val="16"/>
            <w:szCs w:val="16"/>
            <w:lang w:val="en-US"/>
          </w:rPr>
          <w:t>https://undocs.org/S/ RES/1757(2007)</w:t>
        </w:r>
      </w:hyperlink>
      <w:r w:rsidRPr="007B2402">
        <w:rPr>
          <w:sz w:val="16"/>
          <w:szCs w:val="16"/>
          <w:lang w:val="en-US"/>
        </w:rPr>
        <w:t xml:space="preserve">. </w:t>
      </w:r>
      <w:r w:rsidRPr="007B2402">
        <w:rPr>
          <w:rFonts w:cs="Times-Roman"/>
          <w:sz w:val="16"/>
          <w:szCs w:val="16"/>
          <w:lang w:val="en-US" w:bidi="en-US"/>
        </w:rPr>
        <w:t xml:space="preserve">Charter of the Special Court for Sierra Leone dated January 16, 2002, annex to the Agreement between the United Nations and the Government of Sierra Leone </w:t>
      </w:r>
      <w:r w:rsidRPr="007B2402">
        <w:rPr>
          <w:rFonts w:eastAsia="Batang" w:cs="Times New Roman"/>
          <w:sz w:val="16"/>
          <w:szCs w:val="16"/>
          <w:lang w:val="en-US"/>
        </w:rPr>
        <w:t xml:space="preserve">regarding the Establishment of a Special Court for </w:t>
      </w:r>
      <w:r w:rsidRPr="007B2402">
        <w:rPr>
          <w:rFonts w:cs="Times-Roman"/>
          <w:sz w:val="16"/>
          <w:szCs w:val="16"/>
          <w:lang w:val="en-US" w:bidi="en-US"/>
        </w:rPr>
        <w:t>Sierra Leone. United Nations, New York (UNTS vol. 2178, No. 38342, p. 137) Article 10</w:t>
      </w:r>
      <w:r w:rsidRPr="007B2402">
        <w:rPr>
          <w:rFonts w:cs="Times-Bold"/>
          <w:bCs/>
          <w:sz w:val="16"/>
          <w:szCs w:val="16"/>
          <w:lang w:val="en-US" w:bidi="en-US"/>
        </w:rPr>
        <w:t xml:space="preserve">; </w:t>
      </w:r>
      <w:r w:rsidRPr="007B2402">
        <w:rPr>
          <w:rFonts w:cs="Times-Roman"/>
          <w:sz w:val="16"/>
          <w:szCs w:val="16"/>
          <w:lang w:val="en-US" w:bidi="en-US"/>
        </w:rPr>
        <w:t xml:space="preserve">Agreement between the United Nations and the Royal Government of Cambodia </w:t>
      </w:r>
      <w:r w:rsidRPr="007B2402">
        <w:rPr>
          <w:iCs/>
          <w:sz w:val="16"/>
          <w:szCs w:val="16"/>
          <w:lang w:val="en-US"/>
        </w:rPr>
        <w:t>for the Prosecution under the laws of Cambodia of Crimes Committed during the Period of Democratic Kampuchea</w:t>
      </w:r>
      <w:r w:rsidRPr="007B2402">
        <w:rPr>
          <w:i/>
          <w:sz w:val="16"/>
          <w:szCs w:val="16"/>
          <w:lang w:val="en-US"/>
        </w:rPr>
        <w:t>,</w:t>
      </w:r>
      <w:r w:rsidRPr="007B2402">
        <w:rPr>
          <w:iCs/>
          <w:sz w:val="16"/>
          <w:szCs w:val="16"/>
          <w:lang w:val="en-US"/>
        </w:rPr>
        <w:t xml:space="preserve"> dated March 6, 2003</w:t>
      </w:r>
      <w:r w:rsidRPr="007B2402">
        <w:rPr>
          <w:rFonts w:cs="Times-Bold"/>
          <w:bCs/>
          <w:sz w:val="16"/>
          <w:szCs w:val="16"/>
          <w:lang w:val="en-US" w:bidi="en-US"/>
        </w:rPr>
        <w:t xml:space="preserve">, United Nations, New York (UNTS vol. 2329, No. 41723, p. 117), Article 11, and Parliament of the Kingdom of Cambodia. Law </w:t>
      </w:r>
      <w:r w:rsidRPr="007B2402">
        <w:rPr>
          <w:sz w:val="16"/>
          <w:szCs w:val="16"/>
          <w:lang w:val="en-US"/>
        </w:rPr>
        <w:t xml:space="preserve">on the Establishment of the Extraordinary Chambers in the Courts of Cambodia for the Prosecution of Crimes Committed during the Period of Democratic Kampuchea enacted on August 10, </w:t>
      </w:r>
      <w:r w:rsidRPr="007B2402">
        <w:rPr>
          <w:rFonts w:cs="Times-Bold"/>
          <w:bCs/>
          <w:sz w:val="16"/>
          <w:szCs w:val="16"/>
          <w:lang w:val="en-US" w:bidi="en-US"/>
        </w:rPr>
        <w:t xml:space="preserve">2001, with amendments adopted on October 27, 2004 (NS/RKM/1004/006), new Article 40. </w:t>
      </w:r>
    </w:p>
  </w:footnote>
  <w:footnote w:id="307">
    <w:p w14:paraId="259A8377" w14:textId="4F2019B1"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SCSL. </w:t>
      </w:r>
      <w:r w:rsidRPr="007B2402">
        <w:rPr>
          <w:i/>
          <w:szCs w:val="16"/>
          <w:lang w:val="en-US"/>
        </w:rPr>
        <w:t>Prosecutor v. Kallon and Kamara</w:t>
      </w:r>
      <w:r w:rsidRPr="007B2402">
        <w:rPr>
          <w:szCs w:val="16"/>
          <w:lang w:val="en-US"/>
        </w:rPr>
        <w:t>, Decision on jurisdiction: the Amnesty of the Lomé Peace Agreement, March 13, 2004, Case No. SCSL-2004-15-AR72(E) and SCSL-2004-16-AR72(E), para. 82. See also paras. 66 to 74 and 82 to 84 of this decision.</w:t>
      </w:r>
    </w:p>
  </w:footnote>
  <w:footnote w:id="308">
    <w:p w14:paraId="33B22BB2" w14:textId="5768EFD4"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ECCC. </w:t>
      </w:r>
      <w:r w:rsidRPr="007B2402">
        <w:rPr>
          <w:i/>
          <w:szCs w:val="16"/>
          <w:lang w:val="en-US"/>
        </w:rPr>
        <w:t xml:space="preserve">Decision on preliminary objections in the case against Ieng Sary </w:t>
      </w:r>
      <w:r w:rsidRPr="007B2402">
        <w:rPr>
          <w:rFonts w:cs="Arial"/>
          <w:i/>
          <w:szCs w:val="16"/>
          <w:lang w:val="en-US"/>
        </w:rPr>
        <w:t xml:space="preserve">(Ne Bis in Idem and Amnesty and Pardon). </w:t>
      </w:r>
      <w:r w:rsidRPr="007B2402">
        <w:rPr>
          <w:rFonts w:cs="Arial"/>
          <w:szCs w:val="16"/>
          <w:lang w:val="en-US"/>
        </w:rPr>
        <w:t xml:space="preserve">Case No. 002/19-09-2007/ECCC/TC, Trial judgment of November 3, 2011, </w:t>
      </w:r>
      <w:r w:rsidRPr="007B2402">
        <w:rPr>
          <w:szCs w:val="16"/>
          <w:lang w:val="en-US"/>
        </w:rPr>
        <w:t>para. 53. See also paras. 40 to 55.</w:t>
      </w:r>
    </w:p>
  </w:footnote>
  <w:footnote w:id="309">
    <w:p w14:paraId="5F9ADFB3" w14:textId="22383F8D"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ECHR. </w:t>
      </w:r>
      <w:r w:rsidRPr="007B2402">
        <w:rPr>
          <w:i/>
          <w:szCs w:val="16"/>
          <w:lang w:val="en-US"/>
        </w:rPr>
        <w:t>Case of Abdülsamet Yaman v. Turkey</w:t>
      </w:r>
      <w:r w:rsidRPr="007B2402">
        <w:rPr>
          <w:szCs w:val="16"/>
          <w:lang w:val="en-US"/>
        </w:rPr>
        <w:t xml:space="preserve">, No. 32446/96, Judgment of November 2, 2004, para. 55. </w:t>
      </w:r>
    </w:p>
  </w:footnote>
  <w:footnote w:id="310">
    <w:p w14:paraId="5384BC87" w14:textId="6964BCBA" w:rsidR="00920DEA" w:rsidRPr="007B2402" w:rsidRDefault="00920DEA" w:rsidP="005B1590">
      <w:pPr>
        <w:spacing w:after="80" w:line="240" w:lineRule="auto"/>
        <w:jc w:val="both"/>
        <w:rPr>
          <w:sz w:val="16"/>
          <w:szCs w:val="16"/>
          <w:lang w:val="en-US"/>
        </w:rPr>
      </w:pPr>
      <w:r w:rsidRPr="007B2402">
        <w:rPr>
          <w:rStyle w:val="Refdenotaalpie"/>
          <w:rFonts w:ascii="Verdana" w:hAnsi="Verdana" w:cs="Calibri"/>
          <w:sz w:val="16"/>
          <w:szCs w:val="16"/>
          <w:lang w:val="en-US"/>
        </w:rPr>
        <w:footnoteRef/>
      </w:r>
      <w:r w:rsidRPr="007B2402">
        <w:rPr>
          <w:rFonts w:cs="Calibri"/>
          <w:sz w:val="16"/>
          <w:szCs w:val="16"/>
          <w:lang w:val="en-US"/>
        </w:rPr>
        <w:t xml:space="preserve"> </w:t>
      </w:r>
      <w:r w:rsidRPr="007B2402">
        <w:rPr>
          <w:rFonts w:cs="Calibri"/>
          <w:i/>
          <w:sz w:val="16"/>
          <w:szCs w:val="16"/>
          <w:lang w:val="en-US"/>
        </w:rPr>
        <w:t>Cf.</w:t>
      </w:r>
      <w:r w:rsidRPr="007B2402">
        <w:rPr>
          <w:rFonts w:cs="Calibri"/>
          <w:sz w:val="16"/>
          <w:szCs w:val="16"/>
          <w:lang w:val="en-US"/>
        </w:rPr>
        <w:t xml:space="preserve"> ECHR. </w:t>
      </w:r>
      <w:r w:rsidRPr="007B2402">
        <w:rPr>
          <w:rFonts w:cs="Calibri"/>
          <w:i/>
          <w:sz w:val="16"/>
          <w:szCs w:val="16"/>
          <w:lang w:val="en-US"/>
        </w:rPr>
        <w:t>Case of Yeter v. Turkey</w:t>
      </w:r>
      <w:r w:rsidRPr="007B2402">
        <w:rPr>
          <w:rFonts w:cs="Calibri"/>
          <w:sz w:val="16"/>
          <w:szCs w:val="16"/>
          <w:lang w:val="en-US"/>
        </w:rPr>
        <w:t>, No. 33750/03, Judgment of January 13, 2009, para. 70.</w:t>
      </w:r>
    </w:p>
  </w:footnote>
  <w:footnote w:id="311">
    <w:p w14:paraId="26417377" w14:textId="1F430E27" w:rsidR="00920DEA" w:rsidRPr="007B2402" w:rsidRDefault="00920DEA" w:rsidP="005B1590">
      <w:pPr>
        <w:spacing w:after="80" w:line="240" w:lineRule="auto"/>
        <w:jc w:val="both"/>
        <w:rPr>
          <w:sz w:val="16"/>
          <w:szCs w:val="16"/>
          <w:lang w:val="en-US"/>
        </w:rPr>
      </w:pPr>
      <w:r w:rsidRPr="007B2402">
        <w:rPr>
          <w:rStyle w:val="Refdenotaalpie"/>
          <w:rFonts w:ascii="Verdana" w:hAnsi="Verdana"/>
          <w:sz w:val="16"/>
          <w:szCs w:val="16"/>
          <w:lang w:val="en-US"/>
        </w:rPr>
        <w:footnoteRef/>
      </w:r>
      <w:r w:rsidRPr="007B2402">
        <w:rPr>
          <w:sz w:val="16"/>
          <w:szCs w:val="16"/>
          <w:lang w:val="en-US"/>
        </w:rPr>
        <w:t xml:space="preserve"> </w:t>
      </w:r>
      <w:r w:rsidRPr="007B2402">
        <w:rPr>
          <w:rFonts w:cs="Calibri"/>
          <w:i/>
          <w:sz w:val="16"/>
          <w:szCs w:val="16"/>
          <w:lang w:val="en-US"/>
        </w:rPr>
        <w:t>Cf.</w:t>
      </w:r>
      <w:r w:rsidRPr="007B2402">
        <w:rPr>
          <w:rFonts w:cs="Calibri"/>
          <w:sz w:val="16"/>
          <w:szCs w:val="16"/>
          <w:lang w:val="en-US"/>
        </w:rPr>
        <w:t xml:space="preserve"> ECHR. </w:t>
      </w:r>
      <w:r w:rsidRPr="007B2402">
        <w:rPr>
          <w:rFonts w:cs="Calibri"/>
          <w:i/>
          <w:sz w:val="16"/>
          <w:szCs w:val="16"/>
          <w:lang w:val="en-US"/>
        </w:rPr>
        <w:t xml:space="preserve">Case of </w:t>
      </w:r>
      <w:r w:rsidRPr="007B2402">
        <w:rPr>
          <w:bCs/>
          <w:i/>
          <w:sz w:val="16"/>
          <w:szCs w:val="16"/>
          <w:lang w:val="en-US"/>
        </w:rPr>
        <w:t xml:space="preserve">Marguš v. Croatia </w:t>
      </w:r>
      <w:r w:rsidRPr="007B2402">
        <w:rPr>
          <w:bCs/>
          <w:sz w:val="16"/>
          <w:szCs w:val="16"/>
          <w:lang w:val="en-US"/>
        </w:rPr>
        <w:t>[GS], No. 4455/10, Judgment of May 27, 2014, paras. 124 to 141.</w:t>
      </w:r>
    </w:p>
  </w:footnote>
  <w:footnote w:id="312">
    <w:p w14:paraId="4710199E" w14:textId="2644B36B"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w:t>
      </w:r>
      <w:r w:rsidRPr="007B2402">
        <w:rPr>
          <w:rFonts w:cs="Georgia-Bold"/>
          <w:bCs/>
          <w:szCs w:val="16"/>
          <w:lang w:val="en-US" w:bidi="en-US"/>
        </w:rPr>
        <w:t xml:space="preserve">African Commission on Human and Peoples’ Rights. </w:t>
      </w:r>
      <w:r w:rsidRPr="007B2402">
        <w:rPr>
          <w:rFonts w:cs="TimesNewRomanPS-BoldMT"/>
          <w:bCs/>
          <w:i/>
          <w:szCs w:val="16"/>
          <w:lang w:val="en-US" w:bidi="en-US"/>
        </w:rPr>
        <w:t>Malawi African Association and Others v. Mauritania</w:t>
      </w:r>
      <w:r w:rsidRPr="007B2402">
        <w:rPr>
          <w:rFonts w:cs="Georgia-Bold"/>
          <w:bCs/>
          <w:szCs w:val="16"/>
          <w:lang w:val="en-US" w:bidi="en-US"/>
        </w:rPr>
        <w:t xml:space="preserve">, </w:t>
      </w:r>
      <w:r w:rsidRPr="007B2402">
        <w:rPr>
          <w:rFonts w:cs="TimesNewRomanPS-BoldMT"/>
          <w:bCs/>
          <w:szCs w:val="16"/>
          <w:lang w:val="en-US" w:bidi="en-US"/>
        </w:rPr>
        <w:t>Comunications Nos. 54/91, 61/91, 98/93, 164/97, 196/97 and 210/98</w:t>
      </w:r>
      <w:r w:rsidRPr="007B2402">
        <w:rPr>
          <w:rFonts w:cs="Georgia-Bold"/>
          <w:bCs/>
          <w:szCs w:val="16"/>
          <w:lang w:val="en-US" w:bidi="en-US"/>
        </w:rPr>
        <w:t xml:space="preserve">, </w:t>
      </w:r>
      <w:r w:rsidRPr="007B2402">
        <w:rPr>
          <w:rFonts w:cs="Times-Roman"/>
          <w:szCs w:val="16"/>
          <w:lang w:val="en-US" w:bidi="en-US"/>
        </w:rPr>
        <w:t>Decision of May 11, 2000, para. 8</w:t>
      </w:r>
      <w:r w:rsidRPr="007B2402">
        <w:rPr>
          <w:rFonts w:cs="Georgia-Bold"/>
          <w:bCs/>
          <w:szCs w:val="16"/>
          <w:lang w:val="en-US" w:bidi="en-US"/>
        </w:rPr>
        <w:t>.</w:t>
      </w:r>
    </w:p>
  </w:footnote>
  <w:footnote w:id="313">
    <w:p w14:paraId="4FB3AC1F" w14:textId="793AD399"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w:t>
      </w:r>
      <w:r w:rsidRPr="007B2402">
        <w:rPr>
          <w:rFonts w:cs="Georgia-Bold"/>
          <w:bCs/>
          <w:szCs w:val="16"/>
          <w:lang w:val="en-US" w:bidi="en-US"/>
        </w:rPr>
        <w:t>African Commission on Human and Peoples’ Rights</w:t>
      </w:r>
      <w:r w:rsidRPr="007B2402">
        <w:rPr>
          <w:rFonts w:cs="Arial-BoldMT"/>
          <w:bCs/>
          <w:i/>
          <w:szCs w:val="16"/>
          <w:lang w:val="en-US" w:bidi="en-US"/>
        </w:rPr>
        <w:t>. Zimbabwe Human Rights NGO Forum v. Zimbabwe</w:t>
      </w:r>
      <w:r w:rsidRPr="007B2402">
        <w:rPr>
          <w:rFonts w:cs="Georgia-Bold"/>
          <w:bCs/>
          <w:szCs w:val="16"/>
          <w:lang w:val="en-US" w:bidi="en-US"/>
        </w:rPr>
        <w:t xml:space="preserve">, </w:t>
      </w:r>
      <w:r w:rsidRPr="007B2402">
        <w:rPr>
          <w:rFonts w:cs="ArialMT"/>
          <w:szCs w:val="16"/>
          <w:lang w:val="en-US" w:bidi="en-US"/>
        </w:rPr>
        <w:t>Comunication No. 245/02</w:t>
      </w:r>
      <w:r w:rsidRPr="007B2402">
        <w:rPr>
          <w:rFonts w:cs="Georgia-Bold"/>
          <w:bCs/>
          <w:szCs w:val="16"/>
          <w:lang w:val="en-US" w:bidi="en-US"/>
        </w:rPr>
        <w:t xml:space="preserve">, </w:t>
      </w:r>
      <w:r w:rsidRPr="007B2402">
        <w:rPr>
          <w:rFonts w:cs="Times-Roman"/>
          <w:szCs w:val="16"/>
          <w:lang w:val="en-US" w:bidi="en-US"/>
        </w:rPr>
        <w:t>Decision of May 21, 2006, paras. 211 and 215</w:t>
      </w:r>
      <w:r w:rsidRPr="007B2402">
        <w:rPr>
          <w:rFonts w:cs="Georgia-Bold"/>
          <w:bCs/>
          <w:szCs w:val="16"/>
          <w:lang w:val="en-US" w:bidi="en-US"/>
        </w:rPr>
        <w:t>.</w:t>
      </w:r>
    </w:p>
  </w:footnote>
  <w:footnote w:id="314">
    <w:p w14:paraId="3F8C4C74" w14:textId="1B314A3D"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See, </w:t>
      </w:r>
      <w:r w:rsidRPr="007B2402">
        <w:rPr>
          <w:i/>
          <w:szCs w:val="16"/>
          <w:lang w:val="en-US"/>
        </w:rPr>
        <w:t>Case of Gomes Lund et al. (“Guerrilha do Araguaia”) v. Brazil</w:t>
      </w:r>
      <w:r w:rsidRPr="007B2402">
        <w:rPr>
          <w:szCs w:val="16"/>
          <w:lang w:val="en-US"/>
        </w:rPr>
        <w:t xml:space="preserve">, paras. 163 to 170 and </w:t>
      </w:r>
      <w:r w:rsidRPr="007B2402">
        <w:rPr>
          <w:i/>
          <w:szCs w:val="16"/>
          <w:lang w:val="en-US"/>
        </w:rPr>
        <w:t>Gelman v. Uruguay</w:t>
      </w:r>
      <w:r w:rsidRPr="007B2402">
        <w:rPr>
          <w:szCs w:val="16"/>
          <w:lang w:val="en-US"/>
        </w:rPr>
        <w:t xml:space="preserve">, paras. 215 to 224. </w:t>
      </w:r>
    </w:p>
  </w:footnote>
  <w:footnote w:id="315">
    <w:p w14:paraId="045DDC41" w14:textId="3117F940"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Supreme Court of Justice of the Nation, Argentina. Appeal. Judgment of June 14, 2005, Case of Julio Héctor Simón </w:t>
      </w:r>
      <w:r w:rsidRPr="007B2402">
        <w:rPr>
          <w:i/>
          <w:szCs w:val="16"/>
          <w:lang w:val="en-US"/>
        </w:rPr>
        <w:t>et al.,</w:t>
      </w:r>
      <w:r w:rsidRPr="007B2402">
        <w:rPr>
          <w:szCs w:val="16"/>
          <w:lang w:val="en-US"/>
        </w:rPr>
        <w:t xml:space="preserve"> case No. 17.768, </w:t>
      </w:r>
      <w:r w:rsidRPr="007B2402">
        <w:rPr>
          <w:i/>
          <w:szCs w:val="16"/>
          <w:lang w:val="en-US"/>
        </w:rPr>
        <w:t>consideranda</w:t>
      </w:r>
      <w:r w:rsidRPr="007B2402">
        <w:rPr>
          <w:szCs w:val="16"/>
          <w:lang w:val="en-US"/>
        </w:rPr>
        <w:t xml:space="preserve"> 31 to 34.  </w:t>
      </w:r>
    </w:p>
  </w:footnote>
  <w:footnote w:id="316">
    <w:p w14:paraId="1FD7627C" w14:textId="4885E17D"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Second Chamber of the Supreme Court. Cassation judgment on form and merits. November 17, 2004, Case No. 517-2004, </w:t>
      </w:r>
      <w:r w:rsidRPr="007B2402">
        <w:rPr>
          <w:i/>
          <w:szCs w:val="16"/>
          <w:lang w:val="en-US"/>
        </w:rPr>
        <w:t>consideranda</w:t>
      </w:r>
      <w:r w:rsidRPr="007B2402">
        <w:rPr>
          <w:rFonts w:cs="Arial-BoldMT"/>
          <w:bCs/>
          <w:szCs w:val="16"/>
          <w:lang w:val="en-US" w:bidi="en-US"/>
        </w:rPr>
        <w:t xml:space="preserve"> 33 to 35; </w:t>
      </w:r>
      <w:r w:rsidRPr="007B2402">
        <w:rPr>
          <w:szCs w:val="16"/>
          <w:lang w:val="en-US"/>
        </w:rPr>
        <w:t xml:space="preserve">Supreme Court of Justice of Chile, </w:t>
      </w:r>
      <w:r w:rsidRPr="007B2402">
        <w:rPr>
          <w:i/>
          <w:szCs w:val="16"/>
          <w:lang w:val="en-US"/>
        </w:rPr>
        <w:t>Case of Claudio Abdón Lecaros Carrasco accused of the crime of abduction</w:t>
      </w:r>
      <w:r w:rsidRPr="007B2402">
        <w:rPr>
          <w:szCs w:val="16"/>
          <w:lang w:val="en-US"/>
        </w:rPr>
        <w:t xml:space="preserve">, Case No. 47,205, Appeal No. 3302/2009, Ruling 16698, Appeal judgment, and Ruling 16699, Replacement judgment of May 18, 2010, </w:t>
      </w:r>
      <w:r w:rsidRPr="007B2402">
        <w:rPr>
          <w:i/>
          <w:szCs w:val="16"/>
          <w:lang w:val="en-US"/>
        </w:rPr>
        <w:t>consideranda</w:t>
      </w:r>
      <w:r w:rsidRPr="007B2402">
        <w:rPr>
          <w:szCs w:val="16"/>
          <w:lang w:val="en-US"/>
        </w:rPr>
        <w:t xml:space="preserve"> 1 to 3.</w:t>
      </w:r>
    </w:p>
  </w:footnote>
  <w:footnote w:id="317">
    <w:p w14:paraId="1381994D" w14:textId="0EF54E55"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Constitutional Court of Peru, </w:t>
      </w:r>
      <w:r w:rsidRPr="007B2402">
        <w:rPr>
          <w:i/>
          <w:szCs w:val="16"/>
          <w:lang w:val="en-US"/>
        </w:rPr>
        <w:t>Case of Santiago Martín Rivas</w:t>
      </w:r>
      <w:r w:rsidRPr="007B2402">
        <w:rPr>
          <w:szCs w:val="16"/>
          <w:lang w:val="en-US"/>
        </w:rPr>
        <w:t xml:space="preserve">, Special appeal, Case file No. 4587-2004-AA/TC, Judgment of November 29, 2005, paras. 30, 52, 53, 60 and 63. </w:t>
      </w:r>
    </w:p>
  </w:footnote>
  <w:footnote w:id="318">
    <w:p w14:paraId="6DE2D033" w14:textId="1168020E"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Supreme Court of Justice of Uruguay, </w:t>
      </w:r>
      <w:r w:rsidRPr="007B2402">
        <w:rPr>
          <w:i/>
          <w:szCs w:val="16"/>
          <w:lang w:val="en-US"/>
        </w:rPr>
        <w:t>Case of Nibia Sabalsagaray Curutchet</w:t>
      </w:r>
      <w:r w:rsidRPr="007B2402">
        <w:rPr>
          <w:szCs w:val="16"/>
          <w:lang w:val="en-US"/>
        </w:rPr>
        <w:t>, Judgment No. 365</w:t>
      </w:r>
      <w:r w:rsidRPr="007B2402">
        <w:rPr>
          <w:i/>
          <w:szCs w:val="16"/>
          <w:lang w:val="en-US"/>
        </w:rPr>
        <w:t xml:space="preserve"> </w:t>
      </w:r>
      <w:r w:rsidRPr="007B2402">
        <w:rPr>
          <w:szCs w:val="16"/>
          <w:lang w:val="en-US"/>
        </w:rPr>
        <w:t>paras. 8 and 9.</w:t>
      </w:r>
    </w:p>
  </w:footnote>
  <w:footnote w:id="319">
    <w:p w14:paraId="4A81EC5E" w14:textId="4F499781" w:rsidR="00920DEA" w:rsidRPr="007B2402" w:rsidRDefault="00920DEA" w:rsidP="00836DD5">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Supreme Court of Justice of the Republic of Honduras, proceedings entitled: “RI20-99–Unconstitutionality of Decree No. 199-87 and Decree No. 87-91.” June 27, 2000.</w:t>
      </w:r>
    </w:p>
  </w:footnote>
  <w:footnote w:id="320">
    <w:p w14:paraId="68D74772" w14:textId="554611F2" w:rsidR="00920DEA" w:rsidRPr="007B2402" w:rsidRDefault="00920DEA" w:rsidP="00836DD5">
      <w:pPr>
        <w:pStyle w:val="NormalWeb"/>
        <w:spacing w:after="80"/>
        <w:rPr>
          <w:bCs/>
          <w:sz w:val="16"/>
          <w:szCs w:val="16"/>
        </w:rPr>
      </w:pPr>
      <w:r w:rsidRPr="007B2402">
        <w:rPr>
          <w:rStyle w:val="Refdenotaalpie"/>
          <w:rFonts w:ascii="Verdana" w:hAnsi="Verdana" w:cs="Calibri"/>
          <w:sz w:val="16"/>
          <w:szCs w:val="16"/>
        </w:rPr>
        <w:footnoteRef/>
      </w:r>
      <w:r w:rsidRPr="007B2402">
        <w:rPr>
          <w:caps/>
          <w:sz w:val="16"/>
          <w:szCs w:val="16"/>
        </w:rPr>
        <w:t xml:space="preserve"> </w:t>
      </w:r>
      <w:r w:rsidRPr="007B2402">
        <w:rPr>
          <w:i/>
          <w:sz w:val="16"/>
          <w:szCs w:val="16"/>
        </w:rPr>
        <w:t>Cf.</w:t>
      </w:r>
      <w:r w:rsidRPr="007B2402">
        <w:rPr>
          <w:sz w:val="16"/>
          <w:szCs w:val="16"/>
        </w:rPr>
        <w:t xml:space="preserve"> Constitutional Chamber of the Supreme Court of Justice of El Salvador, Judgment 24-97/21-98 of September 26, 2000. Also, in 2016, the same Constitutional Chamber declared the unconstitutionality of the Salvadoran Amnesty Law because it prevented compliance with the State obligations of prevention, investigation, prosecution, punishment and reparation of serious human rights violations and crimes against humanity. Constitutional Chamber of the Supreme Court of Justice of</w:t>
      </w:r>
      <w:r w:rsidRPr="007B2402">
        <w:rPr>
          <w:bCs/>
          <w:sz w:val="16"/>
          <w:szCs w:val="16"/>
        </w:rPr>
        <w:t xml:space="preserve"> El Salvador, judgment </w:t>
      </w:r>
      <w:r w:rsidRPr="007B2402">
        <w:rPr>
          <w:sz w:val="16"/>
          <w:szCs w:val="16"/>
        </w:rPr>
        <w:t>44-2013/145-2013, of July 13, 2016.</w:t>
      </w:r>
    </w:p>
  </w:footnote>
  <w:footnote w:id="321">
    <w:p w14:paraId="25DCC9C4" w14:textId="4856AE14" w:rsidR="00920DEA" w:rsidRPr="007B2402" w:rsidRDefault="00920DEA" w:rsidP="00836DD5">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Constitutional Court of Colombia. Judgment of July 30, 2002, C-578/02, Review of Law 742, paragraph 2.1.7. - 4.3.2.1.7: “Devices such as the “full stop” laws that obstruct access to justice, blanket amnesties for any crime, self-amnesties (that is, the generous terms that those in power, legitimately or illegitimately, grant themselves and those who were their accomplices in the crimes committed), or any other means that has the purpose of preventing the victims from accessing an effective judicial remedy to assert their rights, have been considered violations of the international obligation of States to provide judicial remedies for the protection of human rights.”</w:t>
      </w:r>
    </w:p>
  </w:footnote>
  <w:footnote w:id="322">
    <w:p w14:paraId="22352684" w14:textId="4A648BA7"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Supreme Court of Justice of Colombia, Criminal Cassation Chamber. Ruling 33118 of May 13, 2010, Record 156,   Segovia Massacre. </w:t>
      </w:r>
    </w:p>
  </w:footnote>
  <w:footnote w:id="323">
    <w:p w14:paraId="0EE97B8E" w14:textId="2BDE0832" w:rsidR="00920DEA" w:rsidRPr="007B2402" w:rsidRDefault="00920DEA" w:rsidP="005B1590">
      <w:pPr>
        <w:spacing w:after="80" w:line="240" w:lineRule="auto"/>
        <w:jc w:val="both"/>
        <w:rPr>
          <w:rFonts w:cs="Times-Roman"/>
          <w:sz w:val="16"/>
          <w:szCs w:val="16"/>
          <w:lang w:val="en-US" w:bidi="en-US"/>
        </w:rPr>
      </w:pPr>
      <w:r w:rsidRPr="007B2402">
        <w:rPr>
          <w:rStyle w:val="Refdenotaalpie"/>
          <w:rFonts w:ascii="Verdana" w:hAnsi="Verdana"/>
          <w:sz w:val="16"/>
          <w:szCs w:val="16"/>
          <w:lang w:val="en-US"/>
        </w:rPr>
        <w:footnoteRef/>
      </w:r>
      <w:r w:rsidRPr="007B2402">
        <w:rPr>
          <w:sz w:val="16"/>
          <w:szCs w:val="16"/>
          <w:lang w:val="en-US"/>
        </w:rPr>
        <w:t xml:space="preserve"> </w:t>
      </w:r>
      <w:r w:rsidRPr="007B2402">
        <w:rPr>
          <w:rFonts w:cs="Times-Italic"/>
          <w:i/>
          <w:iCs/>
          <w:sz w:val="16"/>
          <w:szCs w:val="16"/>
          <w:lang w:val="en-US" w:bidi="en-US"/>
        </w:rPr>
        <w:t>Cf.</w:t>
      </w:r>
      <w:r w:rsidRPr="007B2402">
        <w:rPr>
          <w:rFonts w:cs="Times-Roman"/>
          <w:sz w:val="16"/>
          <w:szCs w:val="16"/>
          <w:lang w:val="en-US" w:bidi="en-US"/>
        </w:rPr>
        <w:t xml:space="preserve"> </w:t>
      </w:r>
      <w:r w:rsidRPr="007B2402">
        <w:rPr>
          <w:rFonts w:cs="Times-Italic"/>
          <w:i/>
          <w:iCs/>
          <w:sz w:val="16"/>
          <w:szCs w:val="16"/>
          <w:lang w:val="en-US" w:bidi="en-US"/>
        </w:rPr>
        <w:t>Case of Barrios Altos v. Peru</w:t>
      </w:r>
      <w:r w:rsidRPr="007B2402">
        <w:rPr>
          <w:rFonts w:cs="Times-Italic"/>
          <w:iCs/>
          <w:sz w:val="16"/>
          <w:szCs w:val="16"/>
          <w:lang w:val="en-US" w:bidi="en-US"/>
        </w:rPr>
        <w:t xml:space="preserve">. </w:t>
      </w:r>
      <w:r w:rsidRPr="007B2402">
        <w:rPr>
          <w:rFonts w:cs="Times-Italic"/>
          <w:i/>
          <w:iCs/>
          <w:sz w:val="16"/>
          <w:szCs w:val="16"/>
          <w:lang w:val="en-US" w:bidi="en-US"/>
        </w:rPr>
        <w:t>Merits</w:t>
      </w:r>
      <w:r w:rsidRPr="007B2402">
        <w:rPr>
          <w:rFonts w:cs="Times-Roman"/>
          <w:sz w:val="16"/>
          <w:szCs w:val="16"/>
          <w:lang w:val="en-US" w:bidi="en-US"/>
        </w:rPr>
        <w:t>, para. 41;</w:t>
      </w:r>
      <w:r w:rsidRPr="007B2402">
        <w:rPr>
          <w:rFonts w:cs="Times-Italic"/>
          <w:iCs/>
          <w:sz w:val="16"/>
          <w:szCs w:val="16"/>
          <w:lang w:val="en-US" w:bidi="en-US"/>
        </w:rPr>
        <w:t xml:space="preserve"> </w:t>
      </w:r>
      <w:r w:rsidRPr="007B2402">
        <w:rPr>
          <w:rFonts w:cs="Times-Italic"/>
          <w:i/>
          <w:iCs/>
          <w:sz w:val="16"/>
          <w:szCs w:val="16"/>
          <w:lang w:val="en-US" w:bidi="en-US"/>
        </w:rPr>
        <w:t>Case of the Las Dos Erres Massacre v. Guatemala.</w:t>
      </w:r>
      <w:r w:rsidRPr="007B2402">
        <w:rPr>
          <w:rFonts w:cs="Times-Italic"/>
          <w:i/>
          <w:sz w:val="16"/>
          <w:szCs w:val="16"/>
          <w:lang w:val="en-US" w:bidi="en-US"/>
        </w:rPr>
        <w:t xml:space="preserve"> Preliminary objection, merits, reparations and costs</w:t>
      </w:r>
      <w:r w:rsidRPr="007B2402">
        <w:rPr>
          <w:rFonts w:cs="Times-Italic"/>
          <w:iCs/>
          <w:sz w:val="16"/>
          <w:szCs w:val="16"/>
          <w:lang w:val="en-US" w:bidi="en-US"/>
        </w:rPr>
        <w:t>. Judgment of November 24, 2009. Series C No. 211</w:t>
      </w:r>
      <w:r w:rsidRPr="007B2402">
        <w:rPr>
          <w:rFonts w:cs="Times-Roman"/>
          <w:sz w:val="16"/>
          <w:szCs w:val="16"/>
          <w:lang w:val="en-US" w:bidi="en-US"/>
        </w:rPr>
        <w:t xml:space="preserve">, para. 129, and </w:t>
      </w:r>
      <w:r w:rsidRPr="007B2402">
        <w:rPr>
          <w:bCs/>
          <w:i/>
          <w:color w:val="000000"/>
          <w:sz w:val="16"/>
          <w:szCs w:val="16"/>
          <w:lang w:val="en-US"/>
        </w:rPr>
        <w:t>Case of Gomes Lund et al. (Guerrilha do Araguaia) v. Brazil</w:t>
      </w:r>
      <w:r w:rsidRPr="007B2402">
        <w:rPr>
          <w:bCs/>
          <w:color w:val="000000"/>
          <w:sz w:val="16"/>
          <w:szCs w:val="16"/>
          <w:lang w:val="en-US"/>
        </w:rPr>
        <w:t xml:space="preserve">, </w:t>
      </w:r>
      <w:r w:rsidRPr="007B2402">
        <w:rPr>
          <w:color w:val="000000"/>
          <w:sz w:val="16"/>
          <w:szCs w:val="16"/>
          <w:lang w:val="en-US"/>
        </w:rPr>
        <w:t>para. 171</w:t>
      </w:r>
      <w:r w:rsidRPr="007B2402">
        <w:rPr>
          <w:rFonts w:cs="Times-Roman"/>
          <w:sz w:val="16"/>
          <w:szCs w:val="16"/>
          <w:lang w:val="en-US" w:bidi="en-US"/>
        </w:rPr>
        <w:t>.</w:t>
      </w:r>
    </w:p>
  </w:footnote>
  <w:footnote w:id="324">
    <w:p w14:paraId="15405BD9" w14:textId="40DB00C7"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See, for example, ECHR. </w:t>
      </w:r>
      <w:r w:rsidRPr="007B2402">
        <w:rPr>
          <w:i/>
          <w:szCs w:val="16"/>
          <w:lang w:val="en-US"/>
        </w:rPr>
        <w:t>Ould Dah v. France</w:t>
      </w:r>
      <w:r w:rsidRPr="007B2402">
        <w:rPr>
          <w:szCs w:val="16"/>
          <w:lang w:val="en-US"/>
        </w:rPr>
        <w:t>, No. 13113/03, Admissibility decision of March 17, 2009.</w:t>
      </w:r>
    </w:p>
  </w:footnote>
  <w:footnote w:id="325">
    <w:p w14:paraId="42CB260E" w14:textId="5C00D2B6" w:rsidR="00920DEA" w:rsidRPr="007B2402" w:rsidRDefault="00920DEA" w:rsidP="005B1590">
      <w:pPr>
        <w:spacing w:after="80" w:line="240" w:lineRule="auto"/>
        <w:jc w:val="both"/>
        <w:rPr>
          <w:rFonts w:eastAsia="Times New Roman" w:cs="Times New Roman"/>
          <w:noProof/>
          <w:sz w:val="16"/>
          <w:szCs w:val="16"/>
          <w:lang w:val="en-US"/>
        </w:rPr>
      </w:pPr>
      <w:r w:rsidRPr="007B2402">
        <w:rPr>
          <w:rStyle w:val="Refdenotaalpie"/>
          <w:rFonts w:ascii="Verdana" w:hAnsi="Verdana"/>
          <w:sz w:val="16"/>
          <w:szCs w:val="16"/>
          <w:lang w:val="en-US"/>
        </w:rPr>
        <w:footnoteRef/>
      </w:r>
      <w:r w:rsidRPr="007B2402">
        <w:rPr>
          <w:sz w:val="16"/>
          <w:szCs w:val="16"/>
          <w:lang w:val="en-US"/>
        </w:rPr>
        <w:t xml:space="preserve"> Federal Criminal Oral Court (La Plata). September 26, 2006, Case of “</w:t>
      </w:r>
      <w:r w:rsidRPr="007B2402">
        <w:rPr>
          <w:i/>
          <w:iCs/>
          <w:sz w:val="16"/>
          <w:szCs w:val="16"/>
          <w:lang w:val="en-US"/>
        </w:rPr>
        <w:t>Circuito Camps” et al.,</w:t>
      </w:r>
      <w:r w:rsidRPr="007B2402">
        <w:rPr>
          <w:sz w:val="16"/>
          <w:szCs w:val="16"/>
          <w:lang w:val="en-US"/>
        </w:rPr>
        <w:t xml:space="preserve"> case No. 2251/06, </w:t>
      </w:r>
      <w:r w:rsidRPr="007B2402">
        <w:rPr>
          <w:i/>
          <w:iCs/>
          <w:sz w:val="16"/>
          <w:szCs w:val="16"/>
          <w:lang w:val="en-US"/>
        </w:rPr>
        <w:t>considerandum</w:t>
      </w:r>
      <w:r w:rsidRPr="007B2402">
        <w:rPr>
          <w:sz w:val="16"/>
          <w:szCs w:val="16"/>
          <w:lang w:val="en-US"/>
        </w:rPr>
        <w:t xml:space="preserve"> IV.a.  </w:t>
      </w:r>
    </w:p>
  </w:footnote>
  <w:footnote w:id="326">
    <w:p w14:paraId="212DE381" w14:textId="4910B47C" w:rsidR="00920DEA" w:rsidRPr="007B2402" w:rsidRDefault="00920DEA" w:rsidP="005B1590">
      <w:pPr>
        <w:pStyle w:val="Textonotapie"/>
        <w:spacing w:after="80"/>
        <w:rPr>
          <w:b/>
          <w:szCs w:val="16"/>
          <w:lang w:val="en-US"/>
        </w:rPr>
      </w:pPr>
      <w:r w:rsidRPr="007B2402">
        <w:rPr>
          <w:rStyle w:val="Refdenotaalpie"/>
          <w:rFonts w:ascii="Verdana" w:hAnsi="Verdana"/>
          <w:szCs w:val="16"/>
          <w:lang w:val="en-US"/>
        </w:rPr>
        <w:footnoteRef/>
      </w:r>
      <w:r w:rsidRPr="007B2402">
        <w:rPr>
          <w:szCs w:val="16"/>
          <w:lang w:val="en-US"/>
        </w:rPr>
        <w:t xml:space="preserve"> Permanent International Court of Justice. Judgment of September 7, 1927, </w:t>
      </w:r>
      <w:r w:rsidRPr="007B2402">
        <w:rPr>
          <w:i/>
          <w:szCs w:val="16"/>
          <w:lang w:val="en-US"/>
        </w:rPr>
        <w:t>Matter of S.S. Lotus (France c. Turkey)</w:t>
      </w:r>
      <w:r w:rsidRPr="007B2402">
        <w:rPr>
          <w:szCs w:val="16"/>
          <w:lang w:val="en-US"/>
        </w:rPr>
        <w:t xml:space="preserve">, Series A, No. 10 (1927), para. 50. </w:t>
      </w:r>
    </w:p>
  </w:footnote>
  <w:footnote w:id="327">
    <w:p w14:paraId="038207A6" w14:textId="7A290AC7"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Statute of the International Criminal Court, Preamble.</w:t>
      </w:r>
    </w:p>
  </w:footnote>
  <w:footnote w:id="328">
    <w:p w14:paraId="2E6C2620" w14:textId="7888D706"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UN. </w:t>
      </w:r>
      <w:r w:rsidRPr="007B2402">
        <w:rPr>
          <w:i/>
          <w:szCs w:val="16"/>
          <w:lang w:val="en-US"/>
        </w:rPr>
        <w:t>Report of the International Law Commission on the work of its forty-eighth session (6 May-26 July, 1996)</w:t>
      </w:r>
      <w:r w:rsidRPr="007B2402">
        <w:rPr>
          <w:szCs w:val="16"/>
          <w:lang w:val="en-US"/>
        </w:rPr>
        <w:t xml:space="preserve">. A/51/10. pp. 28-29 and 31-32. Commentary 6 on article 8, and commentaries on article 9 of the Draft code of crimes against the peace and security of mankind. </w:t>
      </w:r>
    </w:p>
  </w:footnote>
  <w:footnote w:id="329">
    <w:p w14:paraId="05FF63A8" w14:textId="5210954A"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w:t>
      </w:r>
      <w:r w:rsidRPr="007B2402">
        <w:rPr>
          <w:i/>
          <w:szCs w:val="16"/>
          <w:lang w:val="en-US"/>
        </w:rPr>
        <w:t>Case of La Cantuta v. Peru</w:t>
      </w:r>
      <w:r w:rsidRPr="007B2402">
        <w:rPr>
          <w:szCs w:val="16"/>
          <w:lang w:val="en-US"/>
        </w:rPr>
        <w:t xml:space="preserve">. Merits, reparations and costs, para. 160. Similarly, see: </w:t>
      </w:r>
      <w:r w:rsidRPr="007B2402">
        <w:rPr>
          <w:i/>
          <w:szCs w:val="16"/>
          <w:lang w:val="en-US"/>
        </w:rPr>
        <w:t>Case of Anzualdo Castro v. Peru</w:t>
      </w:r>
      <w:r w:rsidRPr="007B2402">
        <w:rPr>
          <w:szCs w:val="16"/>
          <w:lang w:val="en-US"/>
        </w:rPr>
        <w:t xml:space="preserve">, Judgment of September 22, 2009, Series C No. 202, para. 125, and </w:t>
      </w:r>
      <w:r w:rsidRPr="007B2402">
        <w:rPr>
          <w:i/>
          <w:szCs w:val="16"/>
          <w:lang w:val="en-US"/>
        </w:rPr>
        <w:t>Case of Goiburú et al. v. Paraguay</w:t>
      </w:r>
      <w:r w:rsidRPr="007B2402">
        <w:rPr>
          <w:szCs w:val="16"/>
          <w:lang w:val="en-US"/>
        </w:rPr>
        <w:t xml:space="preserve">, para. 131. </w:t>
      </w:r>
    </w:p>
  </w:footnote>
  <w:footnote w:id="330">
    <w:p w14:paraId="48EDE385" w14:textId="0D534F45"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See, </w:t>
      </w:r>
      <w:r w:rsidRPr="007B2402">
        <w:rPr>
          <w:i/>
          <w:iCs/>
          <w:szCs w:val="16"/>
          <w:lang w:val="en-US"/>
        </w:rPr>
        <w:t>inter alia</w:t>
      </w:r>
      <w:r w:rsidRPr="007B2402">
        <w:rPr>
          <w:szCs w:val="16"/>
          <w:lang w:val="en-US"/>
        </w:rPr>
        <w:t xml:space="preserve">, United Nations. </w:t>
      </w:r>
      <w:r w:rsidRPr="007B2402">
        <w:rPr>
          <w:i/>
          <w:szCs w:val="16"/>
          <w:lang w:val="en-US"/>
        </w:rPr>
        <w:t>The Princeton Principles on Universal Jurisiction</w:t>
      </w:r>
      <w:r w:rsidRPr="007B2402">
        <w:rPr>
          <w:szCs w:val="16"/>
          <w:lang w:val="en-US"/>
        </w:rPr>
        <w:t xml:space="preserve">, A/56/677, </w:t>
      </w:r>
      <w:r w:rsidRPr="007B2402">
        <w:rPr>
          <w:bCs/>
          <w:szCs w:val="16"/>
          <w:lang w:val="en-US"/>
        </w:rPr>
        <w:t>December 4, 2001</w:t>
      </w:r>
      <w:r w:rsidRPr="007B2402">
        <w:rPr>
          <w:szCs w:val="16"/>
          <w:lang w:val="en-US"/>
        </w:rPr>
        <w:t>, Principle 3, Available at:</w:t>
      </w:r>
      <w:r w:rsidRPr="007B2402">
        <w:rPr>
          <w:lang w:val="en-US"/>
        </w:rPr>
        <w:t xml:space="preserve"> </w:t>
      </w:r>
      <w:hyperlink r:id="rId23" w:history="1">
        <w:r w:rsidRPr="007B2402">
          <w:rPr>
            <w:rStyle w:val="Hipervnculo"/>
            <w:szCs w:val="16"/>
            <w:lang w:val="en-US"/>
          </w:rPr>
          <w:t>https://undocs.org/en/A/56/677</w:t>
        </w:r>
      </w:hyperlink>
      <w:r w:rsidRPr="007B2402">
        <w:rPr>
          <w:szCs w:val="16"/>
          <w:lang w:val="en-US"/>
        </w:rPr>
        <w:t xml:space="preserve">, and Institute of International Law. </w:t>
      </w:r>
      <w:r w:rsidRPr="007B2402">
        <w:rPr>
          <w:i/>
          <w:szCs w:val="16"/>
          <w:lang w:val="en-US"/>
        </w:rPr>
        <w:t xml:space="preserve">Universal criminal jurisdiction with regard to the crime of genocide, crimes against humanity and war crimes, </w:t>
      </w:r>
      <w:r w:rsidRPr="007B2402">
        <w:rPr>
          <w:szCs w:val="16"/>
          <w:lang w:val="en-US"/>
        </w:rPr>
        <w:t xml:space="preserve">Resolution of the Seventeenth Commission at the Krakow Session, 2005, Available at </w:t>
      </w:r>
      <w:hyperlink r:id="rId24" w:history="1">
        <w:r w:rsidRPr="007B2402">
          <w:rPr>
            <w:rStyle w:val="Hipervnculo"/>
            <w:szCs w:val="16"/>
            <w:lang w:val="en-US"/>
          </w:rPr>
          <w:t>http://www.idi-iil.org/app/uploads/2017/06/ 2005_kra_03_en.pdf</w:t>
        </w:r>
      </w:hyperlink>
      <w:r w:rsidRPr="007B2402">
        <w:rPr>
          <w:szCs w:val="16"/>
          <w:lang w:val="en-US"/>
        </w:rPr>
        <w:t xml:space="preserve">. Similarly, the principle of </w:t>
      </w:r>
      <w:r w:rsidRPr="007B2402">
        <w:rPr>
          <w:i/>
          <w:szCs w:val="16"/>
          <w:lang w:val="en-US"/>
        </w:rPr>
        <w:t>aut dedere aut judicare</w:t>
      </w:r>
      <w:r w:rsidRPr="007B2402">
        <w:rPr>
          <w:szCs w:val="16"/>
          <w:lang w:val="en-US"/>
        </w:rPr>
        <w:t xml:space="preserve"> refers to the alternative obligation contained in some multilaterial treaties to extradite or to prosecute, and its purpose is to guarantee international cooperation in the case of certain criminal conducts. This principle is a way in which States are obliged to exercise their jurisdiction to try certain conducts considered crimes under international law if they refuse to extradite those presumably responsible to the State requesting them. Clearly, it does not matter if the crimes have not been committed in the territory of the State that has refused the extradition and that, by virtue of this principle, has the obligation to prosecute them. That obligation is contained in several international conventions on human rights and international humanitarian law (Convention against Torture and other Cruel, Inhuman or Degrading Treatment or Punishment (art. 7); International Convention for the Protection of All Persons from Enforced Disappearance (arts. 9 and 11); Inter-American Convention to Prevent and Punish Torture (art. 12); Inter-American Convention on Forced Disappearance of Persons (art. IV); </w:t>
      </w:r>
      <w:r w:rsidRPr="007B2402">
        <w:rPr>
          <w:rStyle w:val="nfasis"/>
          <w:rFonts w:ascii="Verdana" w:hAnsi="Verdana"/>
          <w:i w:val="0"/>
          <w:iCs w:val="0"/>
          <w:lang w:val="en-US"/>
        </w:rPr>
        <w:t>Principles on</w:t>
      </w:r>
      <w:r w:rsidRPr="007B2402">
        <w:rPr>
          <w:rStyle w:val="st"/>
          <w:i/>
          <w:iCs/>
          <w:lang w:val="en-US"/>
        </w:rPr>
        <w:t xml:space="preserve"> </w:t>
      </w:r>
      <w:r w:rsidRPr="007B2402">
        <w:rPr>
          <w:rStyle w:val="st"/>
          <w:lang w:val="en-US"/>
        </w:rPr>
        <w:t>the</w:t>
      </w:r>
      <w:r w:rsidRPr="007B2402">
        <w:rPr>
          <w:rStyle w:val="st"/>
          <w:i/>
          <w:iCs/>
          <w:lang w:val="en-US"/>
        </w:rPr>
        <w:t xml:space="preserve"> </w:t>
      </w:r>
      <w:r w:rsidRPr="007B2402">
        <w:rPr>
          <w:rStyle w:val="nfasis"/>
          <w:rFonts w:ascii="Verdana" w:hAnsi="Verdana"/>
          <w:i w:val="0"/>
          <w:iCs w:val="0"/>
          <w:lang w:val="en-US"/>
        </w:rPr>
        <w:t>Effective Prevention and Investigation of Extra-legal</w:t>
      </w:r>
      <w:r w:rsidRPr="007B2402">
        <w:rPr>
          <w:rStyle w:val="st"/>
          <w:i/>
          <w:iCs/>
          <w:lang w:val="en-US"/>
        </w:rPr>
        <w:t xml:space="preserve">, </w:t>
      </w:r>
      <w:r w:rsidRPr="007B2402">
        <w:rPr>
          <w:rStyle w:val="nfasis"/>
          <w:rFonts w:ascii="Verdana" w:hAnsi="Verdana"/>
          <w:i w:val="0"/>
          <w:iCs w:val="0"/>
          <w:lang w:val="en-US"/>
        </w:rPr>
        <w:t>Arbitrary</w:t>
      </w:r>
      <w:r w:rsidRPr="007B2402">
        <w:rPr>
          <w:rStyle w:val="st"/>
          <w:i/>
          <w:iCs/>
          <w:lang w:val="en-US"/>
        </w:rPr>
        <w:t xml:space="preserve"> </w:t>
      </w:r>
      <w:r w:rsidRPr="007B2402">
        <w:rPr>
          <w:rStyle w:val="st"/>
          <w:lang w:val="en-US"/>
        </w:rPr>
        <w:t xml:space="preserve">and </w:t>
      </w:r>
      <w:r w:rsidRPr="007B2402">
        <w:rPr>
          <w:rStyle w:val="nfasis"/>
          <w:rFonts w:ascii="Verdana" w:hAnsi="Verdana"/>
          <w:i w:val="0"/>
          <w:iCs w:val="0"/>
          <w:lang w:val="en-US"/>
        </w:rPr>
        <w:t>Summary Executions</w:t>
      </w:r>
      <w:r w:rsidRPr="007B2402">
        <w:rPr>
          <w:i/>
          <w:iCs/>
          <w:szCs w:val="16"/>
          <w:lang w:val="en-US"/>
        </w:rPr>
        <w:t xml:space="preserve"> </w:t>
      </w:r>
      <w:r w:rsidRPr="007B2402">
        <w:rPr>
          <w:szCs w:val="16"/>
          <w:lang w:val="en-US"/>
        </w:rPr>
        <w:t xml:space="preserve">(Principle 18); Articles 49, 50, 129 and 146, respectively of the four Geneva Conventions adopted on August 12, 1949; and the Convention on the Prevention and Punishment of the Crime of Genocide). According to some authors, this is an international customary norm that is binding for all States. In this regard, see also: UN. International Law Commission </w:t>
      </w:r>
      <w:r w:rsidRPr="007B2402">
        <w:rPr>
          <w:i/>
          <w:szCs w:val="16"/>
          <w:lang w:val="en-US"/>
        </w:rPr>
        <w:t>Final report of the Working Group on the obligation to extradite or prosecute (aut dedere aut judicare)</w:t>
      </w:r>
      <w:r w:rsidRPr="007B2402">
        <w:rPr>
          <w:szCs w:val="16"/>
          <w:lang w:val="en-US"/>
        </w:rPr>
        <w:t xml:space="preserve">, A/CN.4/L.844, June 5, 2014. Available at </w:t>
      </w:r>
      <w:hyperlink r:id="rId25" w:history="1">
        <w:r w:rsidRPr="007B2402">
          <w:rPr>
            <w:rStyle w:val="Hipervnculo"/>
            <w:szCs w:val="16"/>
            <w:lang w:val="en-US"/>
          </w:rPr>
          <w:t>https://undocs.org/A/CN.4/L.844</w:t>
        </w:r>
      </w:hyperlink>
      <w:r w:rsidRPr="007B2402">
        <w:rPr>
          <w:szCs w:val="16"/>
          <w:lang w:val="en-US"/>
        </w:rPr>
        <w:t xml:space="preserve">, and UN. International Law Commission </w:t>
      </w:r>
      <w:r w:rsidRPr="007B2402">
        <w:rPr>
          <w:i/>
          <w:szCs w:val="16"/>
          <w:lang w:val="en-US"/>
        </w:rPr>
        <w:t>Fourth report on the obligation to extradite or prosecute (aut dedere aut judicare)</w:t>
      </w:r>
      <w:r w:rsidRPr="007B2402">
        <w:rPr>
          <w:szCs w:val="16"/>
          <w:lang w:val="en-US"/>
        </w:rPr>
        <w:t>, A/CN.4/648, May 31, 2011. Available at</w:t>
      </w:r>
      <w:r w:rsidRPr="007B2402">
        <w:rPr>
          <w:lang w:val="en-US"/>
        </w:rPr>
        <w:t xml:space="preserve"> </w:t>
      </w:r>
      <w:hyperlink r:id="rId26" w:history="1">
        <w:r w:rsidRPr="007B2402">
          <w:rPr>
            <w:rStyle w:val="Hipervnculo"/>
            <w:szCs w:val="16"/>
            <w:lang w:val="en-US"/>
          </w:rPr>
          <w:t>https://undocs.org/en/A/CN.4/648</w:t>
        </w:r>
      </w:hyperlink>
      <w:r w:rsidRPr="007B2402">
        <w:rPr>
          <w:szCs w:val="16"/>
          <w:lang w:val="en-US"/>
        </w:rPr>
        <w:t>.</w:t>
      </w:r>
    </w:p>
  </w:footnote>
  <w:footnote w:id="331">
    <w:p w14:paraId="7E8B008B" w14:textId="7C292303"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Institute of International Law. </w:t>
      </w:r>
      <w:r w:rsidRPr="007B2402">
        <w:rPr>
          <w:i/>
          <w:szCs w:val="16"/>
          <w:lang w:val="en-US"/>
        </w:rPr>
        <w:t xml:space="preserve">Universal criminal jurisdiction with regard to the crime of genocide, crimes against humanity and war crimes, </w:t>
      </w:r>
      <w:r w:rsidRPr="007B2402">
        <w:rPr>
          <w:szCs w:val="16"/>
          <w:lang w:val="en-US"/>
        </w:rPr>
        <w:t xml:space="preserve">Resolution of the Seventeenth Commission at the Krakow Session, 2005. See </w:t>
      </w:r>
      <w:r w:rsidRPr="007B2402">
        <w:rPr>
          <w:i/>
          <w:szCs w:val="16"/>
          <w:lang w:val="en-US"/>
        </w:rPr>
        <w:t>Customary International Humanitarian Law</w:t>
      </w:r>
      <w:r w:rsidRPr="007B2402">
        <w:rPr>
          <w:szCs w:val="16"/>
          <w:lang w:val="en-US"/>
        </w:rPr>
        <w:t xml:space="preserve"> –</w:t>
      </w:r>
      <w:r w:rsidRPr="007B2402">
        <w:rPr>
          <w:i/>
          <w:szCs w:val="16"/>
          <w:lang w:val="en-US"/>
        </w:rPr>
        <w:t xml:space="preserve"> Vol. I: Rules</w:t>
      </w:r>
      <w:r w:rsidRPr="007B2402">
        <w:rPr>
          <w:szCs w:val="16"/>
          <w:lang w:val="en-US"/>
        </w:rPr>
        <w:t xml:space="preserve">, ICRC, Cambridge University Press, p. 604 and </w:t>
      </w:r>
      <w:r w:rsidRPr="007B2402">
        <w:rPr>
          <w:i/>
          <w:iCs/>
          <w:szCs w:val="16"/>
          <w:lang w:val="en-US"/>
        </w:rPr>
        <w:t>ff</w:t>
      </w:r>
      <w:r w:rsidRPr="007B2402">
        <w:rPr>
          <w:szCs w:val="16"/>
          <w:lang w:val="en-US"/>
        </w:rPr>
        <w:t xml:space="preserve"> (Rule No. 157). Similarly, the Princeton Principles on Universal Jurisdiction list the following crimes under international law that are subject to this type of jurisdiction: (1) piracy; (2) slavery; (3) war crimes; (4) crimes against peace; (5) crimes against humanity; (6) genocide, and (7) torture. United Nations. </w:t>
      </w:r>
      <w:r w:rsidRPr="007B2402">
        <w:rPr>
          <w:i/>
          <w:szCs w:val="16"/>
          <w:lang w:val="en-US"/>
        </w:rPr>
        <w:t>The Princeton Principles on Universal Jurisdiction</w:t>
      </w:r>
      <w:r w:rsidRPr="007B2402">
        <w:rPr>
          <w:szCs w:val="16"/>
          <w:lang w:val="en-US"/>
        </w:rPr>
        <w:t xml:space="preserve">, A/56/677, </w:t>
      </w:r>
      <w:r w:rsidRPr="007B2402">
        <w:rPr>
          <w:bCs/>
          <w:szCs w:val="16"/>
          <w:lang w:val="en-US"/>
        </w:rPr>
        <w:t>December 4, 2001</w:t>
      </w:r>
      <w:r w:rsidRPr="007B2402">
        <w:rPr>
          <w:szCs w:val="16"/>
          <w:lang w:val="en-US"/>
        </w:rPr>
        <w:t xml:space="preserve">, Principle 2. </w:t>
      </w:r>
    </w:p>
  </w:footnote>
  <w:footnote w:id="332">
    <w:p w14:paraId="35A0E316" w14:textId="7B81422D"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UN. </w:t>
      </w:r>
      <w:r w:rsidRPr="007B2402">
        <w:rPr>
          <w:i/>
          <w:szCs w:val="16"/>
          <w:lang w:val="en-US"/>
        </w:rPr>
        <w:t>The Princeton Principles on Universal Jurisdiction</w:t>
      </w:r>
      <w:r w:rsidRPr="007B2402">
        <w:rPr>
          <w:szCs w:val="16"/>
          <w:lang w:val="en-US"/>
        </w:rPr>
        <w:t xml:space="preserve">, A/56/677, </w:t>
      </w:r>
      <w:r w:rsidRPr="007B2402">
        <w:rPr>
          <w:bCs/>
          <w:szCs w:val="16"/>
          <w:lang w:val="en-US"/>
        </w:rPr>
        <w:t>December 4, 2001</w:t>
      </w:r>
      <w:r w:rsidRPr="007B2402">
        <w:rPr>
          <w:szCs w:val="16"/>
          <w:lang w:val="en-US"/>
        </w:rPr>
        <w:t xml:space="preserve">, Principle 1. </w:t>
      </w:r>
    </w:p>
  </w:footnote>
  <w:footnote w:id="333">
    <w:p w14:paraId="36DC2ED3" w14:textId="1796378B"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Institute of International Law. </w:t>
      </w:r>
      <w:r w:rsidRPr="007B2402">
        <w:rPr>
          <w:i/>
          <w:szCs w:val="16"/>
          <w:lang w:val="en-US"/>
        </w:rPr>
        <w:t xml:space="preserve">Universal criminal jurisdiction with regard to the crime of genocide, crimes against humanity and war crimes, </w:t>
      </w:r>
      <w:r w:rsidRPr="007B2402">
        <w:rPr>
          <w:szCs w:val="16"/>
          <w:lang w:val="en-US"/>
        </w:rPr>
        <w:t>Resolution of the Seventeenth Commission at the Krakow Session, 2005, para. 3.d See also: UN. Report of the Secretary-General to the General Assembly.</w:t>
      </w:r>
      <w:r w:rsidRPr="007B2402">
        <w:rPr>
          <w:i/>
          <w:szCs w:val="16"/>
          <w:lang w:val="en-US"/>
        </w:rPr>
        <w:t xml:space="preserve"> The scope and application of the principle of universal jurisdiction</w:t>
      </w:r>
      <w:r w:rsidRPr="007B2402">
        <w:rPr>
          <w:szCs w:val="16"/>
          <w:lang w:val="en-US"/>
        </w:rPr>
        <w:t xml:space="preserve">, A/66/93, June 20, 2011. Available at </w:t>
      </w:r>
      <w:hyperlink r:id="rId27" w:history="1">
        <w:r w:rsidRPr="007B2402">
          <w:rPr>
            <w:rStyle w:val="Hipervnculo"/>
            <w:szCs w:val="16"/>
            <w:lang w:val="en-US"/>
          </w:rPr>
          <w:t>https://undocs.org/en/A/66/93</w:t>
        </w:r>
      </w:hyperlink>
      <w:r w:rsidRPr="007B2402">
        <w:rPr>
          <w:szCs w:val="16"/>
          <w:lang w:val="en-US"/>
        </w:rPr>
        <w:t xml:space="preserve">, and UN. Report of the Secretary-General to the General Assembly. </w:t>
      </w:r>
      <w:r w:rsidRPr="007B2402">
        <w:rPr>
          <w:i/>
          <w:szCs w:val="16"/>
          <w:lang w:val="en-US"/>
        </w:rPr>
        <w:t>The scope and application of the principle of universal jurisdiction</w:t>
      </w:r>
      <w:r w:rsidRPr="007B2402">
        <w:rPr>
          <w:szCs w:val="16"/>
          <w:lang w:val="en-US"/>
        </w:rPr>
        <w:t xml:space="preserve"> A/70/125, July 1, 2015. Available at: </w:t>
      </w:r>
      <w:hyperlink r:id="rId28" w:history="1">
        <w:r w:rsidRPr="007B2402">
          <w:rPr>
            <w:rStyle w:val="Hipervnculo"/>
            <w:szCs w:val="16"/>
            <w:lang w:val="en-US"/>
          </w:rPr>
          <w:t>https://undocs.org/A/70/125</w:t>
        </w:r>
      </w:hyperlink>
      <w:r w:rsidRPr="007B2402">
        <w:rPr>
          <w:szCs w:val="16"/>
          <w:lang w:val="en-US"/>
        </w:rPr>
        <w:t>.</w:t>
      </w:r>
    </w:p>
  </w:footnote>
  <w:footnote w:id="334">
    <w:p w14:paraId="3CA4772B" w14:textId="3B2AD674"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ICTY</w:t>
      </w:r>
      <w:r w:rsidRPr="007B2402">
        <w:rPr>
          <w:i/>
          <w:szCs w:val="16"/>
          <w:lang w:val="en-US"/>
        </w:rPr>
        <w:t>.</w:t>
      </w:r>
      <w:r w:rsidRPr="007B2402">
        <w:rPr>
          <w:szCs w:val="16"/>
          <w:lang w:val="en-US"/>
        </w:rPr>
        <w:t xml:space="preserve"> </w:t>
      </w:r>
      <w:r w:rsidRPr="007B2402">
        <w:rPr>
          <w:i/>
          <w:szCs w:val="16"/>
          <w:lang w:val="en-US"/>
        </w:rPr>
        <w:t>Prosecutor</w:t>
      </w:r>
      <w:r w:rsidRPr="007B2402">
        <w:rPr>
          <w:rFonts w:cs="Helvetica"/>
          <w:i/>
          <w:szCs w:val="16"/>
          <w:lang w:val="en-US" w:bidi="en-US"/>
        </w:rPr>
        <w:t xml:space="preserve"> v. </w:t>
      </w:r>
      <w:r w:rsidRPr="007B2402">
        <w:rPr>
          <w:rFonts w:cs="Helvetica-Bold"/>
          <w:bCs/>
          <w:i/>
          <w:szCs w:val="16"/>
          <w:lang w:val="en-US" w:bidi="en-US"/>
        </w:rPr>
        <w:t>Furundžija</w:t>
      </w:r>
      <w:r w:rsidRPr="007B2402">
        <w:rPr>
          <w:szCs w:val="16"/>
          <w:lang w:val="en-US"/>
        </w:rPr>
        <w:t>. Judgment of December 10, 1998, Case No. IT-95-17/1-T, para. 156</w:t>
      </w:r>
    </w:p>
  </w:footnote>
  <w:footnote w:id="335">
    <w:p w14:paraId="0C7C8E2E" w14:textId="30A12315"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ICTY. </w:t>
      </w:r>
      <w:r w:rsidRPr="007B2402">
        <w:rPr>
          <w:i/>
          <w:szCs w:val="16"/>
          <w:lang w:val="en-US"/>
        </w:rPr>
        <w:t>Prosecutor</w:t>
      </w:r>
      <w:r w:rsidRPr="007B2402">
        <w:rPr>
          <w:rFonts w:cs="Helvetica"/>
          <w:i/>
          <w:szCs w:val="16"/>
          <w:lang w:val="en-US" w:bidi="en-US"/>
        </w:rPr>
        <w:t xml:space="preserve"> v. </w:t>
      </w:r>
      <w:r w:rsidRPr="007B2402">
        <w:rPr>
          <w:rFonts w:cs="Helvetica-Bold"/>
          <w:bCs/>
          <w:i/>
          <w:szCs w:val="16"/>
          <w:lang w:val="en-US" w:bidi="en-US"/>
        </w:rPr>
        <w:t>Furundžija</w:t>
      </w:r>
      <w:r w:rsidRPr="007B2402">
        <w:rPr>
          <w:szCs w:val="16"/>
          <w:lang w:val="en-US"/>
        </w:rPr>
        <w:t>. Judgment of December 10, 1998, Case No. IT-95-17/1-T, para. 156.</w:t>
      </w:r>
    </w:p>
  </w:footnote>
  <w:footnote w:id="336">
    <w:p w14:paraId="5B70EF5E" w14:textId="7177619D"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See also, International Law Commission </w:t>
      </w:r>
      <w:r w:rsidRPr="007B2402">
        <w:rPr>
          <w:i/>
          <w:szCs w:val="16"/>
          <w:lang w:val="en-US"/>
        </w:rPr>
        <w:t>First report on crimes against humanity by Sean D. Murphy, Special Rapporteur</w:t>
      </w:r>
      <w:r w:rsidRPr="007B2402">
        <w:rPr>
          <w:szCs w:val="16"/>
          <w:lang w:val="en-US"/>
        </w:rPr>
        <w:t xml:space="preserve">, A/CN.4/680, February 17, 2015. Available at: </w:t>
      </w:r>
      <w:hyperlink r:id="rId29" w:history="1">
        <w:r w:rsidRPr="007B2402">
          <w:rPr>
            <w:rStyle w:val="Hipervnculo"/>
            <w:szCs w:val="16"/>
            <w:lang w:val="en-US"/>
          </w:rPr>
          <w:t>https://undocs.org/en/A/CN.4/680</w:t>
        </w:r>
      </w:hyperlink>
      <w:r w:rsidRPr="007B2402">
        <w:rPr>
          <w:rStyle w:val="Hipervnculo"/>
          <w:szCs w:val="16"/>
          <w:lang w:val="en-US"/>
        </w:rPr>
        <w:t>.</w:t>
      </w:r>
    </w:p>
  </w:footnote>
  <w:footnote w:id="337">
    <w:p w14:paraId="7B1E9110" w14:textId="0C115F68"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Spanish Constitutional Court. Judgment of September 26, 2005, STC 237/2005, </w:t>
      </w:r>
      <w:r w:rsidRPr="007B2402">
        <w:rPr>
          <w:i/>
          <w:szCs w:val="16"/>
          <w:lang w:val="en-US"/>
        </w:rPr>
        <w:t xml:space="preserve">consideranda </w:t>
      </w:r>
      <w:r w:rsidRPr="007B2402">
        <w:rPr>
          <w:szCs w:val="16"/>
          <w:lang w:val="en-US"/>
        </w:rPr>
        <w:t xml:space="preserve">3, 4, 6 and 7. </w:t>
      </w:r>
    </w:p>
  </w:footnote>
  <w:footnote w:id="338">
    <w:p w14:paraId="5EB00A52" w14:textId="6840B241"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Spanish Supreme Court, Criminal Chamber. Judgment of cassation appeal of February 25, 2003, No. 803/2001; </w:t>
      </w:r>
      <w:r w:rsidRPr="007B2402">
        <w:rPr>
          <w:i/>
          <w:iCs/>
          <w:szCs w:val="16"/>
          <w:lang w:val="en-US"/>
        </w:rPr>
        <w:t>Audiencia Nacional</w:t>
      </w:r>
      <w:r w:rsidRPr="007B2402">
        <w:rPr>
          <w:szCs w:val="16"/>
          <w:lang w:val="en-US"/>
        </w:rPr>
        <w:t xml:space="preserve">, Criminal Chamber. Summary appeal proceeding of January 10, 2006, No. 196/005.   </w:t>
      </w:r>
    </w:p>
  </w:footnote>
  <w:footnote w:id="339">
    <w:p w14:paraId="2288E134" w14:textId="4ADAC85A"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iCs/>
          <w:szCs w:val="16"/>
          <w:lang w:val="en-US"/>
        </w:rPr>
        <w:t>Audiencia Nacional</w:t>
      </w:r>
      <w:r w:rsidRPr="007B2402">
        <w:rPr>
          <w:szCs w:val="16"/>
          <w:lang w:val="en-US"/>
        </w:rPr>
        <w:t>, Criminal Chamber, Third Section. Judgment of April 19, 2005, No. 16/2005, paras. 5.3, 6.1 and 6.3: “The reason for the usefulness of the existence of crimes against humanity is precisely that it guarantees their prosecution; above all, owing to the extreme difficulties or impossibility of the domestic prosecution of this type of crime and the interest of the international community that such crimes should be prosecuted and punished, according less importance to their specific legal definition, which may be taken care of by domestic laws, but rather establishing an effective international prosecution system. […] Indeed, one of the essential characteristics of crimes against humanity – from our point of view the one that truly singularizes them – is that they may be prosecuted internationally, over and above the principle of territoriality. It is true that the most neutral and least complicated method, from the point of view of international relations between States, is that it is a general or “</w:t>
      </w:r>
      <w:r w:rsidRPr="007B2402">
        <w:rPr>
          <w:i/>
          <w:iCs/>
          <w:szCs w:val="16"/>
          <w:lang w:val="en-US"/>
        </w:rPr>
        <w:t>ad hoc</w:t>
      </w:r>
      <w:r w:rsidRPr="007B2402">
        <w:rPr>
          <w:szCs w:val="16"/>
          <w:lang w:val="en-US"/>
        </w:rPr>
        <w:t xml:space="preserve">” international court that prosecutes them. However, the essential point is, let us repeat, that this international prosecution, even though it is complementary or subsidiary in nature to the ineffective or inexistent domestic prosecution, is implemented, Thus, when it has not been possible to implement prosecution by an international court due either to its inexistence or to another reason, the principle of necessary prosecution and of the possibility of international prosecution of such crimes remains intact; therefore, in these cases, it is admissible that a national jurisdiction acts in substitution of the international jurisdiction, performing its functions. In essence, there are few differences in the merits or substance between one situation or the other, because the determinant factor is the international nature of the crime and the necessity of prosecuting it assumed by the international community, and if the international community does not directly contribute the means, and does not derogate these basic principles of co-existence, it can be said that not only it is </w:t>
      </w:r>
      <w:r w:rsidRPr="007B2402">
        <w:rPr>
          <w:i/>
          <w:iCs/>
          <w:szCs w:val="16"/>
          <w:lang w:val="en-US"/>
        </w:rPr>
        <w:t>de facto,</w:t>
      </w:r>
      <w:r w:rsidRPr="007B2402">
        <w:rPr>
          <w:szCs w:val="16"/>
          <w:lang w:val="en-US"/>
        </w:rPr>
        <w:t xml:space="preserve"> but also </w:t>
      </w:r>
      <w:r w:rsidRPr="007B2402">
        <w:rPr>
          <w:i/>
          <w:iCs/>
          <w:szCs w:val="16"/>
          <w:lang w:val="en-US"/>
        </w:rPr>
        <w:t xml:space="preserve">de jure, </w:t>
      </w:r>
      <w:r w:rsidRPr="007B2402">
        <w:rPr>
          <w:szCs w:val="16"/>
          <w:lang w:val="en-US"/>
        </w:rPr>
        <w:t>allowing this action of the domestic jurisdiction to become an international action. […] The action of the Spanish jurisdiction in implementation of the principle of universality has been determined by the lack of effective action of Argentine justice, which has resulted in a situation of impunity of those criminally responsible for the facts, a situation that, contrary to what has happened in other countries, has become irreversible, unless the laws of “full stop” and due obedience are definitively annulled. […] In addition, in this case the action of the Spanish jurisdiction to criminally prosecute the facts is also justified by the existence of Spanish victims. The existence of these victims has been verified in the description of the proven facts, because these were individuals who were detained in the ESMA at the time that the accused was based there. It is true that there is no information that he had any type of direct connection to them, but they were directly affected by his acts, which were inserted in the oft-mentioned ‘dirty war organized against the subversion.’”</w:t>
      </w:r>
    </w:p>
  </w:footnote>
  <w:footnote w:id="340">
    <w:p w14:paraId="78345391" w14:textId="3EE48514"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Among others, Court of Cassation, France, Criminal Chamber. Inadmissibility of cassation appeal. Judgment of June 3, 1998, Case of Klaus Barbie, Appeal No. 87-84240. </w:t>
      </w:r>
    </w:p>
  </w:footnote>
  <w:footnote w:id="341">
    <w:p w14:paraId="0A76CD0D" w14:textId="2AAFD9C5"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w:t>
      </w:r>
      <w:r w:rsidRPr="007B2402">
        <w:rPr>
          <w:szCs w:val="16"/>
          <w:lang w:val="en-US"/>
        </w:rPr>
        <w:t xml:space="preserve">Case of Captain SS Erich Priebke. Extradited from Argentina to Italy on November 2, 1995. See Federal Court of Bariloche, May 31, 1995, and Federal Appeals Chamber, August 23, 1995, and Supreme Court of Justice of the Nation, November 2, 1995. Final conviction by the Rome Military Tribunal, on July 22, 1997. The judgment declared that crimes against humanity were not subject to statutory limitations, based on </w:t>
      </w:r>
      <w:r w:rsidRPr="007B2402">
        <w:rPr>
          <w:i/>
          <w:szCs w:val="16"/>
          <w:lang w:val="en-US"/>
        </w:rPr>
        <w:t>jus cogens</w:t>
      </w:r>
      <w:r w:rsidRPr="007B2402">
        <w:rPr>
          <w:szCs w:val="16"/>
          <w:lang w:val="en-US"/>
        </w:rPr>
        <w:t xml:space="preserve">, even though Italy had not ratified </w:t>
      </w:r>
      <w:r w:rsidRPr="007B2402">
        <w:rPr>
          <w:rFonts w:eastAsia="Calibri" w:cs="Times New Roman"/>
          <w:lang w:val="en-US"/>
        </w:rPr>
        <w:t xml:space="preserve">the 1968 Convention on </w:t>
      </w:r>
      <w:r w:rsidRPr="007B2402">
        <w:rPr>
          <w:iCs/>
          <w:szCs w:val="16"/>
          <w:lang w:val="en-US"/>
        </w:rPr>
        <w:t>Non-Applicability of Statutory Limitations</w:t>
      </w:r>
      <w:r w:rsidRPr="007B2402">
        <w:rPr>
          <w:i/>
          <w:szCs w:val="16"/>
          <w:lang w:val="en-US"/>
        </w:rPr>
        <w:t>.</w:t>
      </w:r>
    </w:p>
  </w:footnote>
  <w:footnote w:id="342">
    <w:p w14:paraId="0AA52A71" w14:textId="4C827FDE"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See. Among others, Superior Court of Justice of Düsseldorf. Case of Nikola Jorgic, Judgment of September 26, 1997, IV-26/96 2 StE 8/96.</w:t>
      </w:r>
    </w:p>
  </w:footnote>
  <w:footnote w:id="343">
    <w:p w14:paraId="4C8BEB39" w14:textId="29601AD9"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Supreme Court of Justice of the Nation. Amparo review. Judgment of June 10, 2003, Plaintiff: Ricardo Miguel Cavallo,</w:t>
      </w:r>
      <w:r w:rsidRPr="007B2402" w:rsidDel="00650150">
        <w:rPr>
          <w:szCs w:val="16"/>
          <w:lang w:val="en-US"/>
        </w:rPr>
        <w:t xml:space="preserve"> </w:t>
      </w:r>
      <w:r w:rsidRPr="007B2402">
        <w:rPr>
          <w:szCs w:val="16"/>
          <w:lang w:val="en-US"/>
        </w:rPr>
        <w:t>No. 140/2002.</w:t>
      </w:r>
    </w:p>
  </w:footnote>
  <w:footnote w:id="344">
    <w:p w14:paraId="2ECBC904" w14:textId="5F618314" w:rsidR="00920DEA" w:rsidRPr="007B2402" w:rsidRDefault="00920DEA" w:rsidP="0035342B">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Supreme Court of Justice of the Nation, Argentina Appeal. Judgment of June 14, 2005, Case of Julio Héctor Simón </w:t>
      </w:r>
      <w:r w:rsidRPr="007B2402">
        <w:rPr>
          <w:i/>
          <w:iCs/>
          <w:szCs w:val="16"/>
          <w:lang w:val="en-US"/>
        </w:rPr>
        <w:t>et al.,</w:t>
      </w:r>
      <w:r w:rsidRPr="007B2402">
        <w:rPr>
          <w:szCs w:val="16"/>
          <w:lang w:val="en-US"/>
        </w:rPr>
        <w:t xml:space="preserve"> case No. 17.768, Opinion of Judge Antonio Boggiano, </w:t>
      </w:r>
      <w:r w:rsidRPr="007B2402">
        <w:rPr>
          <w:i/>
          <w:iCs/>
          <w:szCs w:val="16"/>
          <w:lang w:val="en-US"/>
        </w:rPr>
        <w:t>consideranda</w:t>
      </w:r>
      <w:r w:rsidRPr="007B2402">
        <w:rPr>
          <w:szCs w:val="16"/>
          <w:lang w:val="en-US"/>
        </w:rPr>
        <w:t xml:space="preserve"> 28, 29 and 31: “That, even before this international jurisprudence, crimes against the ‘law of Nations’ were condemned by customary international law and, at the same time, by our Constitution. The gravity of such crimes may provide grounds for universal jurisdiction, as revealed by art. 118 of the Constitution, which establishes the crimes against the law of Nations beyond the borders of the Nation and orders Congress to determine, by a special law, the place where the trial should be held. This presumes that such crimes can be tried in the Republic and, it should be understood, also in other foreign States. Also, that such crimes under international law, against mankind and the law of Nations, owing to their gravity, harm the international order, so that art. 118 should not only be seen as a jurisdictional norm, but substantially, of recognition of the substantive gravity of those crimes (“Nadel” case recorded in Judgments: 316:567, dissenting opinion of Judge Boggiano).” […] “That according to the concept of universal jurisdiction, without needing to giving an opinion here on comparative foreign practices, such crimes could be tried outside the country in which they were committed. Crimes under international law may provide grounds for the universal jurisdiction of any State pursuant to international custom because they violate a norm of </w:t>
      </w:r>
      <w:r w:rsidRPr="007B2402">
        <w:rPr>
          <w:i/>
          <w:iCs/>
          <w:szCs w:val="16"/>
          <w:lang w:val="en-US"/>
        </w:rPr>
        <w:t>ius cogens</w:t>
      </w:r>
      <w:r w:rsidRPr="007B2402">
        <w:rPr>
          <w:szCs w:val="16"/>
          <w:lang w:val="en-US"/>
        </w:rPr>
        <w:t xml:space="preserve"> systematically, violating international law.” […] “That, in this hypothesis, these crimes could be tried in one or more foreign States and not in Argentina, with the consequent infringement of the jurisdictional sovereignty of our country.” Federal Criminal Oral Court No. 1 of San Martín. Judgment for crimes against humanity. August 12, 2009, General Riveros </w:t>
      </w:r>
      <w:r w:rsidRPr="007B2402">
        <w:rPr>
          <w:i/>
          <w:iCs/>
          <w:szCs w:val="16"/>
          <w:lang w:val="en-US"/>
        </w:rPr>
        <w:t>et al.</w:t>
      </w:r>
      <w:r w:rsidRPr="007B2402">
        <w:rPr>
          <w:szCs w:val="16"/>
          <w:lang w:val="en-US"/>
        </w:rPr>
        <w:t xml:space="preserve"> in the case of Floreal Edgardo Avellaneda </w:t>
      </w:r>
      <w:r w:rsidRPr="007B2402">
        <w:rPr>
          <w:i/>
          <w:iCs/>
          <w:szCs w:val="16"/>
          <w:lang w:val="en-US"/>
        </w:rPr>
        <w:t>et al</w:t>
      </w:r>
      <w:r w:rsidRPr="007B2402">
        <w:rPr>
          <w:szCs w:val="16"/>
          <w:lang w:val="en-US"/>
        </w:rPr>
        <w:t xml:space="preserve">.: “Regarding </w:t>
      </w:r>
      <w:r w:rsidRPr="007B2402">
        <w:rPr>
          <w:i/>
          <w:iCs/>
          <w:szCs w:val="16"/>
          <w:lang w:val="en-US"/>
        </w:rPr>
        <w:t>non bis in idem</w:t>
      </w:r>
      <w:r w:rsidRPr="007B2402">
        <w:rPr>
          <w:szCs w:val="16"/>
          <w:lang w:val="en-US"/>
        </w:rPr>
        <w:t xml:space="preserve"> and </w:t>
      </w:r>
      <w:r w:rsidRPr="007B2402">
        <w:rPr>
          <w:i/>
          <w:iCs/>
          <w:szCs w:val="16"/>
          <w:lang w:val="en-US"/>
        </w:rPr>
        <w:t>res judicata</w:t>
      </w:r>
      <w:r w:rsidRPr="007B2402">
        <w:rPr>
          <w:szCs w:val="16"/>
          <w:lang w:val="en-US"/>
        </w:rPr>
        <w:t xml:space="preserve">, which the defense Counsel have also posited, in ‘Mazzeo,’ the Court stated that ‘under international humanitarian law the axiological principles of interpretation acquire pre-eminence to define the guarantee of both </w:t>
      </w:r>
      <w:r w:rsidRPr="007B2402">
        <w:rPr>
          <w:i/>
          <w:iCs/>
          <w:szCs w:val="16"/>
          <w:lang w:val="en-US"/>
        </w:rPr>
        <w:t>non bis in idem</w:t>
      </w:r>
      <w:r w:rsidRPr="007B2402">
        <w:rPr>
          <w:szCs w:val="16"/>
          <w:lang w:val="en-US"/>
        </w:rPr>
        <w:t xml:space="preserve"> and </w:t>
      </w:r>
      <w:r w:rsidRPr="007B2402">
        <w:rPr>
          <w:i/>
          <w:iCs/>
          <w:szCs w:val="16"/>
          <w:lang w:val="en-US"/>
        </w:rPr>
        <w:t>res judicata</w:t>
      </w:r>
      <w:r w:rsidRPr="007B2402">
        <w:rPr>
          <w:szCs w:val="16"/>
          <w:lang w:val="en-US"/>
        </w:rPr>
        <w:t xml:space="preserve">.’ That this is so “insofar as the purpose of both the statutes of the international criminal courts and the principles that inspire unversal jurisdiction is to ensure that heinous crimes do not remain unpunished. Consequently, without prejudice to giving priority to the national authorities to conduct the trial; if such local trials become a subterfuge to ensure impunity, the subsidiary jurisdiction of international criminal law comes into play with a new trial.” Appeal. Judgment of November 2, 1995, Case of Erich Priebke No. 16,063/94, </w:t>
      </w:r>
      <w:r w:rsidRPr="007B2402">
        <w:rPr>
          <w:i/>
          <w:iCs/>
          <w:szCs w:val="16"/>
          <w:lang w:val="en-US"/>
        </w:rPr>
        <w:t>considerandum</w:t>
      </w:r>
      <w:r w:rsidRPr="007B2402">
        <w:rPr>
          <w:szCs w:val="16"/>
          <w:lang w:val="en-US"/>
        </w:rPr>
        <w:t xml:space="preserve"> 4 and Concurring opinion of Judge Julio S. Nazareno and Eduardo Moline O’Connor, </w:t>
      </w:r>
      <w:r w:rsidRPr="007B2402">
        <w:rPr>
          <w:i/>
          <w:iCs/>
          <w:szCs w:val="16"/>
          <w:lang w:val="en-US"/>
        </w:rPr>
        <w:t>considerandum</w:t>
      </w:r>
      <w:r w:rsidRPr="007B2402">
        <w:rPr>
          <w:szCs w:val="16"/>
          <w:lang w:val="en-US"/>
        </w:rPr>
        <w:t xml:space="preserve"> 43: “That this circumstance in no way signifies that the international indictment is left to the intention of individual States expressed in conventions, because it is the instrument that establishes the principles and practices of the legal conscience of mankind from which no State may deviate insofar as the formulation of general international law establishes, with regard to this matter, a sufficiently clear description of the punishable conduct, and also that when it is committed it merits criminal punishment.” […] “That, the fact that the national legislator has not implemented ‘adequate criminal sanctions’ for this type of crimes does not obstruct the exercise of the other commitments assumed in the international sphere with regard to extradition, because that type of procedure is not aimed at determining the guilt or innocence of the individual requested, but only to establish, as noted in </w:t>
      </w:r>
      <w:r w:rsidRPr="007B2402">
        <w:rPr>
          <w:i/>
          <w:iCs/>
          <w:szCs w:val="16"/>
          <w:lang w:val="en-US"/>
        </w:rPr>
        <w:t>considerandum</w:t>
      </w:r>
      <w:r w:rsidRPr="007B2402">
        <w:rPr>
          <w:szCs w:val="16"/>
          <w:lang w:val="en-US"/>
        </w:rPr>
        <w:t xml:space="preserve"> 12, whether his right to remain in the country should cede to the request for international cooperation.” </w:t>
      </w:r>
    </w:p>
  </w:footnote>
  <w:footnote w:id="345">
    <w:p w14:paraId="5AEB7A17" w14:textId="278B484F" w:rsidR="00920DEA" w:rsidRPr="007B2402" w:rsidRDefault="00920DEA" w:rsidP="005B1590">
      <w:pPr>
        <w:pStyle w:val="Textonotapie"/>
        <w:spacing w:after="80"/>
        <w:rPr>
          <w:szCs w:val="16"/>
          <w:u w:val="single"/>
          <w:lang w:val="en-US"/>
        </w:rPr>
      </w:pPr>
      <w:r w:rsidRPr="007B2402">
        <w:rPr>
          <w:rStyle w:val="Refdenotaalpie"/>
          <w:rFonts w:ascii="Verdana" w:hAnsi="Verdana"/>
          <w:szCs w:val="16"/>
          <w:lang w:val="en-US"/>
        </w:rPr>
        <w:footnoteRef/>
      </w:r>
      <w:r w:rsidRPr="007B2402">
        <w:rPr>
          <w:szCs w:val="16"/>
          <w:lang w:val="en-US"/>
        </w:rPr>
        <w:t xml:space="preserve"> United States Court of Appeal, Sixth Circuit. Judgment of October 31, 1985, Demjanjuk </w:t>
      </w:r>
      <w:r w:rsidRPr="007B2402">
        <w:rPr>
          <w:i/>
          <w:iCs/>
          <w:szCs w:val="16"/>
          <w:lang w:val="en-US"/>
        </w:rPr>
        <w:t>v.</w:t>
      </w:r>
      <w:r w:rsidRPr="007B2402">
        <w:rPr>
          <w:szCs w:val="16"/>
          <w:lang w:val="en-US"/>
        </w:rPr>
        <w:t xml:space="preserve"> Petrowsky, 776 F. 2d 571.</w:t>
      </w:r>
    </w:p>
  </w:footnote>
  <w:footnote w:id="346">
    <w:p w14:paraId="16B7A3D1" w14:textId="463AB051"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Supreme Court of Canada. Judgment of March 24, 1994,  R. </w:t>
      </w:r>
      <w:r w:rsidRPr="007B2402">
        <w:rPr>
          <w:i/>
          <w:iCs/>
          <w:szCs w:val="16"/>
          <w:lang w:val="en-US"/>
        </w:rPr>
        <w:t>v.</w:t>
      </w:r>
      <w:r w:rsidRPr="007B2402">
        <w:rPr>
          <w:szCs w:val="16"/>
          <w:lang w:val="en-US"/>
        </w:rPr>
        <w:t xml:space="preserve"> Finta, [1994] 1 S.C.R. 701; Superior Court of the Province of Quebec, Criminal Chamber. Judgment of May 22, 2009, Prosecutor </w:t>
      </w:r>
      <w:r w:rsidRPr="007B2402">
        <w:rPr>
          <w:i/>
          <w:iCs/>
          <w:szCs w:val="16"/>
          <w:lang w:val="en-US"/>
        </w:rPr>
        <w:t>v</w:t>
      </w:r>
      <w:r w:rsidRPr="007B2402">
        <w:rPr>
          <w:szCs w:val="16"/>
          <w:lang w:val="en-US"/>
        </w:rPr>
        <w:t xml:space="preserve">. Désiré Munyaneza, case No. 500-73-002500-052. </w:t>
      </w:r>
    </w:p>
  </w:footnote>
  <w:footnote w:id="347">
    <w:p w14:paraId="1E144C24" w14:textId="779928B3"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Penal Code of Bolivia, Law No. 1,768 of March 10, 1997, article 1.7.</w:t>
      </w:r>
    </w:p>
  </w:footnote>
  <w:footnote w:id="348">
    <w:p w14:paraId="0BB9B1EF" w14:textId="6584A22F"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Penal Code of the Republic of Ecuador. article 14.</w:t>
      </w:r>
    </w:p>
  </w:footnote>
  <w:footnote w:id="349">
    <w:p w14:paraId="6DEBE1C8" w14:textId="3AD5CEAA"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Penal Code of El Salvador, Law No. 1030 of April 26, 1997, article 10.</w:t>
      </w:r>
    </w:p>
  </w:footnote>
  <w:footnote w:id="350">
    <w:p w14:paraId="0D41AC32" w14:textId="548AEE76"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Penal Code of Panama, Law No. 14 of May 18, 2007, article 19.</w:t>
      </w:r>
    </w:p>
  </w:footnote>
  <w:footnote w:id="351">
    <w:p w14:paraId="2B77BB6E" w14:textId="4676BB59"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Argentine Constitution, Law No. 24,430 of December 15, 1994, article 118.</w:t>
      </w:r>
    </w:p>
  </w:footnote>
  <w:footnote w:id="352">
    <w:p w14:paraId="738EE166" w14:textId="3BEE15CD" w:rsidR="00920DEA" w:rsidRPr="007B2402" w:rsidRDefault="00920DEA" w:rsidP="005B1590">
      <w:pPr>
        <w:pStyle w:val="Textonotapie"/>
        <w:spacing w:after="80"/>
        <w:rPr>
          <w:rFonts w:cs="Arial"/>
          <w:szCs w:val="16"/>
          <w:lang w:val="en-US"/>
        </w:rPr>
      </w:pPr>
      <w:r w:rsidRPr="007B2402">
        <w:rPr>
          <w:rStyle w:val="Refdenotaalpie"/>
          <w:rFonts w:ascii="Verdana" w:hAnsi="Verdana"/>
          <w:szCs w:val="16"/>
          <w:lang w:val="en-US"/>
        </w:rPr>
        <w:footnoteRef/>
      </w:r>
      <w:r w:rsidRPr="007B2402">
        <w:rPr>
          <w:szCs w:val="16"/>
          <w:lang w:val="en-US"/>
        </w:rPr>
        <w:t xml:space="preserve"> United Nations, General Assembly. </w:t>
      </w:r>
      <w:r w:rsidRPr="007B2402">
        <w:rPr>
          <w:i/>
          <w:szCs w:val="16"/>
          <w:lang w:val="en-US"/>
        </w:rPr>
        <w:t xml:space="preserve">Summary record of the twelfth session of the seventieth session, </w:t>
      </w:r>
      <w:r w:rsidRPr="007B2402">
        <w:rPr>
          <w:szCs w:val="16"/>
          <w:lang w:val="en-US"/>
        </w:rPr>
        <w:t xml:space="preserve">A/C.6/70/SR.12, </w:t>
      </w:r>
      <w:r w:rsidRPr="007B2402">
        <w:rPr>
          <w:bCs/>
          <w:color w:val="000000"/>
          <w:szCs w:val="16"/>
          <w:shd w:val="clear" w:color="auto" w:fill="FFFFFF"/>
          <w:lang w:val="en-US"/>
        </w:rPr>
        <w:t>November 5, 2015</w:t>
      </w:r>
      <w:r w:rsidRPr="007B2402">
        <w:rPr>
          <w:szCs w:val="16"/>
          <w:lang w:val="en-US"/>
        </w:rPr>
        <w:t>, para. 62. Available at</w:t>
      </w:r>
      <w:r w:rsidRPr="007B2402">
        <w:rPr>
          <w:lang w:val="en-US"/>
        </w:rPr>
        <w:t xml:space="preserve"> </w:t>
      </w:r>
      <w:hyperlink r:id="rId30" w:history="1">
        <w:r w:rsidRPr="007B2402">
          <w:rPr>
            <w:rStyle w:val="Hipervnculo"/>
            <w:szCs w:val="16"/>
            <w:lang w:val="en-US"/>
          </w:rPr>
          <w:t>https://undocs.org/A/C.6/70/SR.12</w:t>
        </w:r>
      </w:hyperlink>
      <w:r w:rsidRPr="007B2402">
        <w:rPr>
          <w:szCs w:val="16"/>
          <w:lang w:val="en-US"/>
        </w:rPr>
        <w:t>. In addition, the State confirmed that “[i]</w:t>
      </w:r>
      <w:r w:rsidRPr="007B2402">
        <w:rPr>
          <w:rFonts w:cs="Arial"/>
          <w:szCs w:val="16"/>
          <w:lang w:val="en-US"/>
        </w:rPr>
        <w:t>ts courts could exercise universal jurisdiction over the crime of genocide and the crimes, such as torture, which Brazil had a treaty obligation to suppress”</w:t>
      </w:r>
      <w:r w:rsidRPr="007B2402">
        <w:rPr>
          <w:szCs w:val="16"/>
          <w:lang w:val="en-US"/>
        </w:rPr>
        <w:t xml:space="preserve"> (para. 64). However, it indicated that “</w:t>
      </w:r>
      <w:r w:rsidRPr="007B2402">
        <w:rPr>
          <w:rFonts w:cs="Arial"/>
          <w:szCs w:val="16"/>
          <w:lang w:val="en-US"/>
        </w:rPr>
        <w:t>[u]nder Brazilian law, it was necessary to enact national legislation to enable the exercise of universal jurisdiction over a specific type of crime; such jurisdiction could not be exercised on the basis of customary international law alone without violating the principle of legality.</w:t>
      </w:r>
      <w:r w:rsidRPr="007B2402">
        <w:rPr>
          <w:szCs w:val="16"/>
          <w:lang w:val="en-US"/>
        </w:rPr>
        <w:t>”</w:t>
      </w:r>
    </w:p>
  </w:footnote>
  <w:footnote w:id="353">
    <w:p w14:paraId="30AD6568" w14:textId="6F0EA6F3"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In this regard, see expert opinions of Maria Auxiliadora Minahim (evidence file, folios 13987 to 14034) and </w:t>
      </w:r>
      <w:r w:rsidRPr="007B2402">
        <w:rPr>
          <w:bCs/>
          <w:szCs w:val="16"/>
          <w:lang w:val="en-US"/>
        </w:rPr>
        <w:t>Alberto Zacharias Toron during the hearing.</w:t>
      </w:r>
    </w:p>
  </w:footnote>
  <w:footnote w:id="354">
    <w:p w14:paraId="0718141D" w14:textId="086C97F9"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1940 Brazilian Penal Code, article 129: To injure the bodily integrity or health of others.</w:t>
      </w:r>
    </w:p>
  </w:footnote>
  <w:footnote w:id="355">
    <w:p w14:paraId="41C84688" w14:textId="32544D8B"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1940 Brazilian Penal Code, article 132: To expose the life or health of others to direct or imminent danter.</w:t>
      </w:r>
    </w:p>
  </w:footnote>
  <w:footnote w:id="356">
    <w:p w14:paraId="3B46B51F" w14:textId="16FD8036"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1940 Brazilian Penal Code, article 135: To fail to offer assistance when this is possible without risking one’s life to […] a person who is disabled, destitute, or in grave and imminent danger; or, in such cases, not to request help from the public authorities.</w:t>
      </w:r>
    </w:p>
  </w:footnote>
  <w:footnote w:id="357">
    <w:p w14:paraId="229F4306" w14:textId="2B84A049"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1940 Brazilian Penal Code, article 136: Expose to danger the life and health of persons under one’s authority, custody or surveillance, either depriving them of food or essential care, or subjecting them to an excessive or inadequate load, or by abusing of correctional or disciplinary measures.</w:t>
      </w:r>
    </w:p>
  </w:footnote>
  <w:footnote w:id="358">
    <w:p w14:paraId="52DB1213" w14:textId="15A828D1"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fr-FR"/>
        </w:rPr>
        <w:t xml:space="preserve"> 1940 Brazilian Penal Code, article 121: Murder. </w:t>
      </w:r>
      <w:r w:rsidRPr="007B2402">
        <w:rPr>
          <w:szCs w:val="16"/>
          <w:lang w:val="en-US"/>
        </w:rPr>
        <w:t>§ 2 If the murder is committed: I – for payment or promise of reward, or other wrongul reason; II – for a futile reason; III – using poison, fire, explosives, suffocation, torture or other cruel and insidious method, or one that may cause common danger; IV - treacherously, by ambush, or by dissimulation or the use of any other device that makes it difficult or impossible for the victim to defend himself;  V – to obtain the perpetration, concealment, impunity or advantage of another crime. Penalty – twelve to thirty years’ imprisonment.</w:t>
      </w:r>
    </w:p>
  </w:footnote>
  <w:footnote w:id="359">
    <w:p w14:paraId="7F18AC75" w14:textId="0977BE0B"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See Expert opinion of Renato Sergio de Lima (evidence file, folios 14153 and 14154); Report of the National Truth Commission, 2014 (evidence file, folio 808).</w:t>
      </w:r>
    </w:p>
  </w:footnote>
  <w:footnote w:id="360">
    <w:p w14:paraId="79E2E950" w14:textId="1FCC12D7"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bookmarkStart w:id="167" w:name="parteiiitituloiicapituloisecaoi"/>
      <w:bookmarkEnd w:id="167"/>
      <w:r w:rsidRPr="007B2402">
        <w:rPr>
          <w:szCs w:val="16"/>
          <w:lang w:val="en-US"/>
        </w:rPr>
        <w:t xml:space="preserve">Law of December 16, 1830. Penal Code of the Empire of Brazil. </w:t>
      </w:r>
      <w:r w:rsidRPr="007B2402">
        <w:rPr>
          <w:bCs/>
          <w:szCs w:val="16"/>
          <w:lang w:val="en-US"/>
        </w:rPr>
        <w:t xml:space="preserve">Murder. </w:t>
      </w:r>
      <w:bookmarkStart w:id="168" w:name="art192"/>
      <w:bookmarkEnd w:id="168"/>
      <w:r w:rsidRPr="007B2402">
        <w:rPr>
          <w:szCs w:val="16"/>
          <w:lang w:val="en-US"/>
        </w:rPr>
        <w:t xml:space="preserve">Art. 192. To kill someone with any of the aggravating cirumstances mentione in article 16, Nos. 2, 7, 10, 11, 12, 13, 14 and 17. </w:t>
      </w:r>
    </w:p>
    <w:p w14:paraId="111D9694" w14:textId="6FD2BD99" w:rsidR="00920DEA" w:rsidRPr="007B2402" w:rsidRDefault="00920DEA" w:rsidP="005B1590">
      <w:pPr>
        <w:pStyle w:val="Textonotapie"/>
        <w:spacing w:after="80"/>
        <w:rPr>
          <w:szCs w:val="16"/>
          <w:lang w:val="en-US"/>
        </w:rPr>
      </w:pPr>
      <w:r w:rsidRPr="007B2402">
        <w:rPr>
          <w:szCs w:val="16"/>
          <w:lang w:val="en-US"/>
        </w:rPr>
        <w:t>Art. 16. Aggravating cirumstances are: [...] 6. That the offender is superior due to sex, force, weapons, so that the victim cannot defend himself with the probability of being able to repel the attack. [...]</w:t>
      </w:r>
    </w:p>
    <w:p w14:paraId="372670A0" w14:textId="7EFBD5A8" w:rsidR="00920DEA" w:rsidRPr="007B2402" w:rsidRDefault="00920DEA" w:rsidP="005B1590">
      <w:pPr>
        <w:pStyle w:val="Textonotapie"/>
        <w:spacing w:after="80"/>
        <w:rPr>
          <w:szCs w:val="16"/>
          <w:lang w:val="es-CR"/>
        </w:rPr>
      </w:pPr>
      <w:r w:rsidRPr="007B2402">
        <w:rPr>
          <w:szCs w:val="16"/>
          <w:lang w:val="en-US"/>
        </w:rPr>
        <w:t xml:space="preserve">Art. 17. Crimes shall also be considered aggravated: [...] 2. When the physical pain is increased more than ordinary by some special circumstance. 3. When the harm produced by the crime is increased by some especially reprehensible circumstance, 4. When the harm produced by the crime is increased by the irreparable nature of the damage.   Available at </w:t>
      </w:r>
      <w:hyperlink r:id="rId31" w:history="1">
        <w:r w:rsidRPr="007B2402">
          <w:rPr>
            <w:rStyle w:val="Hipervnculo"/>
            <w:szCs w:val="16"/>
            <w:lang w:val="en-US"/>
          </w:rPr>
          <w:t>http://www.planalto.gov.br/ccivil_03/leis/lim/lim-16-12-1830.htm</w:t>
        </w:r>
      </w:hyperlink>
      <w:r w:rsidRPr="007B2402">
        <w:rPr>
          <w:szCs w:val="16"/>
          <w:lang w:val="en-US"/>
        </w:rPr>
        <w:t xml:space="preserve">. </w:t>
      </w:r>
      <w:r w:rsidRPr="007B2402">
        <w:rPr>
          <w:i/>
          <w:szCs w:val="16"/>
          <w:lang w:val="es-CR"/>
        </w:rPr>
        <w:t xml:space="preserve">Cf. </w:t>
      </w:r>
      <w:r w:rsidRPr="007B2402">
        <w:rPr>
          <w:szCs w:val="16"/>
          <w:lang w:val="es-CR"/>
        </w:rPr>
        <w:t>Araujo Filgueiras Junior, “</w:t>
      </w:r>
      <w:r w:rsidRPr="007B2402">
        <w:rPr>
          <w:i/>
          <w:iCs/>
          <w:szCs w:val="16"/>
          <w:lang w:val="es-CR"/>
        </w:rPr>
        <w:t>Código Criminal do Império do Brazil annotado</w:t>
      </w:r>
      <w:r w:rsidRPr="007B2402">
        <w:rPr>
          <w:szCs w:val="16"/>
          <w:lang w:val="es-CR"/>
        </w:rPr>
        <w:t xml:space="preserve">,” Rio de Janeiro, 1876, pp. 17, 20 and 214. </w:t>
      </w:r>
    </w:p>
  </w:footnote>
  <w:footnote w:id="361">
    <w:p w14:paraId="58BB8131" w14:textId="5512474C"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Decree No. 847, of October 11, 1890. Penal Code. Art. 294. To kill someone. </w:t>
      </w:r>
    </w:p>
    <w:p w14:paraId="2C581130" w14:textId="1638C002" w:rsidR="00920DEA" w:rsidRPr="007B2402" w:rsidRDefault="00920DEA" w:rsidP="005B1590">
      <w:pPr>
        <w:pStyle w:val="Textonotapie"/>
        <w:spacing w:after="80"/>
        <w:rPr>
          <w:szCs w:val="16"/>
          <w:lang w:val="en-US"/>
        </w:rPr>
      </w:pPr>
      <w:r w:rsidRPr="007B2402">
        <w:rPr>
          <w:szCs w:val="16"/>
          <w:lang w:val="en-US"/>
        </w:rPr>
        <w:t>Art. 39. Aggravating cirumstances are: […]§ 5 That the offender is superior due to sex, force, weapons, so that the victim cannot defend himself with the probability of being able to repel the attack; [...]</w:t>
      </w:r>
    </w:p>
    <w:p w14:paraId="499836DA" w14:textId="5391C653" w:rsidR="00920DEA" w:rsidRPr="007B2402" w:rsidRDefault="00920DEA" w:rsidP="005B1590">
      <w:pPr>
        <w:pStyle w:val="Textonotapie"/>
        <w:spacing w:after="80"/>
        <w:rPr>
          <w:szCs w:val="16"/>
          <w:lang w:val="es-CR"/>
        </w:rPr>
      </w:pPr>
      <w:r w:rsidRPr="007B2402">
        <w:rPr>
          <w:szCs w:val="16"/>
          <w:lang w:val="en-US"/>
        </w:rPr>
        <w:t xml:space="preserve">Art. 41. The following shall also be considered aggravating cirumstances of a crime: [...] § 2. When the physical pain is increased by acts of cruelty; § 3. When the harm produced by the crime is increased by some especially reprehensible circumstance, or by the irreparable nature of the damage. Available at: </w:t>
      </w:r>
      <w:hyperlink r:id="rId32" w:history="1">
        <w:r w:rsidRPr="007B2402">
          <w:rPr>
            <w:rStyle w:val="Hipervnculo"/>
            <w:szCs w:val="16"/>
            <w:lang w:val="en-US"/>
          </w:rPr>
          <w:t>http://www2.camara.leg.br/ legin/fed/decret/ 1824-1899/decreto-847-11-outubro-1890-503086-publicacaooriginal-1-pe.html</w:t>
        </w:r>
      </w:hyperlink>
      <w:r w:rsidRPr="007B2402">
        <w:rPr>
          <w:szCs w:val="16"/>
          <w:lang w:val="en-US"/>
        </w:rPr>
        <w:t xml:space="preserve">. </w:t>
      </w:r>
      <w:r w:rsidRPr="007B2402">
        <w:rPr>
          <w:i/>
          <w:szCs w:val="16"/>
          <w:lang w:val="es-CR"/>
        </w:rPr>
        <w:t>Cf.</w:t>
      </w:r>
      <w:r w:rsidRPr="007B2402">
        <w:rPr>
          <w:szCs w:val="16"/>
          <w:lang w:val="es-CR"/>
        </w:rPr>
        <w:t xml:space="preserve"> Alvarenga Netto, “</w:t>
      </w:r>
      <w:r w:rsidRPr="007B2402">
        <w:rPr>
          <w:i/>
          <w:iCs/>
          <w:szCs w:val="16"/>
          <w:lang w:val="es-CR"/>
        </w:rPr>
        <w:t>Código Penal Brazileiro e leis penaes subsequentes</w:t>
      </w:r>
      <w:r w:rsidRPr="007B2402">
        <w:rPr>
          <w:szCs w:val="16"/>
          <w:lang w:val="es-CR"/>
        </w:rPr>
        <w:t>”, Rio de Janeiro, 1929, pp. 35, 36 and 141.</w:t>
      </w:r>
    </w:p>
  </w:footnote>
  <w:footnote w:id="362">
    <w:p w14:paraId="019F8D56" w14:textId="26930EF1"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Expert opinion of Naomi Roth-Arriaza (evidence file, folio 13957).</w:t>
      </w:r>
    </w:p>
  </w:footnote>
  <w:footnote w:id="363">
    <w:p w14:paraId="0F56E3DA" w14:textId="671A4D4B"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ECHR. </w:t>
      </w:r>
      <w:r w:rsidRPr="007B2402">
        <w:rPr>
          <w:i/>
          <w:szCs w:val="16"/>
          <w:lang w:val="en-US"/>
        </w:rPr>
        <w:t>Case of Kononov v. Latvia</w:t>
      </w:r>
      <w:r w:rsidRPr="007B2402">
        <w:rPr>
          <w:szCs w:val="16"/>
          <w:lang w:val="en-US"/>
        </w:rPr>
        <w:t>, No. 36376/04. Judgment of May 17, 2010.</w:t>
      </w:r>
    </w:p>
  </w:footnote>
  <w:footnote w:id="364">
    <w:p w14:paraId="136FEBDA" w14:textId="5831A89A"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ECHR. </w:t>
      </w:r>
      <w:r w:rsidRPr="007B2402">
        <w:rPr>
          <w:i/>
          <w:szCs w:val="16"/>
          <w:lang w:val="en-US"/>
        </w:rPr>
        <w:t>Case of Kolk and Kislyiy v. Estonia</w:t>
      </w:r>
      <w:r w:rsidRPr="007B2402">
        <w:rPr>
          <w:szCs w:val="16"/>
          <w:lang w:val="en-US"/>
        </w:rPr>
        <w:t>, Nos. 23052/04 and 24018/04. Inadmissibility decision of January 17, 2006</w:t>
      </w:r>
      <w:r w:rsidRPr="007B2402">
        <w:rPr>
          <w:iCs/>
          <w:szCs w:val="16"/>
          <w:lang w:val="en-US"/>
        </w:rPr>
        <w:t xml:space="preserve">, and </w:t>
      </w:r>
      <w:r w:rsidRPr="007B2402">
        <w:rPr>
          <w:i/>
          <w:szCs w:val="16"/>
          <w:lang w:val="en-US"/>
        </w:rPr>
        <w:t xml:space="preserve">Case of Vasiliauskas v. Lithuania </w:t>
      </w:r>
      <w:r w:rsidRPr="007B2402">
        <w:rPr>
          <w:szCs w:val="16"/>
          <w:lang w:val="en-US"/>
        </w:rPr>
        <w:t>[GS], No. 35343/05. Judgment of October 20, 2015, paras. 167, 168, 170 an 172.</w:t>
      </w:r>
      <w:r w:rsidRPr="007B2402">
        <w:rPr>
          <w:iCs/>
          <w:szCs w:val="16"/>
          <w:lang w:val="en-US"/>
        </w:rPr>
        <w:t xml:space="preserve"> </w:t>
      </w:r>
    </w:p>
  </w:footnote>
  <w:footnote w:id="365">
    <w:p w14:paraId="47B7D2E0" w14:textId="0FD0CC13"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Concluding observations of the Human Rights Committee: Spain, CCPR/C/ESP/CO/5, of January 5, 2009, para. 9. Available at: </w:t>
      </w:r>
      <w:hyperlink r:id="rId33" w:history="1">
        <w:r w:rsidRPr="007B2402">
          <w:rPr>
            <w:rStyle w:val="Hipervnculo"/>
            <w:szCs w:val="16"/>
            <w:lang w:val="en-US"/>
          </w:rPr>
          <w:t>https://undocs.org/en/CCPR/C/ESP/CO/5</w:t>
        </w:r>
      </w:hyperlink>
      <w:r w:rsidRPr="007B2402">
        <w:rPr>
          <w:szCs w:val="16"/>
          <w:lang w:val="en-US"/>
        </w:rPr>
        <w:t>.</w:t>
      </w:r>
    </w:p>
    <w:p w14:paraId="15181C30" w14:textId="77777777" w:rsidR="00920DEA" w:rsidRPr="007B2402" w:rsidRDefault="00920DEA" w:rsidP="005B1590">
      <w:pPr>
        <w:pStyle w:val="Textonotapie"/>
        <w:spacing w:after="80"/>
        <w:rPr>
          <w:szCs w:val="16"/>
          <w:lang w:val="en-US"/>
        </w:rPr>
      </w:pPr>
    </w:p>
  </w:footnote>
  <w:footnote w:id="366">
    <w:p w14:paraId="4AB49565" w14:textId="56071846" w:rsidR="00920DEA" w:rsidRPr="007B2402" w:rsidRDefault="00920DEA" w:rsidP="005B1590">
      <w:pPr>
        <w:spacing w:after="80" w:line="240" w:lineRule="auto"/>
        <w:jc w:val="both"/>
        <w:rPr>
          <w:rFonts w:eastAsia="Times New Roman" w:cs="Times New Roman"/>
          <w:sz w:val="16"/>
          <w:szCs w:val="16"/>
          <w:lang w:val="en-US" w:eastAsia="en-GB"/>
        </w:rPr>
      </w:pPr>
      <w:r w:rsidRPr="007B2402">
        <w:rPr>
          <w:rStyle w:val="Refdenotaalpie"/>
          <w:rFonts w:ascii="Verdana" w:hAnsi="Verdana"/>
          <w:sz w:val="16"/>
          <w:szCs w:val="16"/>
          <w:lang w:val="en-US"/>
        </w:rPr>
        <w:footnoteRef/>
      </w:r>
      <w:r w:rsidRPr="007B2402">
        <w:rPr>
          <w:sz w:val="16"/>
          <w:szCs w:val="16"/>
          <w:lang w:val="en-US"/>
        </w:rPr>
        <w:t xml:space="preserve"> </w:t>
      </w:r>
      <w:r w:rsidRPr="007B2402">
        <w:rPr>
          <w:rFonts w:eastAsia="Times New Roman" w:cs="Times New Roman"/>
          <w:i/>
          <w:sz w:val="16"/>
          <w:szCs w:val="16"/>
          <w:lang w:val="en-US" w:eastAsia="en-GB"/>
        </w:rPr>
        <w:t xml:space="preserve">Cf. </w:t>
      </w:r>
      <w:r w:rsidRPr="007B2402">
        <w:rPr>
          <w:rFonts w:eastAsia="Times New Roman" w:cs="Times New Roman"/>
          <w:i/>
          <w:iCs/>
          <w:sz w:val="16"/>
          <w:szCs w:val="16"/>
          <w:lang w:val="en-US" w:eastAsia="en-GB"/>
        </w:rPr>
        <w:t>International</w:t>
      </w:r>
      <w:r w:rsidRPr="007B2402">
        <w:rPr>
          <w:rFonts w:eastAsia="Times New Roman" w:cs="Times New Roman"/>
          <w:i/>
          <w:sz w:val="16"/>
          <w:szCs w:val="16"/>
          <w:lang w:val="en-US" w:eastAsia="en-GB"/>
        </w:rPr>
        <w:t xml:space="preserve"> Responsibility for the Promulgation and Enforcement of Laws in Violation of the Convention (Arts. 1 and 2 American Convention on Human Rights). Advisory Opinion OC- 14/94</w:t>
      </w:r>
      <w:r w:rsidRPr="007B2402">
        <w:rPr>
          <w:rFonts w:eastAsia="Times New Roman" w:cs="Times New Roman"/>
          <w:sz w:val="16"/>
          <w:szCs w:val="16"/>
          <w:lang w:val="en-US" w:eastAsia="en-GB"/>
        </w:rPr>
        <w:t xml:space="preserve">, of December 9, 1994. Series A No. 14, para. 35; </w:t>
      </w:r>
      <w:r w:rsidRPr="007B2402">
        <w:rPr>
          <w:rFonts w:eastAsia="Times New Roman" w:cs="Times New Roman"/>
          <w:i/>
          <w:sz w:val="16"/>
          <w:szCs w:val="16"/>
          <w:lang w:val="en-US" w:eastAsia="en-GB"/>
        </w:rPr>
        <w:t>Case of the Miguel Castro Castro Prison  v. Peru</w:t>
      </w:r>
      <w:r w:rsidRPr="007B2402">
        <w:rPr>
          <w:rFonts w:eastAsia="Times New Roman" w:cs="Times New Roman"/>
          <w:sz w:val="16"/>
          <w:szCs w:val="16"/>
          <w:lang w:val="en-US" w:eastAsia="en-GB"/>
        </w:rPr>
        <w:t xml:space="preserve">. </w:t>
      </w:r>
      <w:r w:rsidRPr="007B2402">
        <w:rPr>
          <w:rFonts w:eastAsia="Times New Roman" w:cs="Times New Roman"/>
          <w:i/>
          <w:sz w:val="16"/>
          <w:szCs w:val="16"/>
          <w:lang w:val="en-US" w:eastAsia="en-GB"/>
        </w:rPr>
        <w:t>Merits, reparations and costs</w:t>
      </w:r>
      <w:r w:rsidRPr="007B2402">
        <w:rPr>
          <w:rFonts w:eastAsia="Times New Roman" w:cs="Times New Roman"/>
          <w:sz w:val="16"/>
          <w:szCs w:val="16"/>
          <w:lang w:val="en-US" w:eastAsia="en-GB"/>
        </w:rPr>
        <w:t xml:space="preserve">. Judgment of November 25, 2006. Series C No. 160, para. 394, and </w:t>
      </w:r>
      <w:r w:rsidRPr="007B2402">
        <w:rPr>
          <w:rFonts w:eastAsia="Times New Roman" w:cs="Times New Roman"/>
          <w:i/>
          <w:sz w:val="16"/>
          <w:szCs w:val="16"/>
          <w:lang w:val="en-US" w:eastAsia="en-GB"/>
        </w:rPr>
        <w:t>Case of Zambrano Vélez et al. v. Ecuador. Merits, reparations and costs</w:t>
      </w:r>
      <w:r w:rsidRPr="007B2402">
        <w:rPr>
          <w:rFonts w:eastAsia="Times New Roman" w:cs="Times New Roman"/>
          <w:sz w:val="16"/>
          <w:szCs w:val="16"/>
          <w:lang w:val="en-US" w:eastAsia="en-GB"/>
        </w:rPr>
        <w:t xml:space="preserve">. Judgment of July 4, 2007. Series C No. 166, para. 104. Also, </w:t>
      </w:r>
      <w:r w:rsidRPr="007B2402">
        <w:rPr>
          <w:rFonts w:eastAsia="Times New Roman" w:cs="Times New Roman"/>
          <w:i/>
          <w:sz w:val="16"/>
          <w:szCs w:val="16"/>
          <w:lang w:val="en-US" w:eastAsia="en-GB"/>
        </w:rPr>
        <w:t>cf.</w:t>
      </w:r>
      <w:r w:rsidRPr="007B2402">
        <w:rPr>
          <w:rFonts w:eastAsia="Times New Roman" w:cs="Times New Roman"/>
          <w:sz w:val="16"/>
          <w:szCs w:val="16"/>
          <w:lang w:val="en-US" w:eastAsia="en-GB"/>
        </w:rPr>
        <w:t xml:space="preserve"> </w:t>
      </w:r>
      <w:r w:rsidRPr="007B2402">
        <w:rPr>
          <w:rFonts w:eastAsia="Times New Roman" w:cs="Times New Roman"/>
          <w:i/>
          <w:sz w:val="16"/>
          <w:szCs w:val="16"/>
          <w:lang w:val="en-US" w:eastAsia="en-GB"/>
        </w:rPr>
        <w:t>Case of Castillo Petruzzi et al. v. Peru. Compliance with judgment</w:t>
      </w:r>
      <w:r w:rsidRPr="007B2402">
        <w:rPr>
          <w:rFonts w:eastAsia="Times New Roman" w:cs="Times New Roman"/>
          <w:sz w:val="16"/>
          <w:szCs w:val="16"/>
          <w:lang w:val="en-US" w:eastAsia="en-GB"/>
        </w:rPr>
        <w:t xml:space="preserve">. Order of the Inter-American Court of Human Rights of November 17, 1999. </w:t>
      </w:r>
      <w:r w:rsidRPr="007B2402">
        <w:rPr>
          <w:rFonts w:eastAsia="Times New Roman" w:cs="Times New Roman"/>
          <w:sz w:val="16"/>
          <w:szCs w:val="16"/>
          <w:lang w:eastAsia="en-GB"/>
        </w:rPr>
        <w:t xml:space="preserve">Series C No. 59, </w:t>
      </w:r>
      <w:r w:rsidRPr="007B2402">
        <w:rPr>
          <w:rFonts w:eastAsia="Times New Roman" w:cs="Times New Roman"/>
          <w:i/>
          <w:sz w:val="16"/>
          <w:szCs w:val="16"/>
          <w:lang w:eastAsia="en-GB"/>
        </w:rPr>
        <w:t>considerandum</w:t>
      </w:r>
      <w:r w:rsidRPr="007B2402">
        <w:rPr>
          <w:rFonts w:eastAsia="Times New Roman" w:cs="Times New Roman"/>
          <w:sz w:val="16"/>
          <w:szCs w:val="16"/>
          <w:lang w:eastAsia="en-GB"/>
        </w:rPr>
        <w:t xml:space="preserve"> 3; </w:t>
      </w:r>
      <w:r w:rsidRPr="007B2402">
        <w:rPr>
          <w:rFonts w:eastAsia="Times New Roman" w:cs="Times New Roman"/>
          <w:i/>
          <w:sz w:val="16"/>
          <w:szCs w:val="16"/>
          <w:lang w:eastAsia="en-GB"/>
        </w:rPr>
        <w:t xml:space="preserve">Case of De la Cruz Flores v. </w:t>
      </w:r>
      <w:proofErr w:type="spellStart"/>
      <w:r w:rsidRPr="007B2402">
        <w:rPr>
          <w:rFonts w:eastAsia="Times New Roman" w:cs="Times New Roman"/>
          <w:i/>
          <w:sz w:val="16"/>
          <w:szCs w:val="16"/>
          <w:lang w:eastAsia="en-GB"/>
        </w:rPr>
        <w:t>Peru</w:t>
      </w:r>
      <w:proofErr w:type="spellEnd"/>
      <w:r w:rsidRPr="007B2402">
        <w:rPr>
          <w:rFonts w:eastAsia="Times New Roman" w:cs="Times New Roman"/>
          <w:i/>
          <w:sz w:val="16"/>
          <w:szCs w:val="16"/>
          <w:lang w:eastAsia="en-GB"/>
        </w:rPr>
        <w:t xml:space="preserve">. </w:t>
      </w:r>
      <w:r w:rsidRPr="007B2402">
        <w:rPr>
          <w:rFonts w:eastAsia="Times New Roman" w:cs="Times New Roman"/>
          <w:i/>
          <w:sz w:val="16"/>
          <w:szCs w:val="16"/>
          <w:lang w:val="en-US" w:eastAsia="en-GB"/>
        </w:rPr>
        <w:t>Monitoring compliance with judgment</w:t>
      </w:r>
      <w:r w:rsidRPr="007B2402">
        <w:rPr>
          <w:rFonts w:eastAsia="Times New Roman" w:cs="Times New Roman"/>
          <w:sz w:val="16"/>
          <w:szCs w:val="16"/>
          <w:lang w:val="en-US" w:eastAsia="en-GB"/>
        </w:rPr>
        <w:t xml:space="preserve">. Order of the Inter-American Court of Human Rights of September 1, 2010, </w:t>
      </w:r>
      <w:r w:rsidRPr="007B2402">
        <w:rPr>
          <w:rFonts w:eastAsia="Times New Roman" w:cs="Times New Roman"/>
          <w:i/>
          <w:sz w:val="16"/>
          <w:szCs w:val="16"/>
          <w:lang w:val="en-US" w:eastAsia="en-GB"/>
        </w:rPr>
        <w:t>considerandum</w:t>
      </w:r>
      <w:r w:rsidRPr="007B2402">
        <w:rPr>
          <w:rFonts w:eastAsia="Times New Roman" w:cs="Times New Roman"/>
          <w:sz w:val="16"/>
          <w:szCs w:val="16"/>
          <w:lang w:val="en-US" w:eastAsia="en-GB"/>
        </w:rPr>
        <w:t xml:space="preserve"> 3, and </w:t>
      </w:r>
      <w:r w:rsidRPr="007B2402">
        <w:rPr>
          <w:rFonts w:eastAsia="Times New Roman" w:cs="Times New Roman"/>
          <w:i/>
          <w:sz w:val="16"/>
          <w:szCs w:val="16"/>
          <w:lang w:val="en-US" w:eastAsia="en-GB"/>
        </w:rPr>
        <w:t>Case of Tristán Donoso v. Panama. Monitoring compliance with judgment</w:t>
      </w:r>
      <w:r w:rsidRPr="007B2402">
        <w:rPr>
          <w:rFonts w:eastAsia="Times New Roman" w:cs="Times New Roman"/>
          <w:sz w:val="16"/>
          <w:szCs w:val="16"/>
          <w:lang w:val="en-US" w:eastAsia="en-GB"/>
        </w:rPr>
        <w:t xml:space="preserve">. Order of the Inter-American Court of Human Rights, of September 1, 2010, </w:t>
      </w:r>
      <w:r w:rsidRPr="007B2402">
        <w:rPr>
          <w:rFonts w:eastAsia="Times New Roman" w:cs="Times New Roman"/>
          <w:i/>
          <w:sz w:val="16"/>
          <w:szCs w:val="16"/>
          <w:lang w:val="en-US" w:eastAsia="en-GB"/>
        </w:rPr>
        <w:t>considerandum</w:t>
      </w:r>
      <w:r w:rsidRPr="007B2402">
        <w:rPr>
          <w:rFonts w:eastAsia="Times New Roman" w:cs="Times New Roman"/>
          <w:sz w:val="16"/>
          <w:szCs w:val="16"/>
          <w:lang w:val="en-US" w:eastAsia="en-GB"/>
        </w:rPr>
        <w:t xml:space="preserve"> 5. </w:t>
      </w:r>
    </w:p>
  </w:footnote>
  <w:footnote w:id="367">
    <w:p w14:paraId="3E5B94A7" w14:textId="2D6A07FE" w:rsidR="00920DEA" w:rsidRPr="007B2402" w:rsidRDefault="00920DEA" w:rsidP="005B1590">
      <w:pPr>
        <w:pStyle w:val="Textonotapie"/>
        <w:tabs>
          <w:tab w:val="left" w:pos="426"/>
        </w:tabs>
        <w:spacing w:after="80"/>
        <w:rPr>
          <w:i/>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w:t>
      </w:r>
      <w:r w:rsidRPr="007B2402">
        <w:rPr>
          <w:i/>
          <w:szCs w:val="16"/>
          <w:lang w:val="en-US"/>
        </w:rPr>
        <w:t xml:space="preserve">Case of Trujillo Oroza v. Bolivia. Reparations and costs. </w:t>
      </w:r>
      <w:r w:rsidRPr="007B2402">
        <w:rPr>
          <w:szCs w:val="16"/>
          <w:lang w:val="en-US"/>
        </w:rPr>
        <w:t>Judgment of February 27, 2002</w:t>
      </w:r>
      <w:r w:rsidRPr="007B2402">
        <w:rPr>
          <w:i/>
          <w:szCs w:val="16"/>
          <w:lang w:val="en-US"/>
        </w:rPr>
        <w:t xml:space="preserve">. </w:t>
      </w:r>
      <w:r w:rsidRPr="007B2402">
        <w:rPr>
          <w:szCs w:val="16"/>
          <w:lang w:val="en-US"/>
        </w:rPr>
        <w:t xml:space="preserve">Series C No. 92, para. 100, and </w:t>
      </w:r>
      <w:r w:rsidRPr="007B2402">
        <w:rPr>
          <w:rStyle w:val="Textoennegrita"/>
          <w:b w:val="0"/>
          <w:i/>
          <w:color w:val="000000"/>
          <w:szCs w:val="16"/>
          <w:shd w:val="clear" w:color="auto" w:fill="FFFFFF"/>
          <w:lang w:val="en-US"/>
        </w:rPr>
        <w:t>Case of Vereda La Esperanza v. Colombia. Preliminary objections, merits, reparations and costs.</w:t>
      </w:r>
      <w:r w:rsidRPr="007B2402">
        <w:rPr>
          <w:rStyle w:val="Textoennegrita"/>
          <w:b w:val="0"/>
          <w:color w:val="000000"/>
          <w:szCs w:val="16"/>
          <w:shd w:val="clear" w:color="auto" w:fill="FFFFFF"/>
          <w:lang w:val="en-US"/>
        </w:rPr>
        <w:t xml:space="preserve"> Judgment of August 31, 2017. Series C No. 341</w:t>
      </w:r>
      <w:r w:rsidRPr="007B2402">
        <w:rPr>
          <w:i/>
          <w:szCs w:val="16"/>
          <w:lang w:val="en-US"/>
        </w:rPr>
        <w:t xml:space="preserve">, </w:t>
      </w:r>
      <w:r w:rsidRPr="007B2402">
        <w:rPr>
          <w:szCs w:val="16"/>
          <w:lang w:val="en-US"/>
        </w:rPr>
        <w:t xml:space="preserve">para. 220. </w:t>
      </w:r>
    </w:p>
  </w:footnote>
  <w:footnote w:id="368">
    <w:p w14:paraId="5A628D6E" w14:textId="182AF787" w:rsidR="00920DEA" w:rsidRPr="007B2402" w:rsidRDefault="00920DEA" w:rsidP="005B1590">
      <w:pPr>
        <w:pStyle w:val="Textonotapie"/>
        <w:tabs>
          <w:tab w:val="left" w:pos="426"/>
        </w:tabs>
        <w:spacing w:after="80"/>
        <w:rPr>
          <w:color w:val="FF0000"/>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w:t>
      </w:r>
      <w:r w:rsidRPr="007B2402">
        <w:rPr>
          <w:i/>
          <w:szCs w:val="16"/>
          <w:lang w:val="en-US"/>
        </w:rPr>
        <w:t>inter alia</w:t>
      </w:r>
      <w:r w:rsidRPr="007B2402">
        <w:rPr>
          <w:szCs w:val="16"/>
          <w:lang w:val="en-US"/>
        </w:rPr>
        <w:t>,</w:t>
      </w:r>
      <w:r w:rsidRPr="007B2402">
        <w:rPr>
          <w:i/>
          <w:szCs w:val="16"/>
          <w:lang w:val="en-US"/>
        </w:rPr>
        <w:t xml:space="preserve"> </w:t>
      </w:r>
      <w:r w:rsidRPr="007B2402">
        <w:rPr>
          <w:rStyle w:val="Textoennegrita"/>
          <w:b w:val="0"/>
          <w:i/>
          <w:color w:val="000000"/>
          <w:szCs w:val="16"/>
          <w:shd w:val="clear" w:color="auto" w:fill="FFFFFF"/>
          <w:lang w:val="en-US"/>
        </w:rPr>
        <w:t>Case of Velásquez Rodríguez v. Honduras. Merits</w:t>
      </w:r>
      <w:r w:rsidRPr="007B2402">
        <w:rPr>
          <w:i/>
          <w:szCs w:val="16"/>
          <w:lang w:val="en-US"/>
        </w:rPr>
        <w:t xml:space="preserve">, </w:t>
      </w:r>
      <w:r w:rsidRPr="007B2402">
        <w:rPr>
          <w:szCs w:val="16"/>
          <w:lang w:val="en-US"/>
        </w:rPr>
        <w:t xml:space="preserve">para. 181; </w:t>
      </w:r>
      <w:r w:rsidRPr="007B2402">
        <w:rPr>
          <w:i/>
          <w:szCs w:val="16"/>
          <w:lang w:val="en-US"/>
        </w:rPr>
        <w:t xml:space="preserve">Case of Bámaca Velásquez v. Guatemala. Merits, </w:t>
      </w:r>
      <w:r w:rsidRPr="007B2402">
        <w:rPr>
          <w:szCs w:val="16"/>
          <w:lang w:val="en-US"/>
        </w:rPr>
        <w:t xml:space="preserve">para. 201; </w:t>
      </w:r>
      <w:r w:rsidRPr="007B2402">
        <w:rPr>
          <w:rStyle w:val="Textoennegrita"/>
          <w:b w:val="0"/>
          <w:i/>
          <w:color w:val="000000"/>
          <w:szCs w:val="16"/>
          <w:shd w:val="clear" w:color="auto" w:fill="FFFFFF"/>
          <w:lang w:val="en-US"/>
        </w:rPr>
        <w:t>Case of Barrios Altos v. Peru. Merits</w:t>
      </w:r>
      <w:r w:rsidRPr="007B2402">
        <w:rPr>
          <w:rStyle w:val="Textoennegrita"/>
          <w:b w:val="0"/>
          <w:color w:val="000000"/>
          <w:szCs w:val="16"/>
          <w:shd w:val="clear" w:color="auto" w:fill="FFFFFF"/>
          <w:lang w:val="en-US"/>
        </w:rPr>
        <w:t>. Judgment of March 14, 2001. Series C No. 75</w:t>
      </w:r>
      <w:r w:rsidRPr="007B2402">
        <w:rPr>
          <w:szCs w:val="16"/>
          <w:lang w:val="en-US"/>
        </w:rPr>
        <w:t xml:space="preserve">, para. 48; </w:t>
      </w:r>
      <w:r w:rsidRPr="007B2402">
        <w:rPr>
          <w:i/>
          <w:szCs w:val="16"/>
          <w:lang w:val="en-US"/>
        </w:rPr>
        <w:t xml:space="preserve">Case of Almonacid Arellano et al. v. Chile, Preliminary objections, merits, reparations and costs. </w:t>
      </w:r>
      <w:r w:rsidRPr="007B2402">
        <w:rPr>
          <w:szCs w:val="16"/>
          <w:lang w:val="en-US"/>
        </w:rPr>
        <w:t>Judgment of September 26, 2006. Series C No. 154,</w:t>
      </w:r>
      <w:r w:rsidRPr="007B2402">
        <w:rPr>
          <w:i/>
          <w:szCs w:val="16"/>
          <w:lang w:val="en-US"/>
        </w:rPr>
        <w:t xml:space="preserve"> </w:t>
      </w:r>
      <w:r w:rsidRPr="007B2402">
        <w:rPr>
          <w:szCs w:val="16"/>
          <w:lang w:val="en-US"/>
        </w:rPr>
        <w:t xml:space="preserve">para. 148; </w:t>
      </w:r>
      <w:r w:rsidRPr="007B2402">
        <w:rPr>
          <w:rStyle w:val="Textoennegrita"/>
          <w:b w:val="0"/>
          <w:i/>
          <w:szCs w:val="16"/>
          <w:shd w:val="clear" w:color="auto" w:fill="FFFFFF"/>
          <w:lang w:val="en-US"/>
        </w:rPr>
        <w:t>Case of La Cantuta v. Peru. Merits, reparations and costs.</w:t>
      </w:r>
      <w:r w:rsidRPr="007B2402">
        <w:rPr>
          <w:rStyle w:val="Textoennegrita"/>
          <w:b w:val="0"/>
          <w:szCs w:val="16"/>
          <w:shd w:val="clear" w:color="auto" w:fill="FFFFFF"/>
          <w:lang w:val="en-US"/>
        </w:rPr>
        <w:t xml:space="preserve"> Judgment of Novembr 29, 2006. Series C No. 162</w:t>
      </w:r>
      <w:r w:rsidRPr="007B2402">
        <w:rPr>
          <w:szCs w:val="16"/>
          <w:lang w:val="en-US"/>
        </w:rPr>
        <w:t xml:space="preserve">, para. 222; </w:t>
      </w:r>
      <w:r w:rsidRPr="007B2402">
        <w:rPr>
          <w:i/>
          <w:szCs w:val="16"/>
          <w:lang w:val="en-US"/>
        </w:rPr>
        <w:t>Case of Heliodoro Portugal v. Panama</w:t>
      </w:r>
      <w:r w:rsidRPr="007B2402">
        <w:rPr>
          <w:i/>
          <w:iCs/>
          <w:szCs w:val="16"/>
          <w:lang w:val="en-US"/>
        </w:rPr>
        <w:t xml:space="preserve">, </w:t>
      </w:r>
      <w:r w:rsidRPr="007B2402">
        <w:rPr>
          <w:szCs w:val="16"/>
          <w:lang w:val="en-US"/>
        </w:rPr>
        <w:t xml:space="preserve">paras. 243 and 244; </w:t>
      </w:r>
      <w:r w:rsidRPr="007B2402">
        <w:rPr>
          <w:rStyle w:val="Textoennegrita"/>
          <w:b w:val="0"/>
          <w:i/>
          <w:color w:val="000000"/>
          <w:szCs w:val="16"/>
          <w:shd w:val="clear" w:color="auto" w:fill="FFFFFF"/>
          <w:lang w:val="en-US"/>
        </w:rPr>
        <w:t>Case of Kawas Fernández v. Honduras,</w:t>
      </w:r>
      <w:r w:rsidRPr="007B2402">
        <w:rPr>
          <w:rStyle w:val="Textoennegrita"/>
          <w:i/>
          <w:color w:val="000000"/>
          <w:szCs w:val="16"/>
          <w:shd w:val="clear" w:color="auto" w:fill="FFFFFF"/>
          <w:lang w:val="en-US"/>
        </w:rPr>
        <w:t xml:space="preserve"> </w:t>
      </w:r>
      <w:r w:rsidRPr="007B2402">
        <w:rPr>
          <w:szCs w:val="16"/>
          <w:lang w:val="en-US"/>
        </w:rPr>
        <w:t xml:space="preserve">para. 117, </w:t>
      </w:r>
      <w:r w:rsidRPr="007B2402">
        <w:rPr>
          <w:i/>
          <w:szCs w:val="16"/>
          <w:lang w:val="en-US"/>
        </w:rPr>
        <w:t xml:space="preserve">Case of Members of the village of Chichupac and neighboring communities in the municipality of Rabinal v. Guatemala, </w:t>
      </w:r>
      <w:r w:rsidRPr="007B2402">
        <w:rPr>
          <w:szCs w:val="16"/>
          <w:lang w:val="en-US"/>
        </w:rPr>
        <w:t xml:space="preserve">para. 260, and </w:t>
      </w:r>
      <w:r w:rsidRPr="007B2402">
        <w:rPr>
          <w:i/>
          <w:szCs w:val="16"/>
          <w:lang w:val="en-US"/>
        </w:rPr>
        <w:t>Case of Vereda La Esperanza v. Colombia</w:t>
      </w:r>
      <w:r w:rsidRPr="007B2402">
        <w:rPr>
          <w:szCs w:val="16"/>
          <w:lang w:val="en-US"/>
        </w:rPr>
        <w:t>, para. 220</w:t>
      </w:r>
      <w:r w:rsidRPr="007B2402">
        <w:rPr>
          <w:szCs w:val="16"/>
          <w:lang w:val="en-US" w:bidi="en-US"/>
        </w:rPr>
        <w:t xml:space="preserve">. </w:t>
      </w:r>
    </w:p>
  </w:footnote>
  <w:footnote w:id="369">
    <w:p w14:paraId="11D888BC" w14:textId="3D312AB2" w:rsidR="00920DEA" w:rsidRPr="007B2402" w:rsidRDefault="00920DEA" w:rsidP="005B1590">
      <w:pPr>
        <w:pStyle w:val="Textonotapie"/>
        <w:tabs>
          <w:tab w:val="left" w:pos="426"/>
        </w:tabs>
        <w:spacing w:after="80"/>
        <w:rPr>
          <w:rFonts w:cs="Arial"/>
          <w:szCs w:val="16"/>
          <w:lang w:val="en-US"/>
        </w:rPr>
      </w:pPr>
      <w:r w:rsidRPr="007B2402">
        <w:rPr>
          <w:rStyle w:val="Refdenotaalpie"/>
          <w:rFonts w:ascii="Verdana" w:hAnsi="Verdana"/>
          <w:szCs w:val="16"/>
          <w:lang w:val="en-US"/>
        </w:rPr>
        <w:footnoteRef/>
      </w:r>
      <w:r w:rsidRPr="007B2402">
        <w:rPr>
          <w:szCs w:val="16"/>
          <w:lang w:val="en-US"/>
        </w:rPr>
        <w:t xml:space="preserve"> In this regard, in its study on the right to the truth, </w:t>
      </w:r>
      <w:r w:rsidRPr="007B2402">
        <w:rPr>
          <w:rFonts w:cs="Arial"/>
          <w:szCs w:val="16"/>
          <w:lang w:val="en-US"/>
        </w:rPr>
        <w:t xml:space="preserve">the Office of the United Nations High Commissioner for Human Rights indicated that different international declarations and instruments have recognized the right to know the truth linked to the right to obtain and request information, the right to justice, the obligation to combat impunity in the face of gross human rights violations, the right to an effective judicial remedy, and the right to privacy and family life. </w:t>
      </w:r>
      <w:r w:rsidRPr="007B2402">
        <w:rPr>
          <w:i/>
          <w:szCs w:val="16"/>
          <w:lang w:val="en-US"/>
        </w:rPr>
        <w:t xml:space="preserve">Cf. </w:t>
      </w:r>
      <w:r w:rsidRPr="007B2402">
        <w:rPr>
          <w:rFonts w:cs="Arial"/>
          <w:szCs w:val="16"/>
          <w:lang w:val="en-US"/>
        </w:rPr>
        <w:t xml:space="preserve">Report of the Office of the United Nations High Commissioner for Human Rights. </w:t>
      </w:r>
      <w:r w:rsidRPr="007B2402">
        <w:rPr>
          <w:rStyle w:val="nfasis"/>
          <w:rFonts w:ascii="Verdana" w:hAnsi="Verdana" w:cs="Arial"/>
          <w:szCs w:val="16"/>
          <w:lang w:val="en-US"/>
        </w:rPr>
        <w:t>Study on the right to the truth</w:t>
      </w:r>
      <w:r w:rsidRPr="007B2402">
        <w:rPr>
          <w:rFonts w:cs="Arial"/>
          <w:szCs w:val="16"/>
          <w:lang w:val="en-US"/>
        </w:rPr>
        <w:t>, U.N. Doc. E/CN.4/2006/91 of February 8, 2006.</w:t>
      </w:r>
    </w:p>
  </w:footnote>
  <w:footnote w:id="370">
    <w:p w14:paraId="3B024A9F" w14:textId="141DC704" w:rsidR="00920DEA" w:rsidRPr="007B2402" w:rsidRDefault="00920DEA" w:rsidP="005B1590">
      <w:pPr>
        <w:pStyle w:val="Textonotapie"/>
        <w:tabs>
          <w:tab w:val="left" w:pos="426"/>
        </w:tabs>
        <w:spacing w:after="80"/>
        <w:rPr>
          <w:spacing w:val="-4"/>
          <w:szCs w:val="16"/>
          <w:lang w:val="en-US"/>
        </w:rPr>
      </w:pPr>
      <w:r w:rsidRPr="007B2402">
        <w:rPr>
          <w:rStyle w:val="Refdenotaalpie"/>
          <w:rFonts w:ascii="Verdana" w:hAnsi="Verdana"/>
          <w:spacing w:val="-4"/>
          <w:szCs w:val="16"/>
          <w:lang w:val="en-US"/>
        </w:rPr>
        <w:footnoteRef/>
      </w:r>
      <w:r w:rsidRPr="007B2402">
        <w:rPr>
          <w:spacing w:val="-4"/>
          <w:szCs w:val="16"/>
          <w:lang w:val="en-US"/>
        </w:rPr>
        <w:t xml:space="preserve"> </w:t>
      </w:r>
      <w:r w:rsidRPr="007B2402">
        <w:rPr>
          <w:i/>
          <w:spacing w:val="-4"/>
          <w:szCs w:val="16"/>
          <w:lang w:val="en-US"/>
        </w:rPr>
        <w:t>Cf.</w:t>
      </w:r>
      <w:r w:rsidRPr="007B2402">
        <w:rPr>
          <w:spacing w:val="-4"/>
          <w:szCs w:val="16"/>
          <w:lang w:val="en-US"/>
        </w:rPr>
        <w:t xml:space="preserve"> </w:t>
      </w:r>
      <w:r w:rsidRPr="007B2402">
        <w:rPr>
          <w:rFonts w:cs="Arial"/>
          <w:i/>
          <w:spacing w:val="-4"/>
          <w:szCs w:val="16"/>
          <w:lang w:val="en-US"/>
        </w:rPr>
        <w:t>Case of Gelman v. Uruguay</w:t>
      </w:r>
      <w:r w:rsidRPr="007B2402">
        <w:rPr>
          <w:color w:val="000000"/>
          <w:spacing w:val="-4"/>
          <w:szCs w:val="16"/>
          <w:lang w:val="en-US"/>
        </w:rPr>
        <w:t xml:space="preserve">, para. 243, and </w:t>
      </w:r>
      <w:r w:rsidRPr="007B2402">
        <w:rPr>
          <w:i/>
          <w:spacing w:val="-4"/>
          <w:szCs w:val="16"/>
          <w:lang w:val="en-US"/>
        </w:rPr>
        <w:t>Case of Osorio Rivera and family v. Peru. Preliminary objections, merits, reparations and costs.</w:t>
      </w:r>
      <w:r w:rsidRPr="007B2402">
        <w:rPr>
          <w:spacing w:val="-4"/>
          <w:szCs w:val="16"/>
          <w:lang w:val="en-US"/>
        </w:rPr>
        <w:t xml:space="preserve"> Judgment of November 26, 2013. Series C No. 274, para. 220</w:t>
      </w:r>
      <w:r w:rsidRPr="007B2402">
        <w:rPr>
          <w:color w:val="000000"/>
          <w:spacing w:val="-4"/>
          <w:szCs w:val="16"/>
          <w:lang w:val="en-US"/>
        </w:rPr>
        <w:t xml:space="preserve">, and </w:t>
      </w:r>
      <w:r w:rsidRPr="007B2402">
        <w:rPr>
          <w:i/>
          <w:szCs w:val="16"/>
          <w:lang w:val="en-US"/>
        </w:rPr>
        <w:t>Case of Rodríguez Vera et al. (Disappeared from the Palace of Justice) v. Colombia</w:t>
      </w:r>
      <w:r w:rsidRPr="007B2402">
        <w:rPr>
          <w:szCs w:val="16"/>
          <w:lang w:val="en-US"/>
        </w:rPr>
        <w:t xml:space="preserve">. </w:t>
      </w:r>
      <w:r w:rsidRPr="007B2402">
        <w:rPr>
          <w:i/>
          <w:szCs w:val="16"/>
          <w:lang w:val="en-US"/>
        </w:rPr>
        <w:t>Preliminary objections, merits, reparations and costs.</w:t>
      </w:r>
      <w:r w:rsidRPr="007B2402">
        <w:rPr>
          <w:szCs w:val="16"/>
          <w:lang w:val="en-US"/>
        </w:rPr>
        <w:t xml:space="preserve"> Judgment of November 14, 2014. Series C No. 287, para. 511.</w:t>
      </w:r>
    </w:p>
  </w:footnote>
  <w:footnote w:id="371">
    <w:p w14:paraId="32D13A2C" w14:textId="7DD7ECE7" w:rsidR="00920DEA" w:rsidRPr="007B2402" w:rsidRDefault="00920DEA" w:rsidP="005B1590">
      <w:pPr>
        <w:pStyle w:val="Textonotapie"/>
        <w:spacing w:after="80"/>
        <w:rPr>
          <w:szCs w:val="16"/>
          <w:lang w:val="es-CR"/>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Case of Zambrano Vélez et al. </w:t>
      </w:r>
      <w:r w:rsidRPr="007B2402">
        <w:rPr>
          <w:rStyle w:val="Textoennegrita"/>
          <w:b w:val="0"/>
          <w:i/>
          <w:color w:val="000000"/>
          <w:szCs w:val="16"/>
          <w:shd w:val="clear" w:color="auto" w:fill="FFFFFF"/>
          <w:lang w:val="en-US"/>
        </w:rPr>
        <w:t>v. Ecuador. Merits, reparations and costs</w:t>
      </w:r>
      <w:r w:rsidRPr="007B2402">
        <w:rPr>
          <w:rStyle w:val="Textoennegrita"/>
          <w:b w:val="0"/>
          <w:color w:val="000000"/>
          <w:szCs w:val="16"/>
          <w:shd w:val="clear" w:color="auto" w:fill="FFFFFF"/>
          <w:lang w:val="en-US"/>
        </w:rPr>
        <w:t>. Judgment of July 4, 2007. Series C No. 166</w:t>
      </w:r>
      <w:r w:rsidRPr="007B2402">
        <w:rPr>
          <w:szCs w:val="16"/>
          <w:lang w:val="en-US"/>
        </w:rPr>
        <w:t xml:space="preserve">, para. 128, and </w:t>
      </w:r>
      <w:r w:rsidRPr="007B2402">
        <w:rPr>
          <w:i/>
          <w:szCs w:val="16"/>
          <w:lang w:val="en-US"/>
        </w:rPr>
        <w:t xml:space="preserve">Case of Gomes Lund et al. </w:t>
      </w:r>
      <w:r w:rsidRPr="007B2402">
        <w:rPr>
          <w:i/>
          <w:szCs w:val="16"/>
          <w:lang w:val="es-CR"/>
        </w:rPr>
        <w:t>("Guerrilha do Araguaia") v. Brazil</w:t>
      </w:r>
      <w:r w:rsidRPr="007B2402">
        <w:rPr>
          <w:szCs w:val="16"/>
          <w:lang w:val="es-CR"/>
        </w:rPr>
        <w:t>, para. 297.</w:t>
      </w:r>
    </w:p>
  </w:footnote>
  <w:footnote w:id="372">
    <w:p w14:paraId="1FB1895F" w14:textId="3AC21D6A"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i/>
          <w:szCs w:val="16"/>
          <w:lang w:val="es-CR"/>
        </w:rPr>
        <w:t xml:space="preserve"> Case of Almonacid Arellano et al. v. Chile</w:t>
      </w:r>
      <w:r w:rsidRPr="007B2402">
        <w:rPr>
          <w:szCs w:val="16"/>
          <w:lang w:val="es-CR"/>
        </w:rPr>
        <w:t xml:space="preserve">, para. </w:t>
      </w:r>
      <w:r w:rsidRPr="007B2402">
        <w:rPr>
          <w:szCs w:val="16"/>
          <w:lang w:val="en-US"/>
        </w:rPr>
        <w:t xml:space="preserve">150; </w:t>
      </w:r>
      <w:r w:rsidRPr="007B2402">
        <w:rPr>
          <w:i/>
          <w:szCs w:val="16"/>
          <w:lang w:val="en-US"/>
        </w:rPr>
        <w:t>Case of Chitay Nech et al. v. Guatemala</w:t>
      </w:r>
      <w:r w:rsidRPr="007B2402">
        <w:rPr>
          <w:szCs w:val="16"/>
          <w:lang w:val="en-US"/>
        </w:rPr>
        <w:t xml:space="preserve">. Preliminary objections, merits, reparations and costs. Judgment of May 25, 2010. Series C No. 212, para. 234; </w:t>
      </w:r>
      <w:r w:rsidRPr="007B2402">
        <w:rPr>
          <w:i/>
          <w:szCs w:val="16"/>
          <w:lang w:val="en-US"/>
        </w:rPr>
        <w:t>Case of Radilla Pacheco v. Mexico</w:t>
      </w:r>
      <w:r w:rsidRPr="007B2402">
        <w:rPr>
          <w:szCs w:val="16"/>
          <w:lang w:val="en-US"/>
        </w:rPr>
        <w:t xml:space="preserve">. Preliminary objections, merits, reparations and costs. Judgment of November 23, 2009. Series C No. 209, para. 179, and </w:t>
      </w:r>
      <w:r w:rsidRPr="007B2402">
        <w:rPr>
          <w:i/>
          <w:szCs w:val="16"/>
          <w:lang w:val="en-US"/>
        </w:rPr>
        <w:t>Case of Members of the village of Chichupac and neighboring communities in the municipality of Rabinal v. Guatemala</w:t>
      </w:r>
      <w:r w:rsidRPr="007B2402">
        <w:rPr>
          <w:szCs w:val="16"/>
          <w:lang w:val="en-US"/>
        </w:rPr>
        <w:t>, para. 287.</w:t>
      </w:r>
    </w:p>
  </w:footnote>
  <w:footnote w:id="373">
    <w:p w14:paraId="78EFBDC0" w14:textId="1A220418"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Case of Gomes Lund et al. ("Guerrilha do Araguaia") v. Brazil</w:t>
      </w:r>
      <w:r w:rsidRPr="007B2402">
        <w:rPr>
          <w:szCs w:val="16"/>
          <w:lang w:val="en-US"/>
        </w:rPr>
        <w:t xml:space="preserve">, para. 297, and </w:t>
      </w:r>
      <w:r w:rsidRPr="007B2402">
        <w:rPr>
          <w:i/>
          <w:szCs w:val="16"/>
          <w:lang w:val="en-US"/>
        </w:rPr>
        <w:t xml:space="preserve">Case of Members of the village of Chichupac and neighboring communities in the municipality of Rabinal v. Guatemala, </w:t>
      </w:r>
      <w:r w:rsidRPr="007B2402">
        <w:rPr>
          <w:szCs w:val="16"/>
          <w:lang w:val="en-US"/>
        </w:rPr>
        <w:t>para. 287.</w:t>
      </w:r>
    </w:p>
  </w:footnote>
  <w:footnote w:id="374">
    <w:p w14:paraId="69E0EE43" w14:textId="77777777" w:rsidR="00920DEA" w:rsidRPr="007B2402" w:rsidRDefault="00920DEA" w:rsidP="00FD53DE">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UN. </w:t>
      </w:r>
      <w:r w:rsidRPr="007B2402">
        <w:rPr>
          <w:i/>
          <w:szCs w:val="16"/>
          <w:lang w:val="en-US"/>
        </w:rPr>
        <w:t xml:space="preserve">Report of Special Rapporteur  on  the  promotion  of  truth,  justice,  reparation  and  guarantees  of  non-recurrence </w:t>
      </w:r>
      <w:r w:rsidRPr="007B2402">
        <w:rPr>
          <w:szCs w:val="16"/>
          <w:lang w:val="en-US"/>
        </w:rPr>
        <w:t>A/67/368. September 13, 2012, para. 72.</w:t>
      </w:r>
    </w:p>
  </w:footnote>
  <w:footnote w:id="375">
    <w:p w14:paraId="2299D5CE" w14:textId="439385F2"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UN. </w:t>
      </w:r>
      <w:r w:rsidRPr="007B2402">
        <w:rPr>
          <w:i/>
          <w:szCs w:val="16"/>
          <w:lang w:val="en-US"/>
        </w:rPr>
        <w:t xml:space="preserve">Report of Special Rapporteur  on  the  promotion  of  truth,  justice,  reparation  and  guarantees  of  non-recurrence </w:t>
      </w:r>
      <w:r w:rsidRPr="007B2402">
        <w:rPr>
          <w:szCs w:val="16"/>
          <w:lang w:val="en-US"/>
        </w:rPr>
        <w:t>A/67/368. September 13, 2012, para. 66.</w:t>
      </w:r>
    </w:p>
  </w:footnote>
  <w:footnote w:id="376">
    <w:p w14:paraId="02ABF424" w14:textId="0D867008"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UN. </w:t>
      </w:r>
      <w:r w:rsidRPr="007B2402">
        <w:rPr>
          <w:i/>
          <w:szCs w:val="16"/>
          <w:lang w:val="en-US"/>
        </w:rPr>
        <w:t xml:space="preserve">Report of Special Rapporteur  on  the  promotion  of  truth,  justice,  reparation  and  guarantees  of  non-recurrence </w:t>
      </w:r>
      <w:r w:rsidRPr="007B2402">
        <w:rPr>
          <w:szCs w:val="16"/>
          <w:lang w:val="en-US"/>
        </w:rPr>
        <w:t>A/HRC/27/56. August 27, 2014, para. 22.</w:t>
      </w:r>
    </w:p>
  </w:footnote>
  <w:footnote w:id="377">
    <w:p w14:paraId="4AC1C26A" w14:textId="79849195"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UN. </w:t>
      </w:r>
      <w:r w:rsidRPr="007B2402">
        <w:rPr>
          <w:i/>
          <w:szCs w:val="16"/>
          <w:lang w:val="en-US"/>
        </w:rPr>
        <w:t xml:space="preserve">Report of Special Rapporteur  on  the  promotion  of  truth,  justice,  reparation  and  guarantees  of  non-recurrence </w:t>
      </w:r>
      <w:r w:rsidRPr="007B2402">
        <w:rPr>
          <w:szCs w:val="16"/>
          <w:lang w:val="en-US"/>
        </w:rPr>
        <w:t>A/HRC/24/42. Augsut 28, 2013, para. 20.</w:t>
      </w:r>
    </w:p>
  </w:footnote>
  <w:footnote w:id="378">
    <w:p w14:paraId="372F337D" w14:textId="5097571C"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Case of Gomes Lund et al. ("Guerrilha do Araguaia") v. Brazil</w:t>
      </w:r>
      <w:r w:rsidRPr="007B2402">
        <w:rPr>
          <w:szCs w:val="16"/>
          <w:lang w:val="en-US"/>
        </w:rPr>
        <w:t>, para. 230.</w:t>
      </w:r>
    </w:p>
  </w:footnote>
  <w:footnote w:id="379">
    <w:p w14:paraId="28D70566" w14:textId="62B33428"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Case of Gomes Lund et al. </w:t>
      </w:r>
      <w:r w:rsidRPr="007B2402">
        <w:rPr>
          <w:i/>
          <w:szCs w:val="16"/>
          <w:lang w:val="es-CR"/>
        </w:rPr>
        <w:t>("Guerrilha do Araguaia") v. Brasi</w:t>
      </w:r>
      <w:r w:rsidRPr="007B2402">
        <w:rPr>
          <w:szCs w:val="16"/>
          <w:lang w:val="es-CR"/>
        </w:rPr>
        <w:t xml:space="preserve">, para. </w:t>
      </w:r>
      <w:r w:rsidRPr="007B2402">
        <w:rPr>
          <w:szCs w:val="16"/>
          <w:lang w:val="en-US"/>
        </w:rPr>
        <w:t>202.</w:t>
      </w:r>
    </w:p>
  </w:footnote>
  <w:footnote w:id="380">
    <w:p w14:paraId="5BF6DC5D" w14:textId="343C33EC"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Report of the National Truth Commission, pp. 28, 29, 63, 64, 639 (evidence file, folios 1533, 1534, 1593, 1594, 2144).</w:t>
      </w:r>
    </w:p>
  </w:footnote>
  <w:footnote w:id="381">
    <w:p w14:paraId="2870D279" w14:textId="713251D0"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IACHR. </w:t>
      </w:r>
      <w:r w:rsidRPr="007B2402">
        <w:rPr>
          <w:i/>
          <w:iCs/>
          <w:szCs w:val="16"/>
          <w:lang w:val="en-US"/>
        </w:rPr>
        <w:t>The inter-American legal framework regarding the right to access to information</w:t>
      </w:r>
      <w:r w:rsidRPr="007B2402">
        <w:rPr>
          <w:szCs w:val="16"/>
          <w:lang w:val="en-US"/>
        </w:rPr>
        <w:t>. OEA/Ser.L/V/II, CIDH/RELE/INF. 9/12, March 7, 2011, para. 92.</w:t>
      </w:r>
    </w:p>
  </w:footnote>
  <w:footnote w:id="382">
    <w:p w14:paraId="0B473B03" w14:textId="050806AE"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UN. Commission on Human Rights. Report of the independent expert to update the Set of principles to combat impunity, Diane Orentlicher: </w:t>
      </w:r>
      <w:r w:rsidRPr="007B2402">
        <w:rPr>
          <w:i/>
          <w:szCs w:val="16"/>
          <w:lang w:val="en-US"/>
        </w:rPr>
        <w:t>Updated Set of principles for the protection and promotion of human rights through action to combat impunity,</w:t>
      </w:r>
      <w:r w:rsidRPr="007B2402">
        <w:rPr>
          <w:szCs w:val="16"/>
          <w:lang w:val="en-US"/>
        </w:rPr>
        <w:t xml:space="preserve"> E/CN.4/2005/102/Add.1., February 8, 2005, Principle 3.</w:t>
      </w:r>
    </w:p>
  </w:footnote>
  <w:footnote w:id="383">
    <w:p w14:paraId="46AF8767" w14:textId="58CA2FC3"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Case of Gomes Lund et al. </w:t>
      </w:r>
      <w:r w:rsidRPr="007B2402">
        <w:rPr>
          <w:i/>
          <w:szCs w:val="16"/>
          <w:lang w:val="es-CR"/>
        </w:rPr>
        <w:t>("Guerrilha do Araguaia") v. Brazil</w:t>
      </w:r>
      <w:r w:rsidRPr="007B2402">
        <w:rPr>
          <w:szCs w:val="16"/>
          <w:lang w:val="es-CR"/>
        </w:rPr>
        <w:t xml:space="preserve">, para. </w:t>
      </w:r>
      <w:r w:rsidRPr="007B2402">
        <w:rPr>
          <w:szCs w:val="16"/>
          <w:lang w:val="en-US"/>
        </w:rPr>
        <w:t>216.</w:t>
      </w:r>
    </w:p>
  </w:footnote>
  <w:footnote w:id="384">
    <w:p w14:paraId="56EA65CA" w14:textId="3033360E"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Case of Claude Reyes et al. v. Chile</w:t>
      </w:r>
      <w:r w:rsidRPr="007B2402">
        <w:rPr>
          <w:szCs w:val="16"/>
          <w:lang w:val="en-US"/>
        </w:rPr>
        <w:t xml:space="preserve">. </w:t>
      </w:r>
      <w:r w:rsidRPr="007B2402">
        <w:rPr>
          <w:i/>
          <w:szCs w:val="16"/>
          <w:lang w:val="en-US"/>
        </w:rPr>
        <w:t>Merits, reparations and costs</w:t>
      </w:r>
      <w:r w:rsidRPr="007B2402">
        <w:rPr>
          <w:szCs w:val="16"/>
          <w:lang w:val="en-US"/>
        </w:rPr>
        <w:t>. Judgment of September 19, 2006. Series C No. 151, para. 92.</w:t>
      </w:r>
    </w:p>
  </w:footnote>
  <w:footnote w:id="385">
    <w:p w14:paraId="794FDB62" w14:textId="21879E7B"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Article 5. Right to Humane Treatment 1. </w:t>
      </w:r>
      <w:r w:rsidRPr="007B2402">
        <w:rPr>
          <w:spacing w:val="-3"/>
          <w:szCs w:val="16"/>
          <w:lang w:val="en-US"/>
        </w:rPr>
        <w:t>Every person has the right to have his physical, mental, and moral integrity respected</w:t>
      </w:r>
      <w:r w:rsidRPr="007B2402">
        <w:rPr>
          <w:szCs w:val="16"/>
          <w:lang w:val="en-US"/>
        </w:rPr>
        <w:t>.</w:t>
      </w:r>
    </w:p>
  </w:footnote>
  <w:footnote w:id="386">
    <w:p w14:paraId="07A0391D" w14:textId="2E522FBD"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 Case of Castillo Páez v. Peru</w:t>
      </w:r>
      <w:r w:rsidRPr="007B2402">
        <w:rPr>
          <w:szCs w:val="16"/>
          <w:lang w:val="en-US"/>
        </w:rPr>
        <w:t xml:space="preserve">. Merits. Judgment of November 3, 1997. Series C No. 34, fourth operative paragraph, and </w:t>
      </w:r>
      <w:r w:rsidRPr="007B2402">
        <w:rPr>
          <w:i/>
          <w:szCs w:val="16"/>
          <w:lang w:val="en-US"/>
        </w:rPr>
        <w:t>Case of Vereda La Esperanza v. Colombia</w:t>
      </w:r>
      <w:r w:rsidRPr="007B2402">
        <w:rPr>
          <w:szCs w:val="16"/>
          <w:lang w:val="en-US"/>
        </w:rPr>
        <w:t xml:space="preserve">. Preliminary objections, merits, reparations and costs. Judgment of August 31, 2017. Series C No. 341, para. 249. </w:t>
      </w:r>
    </w:p>
  </w:footnote>
  <w:footnote w:id="387">
    <w:p w14:paraId="28BBC06A" w14:textId="3B8A4698"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 Case of Blake v. Guatemala. Merits</w:t>
      </w:r>
      <w:r w:rsidRPr="007B2402">
        <w:rPr>
          <w:szCs w:val="16"/>
          <w:lang w:val="en-US"/>
        </w:rPr>
        <w:t xml:space="preserve">. Judgment of January 24, 1998. </w:t>
      </w:r>
      <w:r w:rsidRPr="007B2402">
        <w:rPr>
          <w:szCs w:val="16"/>
          <w:lang w:val="es-CR"/>
        </w:rPr>
        <w:t xml:space="preserve">Series C No. 36, para. 114, and </w:t>
      </w:r>
      <w:r w:rsidRPr="007B2402">
        <w:rPr>
          <w:i/>
          <w:szCs w:val="16"/>
          <w:lang w:val="es-CR"/>
        </w:rPr>
        <w:t>Case of Vereda La Esperanza v. Colombia</w:t>
      </w:r>
      <w:r w:rsidRPr="007B2402">
        <w:rPr>
          <w:szCs w:val="16"/>
          <w:lang w:val="es-CR"/>
        </w:rPr>
        <w:t xml:space="preserve">, para. </w:t>
      </w:r>
      <w:r w:rsidRPr="007B2402">
        <w:rPr>
          <w:szCs w:val="16"/>
          <w:lang w:val="en-US"/>
        </w:rPr>
        <w:t>249.</w:t>
      </w:r>
    </w:p>
  </w:footnote>
  <w:footnote w:id="388">
    <w:p w14:paraId="45D162CC" w14:textId="2ABAAA23" w:rsidR="00920DEA" w:rsidRPr="007B2402" w:rsidRDefault="00920DEA" w:rsidP="005B1590">
      <w:pPr>
        <w:spacing w:after="80" w:line="240" w:lineRule="auto"/>
        <w:jc w:val="both"/>
        <w:rPr>
          <w:sz w:val="16"/>
          <w:szCs w:val="16"/>
          <w:lang w:val="en-US"/>
        </w:rPr>
      </w:pPr>
      <w:r w:rsidRPr="007B2402">
        <w:rPr>
          <w:rStyle w:val="Refdenotaalpie"/>
          <w:rFonts w:ascii="Verdana" w:hAnsi="Verdana"/>
          <w:sz w:val="16"/>
          <w:szCs w:val="16"/>
          <w:lang w:val="en-US"/>
        </w:rPr>
        <w:footnoteRef/>
      </w:r>
      <w:r w:rsidRPr="007B2402">
        <w:rPr>
          <w:sz w:val="16"/>
          <w:szCs w:val="16"/>
          <w:lang w:val="en-US"/>
        </w:rPr>
        <w:t xml:space="preserve"> </w:t>
      </w:r>
      <w:r w:rsidRPr="007B2402">
        <w:rPr>
          <w:i/>
          <w:sz w:val="16"/>
          <w:szCs w:val="16"/>
          <w:lang w:val="en-US"/>
        </w:rPr>
        <w:t>Cf.</w:t>
      </w:r>
      <w:r w:rsidRPr="007B2402">
        <w:rPr>
          <w:sz w:val="16"/>
          <w:szCs w:val="16"/>
          <w:lang w:val="en-US"/>
        </w:rPr>
        <w:t xml:space="preserve"> </w:t>
      </w:r>
      <w:r w:rsidRPr="007B2402">
        <w:rPr>
          <w:i/>
          <w:sz w:val="16"/>
          <w:szCs w:val="16"/>
          <w:lang w:val="en-US"/>
        </w:rPr>
        <w:t>Case of the “Mapiripán Massacre” v. Colombia</w:t>
      </w:r>
      <w:r w:rsidRPr="007B2402">
        <w:rPr>
          <w:sz w:val="16"/>
          <w:szCs w:val="16"/>
          <w:lang w:val="en-US"/>
        </w:rPr>
        <w:t xml:space="preserve">. </w:t>
      </w:r>
      <w:r w:rsidRPr="007B2402">
        <w:rPr>
          <w:i/>
          <w:sz w:val="16"/>
          <w:szCs w:val="16"/>
          <w:lang w:val="en-US"/>
        </w:rPr>
        <w:t>Merits, reparations and costs.</w:t>
      </w:r>
      <w:r w:rsidRPr="007B2402">
        <w:rPr>
          <w:sz w:val="16"/>
          <w:szCs w:val="16"/>
          <w:lang w:val="en-US"/>
        </w:rPr>
        <w:t xml:space="preserve"> Judgment of September 15. 2005. Series C No. 134, para. 146.</w:t>
      </w:r>
    </w:p>
  </w:footnote>
  <w:footnote w:id="389">
    <w:p w14:paraId="0CC8001C" w14:textId="1D5711C9"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w:t>
      </w:r>
      <w:r w:rsidRPr="007B2402">
        <w:rPr>
          <w:i/>
          <w:szCs w:val="16"/>
          <w:lang w:val="en-US"/>
        </w:rPr>
        <w:t>Case of Blake v. Guatemala. Merits</w:t>
      </w:r>
      <w:r w:rsidRPr="007B2402">
        <w:rPr>
          <w:szCs w:val="16"/>
          <w:lang w:val="en-US"/>
        </w:rPr>
        <w:t xml:space="preserve">, para. 114, and </w:t>
      </w:r>
      <w:r w:rsidRPr="007B2402">
        <w:rPr>
          <w:i/>
          <w:szCs w:val="16"/>
          <w:lang w:val="en-US"/>
        </w:rPr>
        <w:t xml:space="preserve">Case of the Santa Bárbara Campesino Community v. Peru. </w:t>
      </w:r>
      <w:r w:rsidRPr="007B2402">
        <w:rPr>
          <w:szCs w:val="16"/>
          <w:lang w:val="en-US"/>
        </w:rPr>
        <w:t>Preliminary objections, merits, reparations and costs. Judgment of September 1, 2015. Series C No. 299, para. 274.</w:t>
      </w:r>
    </w:p>
  </w:footnote>
  <w:footnote w:id="390">
    <w:p w14:paraId="6FB8D709" w14:textId="2A3309C1"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w:t>
      </w:r>
      <w:r w:rsidRPr="007B2402">
        <w:rPr>
          <w:i/>
          <w:szCs w:val="16"/>
          <w:lang w:val="en-US"/>
        </w:rPr>
        <w:t>Case of La Cantuta v. Peru. Merits, reparations and costs.</w:t>
      </w:r>
      <w:r w:rsidRPr="007B2402">
        <w:rPr>
          <w:szCs w:val="16"/>
          <w:lang w:val="en-US"/>
        </w:rPr>
        <w:t xml:space="preserve"> Judgment of November 29, 2006. Series C No. 162, para. 218, and </w:t>
      </w:r>
      <w:r w:rsidRPr="007B2402">
        <w:rPr>
          <w:rStyle w:val="Textoennegrita"/>
          <w:b w:val="0"/>
          <w:i/>
          <w:szCs w:val="16"/>
          <w:lang w:val="en-US"/>
        </w:rPr>
        <w:t>Case of Cruz Sánchez et al. v. Peru.</w:t>
      </w:r>
      <w:r w:rsidRPr="007B2402">
        <w:rPr>
          <w:rStyle w:val="Textoennegrita"/>
          <w:b w:val="0"/>
          <w:szCs w:val="16"/>
          <w:lang w:val="en-US"/>
        </w:rPr>
        <w:t xml:space="preserve"> Preliminary objections, merits, reparations and costs. Judgment of April 17, 2015. Series C No. 292, para. 444.</w:t>
      </w:r>
    </w:p>
  </w:footnote>
  <w:footnote w:id="391">
    <w:p w14:paraId="211E5C33" w14:textId="34CFD905"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w:t>
      </w:r>
      <w:r w:rsidRPr="007B2402">
        <w:rPr>
          <w:rStyle w:val="Textoennegrita"/>
          <w:b w:val="0"/>
          <w:i/>
          <w:szCs w:val="16"/>
          <w:lang w:val="en-US"/>
        </w:rPr>
        <w:t xml:space="preserve">Case of Espinoza Gonzáles v. Peru. </w:t>
      </w:r>
      <w:r w:rsidRPr="007B2402">
        <w:rPr>
          <w:rStyle w:val="Textoennegrita"/>
          <w:b w:val="0"/>
          <w:szCs w:val="16"/>
          <w:lang w:val="en-US"/>
        </w:rPr>
        <w:t>Preliminary objections, merits, reparations and costs. Judgment of November 20, 2014. Series C No. 289,</w:t>
      </w:r>
      <w:r w:rsidRPr="007B2402">
        <w:rPr>
          <w:b/>
          <w:szCs w:val="16"/>
          <w:lang w:val="en-US"/>
        </w:rPr>
        <w:t xml:space="preserve"> </w:t>
      </w:r>
      <w:r w:rsidRPr="007B2402">
        <w:rPr>
          <w:szCs w:val="16"/>
          <w:lang w:val="en-US"/>
        </w:rPr>
        <w:t>para. 297.</w:t>
      </w:r>
    </w:p>
  </w:footnote>
  <w:footnote w:id="392">
    <w:p w14:paraId="24C3C19B" w14:textId="72BE391E"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Case of Ruano Torres et al. v. El Salvador.</w:t>
      </w:r>
      <w:r w:rsidRPr="007B2402">
        <w:rPr>
          <w:szCs w:val="16"/>
          <w:lang w:val="en-US"/>
        </w:rPr>
        <w:t xml:space="preserve"> Merits, reparations and costs. Judgment of October 5, 2015. Series C No. 303, para. 177.</w:t>
      </w:r>
    </w:p>
  </w:footnote>
  <w:footnote w:id="393">
    <w:p w14:paraId="04E7302D" w14:textId="520D01A8" w:rsidR="00920DEA" w:rsidRPr="007B2402" w:rsidRDefault="00920DEA" w:rsidP="005B1590">
      <w:pPr>
        <w:spacing w:after="80" w:line="240" w:lineRule="auto"/>
        <w:jc w:val="both"/>
        <w:rPr>
          <w:sz w:val="16"/>
          <w:szCs w:val="16"/>
        </w:rPr>
      </w:pPr>
      <w:r w:rsidRPr="007B2402">
        <w:rPr>
          <w:rStyle w:val="Refdenotaalpie"/>
          <w:rFonts w:ascii="Verdana" w:hAnsi="Verdana"/>
          <w:sz w:val="16"/>
          <w:szCs w:val="16"/>
          <w:lang w:val="en-US"/>
        </w:rPr>
        <w:footnoteRef/>
      </w:r>
      <w:r w:rsidRPr="007B2402">
        <w:rPr>
          <w:sz w:val="16"/>
          <w:szCs w:val="16"/>
          <w:lang w:val="en-US"/>
        </w:rPr>
        <w:t xml:space="preserve"> </w:t>
      </w:r>
      <w:r w:rsidRPr="007B2402">
        <w:rPr>
          <w:i/>
          <w:sz w:val="16"/>
          <w:szCs w:val="16"/>
          <w:lang w:val="en-US"/>
        </w:rPr>
        <w:t xml:space="preserve">Cf. Case of Valle Jaramillo et al. v. Colombia. Merits, reparations and costs. </w:t>
      </w:r>
      <w:proofErr w:type="spellStart"/>
      <w:r w:rsidRPr="007B2402">
        <w:rPr>
          <w:sz w:val="16"/>
          <w:szCs w:val="16"/>
        </w:rPr>
        <w:t>Judgment</w:t>
      </w:r>
      <w:proofErr w:type="spellEnd"/>
      <w:r w:rsidRPr="007B2402">
        <w:rPr>
          <w:sz w:val="16"/>
          <w:szCs w:val="16"/>
        </w:rPr>
        <w:t xml:space="preserve"> of </w:t>
      </w:r>
      <w:proofErr w:type="spellStart"/>
      <w:r w:rsidRPr="007B2402">
        <w:rPr>
          <w:sz w:val="16"/>
          <w:szCs w:val="16"/>
        </w:rPr>
        <w:t>November</w:t>
      </w:r>
      <w:proofErr w:type="spellEnd"/>
      <w:r w:rsidRPr="007B2402">
        <w:rPr>
          <w:sz w:val="16"/>
          <w:szCs w:val="16"/>
        </w:rPr>
        <w:t xml:space="preserve"> 27, 2008. Series C No. 192, para. 119, and </w:t>
      </w:r>
      <w:r w:rsidRPr="007B2402">
        <w:rPr>
          <w:i/>
          <w:sz w:val="16"/>
          <w:szCs w:val="16"/>
        </w:rPr>
        <w:t>Case of Vereda La Esperanza v. Colombia</w:t>
      </w:r>
      <w:r w:rsidRPr="007B2402">
        <w:rPr>
          <w:sz w:val="16"/>
          <w:szCs w:val="16"/>
        </w:rPr>
        <w:t>, para. 249</w:t>
      </w:r>
      <w:r w:rsidRPr="007B2402">
        <w:rPr>
          <w:rStyle w:val="Textoennegrita"/>
          <w:b w:val="0"/>
          <w:sz w:val="16"/>
          <w:szCs w:val="16"/>
        </w:rPr>
        <w:t>.</w:t>
      </w:r>
    </w:p>
  </w:footnote>
  <w:footnote w:id="394">
    <w:p w14:paraId="342FF229" w14:textId="50503183"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s-CR"/>
        </w:rPr>
        <w:t xml:space="preserve"> </w:t>
      </w:r>
      <w:r w:rsidRPr="007B2402">
        <w:rPr>
          <w:i/>
          <w:szCs w:val="16"/>
          <w:lang w:val="es-CR"/>
        </w:rPr>
        <w:t>Case of Valle Jaramillo et al. v. Colombia</w:t>
      </w:r>
      <w:r w:rsidRPr="007B2402">
        <w:rPr>
          <w:szCs w:val="16"/>
          <w:lang w:val="es-CR"/>
        </w:rPr>
        <w:t xml:space="preserve">, para. 119, and </w:t>
      </w:r>
      <w:r w:rsidRPr="007B2402">
        <w:rPr>
          <w:i/>
          <w:szCs w:val="16"/>
          <w:lang w:val="es-CR"/>
        </w:rPr>
        <w:t>Case of Vereda La Esperanza v. Colombia</w:t>
      </w:r>
      <w:r w:rsidRPr="007B2402">
        <w:rPr>
          <w:szCs w:val="16"/>
          <w:lang w:val="es-CR"/>
        </w:rPr>
        <w:t xml:space="preserve">, para. </w:t>
      </w:r>
      <w:r w:rsidRPr="007B2402">
        <w:rPr>
          <w:szCs w:val="16"/>
          <w:lang w:val="en-US"/>
        </w:rPr>
        <w:t>249.</w:t>
      </w:r>
    </w:p>
  </w:footnote>
  <w:footnote w:id="395">
    <w:p w14:paraId="2E69D122" w14:textId="0A730880"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Statement by Ivo Herzog (evidence file, folios 14036 to 14045); Statement by André Herzog (evidence file, folios 14575 to 14583); Statement by Clarice Herzog during the hearing and expert opinion of Ana C. Deutsch (evidence file, folio 14183 to14913).</w:t>
      </w:r>
    </w:p>
  </w:footnote>
  <w:footnote w:id="396">
    <w:p w14:paraId="2C88CEB5" w14:textId="516E4792"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Statement by Ivo Herzog (evidence file, folios 14036 to 14045); Statement by André Herzog (evidence file, folio 14575 to 14583); Statement by Clarice Herzog during the hearing and expert opinion of Ana C. Deutsch (evidence file, folio 14183 to 14913).</w:t>
      </w:r>
    </w:p>
  </w:footnote>
  <w:footnote w:id="397">
    <w:p w14:paraId="176EC8ED" w14:textId="0F11863B" w:rsidR="00920DEA" w:rsidRPr="007B2402" w:rsidRDefault="00920DEA" w:rsidP="005B1590">
      <w:pPr>
        <w:pStyle w:val="Textonotapie"/>
        <w:spacing w:after="80"/>
        <w:rPr>
          <w:szCs w:val="16"/>
          <w:lang w:val="en-US"/>
        </w:rPr>
      </w:pPr>
      <w:r w:rsidRPr="007B2402">
        <w:rPr>
          <w:rStyle w:val="Refdenotaalpie"/>
          <w:rFonts w:ascii="Verdana" w:eastAsia="Calibri" w:hAnsi="Verdana"/>
          <w:szCs w:val="16"/>
          <w:lang w:val="en-US"/>
        </w:rPr>
        <w:footnoteRef/>
      </w:r>
      <w:r w:rsidRPr="007B2402">
        <w:rPr>
          <w:szCs w:val="16"/>
          <w:lang w:val="en-US"/>
        </w:rPr>
        <w:t xml:space="preserve"> </w:t>
      </w:r>
      <w:r w:rsidRPr="007B2402">
        <w:rPr>
          <w:lang w:val="en-US"/>
        </w:rPr>
        <w:t>Article 63(1) of the American Convention establishes that: “[i]</w:t>
      </w:r>
      <w:r w:rsidRPr="007B2402">
        <w:rPr>
          <w:spacing w:val="-3"/>
          <w:lang w:val="en-US"/>
        </w:rPr>
        <w:t>f the Court finds that there has been a violation of a right or freedom protected by this Convention, the Court shall rule that the injured party be ensured the enjoyment of his right or freedom that was violated.  It shall also rule, if appropriate, that the consequences of the measure or situation that constituted the breach of such right or freedom be remedied and that fair compensation be paid to the injured party.”</w:t>
      </w:r>
    </w:p>
  </w:footnote>
  <w:footnote w:id="398">
    <w:p w14:paraId="101EF767" w14:textId="30A86BFD" w:rsidR="00920DEA" w:rsidRPr="007B2402" w:rsidRDefault="00920DEA" w:rsidP="005B1590">
      <w:pPr>
        <w:pStyle w:val="Textonotapie"/>
        <w:spacing w:after="80"/>
        <w:rPr>
          <w:szCs w:val="16"/>
          <w:lang w:val="en-US"/>
        </w:rPr>
      </w:pPr>
      <w:r w:rsidRPr="007B2402">
        <w:rPr>
          <w:rStyle w:val="Refdenotaalpie"/>
          <w:rFonts w:ascii="Verdana" w:eastAsia="Calibri" w:hAnsi="Verdana"/>
          <w:szCs w:val="16"/>
          <w:lang w:val="en-US"/>
        </w:rPr>
        <w:footnoteRef/>
      </w:r>
      <w:r w:rsidRPr="007B2402">
        <w:rPr>
          <w:szCs w:val="16"/>
          <w:lang w:val="es-CR"/>
        </w:rPr>
        <w:t xml:space="preserve"> </w:t>
      </w:r>
      <w:r w:rsidRPr="007B2402">
        <w:rPr>
          <w:i/>
          <w:szCs w:val="16"/>
          <w:lang w:val="es-CR"/>
        </w:rPr>
        <w:t xml:space="preserve">Cf. Case of Velásquez Rodríguez v. Honduras. </w:t>
      </w:r>
      <w:r w:rsidRPr="007B2402">
        <w:rPr>
          <w:i/>
          <w:szCs w:val="16"/>
          <w:lang w:val="en-US"/>
        </w:rPr>
        <w:t>Reparations and costs</w:t>
      </w:r>
      <w:r w:rsidRPr="007B2402">
        <w:rPr>
          <w:szCs w:val="16"/>
          <w:lang w:val="en-US"/>
        </w:rPr>
        <w:t xml:space="preserve">, para. 25, and </w:t>
      </w:r>
      <w:r w:rsidRPr="007B2402">
        <w:rPr>
          <w:bCs/>
          <w:i/>
          <w:szCs w:val="16"/>
          <w:lang w:val="en-US"/>
        </w:rPr>
        <w:t>Case of the Dismissed Employees of PetroPeru et al. v. Peru. Preliminary objections, merits, reparations and costs</w:t>
      </w:r>
      <w:r w:rsidRPr="007B2402">
        <w:rPr>
          <w:bCs/>
          <w:szCs w:val="16"/>
          <w:lang w:val="en-US"/>
        </w:rPr>
        <w:t>. Judgment of November 23, 2017. Series C No. 344, para. 194.</w:t>
      </w:r>
    </w:p>
  </w:footnote>
  <w:footnote w:id="399">
    <w:p w14:paraId="0F05F2F4" w14:textId="5B9D7C19" w:rsidR="00920DEA" w:rsidRPr="007B2402" w:rsidRDefault="00920DEA" w:rsidP="005B1590">
      <w:pPr>
        <w:tabs>
          <w:tab w:val="left" w:pos="567"/>
        </w:tabs>
        <w:spacing w:after="80" w:line="240" w:lineRule="auto"/>
        <w:ind w:right="-90"/>
        <w:jc w:val="both"/>
        <w:rPr>
          <w:sz w:val="16"/>
          <w:szCs w:val="16"/>
          <w:lang w:val="en-US"/>
        </w:rPr>
      </w:pPr>
      <w:r w:rsidRPr="007B2402">
        <w:rPr>
          <w:rStyle w:val="Refdenotaalpie"/>
          <w:rFonts w:ascii="Verdana" w:eastAsia="MS Mincho" w:hAnsi="Verdana"/>
          <w:sz w:val="16"/>
          <w:szCs w:val="16"/>
          <w:lang w:val="en-US"/>
        </w:rPr>
        <w:footnoteRef/>
      </w:r>
      <w:r w:rsidRPr="007B2402">
        <w:rPr>
          <w:sz w:val="16"/>
          <w:szCs w:val="16"/>
          <w:lang w:val="en-US"/>
        </w:rPr>
        <w:t xml:space="preserve"> </w:t>
      </w:r>
      <w:r w:rsidRPr="007B2402">
        <w:rPr>
          <w:i/>
          <w:iCs/>
          <w:sz w:val="16"/>
          <w:szCs w:val="16"/>
          <w:lang w:val="en-US"/>
        </w:rPr>
        <w:t xml:space="preserve">Cf. Case of Velásquez Rodríguez v. Honduras. Reparations and costs, </w:t>
      </w:r>
      <w:r w:rsidRPr="007B2402">
        <w:rPr>
          <w:iCs/>
          <w:sz w:val="16"/>
          <w:szCs w:val="16"/>
          <w:lang w:val="en-US"/>
        </w:rPr>
        <w:t>para. 26</w:t>
      </w:r>
      <w:r w:rsidRPr="007B2402">
        <w:rPr>
          <w:rFonts w:cs="Calibri"/>
          <w:sz w:val="16"/>
          <w:szCs w:val="16"/>
          <w:lang w:val="en-US"/>
        </w:rPr>
        <w:t xml:space="preserve">, and </w:t>
      </w:r>
      <w:r w:rsidRPr="007B2402">
        <w:rPr>
          <w:rFonts w:cs="Calibri"/>
          <w:bCs/>
          <w:i/>
          <w:sz w:val="16"/>
          <w:szCs w:val="16"/>
          <w:lang w:val="en-US"/>
        </w:rPr>
        <w:t xml:space="preserve">Case of the Dismissed Employees of PetroPeru et al. v. Peru, </w:t>
      </w:r>
      <w:r w:rsidRPr="007B2402">
        <w:rPr>
          <w:rFonts w:cs="Calibri"/>
          <w:bCs/>
          <w:sz w:val="16"/>
          <w:szCs w:val="16"/>
          <w:lang w:val="en-US"/>
        </w:rPr>
        <w:t>para. 195.</w:t>
      </w:r>
    </w:p>
  </w:footnote>
  <w:footnote w:id="400">
    <w:p w14:paraId="72462785" w14:textId="5166E33C" w:rsidR="00920DEA" w:rsidRPr="007B2402" w:rsidRDefault="00920DEA" w:rsidP="005B1590">
      <w:pPr>
        <w:pStyle w:val="Textonotapie"/>
        <w:tabs>
          <w:tab w:val="left" w:pos="720"/>
        </w:tabs>
        <w:spacing w:after="80"/>
        <w:ind w:right="-90"/>
        <w:rPr>
          <w:bCs/>
          <w:i/>
          <w:szCs w:val="16"/>
          <w:lang w:val="en-US"/>
        </w:rPr>
      </w:pPr>
      <w:r w:rsidRPr="007B2402">
        <w:rPr>
          <w:rStyle w:val="Refdenotaalpie"/>
          <w:rFonts w:ascii="Verdana" w:eastAsia="Calibri" w:hAnsi="Verdana"/>
          <w:szCs w:val="16"/>
          <w:lang w:val="en-US"/>
        </w:rPr>
        <w:footnoteRef/>
      </w:r>
      <w:r w:rsidRPr="007B2402">
        <w:rPr>
          <w:i/>
          <w:szCs w:val="16"/>
          <w:lang w:val="en-US"/>
        </w:rPr>
        <w:t xml:space="preserve"> </w:t>
      </w:r>
      <w:r w:rsidRPr="007B2402">
        <w:rPr>
          <w:rFonts w:cs="Calibri"/>
          <w:i/>
          <w:szCs w:val="16"/>
          <w:lang w:val="en-US"/>
        </w:rPr>
        <w:t xml:space="preserve">Cf. </w:t>
      </w:r>
      <w:r w:rsidRPr="007B2402">
        <w:rPr>
          <w:rFonts w:eastAsia="Calibri" w:cs="Calibri"/>
          <w:i/>
          <w:szCs w:val="16"/>
          <w:lang w:val="en-US"/>
        </w:rPr>
        <w:t>Case of Ticona Estrada et al. v. Bolivia. Merits, reparations and costs</w:t>
      </w:r>
      <w:r w:rsidRPr="007B2402">
        <w:rPr>
          <w:rFonts w:eastAsia="Calibri" w:cs="Calibri"/>
          <w:szCs w:val="16"/>
          <w:lang w:val="en-US"/>
        </w:rPr>
        <w:t xml:space="preserve">. Judgment of November 27, 2008. Series C No. 191, para. 110, and </w:t>
      </w:r>
      <w:r w:rsidRPr="007B2402">
        <w:rPr>
          <w:rStyle w:val="Textoennegrita"/>
          <w:b w:val="0"/>
          <w:i/>
          <w:color w:val="000000"/>
          <w:szCs w:val="16"/>
          <w:shd w:val="clear" w:color="auto" w:fill="FFFFFF"/>
          <w:lang w:val="en-US"/>
        </w:rPr>
        <w:t>Case of Lagos del Campo v. Peru. Preliminary objections, merits, reparations and costs</w:t>
      </w:r>
      <w:r w:rsidRPr="007B2402">
        <w:rPr>
          <w:rStyle w:val="Textoennegrita"/>
          <w:b w:val="0"/>
          <w:color w:val="000000"/>
          <w:szCs w:val="16"/>
          <w:shd w:val="clear" w:color="auto" w:fill="FFFFFF"/>
          <w:lang w:val="en-US"/>
        </w:rPr>
        <w:t>. Judgment of August 31, 2017. Series C No. 340, para. 193.</w:t>
      </w:r>
    </w:p>
  </w:footnote>
  <w:footnote w:id="401">
    <w:p w14:paraId="086711F4" w14:textId="524F8FF6"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iCs/>
          <w:szCs w:val="16"/>
          <w:lang w:val="en-US"/>
        </w:rPr>
        <w:t xml:space="preserve">Cf. </w:t>
      </w:r>
      <w:r w:rsidRPr="007B2402">
        <w:rPr>
          <w:i/>
          <w:szCs w:val="16"/>
          <w:lang w:val="en-US"/>
        </w:rPr>
        <w:t>Case of Velásquez Rodríguez v. Honduras. Reparations and costs</w:t>
      </w:r>
      <w:r w:rsidRPr="007B2402">
        <w:rPr>
          <w:szCs w:val="16"/>
          <w:lang w:val="en-US"/>
        </w:rPr>
        <w:t>, paras. 25 to 27</w:t>
      </w:r>
      <w:r w:rsidRPr="007B2402">
        <w:rPr>
          <w:iCs/>
          <w:szCs w:val="16"/>
          <w:lang w:val="en-US"/>
        </w:rPr>
        <w:t xml:space="preserve">, and </w:t>
      </w:r>
      <w:r w:rsidRPr="007B2402">
        <w:rPr>
          <w:bCs/>
          <w:i/>
          <w:szCs w:val="16"/>
          <w:lang w:val="en-US"/>
        </w:rPr>
        <w:t>Case of the Dismissed Employees of PetroPeru et al. v. Peru</w:t>
      </w:r>
      <w:r w:rsidRPr="007B2402">
        <w:rPr>
          <w:szCs w:val="16"/>
          <w:lang w:val="en-US"/>
        </w:rPr>
        <w:t>, para. 197</w:t>
      </w:r>
      <w:r w:rsidRPr="007B2402">
        <w:rPr>
          <w:iCs/>
          <w:szCs w:val="16"/>
          <w:lang w:val="en-US"/>
        </w:rPr>
        <w:t>.</w:t>
      </w:r>
    </w:p>
  </w:footnote>
  <w:footnote w:id="402">
    <w:p w14:paraId="75288232" w14:textId="46878BCD" w:rsidR="00920DEA" w:rsidRPr="007B2402" w:rsidRDefault="00920DEA" w:rsidP="005B1590">
      <w:pPr>
        <w:pStyle w:val="Textonotapie"/>
        <w:spacing w:after="80"/>
        <w:rPr>
          <w:color w:val="000000"/>
          <w:szCs w:val="16"/>
          <w:lang w:val="en-US"/>
        </w:rPr>
      </w:pPr>
      <w:r w:rsidRPr="007B2402">
        <w:rPr>
          <w:rStyle w:val="Refdenotaalpie"/>
          <w:rFonts w:ascii="Verdana" w:eastAsia="Calibri" w:hAnsi="Verdana"/>
          <w:szCs w:val="16"/>
          <w:lang w:val="en-US"/>
        </w:rPr>
        <w:footnoteRef/>
      </w:r>
      <w:r w:rsidRPr="007B2402">
        <w:rPr>
          <w:i/>
          <w:szCs w:val="16"/>
          <w:lang w:val="en-US"/>
        </w:rPr>
        <w:t xml:space="preserve"> Cf. Case of the La Rochela Massacre v. Colombia. Merits, reparations and costs. </w:t>
      </w:r>
      <w:r w:rsidRPr="007B2402">
        <w:rPr>
          <w:szCs w:val="16"/>
          <w:lang w:val="en-US"/>
        </w:rPr>
        <w:t xml:space="preserve">Judgment of May 11, 2007. Series C No. 163, para. 233, and </w:t>
      </w:r>
      <w:r w:rsidRPr="007B2402">
        <w:rPr>
          <w:rStyle w:val="Textoennegrita"/>
          <w:b w:val="0"/>
          <w:i/>
          <w:color w:val="000000"/>
          <w:szCs w:val="16"/>
          <w:shd w:val="clear" w:color="auto" w:fill="FFFFFF"/>
          <w:lang w:val="en-US"/>
        </w:rPr>
        <w:t>Case of Andrade Salmón v. Bolívia</w:t>
      </w:r>
      <w:r w:rsidRPr="007B2402">
        <w:rPr>
          <w:color w:val="000000"/>
          <w:szCs w:val="16"/>
          <w:lang w:val="en-US"/>
        </w:rPr>
        <w:t xml:space="preserve">, </w:t>
      </w:r>
      <w:r w:rsidRPr="007B2402">
        <w:rPr>
          <w:szCs w:val="16"/>
          <w:lang w:val="en-US"/>
        </w:rPr>
        <w:t>para. 190.</w:t>
      </w:r>
    </w:p>
  </w:footnote>
  <w:footnote w:id="403">
    <w:p w14:paraId="2E17C016" w14:textId="5DFF6BEC" w:rsidR="00920DEA" w:rsidRPr="007B2402" w:rsidRDefault="00920DEA" w:rsidP="005B1590">
      <w:pPr>
        <w:pStyle w:val="Textonotapie"/>
        <w:spacing w:after="80"/>
        <w:rPr>
          <w:szCs w:val="16"/>
          <w:lang w:val="es-CR"/>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w:t>
      </w:r>
      <w:r w:rsidRPr="007B2402">
        <w:rPr>
          <w:i/>
          <w:szCs w:val="16"/>
          <w:lang w:val="en-US"/>
        </w:rPr>
        <w:t>Case of Velásquez Rodríguez v. Honduras. Merits</w:t>
      </w:r>
      <w:r w:rsidRPr="007B2402">
        <w:rPr>
          <w:szCs w:val="16"/>
          <w:lang w:val="en-US"/>
        </w:rPr>
        <w:t xml:space="preserve">, para. 174 and </w:t>
      </w:r>
      <w:r w:rsidRPr="007B2402">
        <w:rPr>
          <w:i/>
          <w:szCs w:val="16"/>
          <w:lang w:val="en-US"/>
        </w:rPr>
        <w:t xml:space="preserve">Case of Gomes Lund et al. </w:t>
      </w:r>
      <w:r w:rsidRPr="007B2402">
        <w:rPr>
          <w:i/>
          <w:szCs w:val="16"/>
          <w:lang w:val="es-CR"/>
        </w:rPr>
        <w:t>(Guerrilha do Araguaia) v. Brazil</w:t>
      </w:r>
      <w:r w:rsidRPr="007B2402">
        <w:rPr>
          <w:szCs w:val="16"/>
          <w:lang w:val="es-CR"/>
        </w:rPr>
        <w:t xml:space="preserve">, para. 256. </w:t>
      </w:r>
    </w:p>
  </w:footnote>
  <w:footnote w:id="404">
    <w:p w14:paraId="6030D2A6" w14:textId="0C9F11B8" w:rsidR="00920DEA" w:rsidRPr="007B2402" w:rsidRDefault="00920DEA" w:rsidP="005B1590">
      <w:pPr>
        <w:pStyle w:val="Textonotapie"/>
        <w:spacing w:after="80"/>
        <w:rPr>
          <w:b/>
          <w:szCs w:val="16"/>
          <w:lang w:val="en-US"/>
        </w:rPr>
      </w:pPr>
      <w:r w:rsidRPr="007B2402">
        <w:rPr>
          <w:rStyle w:val="Refdenotaalpie"/>
          <w:rFonts w:ascii="Verdana" w:hAnsi="Verdana"/>
          <w:szCs w:val="16"/>
          <w:lang w:val="en-US"/>
        </w:rPr>
        <w:footnoteRef/>
      </w:r>
      <w:r w:rsidRPr="007B2402">
        <w:rPr>
          <w:szCs w:val="16"/>
          <w:lang w:val="es-CR"/>
        </w:rPr>
        <w:t xml:space="preserve"> Among others, </w:t>
      </w:r>
      <w:r w:rsidRPr="007B2402">
        <w:rPr>
          <w:i/>
          <w:szCs w:val="16"/>
          <w:lang w:val="es-CR"/>
        </w:rPr>
        <w:t>cf.</w:t>
      </w:r>
      <w:r w:rsidRPr="007B2402">
        <w:rPr>
          <w:szCs w:val="16"/>
          <w:lang w:val="es-CR"/>
        </w:rPr>
        <w:t xml:space="preserve"> </w:t>
      </w:r>
      <w:r w:rsidRPr="007B2402">
        <w:rPr>
          <w:i/>
          <w:szCs w:val="16"/>
          <w:lang w:val="es-CR"/>
        </w:rPr>
        <w:t>Case of García Prieto et al. v. El Salvador</w:t>
      </w:r>
      <w:r w:rsidRPr="007B2402">
        <w:rPr>
          <w:szCs w:val="16"/>
          <w:lang w:val="es-CR"/>
        </w:rPr>
        <w:t xml:space="preserve">, para. </w:t>
      </w:r>
      <w:r w:rsidRPr="007B2402">
        <w:rPr>
          <w:szCs w:val="16"/>
          <w:lang w:val="en-US"/>
        </w:rPr>
        <w:t xml:space="preserve">112; </w:t>
      </w:r>
      <w:r w:rsidRPr="007B2402">
        <w:rPr>
          <w:rStyle w:val="Textoennegrita"/>
          <w:b w:val="0"/>
          <w:i/>
          <w:color w:val="000000"/>
          <w:szCs w:val="16"/>
          <w:shd w:val="clear" w:color="auto" w:fill="FFFFFF"/>
          <w:lang w:val="en-US"/>
        </w:rPr>
        <w:t>Case of Members of the village of Chichupac and neighboring communities of the municipality of Rabinal v. Guatemala. Preliminary objections, merits, reparations and costs.</w:t>
      </w:r>
      <w:r w:rsidRPr="007B2402">
        <w:rPr>
          <w:rStyle w:val="Textoennegrita"/>
          <w:b w:val="0"/>
          <w:color w:val="000000"/>
          <w:szCs w:val="16"/>
          <w:shd w:val="clear" w:color="auto" w:fill="FFFFFF"/>
          <w:lang w:val="en-US"/>
        </w:rPr>
        <w:t xml:space="preserve"> Judgment of November 30, 2016. Series C No. 328, para. 212; </w:t>
      </w:r>
      <w:r w:rsidRPr="007B2402">
        <w:rPr>
          <w:rStyle w:val="Textoennegrita"/>
          <w:b w:val="0"/>
          <w:i/>
          <w:color w:val="000000"/>
          <w:szCs w:val="16"/>
          <w:shd w:val="clear" w:color="auto" w:fill="FFFFFF"/>
          <w:lang w:val="en-US"/>
        </w:rPr>
        <w:t>Case of Barrios Altos v. Peru. Merits</w:t>
      </w:r>
      <w:r w:rsidRPr="007B2402">
        <w:rPr>
          <w:rStyle w:val="Textoennegrita"/>
          <w:b w:val="0"/>
          <w:color w:val="000000"/>
          <w:szCs w:val="16"/>
          <w:shd w:val="clear" w:color="auto" w:fill="FFFFFF"/>
          <w:lang w:val="en-US"/>
        </w:rPr>
        <w:t xml:space="preserve">, para. 41; </w:t>
      </w:r>
      <w:r w:rsidRPr="007B2402">
        <w:rPr>
          <w:rStyle w:val="Textoennegrita"/>
          <w:b w:val="0"/>
          <w:i/>
          <w:color w:val="000000"/>
          <w:szCs w:val="16"/>
          <w:shd w:val="clear" w:color="auto" w:fill="FFFFFF"/>
          <w:lang w:val="en-US"/>
        </w:rPr>
        <w:t>Case of Gelman v. Uruguay</w:t>
      </w:r>
      <w:r w:rsidRPr="007B2402">
        <w:rPr>
          <w:rStyle w:val="Textoennegrita"/>
          <w:b w:val="0"/>
          <w:color w:val="000000"/>
          <w:szCs w:val="16"/>
          <w:shd w:val="clear" w:color="auto" w:fill="FFFFFF"/>
          <w:lang w:val="en-US"/>
        </w:rPr>
        <w:t xml:space="preserve">, paras. 225 to 226; </w:t>
      </w:r>
      <w:r w:rsidRPr="007B2402">
        <w:rPr>
          <w:rStyle w:val="Textoennegrita"/>
          <w:b w:val="0"/>
          <w:i/>
          <w:color w:val="000000"/>
          <w:szCs w:val="16"/>
          <w:shd w:val="clear" w:color="auto" w:fill="FFFFFF"/>
          <w:lang w:val="en-US"/>
        </w:rPr>
        <w:t>Case of Favela Nova Brasilia v. Brazil</w:t>
      </w:r>
      <w:r w:rsidRPr="007B2402">
        <w:rPr>
          <w:rStyle w:val="Textoennegrita"/>
          <w:b w:val="0"/>
          <w:color w:val="000000"/>
          <w:szCs w:val="16"/>
          <w:shd w:val="clear" w:color="auto" w:fill="FFFFFF"/>
          <w:lang w:val="en-US"/>
        </w:rPr>
        <w:t xml:space="preserve">, para. 292, and </w:t>
      </w:r>
      <w:r w:rsidRPr="007B2402">
        <w:rPr>
          <w:rStyle w:val="Textoennegrita"/>
          <w:b w:val="0"/>
          <w:i/>
          <w:color w:val="000000"/>
          <w:szCs w:val="16"/>
          <w:shd w:val="clear" w:color="auto" w:fill="FFFFFF"/>
          <w:lang w:val="en-US"/>
        </w:rPr>
        <w:t>Case of Favela Nova Brasilia v. Brazil</w:t>
      </w:r>
      <w:r w:rsidRPr="007B2402">
        <w:rPr>
          <w:rStyle w:val="Textoennegrita"/>
          <w:b w:val="0"/>
          <w:color w:val="000000"/>
          <w:szCs w:val="16"/>
          <w:shd w:val="clear" w:color="auto" w:fill="FFFFFF"/>
          <w:lang w:val="en-US"/>
        </w:rPr>
        <w:t xml:space="preserve">. </w:t>
      </w:r>
      <w:r w:rsidRPr="007B2402">
        <w:rPr>
          <w:rStyle w:val="Textoennegrita"/>
          <w:b w:val="0"/>
          <w:i/>
          <w:color w:val="000000"/>
          <w:szCs w:val="16"/>
          <w:shd w:val="clear" w:color="auto" w:fill="FFFFFF"/>
          <w:lang w:val="en-US"/>
        </w:rPr>
        <w:t>Interpretation of the judgment on preliminary objections, merits, reparations and costs</w:t>
      </w:r>
      <w:r w:rsidRPr="007B2402">
        <w:rPr>
          <w:rStyle w:val="Textoennegrita"/>
          <w:b w:val="0"/>
          <w:color w:val="000000"/>
          <w:szCs w:val="16"/>
          <w:shd w:val="clear" w:color="auto" w:fill="FFFFFF"/>
          <w:lang w:val="en-US"/>
        </w:rPr>
        <w:t>. Judgment of February 5, 2018. Series C No. 345, para. 28.</w:t>
      </w:r>
    </w:p>
  </w:footnote>
  <w:footnote w:id="405">
    <w:p w14:paraId="3E2B8BF2" w14:textId="77777777" w:rsidR="00920DEA" w:rsidRPr="007B2402" w:rsidRDefault="00920DEA" w:rsidP="009F5A1E">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See </w:t>
      </w:r>
      <w:r w:rsidRPr="007B2402">
        <w:rPr>
          <w:i/>
          <w:szCs w:val="16"/>
          <w:lang w:val="en-US"/>
        </w:rPr>
        <w:t>inter alia</w:t>
      </w:r>
      <w:r w:rsidRPr="007B2402">
        <w:rPr>
          <w:szCs w:val="16"/>
          <w:lang w:val="en-US"/>
        </w:rPr>
        <w:t xml:space="preserve">, </w:t>
      </w:r>
      <w:r w:rsidRPr="007B2402">
        <w:rPr>
          <w:i/>
          <w:szCs w:val="16"/>
          <w:lang w:val="en-US"/>
        </w:rPr>
        <w:t>Case of Barrios Altos v. Peru. Merits</w:t>
      </w:r>
      <w:r w:rsidRPr="007B2402">
        <w:rPr>
          <w:szCs w:val="16"/>
          <w:lang w:val="en-US"/>
        </w:rPr>
        <w:t xml:space="preserve">, para. 41; </w:t>
      </w:r>
      <w:r w:rsidRPr="007B2402">
        <w:rPr>
          <w:i/>
          <w:szCs w:val="16"/>
          <w:lang w:val="en-US"/>
        </w:rPr>
        <w:t>Case of Trujillo Oroza v. Bolivia. Reparations and costs</w:t>
      </w:r>
      <w:r w:rsidRPr="007B2402">
        <w:rPr>
          <w:szCs w:val="16"/>
          <w:lang w:val="en-US"/>
        </w:rPr>
        <w:t xml:space="preserve">. Judgment of February 27, 2002. Series C No. 92, para. 106; </w:t>
      </w:r>
      <w:r w:rsidRPr="007B2402">
        <w:rPr>
          <w:i/>
          <w:szCs w:val="16"/>
          <w:lang w:val="en-US"/>
        </w:rPr>
        <w:t>Case of Almonacid Arellano et al. v. Chile</w:t>
      </w:r>
      <w:r w:rsidRPr="007B2402">
        <w:rPr>
          <w:szCs w:val="16"/>
          <w:lang w:val="en-US"/>
        </w:rPr>
        <w:t xml:space="preserve">, para. 112, and </w:t>
      </w:r>
      <w:r w:rsidRPr="007B2402">
        <w:rPr>
          <w:i/>
          <w:szCs w:val="16"/>
          <w:lang w:val="en-US"/>
        </w:rPr>
        <w:t>Case of Albán Cornejo et al. v. Ecuador. Merits, reparations and costs</w:t>
      </w:r>
      <w:r w:rsidRPr="007B2402">
        <w:rPr>
          <w:szCs w:val="16"/>
          <w:lang w:val="en-US"/>
        </w:rPr>
        <w:t>, para. 111.</w:t>
      </w:r>
    </w:p>
  </w:footnote>
  <w:footnote w:id="406">
    <w:p w14:paraId="52685E1A" w14:textId="5B14BEC9"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rFonts w:eastAsia="Times" w:cs="Times New Roman"/>
          <w:i/>
          <w:iCs/>
          <w:szCs w:val="16"/>
          <w:lang w:val="en-US" w:bidi="en-US"/>
        </w:rPr>
        <w:t>Cf.</w:t>
      </w:r>
      <w:r w:rsidRPr="007B2402">
        <w:rPr>
          <w:rFonts w:eastAsia="Times" w:cs="Times New Roman"/>
          <w:i/>
          <w:szCs w:val="16"/>
          <w:lang w:val="en-US" w:bidi="en-US"/>
        </w:rPr>
        <w:t xml:space="preserve"> </w:t>
      </w:r>
      <w:r w:rsidRPr="007B2402">
        <w:rPr>
          <w:rFonts w:eastAsia="Times" w:cs="Times New Roman"/>
          <w:bCs/>
          <w:i/>
          <w:szCs w:val="16"/>
          <w:lang w:val="en-US" w:eastAsia="ar-SA"/>
        </w:rPr>
        <w:t xml:space="preserve">Case of Radilla Pacheco v. Mexico. </w:t>
      </w:r>
      <w:r w:rsidRPr="007B2402">
        <w:rPr>
          <w:rFonts w:eastAsia="Times" w:cs="Times New Roman"/>
          <w:i/>
          <w:szCs w:val="16"/>
          <w:lang w:val="en-US" w:eastAsia="ar-SA"/>
        </w:rPr>
        <w:t>Preliminary objections, merits, reparations and costs</w:t>
      </w:r>
      <w:r w:rsidRPr="007B2402">
        <w:rPr>
          <w:rFonts w:eastAsia="Times" w:cs="Times New Roman"/>
          <w:szCs w:val="16"/>
          <w:lang w:val="en-US" w:eastAsia="ar-SA"/>
        </w:rPr>
        <w:t xml:space="preserve">. Judgment of November 23, 2009. Series C No. 209, para. 353 and </w:t>
      </w:r>
      <w:r w:rsidRPr="007B2402">
        <w:rPr>
          <w:rStyle w:val="Textoennegrita"/>
          <w:b w:val="0"/>
          <w:i/>
          <w:color w:val="000000"/>
          <w:szCs w:val="16"/>
          <w:shd w:val="clear" w:color="auto" w:fill="FFFFFF"/>
          <w:lang w:val="en-US"/>
        </w:rPr>
        <w:t>Case of I.V. v. Bolivia. Preliminary objections, merits, reparations and costs</w:t>
      </w:r>
      <w:r w:rsidRPr="007B2402">
        <w:rPr>
          <w:rStyle w:val="Textoennegrita"/>
          <w:b w:val="0"/>
          <w:color w:val="000000"/>
          <w:szCs w:val="16"/>
          <w:shd w:val="clear" w:color="auto" w:fill="FFFFFF"/>
          <w:lang w:val="en-US"/>
        </w:rPr>
        <w:t>. Judgment of November 30, 2016. Series C No. 329, para. 336.</w:t>
      </w:r>
    </w:p>
  </w:footnote>
  <w:footnote w:id="407">
    <w:p w14:paraId="08EEECDB" w14:textId="695513E8"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w:t>
      </w:r>
      <w:r w:rsidRPr="007B2402">
        <w:rPr>
          <w:szCs w:val="16"/>
          <w:lang w:val="en-US"/>
        </w:rPr>
        <w:t xml:space="preserve"> </w:t>
      </w:r>
      <w:r w:rsidRPr="007B2402">
        <w:rPr>
          <w:rFonts w:eastAsia="Times New Roman"/>
          <w:bCs/>
          <w:i/>
          <w:color w:val="000000"/>
          <w:szCs w:val="16"/>
          <w:lang w:val="en-US"/>
        </w:rPr>
        <w:t>Case of Cantoral Benavides v. Peru. Reparations and costs</w:t>
      </w:r>
      <w:r w:rsidRPr="007B2402">
        <w:rPr>
          <w:rFonts w:eastAsia="Times New Roman"/>
          <w:bCs/>
          <w:color w:val="000000"/>
          <w:szCs w:val="16"/>
          <w:lang w:val="en-US"/>
        </w:rPr>
        <w:t>, para. 79, and Case of</w:t>
      </w:r>
      <w:r w:rsidRPr="007B2402">
        <w:rPr>
          <w:bCs/>
          <w:i/>
          <w:szCs w:val="16"/>
          <w:lang w:val="en-US"/>
        </w:rPr>
        <w:t xml:space="preserve"> the Dismissed Employees of PetroPeru et al. v. Peru</w:t>
      </w:r>
      <w:r w:rsidRPr="007B2402">
        <w:rPr>
          <w:szCs w:val="16"/>
          <w:lang w:val="en-US"/>
        </w:rPr>
        <w:t>, para. 211</w:t>
      </w:r>
      <w:r w:rsidRPr="007B2402">
        <w:rPr>
          <w:iCs/>
          <w:szCs w:val="16"/>
          <w:lang w:val="en-US"/>
        </w:rPr>
        <w:t>.</w:t>
      </w:r>
    </w:p>
  </w:footnote>
  <w:footnote w:id="408">
    <w:p w14:paraId="38EC3F26" w14:textId="72CC2490" w:rsidR="00920DEA" w:rsidRPr="007B2402" w:rsidRDefault="00920DEA" w:rsidP="005B1590">
      <w:pPr>
        <w:tabs>
          <w:tab w:val="left" w:pos="567"/>
        </w:tabs>
        <w:spacing w:after="80" w:line="240" w:lineRule="auto"/>
        <w:jc w:val="both"/>
        <w:rPr>
          <w:rFonts w:cs="Times New Roman"/>
          <w:sz w:val="16"/>
          <w:szCs w:val="16"/>
          <w:lang w:val="en-US" w:eastAsia="es-CR"/>
        </w:rPr>
      </w:pPr>
      <w:r w:rsidRPr="007B2402">
        <w:rPr>
          <w:rStyle w:val="Refdenotaalpie"/>
          <w:rFonts w:ascii="Verdana" w:hAnsi="Verdana"/>
          <w:sz w:val="16"/>
          <w:szCs w:val="16"/>
          <w:lang w:val="en-US"/>
        </w:rPr>
        <w:footnoteRef/>
      </w:r>
      <w:r w:rsidRPr="007B2402">
        <w:rPr>
          <w:rStyle w:val="Refdenotaalpie"/>
          <w:rFonts w:ascii="Verdana" w:hAnsi="Verdana"/>
          <w:sz w:val="16"/>
          <w:szCs w:val="16"/>
          <w:lang w:val="en-US"/>
        </w:rPr>
        <w:t xml:space="preserve"> </w:t>
      </w:r>
      <w:r w:rsidRPr="007B2402">
        <w:rPr>
          <w:i/>
          <w:sz w:val="16"/>
          <w:szCs w:val="16"/>
          <w:lang w:val="en-US"/>
        </w:rPr>
        <w:t>Case of the “Street Children” (Villagrán Morales et al.) v. Guatemala.</w:t>
      </w:r>
      <w:r w:rsidRPr="007B2402">
        <w:rPr>
          <w:sz w:val="16"/>
          <w:szCs w:val="16"/>
          <w:lang w:val="en-US"/>
        </w:rPr>
        <w:t xml:space="preserve"> </w:t>
      </w:r>
      <w:r w:rsidRPr="007B2402">
        <w:rPr>
          <w:i/>
          <w:sz w:val="16"/>
          <w:szCs w:val="16"/>
          <w:lang w:val="en-US"/>
        </w:rPr>
        <w:t>Reparations and costs</w:t>
      </w:r>
      <w:r w:rsidRPr="007B2402">
        <w:rPr>
          <w:sz w:val="16"/>
          <w:szCs w:val="16"/>
          <w:lang w:val="en-US"/>
        </w:rPr>
        <w:t>, para. 84,</w:t>
      </w:r>
      <w:r w:rsidRPr="007B2402">
        <w:rPr>
          <w:bCs/>
          <w:i/>
          <w:sz w:val="16"/>
          <w:szCs w:val="16"/>
          <w:lang w:val="en-US"/>
        </w:rPr>
        <w:t xml:space="preserve"> and </w:t>
      </w:r>
      <w:r w:rsidRPr="007B2402">
        <w:rPr>
          <w:rStyle w:val="Textoennegrita"/>
          <w:b w:val="0"/>
          <w:i/>
          <w:color w:val="000000"/>
          <w:sz w:val="16"/>
          <w:szCs w:val="16"/>
          <w:shd w:val="clear" w:color="auto" w:fill="FFFFFF"/>
          <w:lang w:val="en-US"/>
        </w:rPr>
        <w:t>Case of Furlan and family v. Argentina. Preliminary objections, merits, reparations and costs</w:t>
      </w:r>
      <w:r w:rsidRPr="007B2402">
        <w:rPr>
          <w:rStyle w:val="Textoennegrita"/>
          <w:b w:val="0"/>
          <w:color w:val="000000"/>
          <w:sz w:val="16"/>
          <w:szCs w:val="16"/>
          <w:shd w:val="clear" w:color="auto" w:fill="FFFFFF"/>
          <w:lang w:val="en-US"/>
        </w:rPr>
        <w:t>. Judgment of August 31, 2012. Series C No. 246</w:t>
      </w:r>
      <w:r w:rsidRPr="007B2402">
        <w:rPr>
          <w:bCs/>
          <w:sz w:val="16"/>
          <w:szCs w:val="16"/>
          <w:lang w:val="en-US"/>
        </w:rPr>
        <w:t>, para. 319.</w:t>
      </w:r>
    </w:p>
  </w:footnote>
  <w:footnote w:id="409">
    <w:p w14:paraId="5A3F6281" w14:textId="684651A5"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 Case of Garrido and Baigorria v. Argentina. Reparations and costs</w:t>
      </w:r>
      <w:r w:rsidRPr="007B2402">
        <w:rPr>
          <w:szCs w:val="16"/>
          <w:lang w:val="en-US"/>
        </w:rPr>
        <w:t xml:space="preserve">. Judgment of August 27, 1998. Series C No. 39, para. 82, </w:t>
      </w:r>
      <w:r w:rsidRPr="007B2402">
        <w:rPr>
          <w:bCs/>
          <w:i/>
          <w:szCs w:val="16"/>
          <w:lang w:val="en-US"/>
        </w:rPr>
        <w:t>Case of Andrade Salmón v. Bolivia</w:t>
      </w:r>
      <w:r w:rsidRPr="007B2402">
        <w:rPr>
          <w:szCs w:val="16"/>
          <w:lang w:val="en-US"/>
        </w:rPr>
        <w:t>, para. 210.</w:t>
      </w:r>
    </w:p>
  </w:footnote>
  <w:footnote w:id="410">
    <w:p w14:paraId="4CB2D690" w14:textId="389DF787"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 Case of Chaparro Álvarez and Lapo Íñiguez. v. Ecuador. Preliminary objections, merits, reparations and costs</w:t>
      </w:r>
      <w:r w:rsidRPr="007B2402">
        <w:rPr>
          <w:szCs w:val="16"/>
          <w:lang w:val="en-US"/>
        </w:rPr>
        <w:t xml:space="preserve">. Judgment of November 21, 2007. Series C No. 170, para. 277, and </w:t>
      </w:r>
      <w:r w:rsidRPr="007B2402">
        <w:rPr>
          <w:bCs/>
          <w:i/>
          <w:szCs w:val="16"/>
          <w:lang w:val="en-US"/>
        </w:rPr>
        <w:t>Case of Andrade Salmón v. Bolivia</w:t>
      </w:r>
      <w:r w:rsidRPr="007B2402">
        <w:rPr>
          <w:szCs w:val="16"/>
          <w:lang w:val="en-US"/>
        </w:rPr>
        <w:t>, para. 211.</w:t>
      </w:r>
    </w:p>
  </w:footnote>
  <w:footnote w:id="411">
    <w:p w14:paraId="03DE3B24" w14:textId="37EC6C8C" w:rsidR="00920DEA" w:rsidRPr="007B2402"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Cf. Case of J. v. Peru. Preliminary objection, Merits, reparations and costs</w:t>
      </w:r>
      <w:r w:rsidRPr="007B2402">
        <w:rPr>
          <w:szCs w:val="16"/>
          <w:lang w:val="en-US"/>
        </w:rPr>
        <w:t xml:space="preserve">. Judgment of November 27, 2013. Series C No. 275, para. 422; </w:t>
      </w:r>
      <w:r w:rsidRPr="007B2402">
        <w:rPr>
          <w:i/>
          <w:szCs w:val="16"/>
          <w:lang w:val="en-US"/>
        </w:rPr>
        <w:t>Case of Lopez Lone v. Honduras</w:t>
      </w:r>
      <w:r w:rsidRPr="007B2402">
        <w:rPr>
          <w:szCs w:val="16"/>
          <w:lang w:val="en-US"/>
        </w:rPr>
        <w:t>, para. 333.</w:t>
      </w:r>
    </w:p>
  </w:footnote>
  <w:footnote w:id="412">
    <w:p w14:paraId="7F8F8BF9" w14:textId="73F9E4C3" w:rsidR="00920DEA" w:rsidRPr="00E40F91" w:rsidRDefault="00920DEA" w:rsidP="005B1590">
      <w:pPr>
        <w:pStyle w:val="Textonotapie"/>
        <w:spacing w:after="80"/>
        <w:rPr>
          <w:szCs w:val="16"/>
          <w:lang w:val="en-US"/>
        </w:rPr>
      </w:pPr>
      <w:r w:rsidRPr="007B2402">
        <w:rPr>
          <w:rStyle w:val="Refdenotaalpie"/>
          <w:rFonts w:ascii="Verdana" w:hAnsi="Verdana"/>
          <w:szCs w:val="16"/>
          <w:lang w:val="en-US"/>
        </w:rPr>
        <w:footnoteRef/>
      </w:r>
      <w:r w:rsidRPr="007B2402">
        <w:rPr>
          <w:szCs w:val="16"/>
          <w:lang w:val="en-US"/>
        </w:rPr>
        <w:t xml:space="preserve"> </w:t>
      </w:r>
      <w:r w:rsidRPr="007B2402">
        <w:rPr>
          <w:i/>
          <w:szCs w:val="16"/>
          <w:lang w:val="en-US"/>
        </w:rPr>
        <w:t xml:space="preserve">Cf. </w:t>
      </w:r>
      <w:r w:rsidRPr="007B2402">
        <w:rPr>
          <w:bCs/>
          <w:i/>
          <w:szCs w:val="16"/>
          <w:lang w:val="en-US"/>
        </w:rPr>
        <w:t xml:space="preserve">Case of the Xákmok Kásek Indigenous Community v. Paraguay. Merits, reparations and costs. </w:t>
      </w:r>
      <w:r w:rsidRPr="007B2402">
        <w:rPr>
          <w:bCs/>
          <w:szCs w:val="16"/>
          <w:lang w:val="en-US"/>
        </w:rPr>
        <w:t>Judgment of August 24, 2010. Series C No. 214</w:t>
      </w:r>
      <w:r w:rsidRPr="007B2402">
        <w:rPr>
          <w:szCs w:val="16"/>
          <w:lang w:val="en-US"/>
        </w:rPr>
        <w:t xml:space="preserve">, para. 331 and </w:t>
      </w:r>
      <w:r w:rsidRPr="007B2402">
        <w:rPr>
          <w:rStyle w:val="Textoennegrita"/>
          <w:b w:val="0"/>
          <w:i/>
          <w:color w:val="000000"/>
          <w:szCs w:val="16"/>
          <w:shd w:val="clear" w:color="auto" w:fill="FFFFFF"/>
          <w:lang w:val="en-US"/>
        </w:rPr>
        <w:t>Case of Andrade Salmón v. Bolivia</w:t>
      </w:r>
      <w:r w:rsidRPr="007B2402">
        <w:rPr>
          <w:szCs w:val="16"/>
          <w:lang w:val="en-US"/>
        </w:rPr>
        <w:t>, para. 213.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CBA372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AB7F81"/>
    <w:multiLevelType w:val="hybridMultilevel"/>
    <w:tmpl w:val="6C627DF0"/>
    <w:lvl w:ilvl="0" w:tplc="F1D0548E">
      <w:start w:val="1"/>
      <w:numFmt w:val="upperLetter"/>
      <w:pStyle w:val="Ttulo2"/>
      <w:lvlText w:val="%1."/>
      <w:lvlJc w:val="left"/>
      <w:pPr>
        <w:ind w:left="1350" w:hanging="360"/>
      </w:pPr>
      <w:rPr>
        <w:b/>
        <w:i/>
        <w:lang w:val="es-CR"/>
      </w:rPr>
    </w:lvl>
    <w:lvl w:ilvl="1" w:tplc="21C4D032">
      <w:start w:val="1"/>
      <w:numFmt w:val="lowerLetter"/>
      <w:pStyle w:val="StyleHeading2LatinTimesNewRomanAsianBatang12ptN"/>
      <w:lvlText w:val="%2."/>
      <w:lvlJc w:val="left"/>
      <w:pPr>
        <w:ind w:left="1800" w:hanging="360"/>
      </w:pPr>
      <w:rPr>
        <w:color w:val="auto"/>
      </w:r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 w15:restartNumberingAfterBreak="0">
    <w:nsid w:val="044E6426"/>
    <w:multiLevelType w:val="hybridMultilevel"/>
    <w:tmpl w:val="A934AE50"/>
    <w:lvl w:ilvl="0" w:tplc="A05673E2">
      <w:start w:val="9"/>
      <w:numFmt w:val="lowerLetter"/>
      <w:lvlText w:val="%1)"/>
      <w:lvlJc w:val="left"/>
      <w:pPr>
        <w:ind w:left="1068"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757E47"/>
    <w:multiLevelType w:val="hybridMultilevel"/>
    <w:tmpl w:val="D730EB0C"/>
    <w:lvl w:ilvl="0" w:tplc="CF325398">
      <w:start w:val="1"/>
      <w:numFmt w:val="decimal"/>
      <w:pStyle w:val="Titre1"/>
      <w:lvlText w:val="%1."/>
      <w:lvlJc w:val="left"/>
      <w:pPr>
        <w:tabs>
          <w:tab w:val="num" w:pos="720"/>
        </w:tabs>
        <w:ind w:left="0" w:firstLine="720"/>
      </w:pPr>
      <w:rPr>
        <w:rFonts w:ascii="Verdana" w:hAnsi="Verdana" w:hint="default"/>
        <w:b w:val="0"/>
        <w:i w:val="0"/>
        <w:caps w:val="0"/>
        <w:strike w:val="0"/>
        <w:dstrike w:val="0"/>
        <w:vanish w:val="0"/>
        <w:webHidde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b w:val="0"/>
        <w:i w:val="0"/>
        <w:caps w:val="0"/>
        <w:strike w:val="0"/>
        <w:dstrike w:val="0"/>
        <w:vanish w:val="0"/>
        <w:webHidde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77C654AA">
      <w:start w:val="1"/>
      <w:numFmt w:val="decimal"/>
      <w:lvlText w:val="%3."/>
      <w:lvlJc w:val="left"/>
      <w:pPr>
        <w:tabs>
          <w:tab w:val="num" w:pos="2340"/>
        </w:tabs>
        <w:ind w:left="2340" w:hanging="360"/>
      </w:pPr>
      <w:rPr>
        <w:b/>
        <w:i w:val="0"/>
        <w:sz w:val="22"/>
      </w:rPr>
    </w:lvl>
    <w:lvl w:ilvl="3" w:tplc="00170409">
      <w:start w:val="1"/>
      <w:numFmt w:val="lowerLetter"/>
      <w:lvlText w:val="%4)"/>
      <w:lvlJc w:val="left"/>
      <w:pPr>
        <w:tabs>
          <w:tab w:val="num" w:pos="2880"/>
        </w:tabs>
        <w:ind w:left="2880" w:hanging="360"/>
      </w:pPr>
      <w:rPr>
        <w:b w:val="0"/>
        <w:i w:val="0"/>
        <w:caps w:val="0"/>
        <w:strike w:val="0"/>
        <w:dstrike w:val="0"/>
        <w:vanish w:val="0"/>
        <w:webHidde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9C927EE"/>
    <w:multiLevelType w:val="hybridMultilevel"/>
    <w:tmpl w:val="2640F326"/>
    <w:lvl w:ilvl="0" w:tplc="DE40F9A6">
      <w:start w:val="2"/>
      <w:numFmt w:val="lowerRoman"/>
      <w:lvlText w:val="%1)"/>
      <w:lvlJc w:val="left"/>
      <w:pPr>
        <w:ind w:left="1854"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BD9414E"/>
    <w:multiLevelType w:val="hybridMultilevel"/>
    <w:tmpl w:val="EC60D734"/>
    <w:lvl w:ilvl="0" w:tplc="4F0292BE">
      <w:start w:val="1"/>
      <w:numFmt w:val="upp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 w15:restartNumberingAfterBreak="0">
    <w:nsid w:val="113B3E29"/>
    <w:multiLevelType w:val="multilevel"/>
    <w:tmpl w:val="F28C8122"/>
    <w:lvl w:ilvl="0">
      <w:start w:val="1"/>
      <w:numFmt w:val="decimal"/>
      <w:lvlText w:val="%1."/>
      <w:lvlJc w:val="left"/>
      <w:pPr>
        <w:ind w:left="1788" w:hanging="360"/>
      </w:pPr>
      <w:rPr>
        <w:lang w:val="en-US"/>
      </w:rPr>
    </w:lvl>
    <w:lvl w:ilvl="1">
      <w:start w:val="1"/>
      <w:numFmt w:val="decimal"/>
      <w:isLgl/>
      <w:lvlText w:val="%1.%2."/>
      <w:lvlJc w:val="left"/>
      <w:pPr>
        <w:ind w:left="2853" w:hanging="720"/>
      </w:pPr>
      <w:rPr>
        <w:rFonts w:hint="default"/>
        <w:lang w:val="en-US"/>
      </w:rPr>
    </w:lvl>
    <w:lvl w:ilvl="2">
      <w:start w:val="1"/>
      <w:numFmt w:val="decimal"/>
      <w:isLgl/>
      <w:lvlText w:val="%1.%2.%3."/>
      <w:lvlJc w:val="left"/>
      <w:pPr>
        <w:ind w:left="3918" w:hanging="1080"/>
      </w:pPr>
      <w:rPr>
        <w:rFonts w:hint="default"/>
      </w:rPr>
    </w:lvl>
    <w:lvl w:ilvl="3">
      <w:start w:val="1"/>
      <w:numFmt w:val="decimal"/>
      <w:isLgl/>
      <w:lvlText w:val="%1.%2.%3.%4."/>
      <w:lvlJc w:val="left"/>
      <w:pPr>
        <w:ind w:left="4623" w:hanging="1080"/>
      </w:pPr>
      <w:rPr>
        <w:rFonts w:hint="default"/>
      </w:rPr>
    </w:lvl>
    <w:lvl w:ilvl="4">
      <w:start w:val="1"/>
      <w:numFmt w:val="decimal"/>
      <w:isLgl/>
      <w:lvlText w:val="%1.%2.%3.%4.%5."/>
      <w:lvlJc w:val="left"/>
      <w:pPr>
        <w:ind w:left="5688" w:hanging="1440"/>
      </w:pPr>
      <w:rPr>
        <w:rFonts w:hint="default"/>
      </w:rPr>
    </w:lvl>
    <w:lvl w:ilvl="5">
      <w:start w:val="1"/>
      <w:numFmt w:val="decimal"/>
      <w:isLgl/>
      <w:lvlText w:val="%1.%2.%3.%4.%5.%6."/>
      <w:lvlJc w:val="left"/>
      <w:pPr>
        <w:ind w:left="6753" w:hanging="1800"/>
      </w:pPr>
      <w:rPr>
        <w:rFonts w:hint="default"/>
      </w:rPr>
    </w:lvl>
    <w:lvl w:ilvl="6">
      <w:start w:val="1"/>
      <w:numFmt w:val="decimal"/>
      <w:isLgl/>
      <w:lvlText w:val="%1.%2.%3.%4.%5.%6.%7."/>
      <w:lvlJc w:val="left"/>
      <w:pPr>
        <w:ind w:left="7458" w:hanging="1800"/>
      </w:pPr>
      <w:rPr>
        <w:rFonts w:hint="default"/>
      </w:rPr>
    </w:lvl>
    <w:lvl w:ilvl="7">
      <w:start w:val="1"/>
      <w:numFmt w:val="decimal"/>
      <w:isLgl/>
      <w:lvlText w:val="%1.%2.%3.%4.%5.%6.%7.%8."/>
      <w:lvlJc w:val="left"/>
      <w:pPr>
        <w:ind w:left="8523" w:hanging="2160"/>
      </w:pPr>
      <w:rPr>
        <w:rFonts w:hint="default"/>
      </w:rPr>
    </w:lvl>
    <w:lvl w:ilvl="8">
      <w:start w:val="1"/>
      <w:numFmt w:val="decimal"/>
      <w:isLgl/>
      <w:lvlText w:val="%1.%2.%3.%4.%5.%6.%7.%8.%9."/>
      <w:lvlJc w:val="left"/>
      <w:pPr>
        <w:ind w:left="9588" w:hanging="2520"/>
      </w:pPr>
      <w:rPr>
        <w:rFonts w:hint="default"/>
      </w:rPr>
    </w:lvl>
  </w:abstractNum>
  <w:abstractNum w:abstractNumId="7" w15:restartNumberingAfterBreak="0">
    <w:nsid w:val="130970F2"/>
    <w:multiLevelType w:val="hybridMultilevel"/>
    <w:tmpl w:val="A4106854"/>
    <w:lvl w:ilvl="0" w:tplc="76E0CB34">
      <w:start w:val="5"/>
      <w:numFmt w:val="lowerLetter"/>
      <w:lvlText w:val="%1."/>
      <w:lvlJc w:val="left"/>
      <w:pPr>
        <w:ind w:left="129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BF0724F"/>
    <w:multiLevelType w:val="hybridMultilevel"/>
    <w:tmpl w:val="2BC0EEF6"/>
    <w:lvl w:ilvl="0" w:tplc="8EB09F50">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D8526EF"/>
    <w:multiLevelType w:val="hybridMultilevel"/>
    <w:tmpl w:val="1ECE0D76"/>
    <w:lvl w:ilvl="0" w:tplc="68B4503A">
      <w:start w:val="1"/>
      <w:numFmt w:val="upperLetter"/>
      <w:lvlText w:val="%1."/>
      <w:lvlJc w:val="left"/>
      <w:pPr>
        <w:ind w:left="2340" w:hanging="360"/>
      </w:pPr>
      <w:rPr>
        <w:rFonts w:hint="default"/>
      </w:rPr>
    </w:lvl>
    <w:lvl w:ilvl="1" w:tplc="0C0A0019" w:tentative="1">
      <w:start w:val="1"/>
      <w:numFmt w:val="lowerLetter"/>
      <w:lvlText w:val="%2."/>
      <w:lvlJc w:val="left"/>
      <w:pPr>
        <w:ind w:left="3060" w:hanging="360"/>
      </w:pPr>
    </w:lvl>
    <w:lvl w:ilvl="2" w:tplc="0C0A001B" w:tentative="1">
      <w:start w:val="1"/>
      <w:numFmt w:val="lowerRoman"/>
      <w:lvlText w:val="%3."/>
      <w:lvlJc w:val="right"/>
      <w:pPr>
        <w:ind w:left="3780" w:hanging="180"/>
      </w:pPr>
    </w:lvl>
    <w:lvl w:ilvl="3" w:tplc="0C0A000F" w:tentative="1">
      <w:start w:val="1"/>
      <w:numFmt w:val="decimal"/>
      <w:lvlText w:val="%4."/>
      <w:lvlJc w:val="left"/>
      <w:pPr>
        <w:ind w:left="4500" w:hanging="360"/>
      </w:pPr>
    </w:lvl>
    <w:lvl w:ilvl="4" w:tplc="0C0A0019" w:tentative="1">
      <w:start w:val="1"/>
      <w:numFmt w:val="lowerLetter"/>
      <w:lvlText w:val="%5."/>
      <w:lvlJc w:val="left"/>
      <w:pPr>
        <w:ind w:left="5220" w:hanging="360"/>
      </w:pPr>
    </w:lvl>
    <w:lvl w:ilvl="5" w:tplc="0C0A001B" w:tentative="1">
      <w:start w:val="1"/>
      <w:numFmt w:val="lowerRoman"/>
      <w:lvlText w:val="%6."/>
      <w:lvlJc w:val="right"/>
      <w:pPr>
        <w:ind w:left="5940" w:hanging="180"/>
      </w:pPr>
    </w:lvl>
    <w:lvl w:ilvl="6" w:tplc="0C0A000F" w:tentative="1">
      <w:start w:val="1"/>
      <w:numFmt w:val="decimal"/>
      <w:lvlText w:val="%7."/>
      <w:lvlJc w:val="left"/>
      <w:pPr>
        <w:ind w:left="6660" w:hanging="360"/>
      </w:pPr>
    </w:lvl>
    <w:lvl w:ilvl="7" w:tplc="0C0A0019" w:tentative="1">
      <w:start w:val="1"/>
      <w:numFmt w:val="lowerLetter"/>
      <w:lvlText w:val="%8."/>
      <w:lvlJc w:val="left"/>
      <w:pPr>
        <w:ind w:left="7380" w:hanging="360"/>
      </w:pPr>
    </w:lvl>
    <w:lvl w:ilvl="8" w:tplc="0C0A001B" w:tentative="1">
      <w:start w:val="1"/>
      <w:numFmt w:val="lowerRoman"/>
      <w:lvlText w:val="%9."/>
      <w:lvlJc w:val="right"/>
      <w:pPr>
        <w:ind w:left="8100" w:hanging="180"/>
      </w:pPr>
    </w:lvl>
  </w:abstractNum>
  <w:abstractNum w:abstractNumId="10" w15:restartNumberingAfterBreak="0">
    <w:nsid w:val="1FCF7E50"/>
    <w:multiLevelType w:val="hybridMultilevel"/>
    <w:tmpl w:val="5A7A65FE"/>
    <w:lvl w:ilvl="0" w:tplc="4E64CBF8">
      <w:start w:val="1"/>
      <w:numFmt w:val="decimal"/>
      <w:lvlText w:val="%1."/>
      <w:lvlJc w:val="left"/>
      <w:pPr>
        <w:ind w:left="720" w:hanging="360"/>
      </w:pPr>
      <w:rPr>
        <w:b w:val="0"/>
        <w:lang w:val="es-E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1" w15:restartNumberingAfterBreak="0">
    <w:nsid w:val="22670532"/>
    <w:multiLevelType w:val="hybridMultilevel"/>
    <w:tmpl w:val="DCBA6E06"/>
    <w:lvl w:ilvl="0" w:tplc="EE303E38">
      <w:start w:val="2"/>
      <w:numFmt w:val="lowerRoman"/>
      <w:lvlText w:val="%1)"/>
      <w:lvlJc w:val="left"/>
      <w:pPr>
        <w:ind w:left="1854"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957A65"/>
    <w:multiLevelType w:val="hybridMultilevel"/>
    <w:tmpl w:val="C03A0388"/>
    <w:lvl w:ilvl="0" w:tplc="2C7AD2E8">
      <w:start w:val="1"/>
      <w:numFmt w:val="lowerRoman"/>
      <w:lvlText w:val="%1)"/>
      <w:lvlJc w:val="left"/>
      <w:pPr>
        <w:ind w:left="1788" w:hanging="720"/>
      </w:pPr>
      <w:rPr>
        <w:rFonts w:hint="default"/>
        <w:i w:val="0"/>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15:restartNumberingAfterBreak="0">
    <w:nsid w:val="2B005B3F"/>
    <w:multiLevelType w:val="hybridMultilevel"/>
    <w:tmpl w:val="D796432E"/>
    <w:lvl w:ilvl="0" w:tplc="140A0015">
      <w:start w:val="1"/>
      <w:numFmt w:val="upperLetter"/>
      <w:lvlText w:val="%1."/>
      <w:lvlJc w:val="left"/>
      <w:pPr>
        <w:ind w:left="90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E146FA0"/>
    <w:multiLevelType w:val="hybridMultilevel"/>
    <w:tmpl w:val="3C2853E2"/>
    <w:lvl w:ilvl="0" w:tplc="0096F328">
      <w:start w:val="1"/>
      <w:numFmt w:val="lowerRoman"/>
      <w:lvlText w:val="%1)"/>
      <w:lvlJc w:val="left"/>
      <w:pPr>
        <w:ind w:left="171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E396A54"/>
    <w:multiLevelType w:val="hybridMultilevel"/>
    <w:tmpl w:val="BF12C252"/>
    <w:lvl w:ilvl="0" w:tplc="E9E24346">
      <w:start w:val="2"/>
      <w:numFmt w:val="lowerLetter"/>
      <w:lvlText w:val="%1."/>
      <w:lvlJc w:val="left"/>
      <w:pPr>
        <w:ind w:left="36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05972E0"/>
    <w:multiLevelType w:val="hybridMultilevel"/>
    <w:tmpl w:val="835CD1E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FD76741"/>
    <w:multiLevelType w:val="hybridMultilevel"/>
    <w:tmpl w:val="D9588A98"/>
    <w:lvl w:ilvl="0" w:tplc="84B44DC0">
      <w:start w:val="1"/>
      <w:numFmt w:val="lowerLetter"/>
      <w:lvlText w:val="%1)"/>
      <w:lvlJc w:val="left"/>
      <w:pPr>
        <w:ind w:left="720" w:hanging="360"/>
      </w:pPr>
      <w:rPr>
        <w:b w:val="0"/>
        <w:i w:val="0"/>
        <w:sz w:val="20"/>
        <w:szCs w:val="2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8" w15:restartNumberingAfterBreak="0">
    <w:nsid w:val="44E963FA"/>
    <w:multiLevelType w:val="hybridMultilevel"/>
    <w:tmpl w:val="AFCA4B76"/>
    <w:lvl w:ilvl="0" w:tplc="661E17E0">
      <w:start w:val="1"/>
      <w:numFmt w:val="lowerLetter"/>
      <w:lvlText w:val="%1)"/>
      <w:lvlJc w:val="left"/>
      <w:pPr>
        <w:ind w:left="1068" w:hanging="360"/>
      </w:pPr>
      <w:rPr>
        <w:rFonts w:hint="default"/>
        <w:b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15:restartNumberingAfterBreak="0">
    <w:nsid w:val="45BC0803"/>
    <w:multiLevelType w:val="hybridMultilevel"/>
    <w:tmpl w:val="12525976"/>
    <w:lvl w:ilvl="0" w:tplc="2A58B6E2">
      <w:start w:val="2"/>
      <w:numFmt w:val="lowerLetter"/>
      <w:lvlText w:val="%1."/>
      <w:lvlJc w:val="left"/>
      <w:pPr>
        <w:ind w:left="129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A793B17"/>
    <w:multiLevelType w:val="hybridMultilevel"/>
    <w:tmpl w:val="DCA6862C"/>
    <w:lvl w:ilvl="0" w:tplc="C4B00AB4">
      <w:start w:val="1"/>
      <w:numFmt w:val="upperLetter"/>
      <w:lvlText w:val="%1."/>
      <w:lvlJc w:val="left"/>
      <w:pPr>
        <w:ind w:left="90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4AA86158"/>
    <w:multiLevelType w:val="hybridMultilevel"/>
    <w:tmpl w:val="8E9C8FC4"/>
    <w:lvl w:ilvl="0" w:tplc="D6924968">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B27653B"/>
    <w:multiLevelType w:val="hybridMultilevel"/>
    <w:tmpl w:val="C1C63E82"/>
    <w:lvl w:ilvl="0" w:tplc="5F20B2DE">
      <w:start w:val="9"/>
      <w:numFmt w:val="lowerLetter"/>
      <w:lvlText w:val="%1)"/>
      <w:lvlJc w:val="left"/>
      <w:pPr>
        <w:ind w:left="1068"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C7578B9"/>
    <w:multiLevelType w:val="hybridMultilevel"/>
    <w:tmpl w:val="2110AF1C"/>
    <w:lvl w:ilvl="0" w:tplc="0930E026">
      <w:start w:val="2"/>
      <w:numFmt w:val="lowerRoman"/>
      <w:lvlText w:val="%1)"/>
      <w:lvlJc w:val="left"/>
      <w:pPr>
        <w:ind w:left="1854"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C940623"/>
    <w:multiLevelType w:val="hybridMultilevel"/>
    <w:tmpl w:val="644AEE66"/>
    <w:lvl w:ilvl="0" w:tplc="6900A760">
      <w:start w:val="1"/>
      <w:numFmt w:val="low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E293D0D"/>
    <w:multiLevelType w:val="multilevel"/>
    <w:tmpl w:val="B6382E80"/>
    <w:lvl w:ilvl="0">
      <w:start w:val="2"/>
      <w:numFmt w:val="decimal"/>
      <w:lvlText w:val="%1"/>
      <w:lvlJc w:val="left"/>
      <w:pPr>
        <w:ind w:left="360" w:hanging="36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7806" w:hanging="720"/>
      </w:pPr>
      <w:rPr>
        <w:rFonts w:hint="default"/>
      </w:rPr>
    </w:lvl>
    <w:lvl w:ilvl="3">
      <w:start w:val="1"/>
      <w:numFmt w:val="decimal"/>
      <w:lvlText w:val="%1.%2.%3.%4"/>
      <w:lvlJc w:val="left"/>
      <w:pPr>
        <w:ind w:left="11709" w:hanging="1080"/>
      </w:pPr>
      <w:rPr>
        <w:rFonts w:hint="default"/>
      </w:rPr>
    </w:lvl>
    <w:lvl w:ilvl="4">
      <w:start w:val="1"/>
      <w:numFmt w:val="decimal"/>
      <w:lvlText w:val="%1.%2.%3.%4.%5"/>
      <w:lvlJc w:val="left"/>
      <w:pPr>
        <w:ind w:left="15612" w:hanging="1440"/>
      </w:pPr>
      <w:rPr>
        <w:rFonts w:hint="default"/>
      </w:rPr>
    </w:lvl>
    <w:lvl w:ilvl="5">
      <w:start w:val="1"/>
      <w:numFmt w:val="decimal"/>
      <w:lvlText w:val="%1.%2.%3.%4.%5.%6"/>
      <w:lvlJc w:val="left"/>
      <w:pPr>
        <w:ind w:left="19155" w:hanging="1440"/>
      </w:pPr>
      <w:rPr>
        <w:rFonts w:hint="default"/>
      </w:rPr>
    </w:lvl>
    <w:lvl w:ilvl="6">
      <w:start w:val="1"/>
      <w:numFmt w:val="decimal"/>
      <w:lvlText w:val="%1.%2.%3.%4.%5.%6.%7"/>
      <w:lvlJc w:val="left"/>
      <w:pPr>
        <w:ind w:left="23058" w:hanging="1800"/>
      </w:pPr>
      <w:rPr>
        <w:rFonts w:hint="default"/>
      </w:rPr>
    </w:lvl>
    <w:lvl w:ilvl="7">
      <w:start w:val="1"/>
      <w:numFmt w:val="decimal"/>
      <w:lvlText w:val="%1.%2.%3.%4.%5.%6.%7.%8"/>
      <w:lvlJc w:val="left"/>
      <w:pPr>
        <w:ind w:left="26961" w:hanging="2160"/>
      </w:pPr>
      <w:rPr>
        <w:rFonts w:hint="default"/>
      </w:rPr>
    </w:lvl>
    <w:lvl w:ilvl="8">
      <w:start w:val="1"/>
      <w:numFmt w:val="decimal"/>
      <w:lvlText w:val="%1.%2.%3.%4.%5.%6.%7.%8.%9"/>
      <w:lvlJc w:val="left"/>
      <w:pPr>
        <w:ind w:left="30504" w:hanging="2160"/>
      </w:pPr>
      <w:rPr>
        <w:rFonts w:hint="default"/>
      </w:rPr>
    </w:lvl>
  </w:abstractNum>
  <w:abstractNum w:abstractNumId="26" w15:restartNumberingAfterBreak="0">
    <w:nsid w:val="55DF17A9"/>
    <w:multiLevelType w:val="hybridMultilevel"/>
    <w:tmpl w:val="AFAE4862"/>
    <w:lvl w:ilvl="0" w:tplc="3ED01C96">
      <w:start w:val="1"/>
      <w:numFmt w:val="lowerLetter"/>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8382111"/>
    <w:multiLevelType w:val="hybridMultilevel"/>
    <w:tmpl w:val="55B4364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DD86B66"/>
    <w:multiLevelType w:val="hybridMultilevel"/>
    <w:tmpl w:val="1700B666"/>
    <w:lvl w:ilvl="0" w:tplc="FA0A065E">
      <w:start w:val="1"/>
      <w:numFmt w:val="lowerRoman"/>
      <w:lvlText w:val="%1)"/>
      <w:lvlJc w:val="left"/>
      <w:pPr>
        <w:ind w:left="1854" w:hanging="720"/>
      </w:pPr>
    </w:lvl>
    <w:lvl w:ilvl="1" w:tplc="07E2B702">
      <w:start w:val="1"/>
      <w:numFmt w:val="lowerLetter"/>
      <w:lvlText w:val="%2."/>
      <w:lvlJc w:val="left"/>
      <w:pPr>
        <w:ind w:left="1800" w:hanging="360"/>
      </w:pPr>
      <w:rPr>
        <w:b w:val="0"/>
        <w:i w:val="0"/>
        <w:sz w:val="18"/>
        <w:szCs w:val="18"/>
      </w:rPr>
    </w:lvl>
    <w:lvl w:ilvl="2" w:tplc="0C0A0015">
      <w:start w:val="1"/>
      <w:numFmt w:val="upperLetter"/>
      <w:lvlText w:val="%3."/>
      <w:lvlJc w:val="left"/>
      <w:pPr>
        <w:ind w:left="0" w:firstLine="0"/>
      </w:pPr>
    </w:lvl>
    <w:lvl w:ilvl="3" w:tplc="140A000F">
      <w:start w:val="1"/>
      <w:numFmt w:val="decimal"/>
      <w:lvlText w:val="%4."/>
      <w:lvlJc w:val="left"/>
      <w:pPr>
        <w:ind w:left="3654" w:hanging="360"/>
      </w:pPr>
    </w:lvl>
    <w:lvl w:ilvl="4" w:tplc="140A0019">
      <w:start w:val="1"/>
      <w:numFmt w:val="lowerLetter"/>
      <w:lvlText w:val="%5."/>
      <w:lvlJc w:val="left"/>
      <w:pPr>
        <w:ind w:left="4374" w:hanging="360"/>
      </w:pPr>
    </w:lvl>
    <w:lvl w:ilvl="5" w:tplc="140A001B">
      <w:start w:val="1"/>
      <w:numFmt w:val="lowerRoman"/>
      <w:lvlText w:val="%6."/>
      <w:lvlJc w:val="right"/>
      <w:pPr>
        <w:ind w:left="5094" w:hanging="180"/>
      </w:pPr>
    </w:lvl>
    <w:lvl w:ilvl="6" w:tplc="140A000F">
      <w:start w:val="1"/>
      <w:numFmt w:val="decimal"/>
      <w:lvlText w:val="%7."/>
      <w:lvlJc w:val="left"/>
      <w:pPr>
        <w:ind w:left="5814" w:hanging="360"/>
      </w:pPr>
    </w:lvl>
    <w:lvl w:ilvl="7" w:tplc="140A0019">
      <w:start w:val="1"/>
      <w:numFmt w:val="lowerLetter"/>
      <w:lvlText w:val="%8."/>
      <w:lvlJc w:val="left"/>
      <w:pPr>
        <w:ind w:left="6534" w:hanging="360"/>
      </w:pPr>
    </w:lvl>
    <w:lvl w:ilvl="8" w:tplc="140A001B">
      <w:start w:val="1"/>
      <w:numFmt w:val="lowerRoman"/>
      <w:lvlText w:val="%9."/>
      <w:lvlJc w:val="right"/>
      <w:pPr>
        <w:ind w:left="7254" w:hanging="180"/>
      </w:pPr>
    </w:lvl>
  </w:abstractNum>
  <w:abstractNum w:abstractNumId="29" w15:restartNumberingAfterBreak="0">
    <w:nsid w:val="64A2570F"/>
    <w:multiLevelType w:val="hybridMultilevel"/>
    <w:tmpl w:val="AFCA4B76"/>
    <w:lvl w:ilvl="0" w:tplc="661E17E0">
      <w:start w:val="1"/>
      <w:numFmt w:val="lowerLetter"/>
      <w:lvlText w:val="%1)"/>
      <w:lvlJc w:val="left"/>
      <w:pPr>
        <w:ind w:left="1068" w:hanging="360"/>
      </w:pPr>
      <w:rPr>
        <w:rFonts w:hint="default"/>
        <w:b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0" w15:restartNumberingAfterBreak="0">
    <w:nsid w:val="65DF7271"/>
    <w:multiLevelType w:val="hybridMultilevel"/>
    <w:tmpl w:val="5F36FB60"/>
    <w:lvl w:ilvl="0" w:tplc="EE9C9A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89902E2"/>
    <w:multiLevelType w:val="hybridMultilevel"/>
    <w:tmpl w:val="5F36FB60"/>
    <w:lvl w:ilvl="0" w:tplc="EE9C9A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6753A80"/>
    <w:multiLevelType w:val="hybridMultilevel"/>
    <w:tmpl w:val="43B037C8"/>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3F0893E6">
      <w:start w:val="1"/>
      <w:numFmt w:val="decimal"/>
      <w:lvlText w:val="%4."/>
      <w:lvlJc w:val="left"/>
      <w:pPr>
        <w:ind w:left="2738" w:hanging="360"/>
      </w:p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33" w15:restartNumberingAfterBreak="0">
    <w:nsid w:val="78F813E1"/>
    <w:multiLevelType w:val="hybridMultilevel"/>
    <w:tmpl w:val="AFCA4B76"/>
    <w:lvl w:ilvl="0" w:tplc="661E17E0">
      <w:start w:val="1"/>
      <w:numFmt w:val="lowerLetter"/>
      <w:lvlText w:val="%1)"/>
      <w:lvlJc w:val="left"/>
      <w:pPr>
        <w:ind w:left="1068" w:hanging="360"/>
      </w:pPr>
      <w:rPr>
        <w:rFonts w:hint="default"/>
        <w:b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4" w15:restartNumberingAfterBreak="0">
    <w:nsid w:val="79354707"/>
    <w:multiLevelType w:val="hybridMultilevel"/>
    <w:tmpl w:val="B90EDDB8"/>
    <w:lvl w:ilvl="0" w:tplc="985C757E">
      <w:start w:val="1"/>
      <w:numFmt w:val="decimal"/>
      <w:lvlText w:val="%1."/>
      <w:lvlJc w:val="left"/>
      <w:pPr>
        <w:ind w:left="825" w:hanging="825"/>
      </w:pPr>
      <w:rPr>
        <w:rFonts w:ascii="Verdana" w:eastAsia="Verdana" w:hAnsi="Verdana" w:cs="Verdana" w:hint="default"/>
        <w:b w:val="0"/>
        <w:i w:val="0"/>
        <w:color w:val="auto"/>
        <w:sz w:val="20"/>
        <w:szCs w:val="20"/>
        <w:lang w:val="es-E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5" w15:restartNumberingAfterBreak="0">
    <w:nsid w:val="7CE64D32"/>
    <w:multiLevelType w:val="hybridMultilevel"/>
    <w:tmpl w:val="E9AAC004"/>
    <w:lvl w:ilvl="0" w:tplc="84C60B70">
      <w:start w:val="1"/>
      <w:numFmt w:val="decimal"/>
      <w:lvlText w:val="%1."/>
      <w:lvlJc w:val="left"/>
      <w:pPr>
        <w:tabs>
          <w:tab w:val="num" w:pos="11028"/>
        </w:tabs>
        <w:ind w:left="0" w:firstLine="0"/>
      </w:pPr>
      <w:rPr>
        <w:rFonts w:ascii="Verdana" w:eastAsia="Times New Roman" w:hAnsi="Verdana"/>
        <w:b w:val="0"/>
        <w:bCs w:val="0"/>
        <w:i w:val="0"/>
        <w:iCs w:val="0"/>
        <w:strike w:val="0"/>
        <w:dstrike w:val="0"/>
        <w:color w:val="auto"/>
        <w:sz w:val="20"/>
        <w:szCs w:val="20"/>
        <w:u w:val="none"/>
        <w:effect w:val="none"/>
        <w:lang w:val="es-ES_tradnl"/>
      </w:rPr>
    </w:lvl>
    <w:lvl w:ilvl="1" w:tplc="140A0019">
      <w:start w:val="1"/>
      <w:numFmt w:val="lowerLetter"/>
      <w:lvlText w:val="%2)"/>
      <w:lvlJc w:val="left"/>
      <w:pPr>
        <w:tabs>
          <w:tab w:val="num" w:pos="1080"/>
        </w:tabs>
        <w:ind w:left="1080" w:hanging="360"/>
      </w:pPr>
      <w:rPr>
        <w:b w:val="0"/>
        <w:bCs w:val="0"/>
        <w:i w:val="0"/>
        <w:iCs w:val="0"/>
        <w:sz w:val="20"/>
        <w:szCs w:val="20"/>
      </w:rPr>
    </w:lvl>
    <w:lvl w:ilvl="2" w:tplc="140A001B">
      <w:start w:val="1"/>
      <w:numFmt w:val="lowerRoman"/>
      <w:lvlText w:val="%3."/>
      <w:lvlJc w:val="right"/>
      <w:pPr>
        <w:tabs>
          <w:tab w:val="num" w:pos="1530"/>
        </w:tabs>
        <w:ind w:left="1530" w:hanging="180"/>
      </w:pPr>
      <w:rPr>
        <w:b w:val="0"/>
        <w:strike w:val="0"/>
        <w:dstrike w:val="0"/>
        <w:u w:val="none"/>
        <w:effect w:val="none"/>
      </w:rPr>
    </w:lvl>
    <w:lvl w:ilvl="3" w:tplc="140A000F">
      <w:start w:val="1"/>
      <w:numFmt w:val="decimal"/>
      <w:lvlText w:val="%4."/>
      <w:lvlJc w:val="left"/>
      <w:pPr>
        <w:tabs>
          <w:tab w:val="num" w:pos="2880"/>
        </w:tabs>
        <w:ind w:left="2880" w:hanging="360"/>
      </w:pPr>
    </w:lvl>
    <w:lvl w:ilvl="4" w:tplc="140A0019">
      <w:start w:val="1"/>
      <w:numFmt w:val="lowerLetter"/>
      <w:pStyle w:val="Ttulo6"/>
      <w:lvlText w:val="%5."/>
      <w:lvlJc w:val="left"/>
      <w:pPr>
        <w:tabs>
          <w:tab w:val="num" w:pos="3600"/>
        </w:tabs>
        <w:ind w:left="3600" w:hanging="360"/>
      </w:pPr>
    </w:lvl>
    <w:lvl w:ilvl="5" w:tplc="140A001B">
      <w:start w:val="1"/>
      <w:numFmt w:val="lowerRoman"/>
      <w:lvlText w:val="%6."/>
      <w:lvlJc w:val="right"/>
      <w:pPr>
        <w:tabs>
          <w:tab w:val="num" w:pos="4320"/>
        </w:tabs>
        <w:ind w:left="4320" w:hanging="180"/>
      </w:pPr>
    </w:lvl>
    <w:lvl w:ilvl="6" w:tplc="140A000F">
      <w:start w:val="1"/>
      <w:numFmt w:val="decimal"/>
      <w:lvlText w:val="%7."/>
      <w:lvlJc w:val="left"/>
      <w:pPr>
        <w:tabs>
          <w:tab w:val="num" w:pos="5040"/>
        </w:tabs>
        <w:ind w:left="5040" w:hanging="360"/>
      </w:pPr>
    </w:lvl>
    <w:lvl w:ilvl="7" w:tplc="140A0019">
      <w:start w:val="1"/>
      <w:numFmt w:val="lowerLetter"/>
      <w:lvlText w:val="%8."/>
      <w:lvlJc w:val="left"/>
      <w:pPr>
        <w:tabs>
          <w:tab w:val="num" w:pos="5760"/>
        </w:tabs>
        <w:ind w:left="5760" w:hanging="360"/>
      </w:pPr>
    </w:lvl>
    <w:lvl w:ilvl="8" w:tplc="140A001B">
      <w:start w:val="1"/>
      <w:numFmt w:val="lowerRoman"/>
      <w:lvlText w:val="%9."/>
      <w:lvlJc w:val="right"/>
      <w:pPr>
        <w:tabs>
          <w:tab w:val="num" w:pos="6480"/>
        </w:tabs>
        <w:ind w:left="6480" w:hanging="180"/>
      </w:pPr>
    </w:lvl>
  </w:abstractNum>
  <w:num w:numId="1">
    <w:abstractNumId w:val="20"/>
  </w:num>
  <w:num w:numId="2">
    <w:abstractNumId w:val="35"/>
  </w:num>
  <w:num w:numId="3">
    <w:abstractNumId w:val="0"/>
  </w:num>
  <w:num w:numId="4">
    <w:abstractNumId w:val="3"/>
  </w:num>
  <w:num w:numId="5">
    <w:abstractNumId w:val="32"/>
  </w:num>
  <w:num w:numId="6">
    <w:abstractNumId w:val="32"/>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3"/>
  </w:num>
  <w:num w:numId="11">
    <w:abstractNumId w:val="26"/>
  </w:num>
  <w:num w:numId="12">
    <w:abstractNumId w:val="5"/>
  </w:num>
  <w:num w:numId="13">
    <w:abstractNumId w:val="21"/>
  </w:num>
  <w:num w:numId="14">
    <w:abstractNumId w:val="29"/>
  </w:num>
  <w:num w:numId="15">
    <w:abstractNumId w:val="6"/>
  </w:num>
  <w:num w:numId="16">
    <w:abstractNumId w:val="25"/>
  </w:num>
  <w:num w:numId="17">
    <w:abstractNumId w:val="24"/>
    <w:lvlOverride w:ilvl="0">
      <w:startOverride w:val="1"/>
    </w:lvlOverride>
  </w:num>
  <w:num w:numId="18">
    <w:abstractNumId w:val="18"/>
  </w:num>
  <w:num w:numId="19">
    <w:abstractNumId w:val="33"/>
  </w:num>
  <w:num w:numId="20">
    <w:abstractNumId w:val="30"/>
  </w:num>
  <w:num w:numId="21">
    <w:abstractNumId w:val="27"/>
  </w:num>
  <w:num w:numId="22">
    <w:abstractNumId w:val="9"/>
  </w:num>
  <w:num w:numId="23">
    <w:abstractNumId w:val="28"/>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6"/>
  </w:num>
  <w:num w:numId="32">
    <w:abstractNumId w:val="19"/>
  </w:num>
  <w:num w:numId="33">
    <w:abstractNumId w:val="24"/>
  </w:num>
  <w:num w:numId="34">
    <w:abstractNumId w:val="15"/>
  </w:num>
  <w:num w:numId="35">
    <w:abstractNumId w:val="34"/>
  </w:num>
  <w:num w:numId="36">
    <w:abstractNumId w:val="7"/>
  </w:num>
  <w:num w:numId="37">
    <w:abstractNumId w:val="4"/>
  </w:num>
  <w:num w:numId="38">
    <w:abstractNumId w:val="22"/>
  </w:num>
  <w:num w:numId="39">
    <w:abstractNumId w:val="23"/>
  </w:num>
  <w:num w:numId="40">
    <w:abstractNumId w:val="2"/>
  </w:num>
  <w:num w:numId="41">
    <w:abstractNumId w:val="11"/>
  </w:num>
  <w:num w:numId="42">
    <w:abstractNumId w:val="14"/>
  </w:num>
  <w:num w:numId="43">
    <w:abstractNumId w:val="8"/>
  </w:num>
  <w:num w:numId="44">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CR" w:vendorID="64" w:dllVersion="6" w:nlCheck="1" w:checkStyle="1"/>
  <w:activeWritingStyle w:appName="MSWord" w:lang="en-US" w:vendorID="64" w:dllVersion="6" w:nlCheck="1" w:checkStyle="1"/>
  <w:activeWritingStyle w:appName="MSWord" w:lang="es-ES" w:vendorID="64" w:dllVersion="0" w:nlCheck="1" w:checkStyle="0"/>
  <w:activeWritingStyle w:appName="MSWord" w:lang="en-US" w:vendorID="64" w:dllVersion="0" w:nlCheck="1" w:checkStyle="0"/>
  <w:activeWritingStyle w:appName="MSWord" w:lang="es-CR"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s-AR" w:vendorID="64" w:dllVersion="0" w:nlCheck="1" w:checkStyle="0"/>
  <w:activeWritingStyle w:appName="MSWord" w:lang="en-US" w:vendorID="64" w:dllVersion="4096" w:nlCheck="1" w:checkStyle="0"/>
  <w:activeWritingStyle w:appName="MSWord" w:lang="fr-FR" w:vendorID="64" w:dllVersion="4096" w:nlCheck="1" w:checkStyle="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455"/>
    <w:rsid w:val="00001C39"/>
    <w:rsid w:val="00001FF6"/>
    <w:rsid w:val="000021D7"/>
    <w:rsid w:val="0000234E"/>
    <w:rsid w:val="000064B0"/>
    <w:rsid w:val="000065D6"/>
    <w:rsid w:val="000077DC"/>
    <w:rsid w:val="00010862"/>
    <w:rsid w:val="00010863"/>
    <w:rsid w:val="000116D0"/>
    <w:rsid w:val="00012C6E"/>
    <w:rsid w:val="00012C95"/>
    <w:rsid w:val="000149A8"/>
    <w:rsid w:val="0001528A"/>
    <w:rsid w:val="00016BA4"/>
    <w:rsid w:val="00017F3F"/>
    <w:rsid w:val="00017FB7"/>
    <w:rsid w:val="000207D5"/>
    <w:rsid w:val="00020A3E"/>
    <w:rsid w:val="00020D5F"/>
    <w:rsid w:val="00021BBC"/>
    <w:rsid w:val="00021D42"/>
    <w:rsid w:val="000228EE"/>
    <w:rsid w:val="000230DA"/>
    <w:rsid w:val="00023645"/>
    <w:rsid w:val="000245C5"/>
    <w:rsid w:val="000251CD"/>
    <w:rsid w:val="000251D5"/>
    <w:rsid w:val="00026323"/>
    <w:rsid w:val="000276D3"/>
    <w:rsid w:val="00027F27"/>
    <w:rsid w:val="00030CAE"/>
    <w:rsid w:val="00031F73"/>
    <w:rsid w:val="0003331F"/>
    <w:rsid w:val="00035123"/>
    <w:rsid w:val="000361ED"/>
    <w:rsid w:val="000422CC"/>
    <w:rsid w:val="000424C5"/>
    <w:rsid w:val="00043238"/>
    <w:rsid w:val="000432A0"/>
    <w:rsid w:val="0004374A"/>
    <w:rsid w:val="00043AB1"/>
    <w:rsid w:val="00043F88"/>
    <w:rsid w:val="00044783"/>
    <w:rsid w:val="00044790"/>
    <w:rsid w:val="00047310"/>
    <w:rsid w:val="00051988"/>
    <w:rsid w:val="00052439"/>
    <w:rsid w:val="00052AEA"/>
    <w:rsid w:val="00052FFF"/>
    <w:rsid w:val="00053F53"/>
    <w:rsid w:val="00055227"/>
    <w:rsid w:val="00056037"/>
    <w:rsid w:val="0006074D"/>
    <w:rsid w:val="000640FA"/>
    <w:rsid w:val="00071C57"/>
    <w:rsid w:val="00072F45"/>
    <w:rsid w:val="0007304B"/>
    <w:rsid w:val="00073D08"/>
    <w:rsid w:val="000744A8"/>
    <w:rsid w:val="0007496E"/>
    <w:rsid w:val="0007545E"/>
    <w:rsid w:val="000767B9"/>
    <w:rsid w:val="000819A0"/>
    <w:rsid w:val="0008222D"/>
    <w:rsid w:val="000853F3"/>
    <w:rsid w:val="00085806"/>
    <w:rsid w:val="00085AD3"/>
    <w:rsid w:val="000861F7"/>
    <w:rsid w:val="000873A7"/>
    <w:rsid w:val="000917C2"/>
    <w:rsid w:val="0009296A"/>
    <w:rsid w:val="00094B39"/>
    <w:rsid w:val="00094D6C"/>
    <w:rsid w:val="00095F7C"/>
    <w:rsid w:val="000A2E96"/>
    <w:rsid w:val="000A429E"/>
    <w:rsid w:val="000A63CA"/>
    <w:rsid w:val="000A67F1"/>
    <w:rsid w:val="000A6DAF"/>
    <w:rsid w:val="000A71DC"/>
    <w:rsid w:val="000A7594"/>
    <w:rsid w:val="000B1E5D"/>
    <w:rsid w:val="000B34B3"/>
    <w:rsid w:val="000B53D0"/>
    <w:rsid w:val="000B565F"/>
    <w:rsid w:val="000B7F19"/>
    <w:rsid w:val="000C004E"/>
    <w:rsid w:val="000C059C"/>
    <w:rsid w:val="000C09D7"/>
    <w:rsid w:val="000C1A43"/>
    <w:rsid w:val="000C1EDB"/>
    <w:rsid w:val="000C36E3"/>
    <w:rsid w:val="000C3D05"/>
    <w:rsid w:val="000C4476"/>
    <w:rsid w:val="000C4A92"/>
    <w:rsid w:val="000C4BF1"/>
    <w:rsid w:val="000C4CB0"/>
    <w:rsid w:val="000C74EE"/>
    <w:rsid w:val="000C7805"/>
    <w:rsid w:val="000D12A7"/>
    <w:rsid w:val="000D37F4"/>
    <w:rsid w:val="000D42BF"/>
    <w:rsid w:val="000D54AA"/>
    <w:rsid w:val="000D5952"/>
    <w:rsid w:val="000D67FA"/>
    <w:rsid w:val="000D6E3E"/>
    <w:rsid w:val="000D790F"/>
    <w:rsid w:val="000E0E0F"/>
    <w:rsid w:val="000E2621"/>
    <w:rsid w:val="000E3354"/>
    <w:rsid w:val="000E3E8E"/>
    <w:rsid w:val="000E4F2B"/>
    <w:rsid w:val="000E5EF6"/>
    <w:rsid w:val="000E79F5"/>
    <w:rsid w:val="000F08E5"/>
    <w:rsid w:val="000F120D"/>
    <w:rsid w:val="000F15A8"/>
    <w:rsid w:val="000F3F79"/>
    <w:rsid w:val="000F479A"/>
    <w:rsid w:val="000F6141"/>
    <w:rsid w:val="000F72CC"/>
    <w:rsid w:val="000F7C6C"/>
    <w:rsid w:val="001000C3"/>
    <w:rsid w:val="0010068A"/>
    <w:rsid w:val="0010175A"/>
    <w:rsid w:val="00102A61"/>
    <w:rsid w:val="00103FD7"/>
    <w:rsid w:val="001041B4"/>
    <w:rsid w:val="0010454C"/>
    <w:rsid w:val="001045BC"/>
    <w:rsid w:val="00105BF4"/>
    <w:rsid w:val="00105F93"/>
    <w:rsid w:val="00106B12"/>
    <w:rsid w:val="00111EE3"/>
    <w:rsid w:val="00112793"/>
    <w:rsid w:val="001131ED"/>
    <w:rsid w:val="00114D93"/>
    <w:rsid w:val="0011533F"/>
    <w:rsid w:val="0011694A"/>
    <w:rsid w:val="00116A36"/>
    <w:rsid w:val="00121371"/>
    <w:rsid w:val="00122199"/>
    <w:rsid w:val="00122A67"/>
    <w:rsid w:val="001234AF"/>
    <w:rsid w:val="00124377"/>
    <w:rsid w:val="00125B7E"/>
    <w:rsid w:val="001265ED"/>
    <w:rsid w:val="00131F39"/>
    <w:rsid w:val="00131F9D"/>
    <w:rsid w:val="001337B9"/>
    <w:rsid w:val="0013537E"/>
    <w:rsid w:val="00135B10"/>
    <w:rsid w:val="00140673"/>
    <w:rsid w:val="00141E02"/>
    <w:rsid w:val="0014228E"/>
    <w:rsid w:val="001440B0"/>
    <w:rsid w:val="00145791"/>
    <w:rsid w:val="00147181"/>
    <w:rsid w:val="00147696"/>
    <w:rsid w:val="00147861"/>
    <w:rsid w:val="00150BAE"/>
    <w:rsid w:val="001537AB"/>
    <w:rsid w:val="001540B5"/>
    <w:rsid w:val="00154156"/>
    <w:rsid w:val="00154D5C"/>
    <w:rsid w:val="00156338"/>
    <w:rsid w:val="00157FC3"/>
    <w:rsid w:val="00160977"/>
    <w:rsid w:val="00160C42"/>
    <w:rsid w:val="001614F2"/>
    <w:rsid w:val="00161E83"/>
    <w:rsid w:val="00165676"/>
    <w:rsid w:val="00167039"/>
    <w:rsid w:val="00173A99"/>
    <w:rsid w:val="00175A64"/>
    <w:rsid w:val="00176937"/>
    <w:rsid w:val="00180045"/>
    <w:rsid w:val="00182B42"/>
    <w:rsid w:val="00182B49"/>
    <w:rsid w:val="00182BB2"/>
    <w:rsid w:val="00185847"/>
    <w:rsid w:val="00187138"/>
    <w:rsid w:val="001901A3"/>
    <w:rsid w:val="00190831"/>
    <w:rsid w:val="0019259A"/>
    <w:rsid w:val="00192640"/>
    <w:rsid w:val="0019362A"/>
    <w:rsid w:val="0019492B"/>
    <w:rsid w:val="00194A53"/>
    <w:rsid w:val="00194BA0"/>
    <w:rsid w:val="00194E71"/>
    <w:rsid w:val="0019515E"/>
    <w:rsid w:val="00195785"/>
    <w:rsid w:val="001957CE"/>
    <w:rsid w:val="00195B54"/>
    <w:rsid w:val="00195BC4"/>
    <w:rsid w:val="001969CE"/>
    <w:rsid w:val="001977D2"/>
    <w:rsid w:val="001A06AA"/>
    <w:rsid w:val="001A25C1"/>
    <w:rsid w:val="001A3133"/>
    <w:rsid w:val="001A35CD"/>
    <w:rsid w:val="001A40BB"/>
    <w:rsid w:val="001A52AF"/>
    <w:rsid w:val="001A578C"/>
    <w:rsid w:val="001A69CC"/>
    <w:rsid w:val="001A6E53"/>
    <w:rsid w:val="001B4953"/>
    <w:rsid w:val="001B627B"/>
    <w:rsid w:val="001B683F"/>
    <w:rsid w:val="001B7521"/>
    <w:rsid w:val="001B785F"/>
    <w:rsid w:val="001B7F69"/>
    <w:rsid w:val="001C1644"/>
    <w:rsid w:val="001C51C5"/>
    <w:rsid w:val="001C6017"/>
    <w:rsid w:val="001C67E8"/>
    <w:rsid w:val="001C71F9"/>
    <w:rsid w:val="001D00F7"/>
    <w:rsid w:val="001D01BF"/>
    <w:rsid w:val="001D0552"/>
    <w:rsid w:val="001D087B"/>
    <w:rsid w:val="001D0EFC"/>
    <w:rsid w:val="001D1455"/>
    <w:rsid w:val="001D3792"/>
    <w:rsid w:val="001D4E9C"/>
    <w:rsid w:val="001D5FC5"/>
    <w:rsid w:val="001D6486"/>
    <w:rsid w:val="001D7281"/>
    <w:rsid w:val="001E00EC"/>
    <w:rsid w:val="001E12FF"/>
    <w:rsid w:val="001E2716"/>
    <w:rsid w:val="001E2E4A"/>
    <w:rsid w:val="001E37C9"/>
    <w:rsid w:val="001E41BC"/>
    <w:rsid w:val="001E471A"/>
    <w:rsid w:val="001E5A77"/>
    <w:rsid w:val="001E62C8"/>
    <w:rsid w:val="001E65BA"/>
    <w:rsid w:val="001E6E1E"/>
    <w:rsid w:val="001E7539"/>
    <w:rsid w:val="001E7F34"/>
    <w:rsid w:val="001E7F95"/>
    <w:rsid w:val="001F08CA"/>
    <w:rsid w:val="001F1A27"/>
    <w:rsid w:val="001F2FF9"/>
    <w:rsid w:val="001F36AF"/>
    <w:rsid w:val="001F4368"/>
    <w:rsid w:val="001F5121"/>
    <w:rsid w:val="001F5605"/>
    <w:rsid w:val="001F5D35"/>
    <w:rsid w:val="001F7FBA"/>
    <w:rsid w:val="00200D66"/>
    <w:rsid w:val="00200F26"/>
    <w:rsid w:val="002014AF"/>
    <w:rsid w:val="00202227"/>
    <w:rsid w:val="002023E7"/>
    <w:rsid w:val="00202BD3"/>
    <w:rsid w:val="002033B5"/>
    <w:rsid w:val="00205524"/>
    <w:rsid w:val="002059D5"/>
    <w:rsid w:val="00206213"/>
    <w:rsid w:val="00207C72"/>
    <w:rsid w:val="00210642"/>
    <w:rsid w:val="00211083"/>
    <w:rsid w:val="002124D6"/>
    <w:rsid w:val="00213DFA"/>
    <w:rsid w:val="00216F04"/>
    <w:rsid w:val="00217744"/>
    <w:rsid w:val="0021794B"/>
    <w:rsid w:val="002219EE"/>
    <w:rsid w:val="00221E16"/>
    <w:rsid w:val="00222106"/>
    <w:rsid w:val="0022315C"/>
    <w:rsid w:val="00225DAC"/>
    <w:rsid w:val="00226DB8"/>
    <w:rsid w:val="00227D38"/>
    <w:rsid w:val="002329FC"/>
    <w:rsid w:val="00232BDD"/>
    <w:rsid w:val="00232DB2"/>
    <w:rsid w:val="002335C7"/>
    <w:rsid w:val="0023486A"/>
    <w:rsid w:val="00234C98"/>
    <w:rsid w:val="00237232"/>
    <w:rsid w:val="00240555"/>
    <w:rsid w:val="00240F33"/>
    <w:rsid w:val="002417EB"/>
    <w:rsid w:val="002424F2"/>
    <w:rsid w:val="002443CD"/>
    <w:rsid w:val="00244757"/>
    <w:rsid w:val="002465A8"/>
    <w:rsid w:val="00247604"/>
    <w:rsid w:val="0025133D"/>
    <w:rsid w:val="00252491"/>
    <w:rsid w:val="00253081"/>
    <w:rsid w:val="00253297"/>
    <w:rsid w:val="002534E4"/>
    <w:rsid w:val="0025587E"/>
    <w:rsid w:val="002560AC"/>
    <w:rsid w:val="0025614B"/>
    <w:rsid w:val="00256ACA"/>
    <w:rsid w:val="00257197"/>
    <w:rsid w:val="002577D3"/>
    <w:rsid w:val="00261207"/>
    <w:rsid w:val="002626F4"/>
    <w:rsid w:val="00262A14"/>
    <w:rsid w:val="00266994"/>
    <w:rsid w:val="0027072C"/>
    <w:rsid w:val="00270A4F"/>
    <w:rsid w:val="00272908"/>
    <w:rsid w:val="00272CD4"/>
    <w:rsid w:val="00272D08"/>
    <w:rsid w:val="00275F69"/>
    <w:rsid w:val="002761AC"/>
    <w:rsid w:val="00276B5B"/>
    <w:rsid w:val="00276BA1"/>
    <w:rsid w:val="0028069D"/>
    <w:rsid w:val="00280D15"/>
    <w:rsid w:val="00281392"/>
    <w:rsid w:val="002813BF"/>
    <w:rsid w:val="0028148A"/>
    <w:rsid w:val="00281E9C"/>
    <w:rsid w:val="00282139"/>
    <w:rsid w:val="00282487"/>
    <w:rsid w:val="00283370"/>
    <w:rsid w:val="00283950"/>
    <w:rsid w:val="00283E39"/>
    <w:rsid w:val="0028444D"/>
    <w:rsid w:val="0028561E"/>
    <w:rsid w:val="002857F4"/>
    <w:rsid w:val="00286B70"/>
    <w:rsid w:val="002873E1"/>
    <w:rsid w:val="00290866"/>
    <w:rsid w:val="00290DBF"/>
    <w:rsid w:val="00290E88"/>
    <w:rsid w:val="00291C5B"/>
    <w:rsid w:val="00291E78"/>
    <w:rsid w:val="00293F31"/>
    <w:rsid w:val="0029493C"/>
    <w:rsid w:val="002950B0"/>
    <w:rsid w:val="00295357"/>
    <w:rsid w:val="002A0C0A"/>
    <w:rsid w:val="002A1370"/>
    <w:rsid w:val="002A3AA3"/>
    <w:rsid w:val="002A3AF8"/>
    <w:rsid w:val="002A44B3"/>
    <w:rsid w:val="002A4C60"/>
    <w:rsid w:val="002A6E04"/>
    <w:rsid w:val="002A7351"/>
    <w:rsid w:val="002A7493"/>
    <w:rsid w:val="002B0118"/>
    <w:rsid w:val="002B03C8"/>
    <w:rsid w:val="002B3D68"/>
    <w:rsid w:val="002B4084"/>
    <w:rsid w:val="002B4221"/>
    <w:rsid w:val="002B472C"/>
    <w:rsid w:val="002B4FAF"/>
    <w:rsid w:val="002B6E07"/>
    <w:rsid w:val="002B75F5"/>
    <w:rsid w:val="002B78BD"/>
    <w:rsid w:val="002C1D89"/>
    <w:rsid w:val="002C2822"/>
    <w:rsid w:val="002C306C"/>
    <w:rsid w:val="002C3601"/>
    <w:rsid w:val="002C3C49"/>
    <w:rsid w:val="002C4D3E"/>
    <w:rsid w:val="002C4E16"/>
    <w:rsid w:val="002D0814"/>
    <w:rsid w:val="002D1F90"/>
    <w:rsid w:val="002D2BE1"/>
    <w:rsid w:val="002D49E9"/>
    <w:rsid w:val="002D5B32"/>
    <w:rsid w:val="002D5C12"/>
    <w:rsid w:val="002D62E0"/>
    <w:rsid w:val="002D6970"/>
    <w:rsid w:val="002D731B"/>
    <w:rsid w:val="002E0089"/>
    <w:rsid w:val="002E16BA"/>
    <w:rsid w:val="002E1C8B"/>
    <w:rsid w:val="002E293F"/>
    <w:rsid w:val="002E3257"/>
    <w:rsid w:val="002E4B9A"/>
    <w:rsid w:val="002E5C07"/>
    <w:rsid w:val="002E64FF"/>
    <w:rsid w:val="002E68A4"/>
    <w:rsid w:val="002E6F8F"/>
    <w:rsid w:val="002E79FD"/>
    <w:rsid w:val="002E7EA9"/>
    <w:rsid w:val="002F0987"/>
    <w:rsid w:val="002F14B8"/>
    <w:rsid w:val="002F1A63"/>
    <w:rsid w:val="002F27C0"/>
    <w:rsid w:val="002F3D8F"/>
    <w:rsid w:val="002F41B9"/>
    <w:rsid w:val="002F42A4"/>
    <w:rsid w:val="002F515E"/>
    <w:rsid w:val="00300FA2"/>
    <w:rsid w:val="00301220"/>
    <w:rsid w:val="003019C5"/>
    <w:rsid w:val="00301C04"/>
    <w:rsid w:val="00303399"/>
    <w:rsid w:val="00303F7A"/>
    <w:rsid w:val="0030524C"/>
    <w:rsid w:val="00306603"/>
    <w:rsid w:val="00306F6E"/>
    <w:rsid w:val="00307D7C"/>
    <w:rsid w:val="003104A6"/>
    <w:rsid w:val="003112D1"/>
    <w:rsid w:val="0031453A"/>
    <w:rsid w:val="003149E4"/>
    <w:rsid w:val="00314AE8"/>
    <w:rsid w:val="0031600B"/>
    <w:rsid w:val="0031602D"/>
    <w:rsid w:val="00316673"/>
    <w:rsid w:val="00316F68"/>
    <w:rsid w:val="00316F93"/>
    <w:rsid w:val="003172DC"/>
    <w:rsid w:val="00317F06"/>
    <w:rsid w:val="00317F8B"/>
    <w:rsid w:val="00320874"/>
    <w:rsid w:val="00320F1B"/>
    <w:rsid w:val="0032232B"/>
    <w:rsid w:val="00322930"/>
    <w:rsid w:val="0032299D"/>
    <w:rsid w:val="00323D4F"/>
    <w:rsid w:val="00324EF3"/>
    <w:rsid w:val="003262D4"/>
    <w:rsid w:val="00330D09"/>
    <w:rsid w:val="00331347"/>
    <w:rsid w:val="003319F5"/>
    <w:rsid w:val="00334D32"/>
    <w:rsid w:val="00335381"/>
    <w:rsid w:val="0033574C"/>
    <w:rsid w:val="003362A3"/>
    <w:rsid w:val="00341BAC"/>
    <w:rsid w:val="00342F77"/>
    <w:rsid w:val="0034363C"/>
    <w:rsid w:val="0034383F"/>
    <w:rsid w:val="0034524E"/>
    <w:rsid w:val="00346487"/>
    <w:rsid w:val="0034710C"/>
    <w:rsid w:val="00347287"/>
    <w:rsid w:val="0034766E"/>
    <w:rsid w:val="00347796"/>
    <w:rsid w:val="00347AA9"/>
    <w:rsid w:val="003506E3"/>
    <w:rsid w:val="00350E86"/>
    <w:rsid w:val="003511F2"/>
    <w:rsid w:val="0035342B"/>
    <w:rsid w:val="003540A0"/>
    <w:rsid w:val="00355AFE"/>
    <w:rsid w:val="00356E4E"/>
    <w:rsid w:val="00364B84"/>
    <w:rsid w:val="003656C0"/>
    <w:rsid w:val="00365F5F"/>
    <w:rsid w:val="00371D20"/>
    <w:rsid w:val="00374A06"/>
    <w:rsid w:val="00375567"/>
    <w:rsid w:val="00376466"/>
    <w:rsid w:val="003769CA"/>
    <w:rsid w:val="00376D57"/>
    <w:rsid w:val="003776F7"/>
    <w:rsid w:val="00377AB5"/>
    <w:rsid w:val="003816DF"/>
    <w:rsid w:val="00381DB1"/>
    <w:rsid w:val="003822FE"/>
    <w:rsid w:val="0038269E"/>
    <w:rsid w:val="00384639"/>
    <w:rsid w:val="0038686D"/>
    <w:rsid w:val="003869E3"/>
    <w:rsid w:val="00386EF5"/>
    <w:rsid w:val="00391073"/>
    <w:rsid w:val="0039322F"/>
    <w:rsid w:val="003934A6"/>
    <w:rsid w:val="00396C2A"/>
    <w:rsid w:val="00396C9C"/>
    <w:rsid w:val="00396D4E"/>
    <w:rsid w:val="003A02AA"/>
    <w:rsid w:val="003A0640"/>
    <w:rsid w:val="003A2029"/>
    <w:rsid w:val="003A63E5"/>
    <w:rsid w:val="003A679E"/>
    <w:rsid w:val="003A7CA8"/>
    <w:rsid w:val="003B08F7"/>
    <w:rsid w:val="003B1310"/>
    <w:rsid w:val="003B18D8"/>
    <w:rsid w:val="003B247E"/>
    <w:rsid w:val="003B4082"/>
    <w:rsid w:val="003B4F6B"/>
    <w:rsid w:val="003B518C"/>
    <w:rsid w:val="003B5FC8"/>
    <w:rsid w:val="003B618F"/>
    <w:rsid w:val="003B752F"/>
    <w:rsid w:val="003B75BF"/>
    <w:rsid w:val="003B7774"/>
    <w:rsid w:val="003C06A5"/>
    <w:rsid w:val="003C09B0"/>
    <w:rsid w:val="003C0A15"/>
    <w:rsid w:val="003C0B0D"/>
    <w:rsid w:val="003C0F69"/>
    <w:rsid w:val="003C17C3"/>
    <w:rsid w:val="003C29FA"/>
    <w:rsid w:val="003C4643"/>
    <w:rsid w:val="003C4F0C"/>
    <w:rsid w:val="003C5008"/>
    <w:rsid w:val="003C6992"/>
    <w:rsid w:val="003D02A2"/>
    <w:rsid w:val="003D0680"/>
    <w:rsid w:val="003D3039"/>
    <w:rsid w:val="003D30D6"/>
    <w:rsid w:val="003D3211"/>
    <w:rsid w:val="003D3291"/>
    <w:rsid w:val="003D3CB7"/>
    <w:rsid w:val="003D4A65"/>
    <w:rsid w:val="003D4AAA"/>
    <w:rsid w:val="003D4DEF"/>
    <w:rsid w:val="003D7932"/>
    <w:rsid w:val="003E0032"/>
    <w:rsid w:val="003E057B"/>
    <w:rsid w:val="003E1510"/>
    <w:rsid w:val="003E1BF6"/>
    <w:rsid w:val="003E6CA6"/>
    <w:rsid w:val="003F140C"/>
    <w:rsid w:val="003F4B26"/>
    <w:rsid w:val="003F5FCD"/>
    <w:rsid w:val="003F60D3"/>
    <w:rsid w:val="00401D48"/>
    <w:rsid w:val="00403EAC"/>
    <w:rsid w:val="00406FE6"/>
    <w:rsid w:val="004075C4"/>
    <w:rsid w:val="0041210A"/>
    <w:rsid w:val="004139C8"/>
    <w:rsid w:val="004157E6"/>
    <w:rsid w:val="004162D0"/>
    <w:rsid w:val="004162DE"/>
    <w:rsid w:val="0041708E"/>
    <w:rsid w:val="0041798B"/>
    <w:rsid w:val="00417ACD"/>
    <w:rsid w:val="004214D6"/>
    <w:rsid w:val="00422026"/>
    <w:rsid w:val="0042265D"/>
    <w:rsid w:val="00425DA4"/>
    <w:rsid w:val="004264B3"/>
    <w:rsid w:val="00426CA0"/>
    <w:rsid w:val="00430C3E"/>
    <w:rsid w:val="004310D0"/>
    <w:rsid w:val="00431AC0"/>
    <w:rsid w:val="00431B6F"/>
    <w:rsid w:val="00432E4D"/>
    <w:rsid w:val="00433C49"/>
    <w:rsid w:val="00433F05"/>
    <w:rsid w:val="00434773"/>
    <w:rsid w:val="00436E00"/>
    <w:rsid w:val="00437EDF"/>
    <w:rsid w:val="00440A51"/>
    <w:rsid w:val="00440A76"/>
    <w:rsid w:val="00442747"/>
    <w:rsid w:val="0044370B"/>
    <w:rsid w:val="00444129"/>
    <w:rsid w:val="0044416F"/>
    <w:rsid w:val="004444B9"/>
    <w:rsid w:val="0044527C"/>
    <w:rsid w:val="004456C0"/>
    <w:rsid w:val="00445905"/>
    <w:rsid w:val="00445CD7"/>
    <w:rsid w:val="0044689F"/>
    <w:rsid w:val="004468E6"/>
    <w:rsid w:val="0044737A"/>
    <w:rsid w:val="00450EB6"/>
    <w:rsid w:val="004514FE"/>
    <w:rsid w:val="00451928"/>
    <w:rsid w:val="00451BC1"/>
    <w:rsid w:val="004522FD"/>
    <w:rsid w:val="00452E87"/>
    <w:rsid w:val="00453A50"/>
    <w:rsid w:val="004552F2"/>
    <w:rsid w:val="00455A02"/>
    <w:rsid w:val="00455CB9"/>
    <w:rsid w:val="00457616"/>
    <w:rsid w:val="00457EB4"/>
    <w:rsid w:val="0046153C"/>
    <w:rsid w:val="004633C7"/>
    <w:rsid w:val="004633CE"/>
    <w:rsid w:val="00463BC0"/>
    <w:rsid w:val="00463D64"/>
    <w:rsid w:val="00466544"/>
    <w:rsid w:val="004667DC"/>
    <w:rsid w:val="00466A5C"/>
    <w:rsid w:val="00470221"/>
    <w:rsid w:val="00470F3F"/>
    <w:rsid w:val="00470FA0"/>
    <w:rsid w:val="0047328A"/>
    <w:rsid w:val="00473A51"/>
    <w:rsid w:val="00473C31"/>
    <w:rsid w:val="0047499E"/>
    <w:rsid w:val="0047512F"/>
    <w:rsid w:val="00476328"/>
    <w:rsid w:val="00477D91"/>
    <w:rsid w:val="00477E73"/>
    <w:rsid w:val="004833AB"/>
    <w:rsid w:val="00483939"/>
    <w:rsid w:val="00486FA2"/>
    <w:rsid w:val="00487603"/>
    <w:rsid w:val="0049125E"/>
    <w:rsid w:val="00491501"/>
    <w:rsid w:val="004922B1"/>
    <w:rsid w:val="00492465"/>
    <w:rsid w:val="004935AA"/>
    <w:rsid w:val="00493783"/>
    <w:rsid w:val="00493A7F"/>
    <w:rsid w:val="00493BDE"/>
    <w:rsid w:val="00494567"/>
    <w:rsid w:val="0049569E"/>
    <w:rsid w:val="004956B9"/>
    <w:rsid w:val="00495FF0"/>
    <w:rsid w:val="00497853"/>
    <w:rsid w:val="004A0342"/>
    <w:rsid w:val="004A2BB5"/>
    <w:rsid w:val="004A400D"/>
    <w:rsid w:val="004A499A"/>
    <w:rsid w:val="004A5ECE"/>
    <w:rsid w:val="004A5F76"/>
    <w:rsid w:val="004A7F5F"/>
    <w:rsid w:val="004B021E"/>
    <w:rsid w:val="004B0C83"/>
    <w:rsid w:val="004B23AB"/>
    <w:rsid w:val="004B46F7"/>
    <w:rsid w:val="004B5D69"/>
    <w:rsid w:val="004B5D8C"/>
    <w:rsid w:val="004B62E3"/>
    <w:rsid w:val="004B6E23"/>
    <w:rsid w:val="004B777C"/>
    <w:rsid w:val="004C0682"/>
    <w:rsid w:val="004C1881"/>
    <w:rsid w:val="004C3623"/>
    <w:rsid w:val="004C4271"/>
    <w:rsid w:val="004C4447"/>
    <w:rsid w:val="004C44DC"/>
    <w:rsid w:val="004C46D2"/>
    <w:rsid w:val="004C5D8E"/>
    <w:rsid w:val="004C6332"/>
    <w:rsid w:val="004C6478"/>
    <w:rsid w:val="004C6773"/>
    <w:rsid w:val="004C78D3"/>
    <w:rsid w:val="004D0120"/>
    <w:rsid w:val="004D0AEC"/>
    <w:rsid w:val="004D1A6B"/>
    <w:rsid w:val="004D1B34"/>
    <w:rsid w:val="004D2BB7"/>
    <w:rsid w:val="004D2F5D"/>
    <w:rsid w:val="004D3154"/>
    <w:rsid w:val="004D331B"/>
    <w:rsid w:val="004D347B"/>
    <w:rsid w:val="004D41B8"/>
    <w:rsid w:val="004D46C4"/>
    <w:rsid w:val="004D5198"/>
    <w:rsid w:val="004D5CA7"/>
    <w:rsid w:val="004D63B3"/>
    <w:rsid w:val="004D7E44"/>
    <w:rsid w:val="004E019E"/>
    <w:rsid w:val="004E026D"/>
    <w:rsid w:val="004E12AA"/>
    <w:rsid w:val="004E5515"/>
    <w:rsid w:val="004E58AC"/>
    <w:rsid w:val="004E674F"/>
    <w:rsid w:val="004E6777"/>
    <w:rsid w:val="004F4CFC"/>
    <w:rsid w:val="004F5D1A"/>
    <w:rsid w:val="004F6282"/>
    <w:rsid w:val="00500A0E"/>
    <w:rsid w:val="005026FC"/>
    <w:rsid w:val="00502869"/>
    <w:rsid w:val="00502A96"/>
    <w:rsid w:val="00502D4E"/>
    <w:rsid w:val="0050448F"/>
    <w:rsid w:val="0050490C"/>
    <w:rsid w:val="005068A0"/>
    <w:rsid w:val="00506989"/>
    <w:rsid w:val="00506BC0"/>
    <w:rsid w:val="00506D4A"/>
    <w:rsid w:val="00506EDA"/>
    <w:rsid w:val="00510B29"/>
    <w:rsid w:val="00510C96"/>
    <w:rsid w:val="005117E2"/>
    <w:rsid w:val="00511A4C"/>
    <w:rsid w:val="0051220F"/>
    <w:rsid w:val="00512A77"/>
    <w:rsid w:val="00512B1A"/>
    <w:rsid w:val="00512C77"/>
    <w:rsid w:val="00513729"/>
    <w:rsid w:val="00513BF3"/>
    <w:rsid w:val="00513ECE"/>
    <w:rsid w:val="005142B5"/>
    <w:rsid w:val="00514C1C"/>
    <w:rsid w:val="00515B7A"/>
    <w:rsid w:val="00515F00"/>
    <w:rsid w:val="0052077E"/>
    <w:rsid w:val="005207D6"/>
    <w:rsid w:val="00523D13"/>
    <w:rsid w:val="005241E5"/>
    <w:rsid w:val="005247C0"/>
    <w:rsid w:val="005253E0"/>
    <w:rsid w:val="00526002"/>
    <w:rsid w:val="005261EC"/>
    <w:rsid w:val="005268A4"/>
    <w:rsid w:val="005268B0"/>
    <w:rsid w:val="005276A9"/>
    <w:rsid w:val="00531D5B"/>
    <w:rsid w:val="0053226C"/>
    <w:rsid w:val="0053284F"/>
    <w:rsid w:val="00532AD3"/>
    <w:rsid w:val="00533975"/>
    <w:rsid w:val="005347CA"/>
    <w:rsid w:val="00537846"/>
    <w:rsid w:val="00540A33"/>
    <w:rsid w:val="005427CB"/>
    <w:rsid w:val="0054356B"/>
    <w:rsid w:val="00545612"/>
    <w:rsid w:val="00546B24"/>
    <w:rsid w:val="00546CBA"/>
    <w:rsid w:val="0054761C"/>
    <w:rsid w:val="00551132"/>
    <w:rsid w:val="005511EC"/>
    <w:rsid w:val="00551E57"/>
    <w:rsid w:val="00552375"/>
    <w:rsid w:val="0055269D"/>
    <w:rsid w:val="005526E7"/>
    <w:rsid w:val="00552D6C"/>
    <w:rsid w:val="00553049"/>
    <w:rsid w:val="00553772"/>
    <w:rsid w:val="00554584"/>
    <w:rsid w:val="0055519C"/>
    <w:rsid w:val="00555279"/>
    <w:rsid w:val="00556C27"/>
    <w:rsid w:val="00560125"/>
    <w:rsid w:val="00560541"/>
    <w:rsid w:val="00563693"/>
    <w:rsid w:val="00565ED3"/>
    <w:rsid w:val="00567EB1"/>
    <w:rsid w:val="0057094A"/>
    <w:rsid w:val="00570F3A"/>
    <w:rsid w:val="00571EE6"/>
    <w:rsid w:val="00572ACE"/>
    <w:rsid w:val="005734CF"/>
    <w:rsid w:val="00573D52"/>
    <w:rsid w:val="00573DEF"/>
    <w:rsid w:val="005756AB"/>
    <w:rsid w:val="00575E92"/>
    <w:rsid w:val="005778CA"/>
    <w:rsid w:val="00577F4A"/>
    <w:rsid w:val="00577F80"/>
    <w:rsid w:val="005805F7"/>
    <w:rsid w:val="0058073E"/>
    <w:rsid w:val="00581A5E"/>
    <w:rsid w:val="005837CE"/>
    <w:rsid w:val="00584E23"/>
    <w:rsid w:val="005851B6"/>
    <w:rsid w:val="005859AB"/>
    <w:rsid w:val="00586802"/>
    <w:rsid w:val="0059049C"/>
    <w:rsid w:val="00590608"/>
    <w:rsid w:val="00591BF7"/>
    <w:rsid w:val="00591F8E"/>
    <w:rsid w:val="005936E7"/>
    <w:rsid w:val="00593954"/>
    <w:rsid w:val="00593DE5"/>
    <w:rsid w:val="00594066"/>
    <w:rsid w:val="0059445F"/>
    <w:rsid w:val="00595778"/>
    <w:rsid w:val="005959D1"/>
    <w:rsid w:val="00596876"/>
    <w:rsid w:val="00596CE2"/>
    <w:rsid w:val="005A1883"/>
    <w:rsid w:val="005A212B"/>
    <w:rsid w:val="005A2F5C"/>
    <w:rsid w:val="005A2FF3"/>
    <w:rsid w:val="005A36E1"/>
    <w:rsid w:val="005A3B6F"/>
    <w:rsid w:val="005A6DDD"/>
    <w:rsid w:val="005A6F49"/>
    <w:rsid w:val="005A72EC"/>
    <w:rsid w:val="005A7654"/>
    <w:rsid w:val="005A769B"/>
    <w:rsid w:val="005B03EC"/>
    <w:rsid w:val="005B0699"/>
    <w:rsid w:val="005B1590"/>
    <w:rsid w:val="005B2A1C"/>
    <w:rsid w:val="005B2BDF"/>
    <w:rsid w:val="005B31AC"/>
    <w:rsid w:val="005B3DBD"/>
    <w:rsid w:val="005B47E5"/>
    <w:rsid w:val="005B63CB"/>
    <w:rsid w:val="005B6FC5"/>
    <w:rsid w:val="005C0B2C"/>
    <w:rsid w:val="005C117E"/>
    <w:rsid w:val="005C128E"/>
    <w:rsid w:val="005C18DA"/>
    <w:rsid w:val="005C1A67"/>
    <w:rsid w:val="005C3781"/>
    <w:rsid w:val="005C3C64"/>
    <w:rsid w:val="005C4045"/>
    <w:rsid w:val="005C5E2A"/>
    <w:rsid w:val="005D026F"/>
    <w:rsid w:val="005D0ED1"/>
    <w:rsid w:val="005D11FB"/>
    <w:rsid w:val="005D25AE"/>
    <w:rsid w:val="005D25DE"/>
    <w:rsid w:val="005D2AA1"/>
    <w:rsid w:val="005D3A79"/>
    <w:rsid w:val="005D3BAE"/>
    <w:rsid w:val="005D3DF1"/>
    <w:rsid w:val="005D68F1"/>
    <w:rsid w:val="005D72BD"/>
    <w:rsid w:val="005E15E3"/>
    <w:rsid w:val="005E2FCF"/>
    <w:rsid w:val="005E402B"/>
    <w:rsid w:val="005E4438"/>
    <w:rsid w:val="005E47EC"/>
    <w:rsid w:val="005E4BFC"/>
    <w:rsid w:val="005E591D"/>
    <w:rsid w:val="005E753F"/>
    <w:rsid w:val="005E7CC1"/>
    <w:rsid w:val="005F015D"/>
    <w:rsid w:val="005F035E"/>
    <w:rsid w:val="005F1156"/>
    <w:rsid w:val="005F1EAD"/>
    <w:rsid w:val="005F20BB"/>
    <w:rsid w:val="005F43C3"/>
    <w:rsid w:val="005F4579"/>
    <w:rsid w:val="005F6A21"/>
    <w:rsid w:val="005F6B8D"/>
    <w:rsid w:val="005F6C3B"/>
    <w:rsid w:val="005F6D5A"/>
    <w:rsid w:val="005F6E78"/>
    <w:rsid w:val="0060199A"/>
    <w:rsid w:val="00602FFC"/>
    <w:rsid w:val="0060369D"/>
    <w:rsid w:val="00606EA6"/>
    <w:rsid w:val="006107D4"/>
    <w:rsid w:val="00612430"/>
    <w:rsid w:val="006131D4"/>
    <w:rsid w:val="006135A8"/>
    <w:rsid w:val="00614087"/>
    <w:rsid w:val="0061546A"/>
    <w:rsid w:val="00615639"/>
    <w:rsid w:val="00616845"/>
    <w:rsid w:val="006178A7"/>
    <w:rsid w:val="00617B9F"/>
    <w:rsid w:val="006226DB"/>
    <w:rsid w:val="00624CA0"/>
    <w:rsid w:val="0062568D"/>
    <w:rsid w:val="0062581E"/>
    <w:rsid w:val="00626604"/>
    <w:rsid w:val="0062742E"/>
    <w:rsid w:val="00627F59"/>
    <w:rsid w:val="0063116F"/>
    <w:rsid w:val="00631634"/>
    <w:rsid w:val="00633C31"/>
    <w:rsid w:val="0063580B"/>
    <w:rsid w:val="00635EAF"/>
    <w:rsid w:val="00636A05"/>
    <w:rsid w:val="0063740A"/>
    <w:rsid w:val="0063790B"/>
    <w:rsid w:val="006403CF"/>
    <w:rsid w:val="00641E0D"/>
    <w:rsid w:val="00641E7C"/>
    <w:rsid w:val="00641FF6"/>
    <w:rsid w:val="006421E4"/>
    <w:rsid w:val="00643548"/>
    <w:rsid w:val="0064444B"/>
    <w:rsid w:val="006462E4"/>
    <w:rsid w:val="00647A36"/>
    <w:rsid w:val="00647C81"/>
    <w:rsid w:val="00650150"/>
    <w:rsid w:val="00652385"/>
    <w:rsid w:val="00652956"/>
    <w:rsid w:val="00652B70"/>
    <w:rsid w:val="00652B9B"/>
    <w:rsid w:val="006531BE"/>
    <w:rsid w:val="00653324"/>
    <w:rsid w:val="00655F38"/>
    <w:rsid w:val="0065603B"/>
    <w:rsid w:val="006577D9"/>
    <w:rsid w:val="0066005B"/>
    <w:rsid w:val="006617E7"/>
    <w:rsid w:val="00662A66"/>
    <w:rsid w:val="00664C87"/>
    <w:rsid w:val="00664D6B"/>
    <w:rsid w:val="006652EA"/>
    <w:rsid w:val="0066535D"/>
    <w:rsid w:val="006659A1"/>
    <w:rsid w:val="00666597"/>
    <w:rsid w:val="0066694C"/>
    <w:rsid w:val="00666A9C"/>
    <w:rsid w:val="00667D95"/>
    <w:rsid w:val="00670BCC"/>
    <w:rsid w:val="00670D8D"/>
    <w:rsid w:val="00672DE2"/>
    <w:rsid w:val="00673302"/>
    <w:rsid w:val="006740D3"/>
    <w:rsid w:val="00675059"/>
    <w:rsid w:val="006753D4"/>
    <w:rsid w:val="00676A21"/>
    <w:rsid w:val="006773C6"/>
    <w:rsid w:val="00677679"/>
    <w:rsid w:val="006811A0"/>
    <w:rsid w:val="00681AED"/>
    <w:rsid w:val="0068208E"/>
    <w:rsid w:val="00682812"/>
    <w:rsid w:val="006833E9"/>
    <w:rsid w:val="00684265"/>
    <w:rsid w:val="0068551C"/>
    <w:rsid w:val="00686EBF"/>
    <w:rsid w:val="00686F0C"/>
    <w:rsid w:val="0069149D"/>
    <w:rsid w:val="00691561"/>
    <w:rsid w:val="00696950"/>
    <w:rsid w:val="00696EBA"/>
    <w:rsid w:val="006972D0"/>
    <w:rsid w:val="00697508"/>
    <w:rsid w:val="00697750"/>
    <w:rsid w:val="006A0EDE"/>
    <w:rsid w:val="006A1189"/>
    <w:rsid w:val="006A170F"/>
    <w:rsid w:val="006A3766"/>
    <w:rsid w:val="006A3804"/>
    <w:rsid w:val="006A3C3B"/>
    <w:rsid w:val="006A469C"/>
    <w:rsid w:val="006A61C5"/>
    <w:rsid w:val="006A692E"/>
    <w:rsid w:val="006B03DC"/>
    <w:rsid w:val="006B1FFE"/>
    <w:rsid w:val="006B47D1"/>
    <w:rsid w:val="006B4C01"/>
    <w:rsid w:val="006B5734"/>
    <w:rsid w:val="006B6EAD"/>
    <w:rsid w:val="006B71A8"/>
    <w:rsid w:val="006B7324"/>
    <w:rsid w:val="006B7326"/>
    <w:rsid w:val="006B79A8"/>
    <w:rsid w:val="006C027C"/>
    <w:rsid w:val="006C4613"/>
    <w:rsid w:val="006C4C2D"/>
    <w:rsid w:val="006C5371"/>
    <w:rsid w:val="006C72BA"/>
    <w:rsid w:val="006C741C"/>
    <w:rsid w:val="006C7443"/>
    <w:rsid w:val="006C7B21"/>
    <w:rsid w:val="006D034C"/>
    <w:rsid w:val="006D0CED"/>
    <w:rsid w:val="006D3152"/>
    <w:rsid w:val="006D54EB"/>
    <w:rsid w:val="006D65A9"/>
    <w:rsid w:val="006D671F"/>
    <w:rsid w:val="006D6775"/>
    <w:rsid w:val="006D7A77"/>
    <w:rsid w:val="006E1199"/>
    <w:rsid w:val="006E22C9"/>
    <w:rsid w:val="006E2694"/>
    <w:rsid w:val="006E2890"/>
    <w:rsid w:val="006E2CFF"/>
    <w:rsid w:val="006E3F99"/>
    <w:rsid w:val="006E4A63"/>
    <w:rsid w:val="006E7EA9"/>
    <w:rsid w:val="006F04C5"/>
    <w:rsid w:val="006F0EC6"/>
    <w:rsid w:val="006F1D1C"/>
    <w:rsid w:val="006F78EB"/>
    <w:rsid w:val="00700DB9"/>
    <w:rsid w:val="007035C4"/>
    <w:rsid w:val="00704F97"/>
    <w:rsid w:val="00704FFB"/>
    <w:rsid w:val="00710075"/>
    <w:rsid w:val="0071078D"/>
    <w:rsid w:val="007108A5"/>
    <w:rsid w:val="00711CF6"/>
    <w:rsid w:val="00712086"/>
    <w:rsid w:val="00712657"/>
    <w:rsid w:val="00712E98"/>
    <w:rsid w:val="00713372"/>
    <w:rsid w:val="00714DAF"/>
    <w:rsid w:val="007150EB"/>
    <w:rsid w:val="0071640E"/>
    <w:rsid w:val="007170F1"/>
    <w:rsid w:val="007173AA"/>
    <w:rsid w:val="00717415"/>
    <w:rsid w:val="0071761C"/>
    <w:rsid w:val="00720B1B"/>
    <w:rsid w:val="00720D15"/>
    <w:rsid w:val="00721271"/>
    <w:rsid w:val="00726E20"/>
    <w:rsid w:val="00730840"/>
    <w:rsid w:val="00741682"/>
    <w:rsid w:val="00741903"/>
    <w:rsid w:val="00741964"/>
    <w:rsid w:val="007429FE"/>
    <w:rsid w:val="007439B3"/>
    <w:rsid w:val="007440BE"/>
    <w:rsid w:val="007445CF"/>
    <w:rsid w:val="00744618"/>
    <w:rsid w:val="00745FCC"/>
    <w:rsid w:val="007462A7"/>
    <w:rsid w:val="00746381"/>
    <w:rsid w:val="00747080"/>
    <w:rsid w:val="007534DD"/>
    <w:rsid w:val="00754390"/>
    <w:rsid w:val="007543A4"/>
    <w:rsid w:val="0075618A"/>
    <w:rsid w:val="007572D2"/>
    <w:rsid w:val="00761CF9"/>
    <w:rsid w:val="00762156"/>
    <w:rsid w:val="007628C6"/>
    <w:rsid w:val="00765C35"/>
    <w:rsid w:val="007704B9"/>
    <w:rsid w:val="00771304"/>
    <w:rsid w:val="00772A77"/>
    <w:rsid w:val="00773F78"/>
    <w:rsid w:val="00774421"/>
    <w:rsid w:val="00774D9E"/>
    <w:rsid w:val="00775C8C"/>
    <w:rsid w:val="00776165"/>
    <w:rsid w:val="007762D5"/>
    <w:rsid w:val="0077789A"/>
    <w:rsid w:val="00780B94"/>
    <w:rsid w:val="00781232"/>
    <w:rsid w:val="00781794"/>
    <w:rsid w:val="00781D2A"/>
    <w:rsid w:val="00783FF1"/>
    <w:rsid w:val="00785101"/>
    <w:rsid w:val="00790641"/>
    <w:rsid w:val="00790F77"/>
    <w:rsid w:val="007943C4"/>
    <w:rsid w:val="00794862"/>
    <w:rsid w:val="00794B4B"/>
    <w:rsid w:val="0079546B"/>
    <w:rsid w:val="00795616"/>
    <w:rsid w:val="00795628"/>
    <w:rsid w:val="007962F9"/>
    <w:rsid w:val="0079660F"/>
    <w:rsid w:val="00796876"/>
    <w:rsid w:val="0079697A"/>
    <w:rsid w:val="00796F43"/>
    <w:rsid w:val="007A07B8"/>
    <w:rsid w:val="007A0A7D"/>
    <w:rsid w:val="007A1643"/>
    <w:rsid w:val="007A1974"/>
    <w:rsid w:val="007A19E5"/>
    <w:rsid w:val="007A2002"/>
    <w:rsid w:val="007A4299"/>
    <w:rsid w:val="007A49CC"/>
    <w:rsid w:val="007A5488"/>
    <w:rsid w:val="007A6034"/>
    <w:rsid w:val="007A73D0"/>
    <w:rsid w:val="007A7C04"/>
    <w:rsid w:val="007B0AD0"/>
    <w:rsid w:val="007B14A1"/>
    <w:rsid w:val="007B2066"/>
    <w:rsid w:val="007B20BE"/>
    <w:rsid w:val="007B2402"/>
    <w:rsid w:val="007B38BE"/>
    <w:rsid w:val="007B3A2F"/>
    <w:rsid w:val="007B3B94"/>
    <w:rsid w:val="007B49EE"/>
    <w:rsid w:val="007B6D6C"/>
    <w:rsid w:val="007B6DD5"/>
    <w:rsid w:val="007B7F95"/>
    <w:rsid w:val="007C2388"/>
    <w:rsid w:val="007C24A7"/>
    <w:rsid w:val="007C72D6"/>
    <w:rsid w:val="007C757D"/>
    <w:rsid w:val="007C7EC9"/>
    <w:rsid w:val="007D33A2"/>
    <w:rsid w:val="007D39EC"/>
    <w:rsid w:val="007D3FC5"/>
    <w:rsid w:val="007D4499"/>
    <w:rsid w:val="007D5D75"/>
    <w:rsid w:val="007D5EAA"/>
    <w:rsid w:val="007D7F36"/>
    <w:rsid w:val="007E15B0"/>
    <w:rsid w:val="007E2ECA"/>
    <w:rsid w:val="007E42A8"/>
    <w:rsid w:val="007E57A6"/>
    <w:rsid w:val="007E585F"/>
    <w:rsid w:val="007E5E48"/>
    <w:rsid w:val="007E66CF"/>
    <w:rsid w:val="007E78F7"/>
    <w:rsid w:val="007F0325"/>
    <w:rsid w:val="007F0B6A"/>
    <w:rsid w:val="007F0E2B"/>
    <w:rsid w:val="007F2818"/>
    <w:rsid w:val="007F42FF"/>
    <w:rsid w:val="007F47F4"/>
    <w:rsid w:val="007F645B"/>
    <w:rsid w:val="007F6B69"/>
    <w:rsid w:val="007F6EE4"/>
    <w:rsid w:val="007F7F8E"/>
    <w:rsid w:val="008003BB"/>
    <w:rsid w:val="00800518"/>
    <w:rsid w:val="00801240"/>
    <w:rsid w:val="008019C2"/>
    <w:rsid w:val="00802489"/>
    <w:rsid w:val="0080268F"/>
    <w:rsid w:val="008032AD"/>
    <w:rsid w:val="008036CB"/>
    <w:rsid w:val="008048B6"/>
    <w:rsid w:val="00810476"/>
    <w:rsid w:val="00810746"/>
    <w:rsid w:val="00810F1F"/>
    <w:rsid w:val="00811602"/>
    <w:rsid w:val="00813912"/>
    <w:rsid w:val="00816D10"/>
    <w:rsid w:val="00816FEA"/>
    <w:rsid w:val="00817DCB"/>
    <w:rsid w:val="00825DD3"/>
    <w:rsid w:val="008263A5"/>
    <w:rsid w:val="00827490"/>
    <w:rsid w:val="00827817"/>
    <w:rsid w:val="00831B04"/>
    <w:rsid w:val="008325EF"/>
    <w:rsid w:val="00833576"/>
    <w:rsid w:val="00834C56"/>
    <w:rsid w:val="008367CD"/>
    <w:rsid w:val="00836B9F"/>
    <w:rsid w:val="00836DD5"/>
    <w:rsid w:val="008419D7"/>
    <w:rsid w:val="00842D1E"/>
    <w:rsid w:val="00843370"/>
    <w:rsid w:val="00844CE7"/>
    <w:rsid w:val="0084545E"/>
    <w:rsid w:val="00845E6D"/>
    <w:rsid w:val="008500B4"/>
    <w:rsid w:val="0085078A"/>
    <w:rsid w:val="008508F9"/>
    <w:rsid w:val="00851140"/>
    <w:rsid w:val="0085266C"/>
    <w:rsid w:val="00854C88"/>
    <w:rsid w:val="008558D6"/>
    <w:rsid w:val="00856FF0"/>
    <w:rsid w:val="008574E5"/>
    <w:rsid w:val="00857B0B"/>
    <w:rsid w:val="0086095F"/>
    <w:rsid w:val="0086201E"/>
    <w:rsid w:val="0086226A"/>
    <w:rsid w:val="008625F1"/>
    <w:rsid w:val="00862DF1"/>
    <w:rsid w:val="00870834"/>
    <w:rsid w:val="00872AC1"/>
    <w:rsid w:val="0087319D"/>
    <w:rsid w:val="00873EC4"/>
    <w:rsid w:val="00873FFA"/>
    <w:rsid w:val="00874B14"/>
    <w:rsid w:val="00874ECF"/>
    <w:rsid w:val="0087602D"/>
    <w:rsid w:val="00877789"/>
    <w:rsid w:val="00880455"/>
    <w:rsid w:val="00880755"/>
    <w:rsid w:val="0088153C"/>
    <w:rsid w:val="008827BD"/>
    <w:rsid w:val="0088594D"/>
    <w:rsid w:val="008869EB"/>
    <w:rsid w:val="00886C2D"/>
    <w:rsid w:val="0088735B"/>
    <w:rsid w:val="00887BB9"/>
    <w:rsid w:val="008903DD"/>
    <w:rsid w:val="008914C1"/>
    <w:rsid w:val="00891997"/>
    <w:rsid w:val="00891DD7"/>
    <w:rsid w:val="00892A6B"/>
    <w:rsid w:val="00892CA3"/>
    <w:rsid w:val="00893D84"/>
    <w:rsid w:val="00894D54"/>
    <w:rsid w:val="00894DD4"/>
    <w:rsid w:val="00895393"/>
    <w:rsid w:val="00896855"/>
    <w:rsid w:val="00896857"/>
    <w:rsid w:val="008A089A"/>
    <w:rsid w:val="008A0C44"/>
    <w:rsid w:val="008A224D"/>
    <w:rsid w:val="008A3F33"/>
    <w:rsid w:val="008A40E6"/>
    <w:rsid w:val="008A43D9"/>
    <w:rsid w:val="008A5008"/>
    <w:rsid w:val="008A5C81"/>
    <w:rsid w:val="008A5FDE"/>
    <w:rsid w:val="008A6C43"/>
    <w:rsid w:val="008B0693"/>
    <w:rsid w:val="008B0E49"/>
    <w:rsid w:val="008B1B18"/>
    <w:rsid w:val="008B1CE0"/>
    <w:rsid w:val="008B3133"/>
    <w:rsid w:val="008B5281"/>
    <w:rsid w:val="008B651E"/>
    <w:rsid w:val="008C1700"/>
    <w:rsid w:val="008C1960"/>
    <w:rsid w:val="008C2E44"/>
    <w:rsid w:val="008C3FB3"/>
    <w:rsid w:val="008C5412"/>
    <w:rsid w:val="008C7FFB"/>
    <w:rsid w:val="008D0D5E"/>
    <w:rsid w:val="008D158E"/>
    <w:rsid w:val="008D1A8D"/>
    <w:rsid w:val="008D1E41"/>
    <w:rsid w:val="008D2D25"/>
    <w:rsid w:val="008D3E8F"/>
    <w:rsid w:val="008D4ABA"/>
    <w:rsid w:val="008D4D1F"/>
    <w:rsid w:val="008D6AD3"/>
    <w:rsid w:val="008E1978"/>
    <w:rsid w:val="008E207A"/>
    <w:rsid w:val="008E2EC7"/>
    <w:rsid w:val="008E36EB"/>
    <w:rsid w:val="008E4213"/>
    <w:rsid w:val="008E4BD5"/>
    <w:rsid w:val="008E5044"/>
    <w:rsid w:val="008E70DD"/>
    <w:rsid w:val="008E7385"/>
    <w:rsid w:val="008E740B"/>
    <w:rsid w:val="008E7A7B"/>
    <w:rsid w:val="008F2B7B"/>
    <w:rsid w:val="008F2ED8"/>
    <w:rsid w:val="008F49BF"/>
    <w:rsid w:val="008F4A8A"/>
    <w:rsid w:val="008F54BD"/>
    <w:rsid w:val="008F754C"/>
    <w:rsid w:val="008F775D"/>
    <w:rsid w:val="00903E87"/>
    <w:rsid w:val="00904403"/>
    <w:rsid w:val="009056C7"/>
    <w:rsid w:val="00905E07"/>
    <w:rsid w:val="00910783"/>
    <w:rsid w:val="009124E0"/>
    <w:rsid w:val="009137E1"/>
    <w:rsid w:val="00914548"/>
    <w:rsid w:val="00915937"/>
    <w:rsid w:val="00915B86"/>
    <w:rsid w:val="009161BD"/>
    <w:rsid w:val="00916CB6"/>
    <w:rsid w:val="00917BEE"/>
    <w:rsid w:val="00920AA2"/>
    <w:rsid w:val="00920AC2"/>
    <w:rsid w:val="00920DEA"/>
    <w:rsid w:val="00921FE5"/>
    <w:rsid w:val="00922630"/>
    <w:rsid w:val="00923803"/>
    <w:rsid w:val="00925DDB"/>
    <w:rsid w:val="009268E7"/>
    <w:rsid w:val="00927350"/>
    <w:rsid w:val="009273EC"/>
    <w:rsid w:val="00930B8E"/>
    <w:rsid w:val="009315F4"/>
    <w:rsid w:val="00932A75"/>
    <w:rsid w:val="00933A36"/>
    <w:rsid w:val="00934B24"/>
    <w:rsid w:val="00935173"/>
    <w:rsid w:val="009367FB"/>
    <w:rsid w:val="00937611"/>
    <w:rsid w:val="0093766D"/>
    <w:rsid w:val="009419EB"/>
    <w:rsid w:val="00941FEF"/>
    <w:rsid w:val="00942454"/>
    <w:rsid w:val="00942B0D"/>
    <w:rsid w:val="009434F9"/>
    <w:rsid w:val="009459A1"/>
    <w:rsid w:val="00946796"/>
    <w:rsid w:val="009476E5"/>
    <w:rsid w:val="00950FF5"/>
    <w:rsid w:val="00951469"/>
    <w:rsid w:val="0095214E"/>
    <w:rsid w:val="00953B30"/>
    <w:rsid w:val="009554EB"/>
    <w:rsid w:val="00955D71"/>
    <w:rsid w:val="009560A6"/>
    <w:rsid w:val="00957906"/>
    <w:rsid w:val="00961178"/>
    <w:rsid w:val="00962153"/>
    <w:rsid w:val="009629A0"/>
    <w:rsid w:val="00962A4B"/>
    <w:rsid w:val="00963476"/>
    <w:rsid w:val="00963AA2"/>
    <w:rsid w:val="00964582"/>
    <w:rsid w:val="00964CBC"/>
    <w:rsid w:val="00965B29"/>
    <w:rsid w:val="00970FF1"/>
    <w:rsid w:val="009739DC"/>
    <w:rsid w:val="00976592"/>
    <w:rsid w:val="00976E36"/>
    <w:rsid w:val="0097701E"/>
    <w:rsid w:val="009776EA"/>
    <w:rsid w:val="00980BBA"/>
    <w:rsid w:val="00983D97"/>
    <w:rsid w:val="00984D7E"/>
    <w:rsid w:val="0098666E"/>
    <w:rsid w:val="00987DED"/>
    <w:rsid w:val="0099079D"/>
    <w:rsid w:val="00991008"/>
    <w:rsid w:val="00991456"/>
    <w:rsid w:val="00991D69"/>
    <w:rsid w:val="009925C7"/>
    <w:rsid w:val="00993DBA"/>
    <w:rsid w:val="00994F82"/>
    <w:rsid w:val="009955F3"/>
    <w:rsid w:val="00995C91"/>
    <w:rsid w:val="00996A74"/>
    <w:rsid w:val="00996E61"/>
    <w:rsid w:val="00997AE6"/>
    <w:rsid w:val="00997BD3"/>
    <w:rsid w:val="009A3190"/>
    <w:rsid w:val="009A35D3"/>
    <w:rsid w:val="009A38ED"/>
    <w:rsid w:val="009A3944"/>
    <w:rsid w:val="009A4744"/>
    <w:rsid w:val="009A4C38"/>
    <w:rsid w:val="009A51E9"/>
    <w:rsid w:val="009A6089"/>
    <w:rsid w:val="009B050F"/>
    <w:rsid w:val="009B0526"/>
    <w:rsid w:val="009B068C"/>
    <w:rsid w:val="009B2781"/>
    <w:rsid w:val="009B2AFE"/>
    <w:rsid w:val="009B470B"/>
    <w:rsid w:val="009B4F03"/>
    <w:rsid w:val="009B5443"/>
    <w:rsid w:val="009B636E"/>
    <w:rsid w:val="009B70B1"/>
    <w:rsid w:val="009B724F"/>
    <w:rsid w:val="009B7E18"/>
    <w:rsid w:val="009C00CD"/>
    <w:rsid w:val="009C05EE"/>
    <w:rsid w:val="009C13EB"/>
    <w:rsid w:val="009C3219"/>
    <w:rsid w:val="009C3C16"/>
    <w:rsid w:val="009C473F"/>
    <w:rsid w:val="009C4A88"/>
    <w:rsid w:val="009C53D5"/>
    <w:rsid w:val="009C684F"/>
    <w:rsid w:val="009C78A5"/>
    <w:rsid w:val="009C7AE9"/>
    <w:rsid w:val="009C7C2C"/>
    <w:rsid w:val="009D0B28"/>
    <w:rsid w:val="009D1B9E"/>
    <w:rsid w:val="009D2168"/>
    <w:rsid w:val="009D228D"/>
    <w:rsid w:val="009D2BE7"/>
    <w:rsid w:val="009D2ED2"/>
    <w:rsid w:val="009D396C"/>
    <w:rsid w:val="009D5BC0"/>
    <w:rsid w:val="009D62A2"/>
    <w:rsid w:val="009D6309"/>
    <w:rsid w:val="009D6B26"/>
    <w:rsid w:val="009D6D4F"/>
    <w:rsid w:val="009D755B"/>
    <w:rsid w:val="009D7613"/>
    <w:rsid w:val="009D785A"/>
    <w:rsid w:val="009E12DC"/>
    <w:rsid w:val="009E159A"/>
    <w:rsid w:val="009E2391"/>
    <w:rsid w:val="009E3F36"/>
    <w:rsid w:val="009E47FD"/>
    <w:rsid w:val="009E613E"/>
    <w:rsid w:val="009E7042"/>
    <w:rsid w:val="009F061C"/>
    <w:rsid w:val="009F0AF8"/>
    <w:rsid w:val="009F2A7E"/>
    <w:rsid w:val="009F2F20"/>
    <w:rsid w:val="009F3B90"/>
    <w:rsid w:val="009F4FE3"/>
    <w:rsid w:val="009F514F"/>
    <w:rsid w:val="009F5951"/>
    <w:rsid w:val="009F5A1E"/>
    <w:rsid w:val="009F6233"/>
    <w:rsid w:val="009F66AA"/>
    <w:rsid w:val="009F67A7"/>
    <w:rsid w:val="009F7499"/>
    <w:rsid w:val="009F7705"/>
    <w:rsid w:val="00A01044"/>
    <w:rsid w:val="00A01192"/>
    <w:rsid w:val="00A01DE2"/>
    <w:rsid w:val="00A04305"/>
    <w:rsid w:val="00A04481"/>
    <w:rsid w:val="00A05457"/>
    <w:rsid w:val="00A05955"/>
    <w:rsid w:val="00A062B4"/>
    <w:rsid w:val="00A071DF"/>
    <w:rsid w:val="00A07E89"/>
    <w:rsid w:val="00A10278"/>
    <w:rsid w:val="00A102A0"/>
    <w:rsid w:val="00A103D1"/>
    <w:rsid w:val="00A103EA"/>
    <w:rsid w:val="00A11455"/>
    <w:rsid w:val="00A125AC"/>
    <w:rsid w:val="00A20842"/>
    <w:rsid w:val="00A20877"/>
    <w:rsid w:val="00A20FF1"/>
    <w:rsid w:val="00A2458D"/>
    <w:rsid w:val="00A2570B"/>
    <w:rsid w:val="00A2642D"/>
    <w:rsid w:val="00A3212B"/>
    <w:rsid w:val="00A3229C"/>
    <w:rsid w:val="00A336EE"/>
    <w:rsid w:val="00A34513"/>
    <w:rsid w:val="00A36083"/>
    <w:rsid w:val="00A37DF1"/>
    <w:rsid w:val="00A42000"/>
    <w:rsid w:val="00A4379F"/>
    <w:rsid w:val="00A4384C"/>
    <w:rsid w:val="00A4660B"/>
    <w:rsid w:val="00A473C9"/>
    <w:rsid w:val="00A47526"/>
    <w:rsid w:val="00A47DBD"/>
    <w:rsid w:val="00A47F4B"/>
    <w:rsid w:val="00A50B01"/>
    <w:rsid w:val="00A518A9"/>
    <w:rsid w:val="00A549B7"/>
    <w:rsid w:val="00A549F9"/>
    <w:rsid w:val="00A54C12"/>
    <w:rsid w:val="00A56020"/>
    <w:rsid w:val="00A56445"/>
    <w:rsid w:val="00A573C4"/>
    <w:rsid w:val="00A60081"/>
    <w:rsid w:val="00A60D66"/>
    <w:rsid w:val="00A62446"/>
    <w:rsid w:val="00A62C96"/>
    <w:rsid w:val="00A62EB1"/>
    <w:rsid w:val="00A657E8"/>
    <w:rsid w:val="00A65E06"/>
    <w:rsid w:val="00A66030"/>
    <w:rsid w:val="00A672F0"/>
    <w:rsid w:val="00A70A8E"/>
    <w:rsid w:val="00A7189D"/>
    <w:rsid w:val="00A73574"/>
    <w:rsid w:val="00A737E6"/>
    <w:rsid w:val="00A74193"/>
    <w:rsid w:val="00A75421"/>
    <w:rsid w:val="00A7558A"/>
    <w:rsid w:val="00A75F28"/>
    <w:rsid w:val="00A80EF9"/>
    <w:rsid w:val="00A80F15"/>
    <w:rsid w:val="00A81296"/>
    <w:rsid w:val="00A8284E"/>
    <w:rsid w:val="00A8458F"/>
    <w:rsid w:val="00A85A4A"/>
    <w:rsid w:val="00A86E17"/>
    <w:rsid w:val="00A917DC"/>
    <w:rsid w:val="00A919B7"/>
    <w:rsid w:val="00A9286A"/>
    <w:rsid w:val="00A928F8"/>
    <w:rsid w:val="00A94321"/>
    <w:rsid w:val="00A95975"/>
    <w:rsid w:val="00A970FB"/>
    <w:rsid w:val="00AA0135"/>
    <w:rsid w:val="00AA175C"/>
    <w:rsid w:val="00AA4EAF"/>
    <w:rsid w:val="00AA500B"/>
    <w:rsid w:val="00AA589E"/>
    <w:rsid w:val="00AA637B"/>
    <w:rsid w:val="00AA6A6B"/>
    <w:rsid w:val="00AA77AE"/>
    <w:rsid w:val="00AB01B3"/>
    <w:rsid w:val="00AB0F64"/>
    <w:rsid w:val="00AB119C"/>
    <w:rsid w:val="00AB27A2"/>
    <w:rsid w:val="00AB3A97"/>
    <w:rsid w:val="00AB407A"/>
    <w:rsid w:val="00AB475D"/>
    <w:rsid w:val="00AB4844"/>
    <w:rsid w:val="00AB63C2"/>
    <w:rsid w:val="00AC0222"/>
    <w:rsid w:val="00AC18E6"/>
    <w:rsid w:val="00AC1A5E"/>
    <w:rsid w:val="00AC2E31"/>
    <w:rsid w:val="00AC3061"/>
    <w:rsid w:val="00AC3465"/>
    <w:rsid w:val="00AC4493"/>
    <w:rsid w:val="00AC5881"/>
    <w:rsid w:val="00AC636E"/>
    <w:rsid w:val="00AC6455"/>
    <w:rsid w:val="00AC6E69"/>
    <w:rsid w:val="00AC77EF"/>
    <w:rsid w:val="00AC7E0E"/>
    <w:rsid w:val="00AC7E2D"/>
    <w:rsid w:val="00AD0B93"/>
    <w:rsid w:val="00AD0F4F"/>
    <w:rsid w:val="00AD237D"/>
    <w:rsid w:val="00AD2C0A"/>
    <w:rsid w:val="00AD4B86"/>
    <w:rsid w:val="00AD5076"/>
    <w:rsid w:val="00AD7E26"/>
    <w:rsid w:val="00AE0282"/>
    <w:rsid w:val="00AE33FD"/>
    <w:rsid w:val="00AE3CE4"/>
    <w:rsid w:val="00AE6C62"/>
    <w:rsid w:val="00AE6EFF"/>
    <w:rsid w:val="00AE7581"/>
    <w:rsid w:val="00AE7D77"/>
    <w:rsid w:val="00AF0D7C"/>
    <w:rsid w:val="00AF1787"/>
    <w:rsid w:val="00AF187E"/>
    <w:rsid w:val="00AF1EB6"/>
    <w:rsid w:val="00AF241B"/>
    <w:rsid w:val="00AF2A02"/>
    <w:rsid w:val="00AF3399"/>
    <w:rsid w:val="00AF40C6"/>
    <w:rsid w:val="00AF4344"/>
    <w:rsid w:val="00AF4504"/>
    <w:rsid w:val="00AF70DA"/>
    <w:rsid w:val="00AF781E"/>
    <w:rsid w:val="00B000A2"/>
    <w:rsid w:val="00B00BC9"/>
    <w:rsid w:val="00B0142C"/>
    <w:rsid w:val="00B02AAB"/>
    <w:rsid w:val="00B0332B"/>
    <w:rsid w:val="00B0379F"/>
    <w:rsid w:val="00B03F3F"/>
    <w:rsid w:val="00B044BE"/>
    <w:rsid w:val="00B04674"/>
    <w:rsid w:val="00B04B82"/>
    <w:rsid w:val="00B0525F"/>
    <w:rsid w:val="00B07BBA"/>
    <w:rsid w:val="00B10225"/>
    <w:rsid w:val="00B123FB"/>
    <w:rsid w:val="00B1260C"/>
    <w:rsid w:val="00B138BE"/>
    <w:rsid w:val="00B158C7"/>
    <w:rsid w:val="00B15C70"/>
    <w:rsid w:val="00B15DE7"/>
    <w:rsid w:val="00B1621A"/>
    <w:rsid w:val="00B17499"/>
    <w:rsid w:val="00B17F19"/>
    <w:rsid w:val="00B20B50"/>
    <w:rsid w:val="00B249AF"/>
    <w:rsid w:val="00B24B53"/>
    <w:rsid w:val="00B25904"/>
    <w:rsid w:val="00B31BB8"/>
    <w:rsid w:val="00B32CC0"/>
    <w:rsid w:val="00B3383D"/>
    <w:rsid w:val="00B34A75"/>
    <w:rsid w:val="00B3542D"/>
    <w:rsid w:val="00B36350"/>
    <w:rsid w:val="00B37D55"/>
    <w:rsid w:val="00B37FD9"/>
    <w:rsid w:val="00B403FE"/>
    <w:rsid w:val="00B417C3"/>
    <w:rsid w:val="00B41C32"/>
    <w:rsid w:val="00B42082"/>
    <w:rsid w:val="00B42979"/>
    <w:rsid w:val="00B43E3D"/>
    <w:rsid w:val="00B46A5C"/>
    <w:rsid w:val="00B4754F"/>
    <w:rsid w:val="00B47D65"/>
    <w:rsid w:val="00B50AE7"/>
    <w:rsid w:val="00B50D72"/>
    <w:rsid w:val="00B51A44"/>
    <w:rsid w:val="00B51BAC"/>
    <w:rsid w:val="00B520AC"/>
    <w:rsid w:val="00B52C85"/>
    <w:rsid w:val="00B53433"/>
    <w:rsid w:val="00B55000"/>
    <w:rsid w:val="00B550E4"/>
    <w:rsid w:val="00B552E1"/>
    <w:rsid w:val="00B557E2"/>
    <w:rsid w:val="00B55B5B"/>
    <w:rsid w:val="00B56453"/>
    <w:rsid w:val="00B601BC"/>
    <w:rsid w:val="00B64ECE"/>
    <w:rsid w:val="00B64F43"/>
    <w:rsid w:val="00B65A04"/>
    <w:rsid w:val="00B66CEC"/>
    <w:rsid w:val="00B67A03"/>
    <w:rsid w:val="00B67E3F"/>
    <w:rsid w:val="00B73BDF"/>
    <w:rsid w:val="00B75150"/>
    <w:rsid w:val="00B7571F"/>
    <w:rsid w:val="00B7600E"/>
    <w:rsid w:val="00B76267"/>
    <w:rsid w:val="00B77738"/>
    <w:rsid w:val="00B77AE8"/>
    <w:rsid w:val="00B82BC2"/>
    <w:rsid w:val="00B831A8"/>
    <w:rsid w:val="00B84FE1"/>
    <w:rsid w:val="00B8686D"/>
    <w:rsid w:val="00B87370"/>
    <w:rsid w:val="00B918AC"/>
    <w:rsid w:val="00B91D70"/>
    <w:rsid w:val="00B91DDF"/>
    <w:rsid w:val="00B9224E"/>
    <w:rsid w:val="00B92357"/>
    <w:rsid w:val="00B92941"/>
    <w:rsid w:val="00B9480F"/>
    <w:rsid w:val="00B95053"/>
    <w:rsid w:val="00B95BED"/>
    <w:rsid w:val="00BA0BB7"/>
    <w:rsid w:val="00BA4292"/>
    <w:rsid w:val="00BA6693"/>
    <w:rsid w:val="00BB12EF"/>
    <w:rsid w:val="00BB20B0"/>
    <w:rsid w:val="00BB59CA"/>
    <w:rsid w:val="00BB702F"/>
    <w:rsid w:val="00BC0617"/>
    <w:rsid w:val="00BC1725"/>
    <w:rsid w:val="00BC47F9"/>
    <w:rsid w:val="00BD00C6"/>
    <w:rsid w:val="00BD02D9"/>
    <w:rsid w:val="00BD04F6"/>
    <w:rsid w:val="00BD0AFF"/>
    <w:rsid w:val="00BD0EA8"/>
    <w:rsid w:val="00BD1693"/>
    <w:rsid w:val="00BD46E5"/>
    <w:rsid w:val="00BD4C8A"/>
    <w:rsid w:val="00BD52D6"/>
    <w:rsid w:val="00BD579E"/>
    <w:rsid w:val="00BD6B96"/>
    <w:rsid w:val="00BD7CF5"/>
    <w:rsid w:val="00BD7DD9"/>
    <w:rsid w:val="00BD7EE8"/>
    <w:rsid w:val="00BE01E0"/>
    <w:rsid w:val="00BE120C"/>
    <w:rsid w:val="00BE1AD3"/>
    <w:rsid w:val="00BE1B7C"/>
    <w:rsid w:val="00BE2732"/>
    <w:rsid w:val="00BE2A6C"/>
    <w:rsid w:val="00BE33CA"/>
    <w:rsid w:val="00BE3442"/>
    <w:rsid w:val="00BE3575"/>
    <w:rsid w:val="00BE4299"/>
    <w:rsid w:val="00BE6169"/>
    <w:rsid w:val="00BE638C"/>
    <w:rsid w:val="00BE6B87"/>
    <w:rsid w:val="00BE7B85"/>
    <w:rsid w:val="00BF002F"/>
    <w:rsid w:val="00BF016C"/>
    <w:rsid w:val="00BF0EA4"/>
    <w:rsid w:val="00BF1A22"/>
    <w:rsid w:val="00BF4B5B"/>
    <w:rsid w:val="00BF4CE4"/>
    <w:rsid w:val="00BF5FAC"/>
    <w:rsid w:val="00BF6589"/>
    <w:rsid w:val="00BF70A7"/>
    <w:rsid w:val="00BF7AD8"/>
    <w:rsid w:val="00C02105"/>
    <w:rsid w:val="00C03092"/>
    <w:rsid w:val="00C0367F"/>
    <w:rsid w:val="00C04D5F"/>
    <w:rsid w:val="00C06A4D"/>
    <w:rsid w:val="00C0793F"/>
    <w:rsid w:val="00C07F1E"/>
    <w:rsid w:val="00C10BE2"/>
    <w:rsid w:val="00C12A50"/>
    <w:rsid w:val="00C134F9"/>
    <w:rsid w:val="00C13DAD"/>
    <w:rsid w:val="00C148BF"/>
    <w:rsid w:val="00C153BA"/>
    <w:rsid w:val="00C155E9"/>
    <w:rsid w:val="00C162B2"/>
    <w:rsid w:val="00C16D23"/>
    <w:rsid w:val="00C173C1"/>
    <w:rsid w:val="00C1759E"/>
    <w:rsid w:val="00C203E5"/>
    <w:rsid w:val="00C21446"/>
    <w:rsid w:val="00C225B2"/>
    <w:rsid w:val="00C2286D"/>
    <w:rsid w:val="00C22A9C"/>
    <w:rsid w:val="00C234BE"/>
    <w:rsid w:val="00C25A9E"/>
    <w:rsid w:val="00C25E48"/>
    <w:rsid w:val="00C268E3"/>
    <w:rsid w:val="00C3005A"/>
    <w:rsid w:val="00C33504"/>
    <w:rsid w:val="00C35EF5"/>
    <w:rsid w:val="00C3649B"/>
    <w:rsid w:val="00C40582"/>
    <w:rsid w:val="00C40821"/>
    <w:rsid w:val="00C41085"/>
    <w:rsid w:val="00C4153E"/>
    <w:rsid w:val="00C41C67"/>
    <w:rsid w:val="00C433F9"/>
    <w:rsid w:val="00C50E81"/>
    <w:rsid w:val="00C51878"/>
    <w:rsid w:val="00C5394D"/>
    <w:rsid w:val="00C54188"/>
    <w:rsid w:val="00C54472"/>
    <w:rsid w:val="00C54950"/>
    <w:rsid w:val="00C54AA6"/>
    <w:rsid w:val="00C54FCE"/>
    <w:rsid w:val="00C56411"/>
    <w:rsid w:val="00C6010F"/>
    <w:rsid w:val="00C613F6"/>
    <w:rsid w:val="00C614D0"/>
    <w:rsid w:val="00C63426"/>
    <w:rsid w:val="00C63782"/>
    <w:rsid w:val="00C639A5"/>
    <w:rsid w:val="00C64070"/>
    <w:rsid w:val="00C64294"/>
    <w:rsid w:val="00C64FB6"/>
    <w:rsid w:val="00C65E38"/>
    <w:rsid w:val="00C663C4"/>
    <w:rsid w:val="00C66F4D"/>
    <w:rsid w:val="00C66F63"/>
    <w:rsid w:val="00C70A28"/>
    <w:rsid w:val="00C70F95"/>
    <w:rsid w:val="00C71FA5"/>
    <w:rsid w:val="00C72601"/>
    <w:rsid w:val="00C73B8D"/>
    <w:rsid w:val="00C74018"/>
    <w:rsid w:val="00C740D8"/>
    <w:rsid w:val="00C74670"/>
    <w:rsid w:val="00C74B15"/>
    <w:rsid w:val="00C74B40"/>
    <w:rsid w:val="00C7616B"/>
    <w:rsid w:val="00C7687D"/>
    <w:rsid w:val="00C768BA"/>
    <w:rsid w:val="00C773AE"/>
    <w:rsid w:val="00C77785"/>
    <w:rsid w:val="00C77C38"/>
    <w:rsid w:val="00C77DAD"/>
    <w:rsid w:val="00C802A9"/>
    <w:rsid w:val="00C809ED"/>
    <w:rsid w:val="00C80C57"/>
    <w:rsid w:val="00C811CA"/>
    <w:rsid w:val="00C820B8"/>
    <w:rsid w:val="00C84AC3"/>
    <w:rsid w:val="00C863E2"/>
    <w:rsid w:val="00C86492"/>
    <w:rsid w:val="00C86692"/>
    <w:rsid w:val="00C86826"/>
    <w:rsid w:val="00C86A7D"/>
    <w:rsid w:val="00C90B9C"/>
    <w:rsid w:val="00C920BC"/>
    <w:rsid w:val="00C9210F"/>
    <w:rsid w:val="00C9299F"/>
    <w:rsid w:val="00C9339A"/>
    <w:rsid w:val="00C93973"/>
    <w:rsid w:val="00C94116"/>
    <w:rsid w:val="00C97867"/>
    <w:rsid w:val="00CA005B"/>
    <w:rsid w:val="00CA0EF0"/>
    <w:rsid w:val="00CA1272"/>
    <w:rsid w:val="00CA1F12"/>
    <w:rsid w:val="00CA26D4"/>
    <w:rsid w:val="00CA3B3D"/>
    <w:rsid w:val="00CA3D0E"/>
    <w:rsid w:val="00CA48AE"/>
    <w:rsid w:val="00CA49F9"/>
    <w:rsid w:val="00CA6895"/>
    <w:rsid w:val="00CA6C50"/>
    <w:rsid w:val="00CA7B8C"/>
    <w:rsid w:val="00CB0C94"/>
    <w:rsid w:val="00CB1D08"/>
    <w:rsid w:val="00CB2C31"/>
    <w:rsid w:val="00CB3A7C"/>
    <w:rsid w:val="00CB5962"/>
    <w:rsid w:val="00CB5AB6"/>
    <w:rsid w:val="00CB631F"/>
    <w:rsid w:val="00CB65A8"/>
    <w:rsid w:val="00CC14BD"/>
    <w:rsid w:val="00CC223F"/>
    <w:rsid w:val="00CC3AD8"/>
    <w:rsid w:val="00CC41FF"/>
    <w:rsid w:val="00CC439C"/>
    <w:rsid w:val="00CC52E0"/>
    <w:rsid w:val="00CC56BD"/>
    <w:rsid w:val="00CC5A6A"/>
    <w:rsid w:val="00CC654A"/>
    <w:rsid w:val="00CC6C20"/>
    <w:rsid w:val="00CD0660"/>
    <w:rsid w:val="00CD0B4E"/>
    <w:rsid w:val="00CD13D4"/>
    <w:rsid w:val="00CD1CD4"/>
    <w:rsid w:val="00CD22E8"/>
    <w:rsid w:val="00CD2D6E"/>
    <w:rsid w:val="00CD3304"/>
    <w:rsid w:val="00CD3355"/>
    <w:rsid w:val="00CD4BCA"/>
    <w:rsid w:val="00CD7231"/>
    <w:rsid w:val="00CE0CE7"/>
    <w:rsid w:val="00CE1EA7"/>
    <w:rsid w:val="00CE2768"/>
    <w:rsid w:val="00CE396B"/>
    <w:rsid w:val="00CE7924"/>
    <w:rsid w:val="00CF04E9"/>
    <w:rsid w:val="00CF0CC8"/>
    <w:rsid w:val="00CF38B9"/>
    <w:rsid w:val="00CF436F"/>
    <w:rsid w:val="00CF4EF4"/>
    <w:rsid w:val="00CF5B84"/>
    <w:rsid w:val="00CF621C"/>
    <w:rsid w:val="00CF7524"/>
    <w:rsid w:val="00D03924"/>
    <w:rsid w:val="00D049EB"/>
    <w:rsid w:val="00D05429"/>
    <w:rsid w:val="00D05845"/>
    <w:rsid w:val="00D061BC"/>
    <w:rsid w:val="00D1078A"/>
    <w:rsid w:val="00D12A96"/>
    <w:rsid w:val="00D12CC8"/>
    <w:rsid w:val="00D131E6"/>
    <w:rsid w:val="00D16A5B"/>
    <w:rsid w:val="00D171A3"/>
    <w:rsid w:val="00D20621"/>
    <w:rsid w:val="00D212D8"/>
    <w:rsid w:val="00D218AA"/>
    <w:rsid w:val="00D228FE"/>
    <w:rsid w:val="00D2314F"/>
    <w:rsid w:val="00D231F5"/>
    <w:rsid w:val="00D24FAD"/>
    <w:rsid w:val="00D25B74"/>
    <w:rsid w:val="00D270F1"/>
    <w:rsid w:val="00D275F4"/>
    <w:rsid w:val="00D27A1E"/>
    <w:rsid w:val="00D3098D"/>
    <w:rsid w:val="00D331F3"/>
    <w:rsid w:val="00D34B7E"/>
    <w:rsid w:val="00D35CA6"/>
    <w:rsid w:val="00D35E53"/>
    <w:rsid w:val="00D369A3"/>
    <w:rsid w:val="00D41DF6"/>
    <w:rsid w:val="00D43808"/>
    <w:rsid w:val="00D46841"/>
    <w:rsid w:val="00D52E7F"/>
    <w:rsid w:val="00D537B8"/>
    <w:rsid w:val="00D545B3"/>
    <w:rsid w:val="00D5504A"/>
    <w:rsid w:val="00D55411"/>
    <w:rsid w:val="00D5730E"/>
    <w:rsid w:val="00D57D35"/>
    <w:rsid w:val="00D61A28"/>
    <w:rsid w:val="00D635CE"/>
    <w:rsid w:val="00D64264"/>
    <w:rsid w:val="00D64B8A"/>
    <w:rsid w:val="00D64EE6"/>
    <w:rsid w:val="00D65329"/>
    <w:rsid w:val="00D65D32"/>
    <w:rsid w:val="00D668E2"/>
    <w:rsid w:val="00D67A9E"/>
    <w:rsid w:val="00D727EE"/>
    <w:rsid w:val="00D72FF8"/>
    <w:rsid w:val="00D73276"/>
    <w:rsid w:val="00D759C1"/>
    <w:rsid w:val="00D75ABA"/>
    <w:rsid w:val="00D773FE"/>
    <w:rsid w:val="00D779AE"/>
    <w:rsid w:val="00D80202"/>
    <w:rsid w:val="00D80355"/>
    <w:rsid w:val="00D828CD"/>
    <w:rsid w:val="00D82F4E"/>
    <w:rsid w:val="00D8349B"/>
    <w:rsid w:val="00D84E85"/>
    <w:rsid w:val="00D85950"/>
    <w:rsid w:val="00D859E1"/>
    <w:rsid w:val="00D868F9"/>
    <w:rsid w:val="00D86EEA"/>
    <w:rsid w:val="00D90103"/>
    <w:rsid w:val="00D902D0"/>
    <w:rsid w:val="00D91C3F"/>
    <w:rsid w:val="00D93EBB"/>
    <w:rsid w:val="00D93FAE"/>
    <w:rsid w:val="00D94A00"/>
    <w:rsid w:val="00D94E24"/>
    <w:rsid w:val="00D95CA9"/>
    <w:rsid w:val="00D9659B"/>
    <w:rsid w:val="00D97A96"/>
    <w:rsid w:val="00DA17F5"/>
    <w:rsid w:val="00DA1D6D"/>
    <w:rsid w:val="00DA26EC"/>
    <w:rsid w:val="00DA2E65"/>
    <w:rsid w:val="00DA416F"/>
    <w:rsid w:val="00DA5208"/>
    <w:rsid w:val="00DA5B25"/>
    <w:rsid w:val="00DA5E64"/>
    <w:rsid w:val="00DA5F7C"/>
    <w:rsid w:val="00DA6122"/>
    <w:rsid w:val="00DA6EA0"/>
    <w:rsid w:val="00DA73AE"/>
    <w:rsid w:val="00DA7FC1"/>
    <w:rsid w:val="00DB03D2"/>
    <w:rsid w:val="00DB08B8"/>
    <w:rsid w:val="00DB1163"/>
    <w:rsid w:val="00DB1694"/>
    <w:rsid w:val="00DB1C07"/>
    <w:rsid w:val="00DB1F30"/>
    <w:rsid w:val="00DB1F8C"/>
    <w:rsid w:val="00DB32D3"/>
    <w:rsid w:val="00DB335A"/>
    <w:rsid w:val="00DB3D4C"/>
    <w:rsid w:val="00DB7663"/>
    <w:rsid w:val="00DB7F33"/>
    <w:rsid w:val="00DC1B8C"/>
    <w:rsid w:val="00DC3125"/>
    <w:rsid w:val="00DC45A5"/>
    <w:rsid w:val="00DC4D9D"/>
    <w:rsid w:val="00DC5793"/>
    <w:rsid w:val="00DC7F9E"/>
    <w:rsid w:val="00DD4D4B"/>
    <w:rsid w:val="00DD4E64"/>
    <w:rsid w:val="00DD788B"/>
    <w:rsid w:val="00DE05A3"/>
    <w:rsid w:val="00DE15CC"/>
    <w:rsid w:val="00DE2B30"/>
    <w:rsid w:val="00DE483B"/>
    <w:rsid w:val="00DE4DAA"/>
    <w:rsid w:val="00DE5AE8"/>
    <w:rsid w:val="00DE611B"/>
    <w:rsid w:val="00DE6A6C"/>
    <w:rsid w:val="00DF03F7"/>
    <w:rsid w:val="00DF0FC6"/>
    <w:rsid w:val="00DF1102"/>
    <w:rsid w:val="00DF19F7"/>
    <w:rsid w:val="00DF25AC"/>
    <w:rsid w:val="00DF4187"/>
    <w:rsid w:val="00DF4484"/>
    <w:rsid w:val="00DF47A6"/>
    <w:rsid w:val="00DF5A60"/>
    <w:rsid w:val="00DF5A8B"/>
    <w:rsid w:val="00DF5BD2"/>
    <w:rsid w:val="00DF5DCB"/>
    <w:rsid w:val="00DF6F2D"/>
    <w:rsid w:val="00E049D2"/>
    <w:rsid w:val="00E0516F"/>
    <w:rsid w:val="00E07EEC"/>
    <w:rsid w:val="00E122C1"/>
    <w:rsid w:val="00E14011"/>
    <w:rsid w:val="00E14F63"/>
    <w:rsid w:val="00E16C08"/>
    <w:rsid w:val="00E2015E"/>
    <w:rsid w:val="00E20859"/>
    <w:rsid w:val="00E20E9A"/>
    <w:rsid w:val="00E2489E"/>
    <w:rsid w:val="00E24A9D"/>
    <w:rsid w:val="00E25AF5"/>
    <w:rsid w:val="00E26688"/>
    <w:rsid w:val="00E27448"/>
    <w:rsid w:val="00E30452"/>
    <w:rsid w:val="00E3063B"/>
    <w:rsid w:val="00E30643"/>
    <w:rsid w:val="00E30838"/>
    <w:rsid w:val="00E31B24"/>
    <w:rsid w:val="00E34E28"/>
    <w:rsid w:val="00E364F8"/>
    <w:rsid w:val="00E376D3"/>
    <w:rsid w:val="00E37F52"/>
    <w:rsid w:val="00E37FD9"/>
    <w:rsid w:val="00E40F2E"/>
    <w:rsid w:val="00E40F91"/>
    <w:rsid w:val="00E411F8"/>
    <w:rsid w:val="00E427E7"/>
    <w:rsid w:val="00E43EC9"/>
    <w:rsid w:val="00E44079"/>
    <w:rsid w:val="00E46398"/>
    <w:rsid w:val="00E4677E"/>
    <w:rsid w:val="00E50E26"/>
    <w:rsid w:val="00E51281"/>
    <w:rsid w:val="00E52E99"/>
    <w:rsid w:val="00E53F80"/>
    <w:rsid w:val="00E5419A"/>
    <w:rsid w:val="00E547BB"/>
    <w:rsid w:val="00E54EE9"/>
    <w:rsid w:val="00E551F6"/>
    <w:rsid w:val="00E5551C"/>
    <w:rsid w:val="00E57224"/>
    <w:rsid w:val="00E57411"/>
    <w:rsid w:val="00E57CFF"/>
    <w:rsid w:val="00E61F98"/>
    <w:rsid w:val="00E630DD"/>
    <w:rsid w:val="00E668B8"/>
    <w:rsid w:val="00E668D0"/>
    <w:rsid w:val="00E67046"/>
    <w:rsid w:val="00E70FC2"/>
    <w:rsid w:val="00E71C09"/>
    <w:rsid w:val="00E741A5"/>
    <w:rsid w:val="00E74576"/>
    <w:rsid w:val="00E75851"/>
    <w:rsid w:val="00E763B7"/>
    <w:rsid w:val="00E76FCD"/>
    <w:rsid w:val="00E77557"/>
    <w:rsid w:val="00E77616"/>
    <w:rsid w:val="00E81716"/>
    <w:rsid w:val="00E82ABC"/>
    <w:rsid w:val="00E83D52"/>
    <w:rsid w:val="00E84F79"/>
    <w:rsid w:val="00E86590"/>
    <w:rsid w:val="00E87E01"/>
    <w:rsid w:val="00E91011"/>
    <w:rsid w:val="00E916D9"/>
    <w:rsid w:val="00E94F60"/>
    <w:rsid w:val="00E96399"/>
    <w:rsid w:val="00E966C4"/>
    <w:rsid w:val="00E9675F"/>
    <w:rsid w:val="00E9745A"/>
    <w:rsid w:val="00E9780D"/>
    <w:rsid w:val="00EA06E0"/>
    <w:rsid w:val="00EA07CA"/>
    <w:rsid w:val="00EA287F"/>
    <w:rsid w:val="00EA2969"/>
    <w:rsid w:val="00EA3475"/>
    <w:rsid w:val="00EA5F86"/>
    <w:rsid w:val="00EA6017"/>
    <w:rsid w:val="00EA7FFA"/>
    <w:rsid w:val="00EB0204"/>
    <w:rsid w:val="00EB090E"/>
    <w:rsid w:val="00EB0C2B"/>
    <w:rsid w:val="00EB1F11"/>
    <w:rsid w:val="00EB492D"/>
    <w:rsid w:val="00EB51C4"/>
    <w:rsid w:val="00EB5C35"/>
    <w:rsid w:val="00EB6155"/>
    <w:rsid w:val="00EB74D7"/>
    <w:rsid w:val="00EB7886"/>
    <w:rsid w:val="00EB788E"/>
    <w:rsid w:val="00EC0AAF"/>
    <w:rsid w:val="00EC0FA7"/>
    <w:rsid w:val="00EC2B89"/>
    <w:rsid w:val="00EC2F49"/>
    <w:rsid w:val="00EC3346"/>
    <w:rsid w:val="00ED048A"/>
    <w:rsid w:val="00ED1621"/>
    <w:rsid w:val="00ED2600"/>
    <w:rsid w:val="00ED45AB"/>
    <w:rsid w:val="00ED50F5"/>
    <w:rsid w:val="00ED548D"/>
    <w:rsid w:val="00ED6C46"/>
    <w:rsid w:val="00ED7B00"/>
    <w:rsid w:val="00ED7D37"/>
    <w:rsid w:val="00EE0AC6"/>
    <w:rsid w:val="00EE108E"/>
    <w:rsid w:val="00EE141E"/>
    <w:rsid w:val="00EE142F"/>
    <w:rsid w:val="00EE1777"/>
    <w:rsid w:val="00EE1F6B"/>
    <w:rsid w:val="00EE3AE2"/>
    <w:rsid w:val="00EE528C"/>
    <w:rsid w:val="00EE52B0"/>
    <w:rsid w:val="00EE5962"/>
    <w:rsid w:val="00EE6619"/>
    <w:rsid w:val="00EE7127"/>
    <w:rsid w:val="00EF213C"/>
    <w:rsid w:val="00EF3E90"/>
    <w:rsid w:val="00EF4044"/>
    <w:rsid w:val="00EF60AA"/>
    <w:rsid w:val="00EF6485"/>
    <w:rsid w:val="00EF6CA4"/>
    <w:rsid w:val="00EF6E96"/>
    <w:rsid w:val="00F02159"/>
    <w:rsid w:val="00F038DF"/>
    <w:rsid w:val="00F03F82"/>
    <w:rsid w:val="00F056DE"/>
    <w:rsid w:val="00F071E1"/>
    <w:rsid w:val="00F079DF"/>
    <w:rsid w:val="00F1117C"/>
    <w:rsid w:val="00F118C7"/>
    <w:rsid w:val="00F12A9E"/>
    <w:rsid w:val="00F153CA"/>
    <w:rsid w:val="00F15966"/>
    <w:rsid w:val="00F166BB"/>
    <w:rsid w:val="00F16F28"/>
    <w:rsid w:val="00F202A6"/>
    <w:rsid w:val="00F21680"/>
    <w:rsid w:val="00F22725"/>
    <w:rsid w:val="00F232FB"/>
    <w:rsid w:val="00F23E87"/>
    <w:rsid w:val="00F2618F"/>
    <w:rsid w:val="00F301D1"/>
    <w:rsid w:val="00F311FE"/>
    <w:rsid w:val="00F325C3"/>
    <w:rsid w:val="00F32FF3"/>
    <w:rsid w:val="00F337BB"/>
    <w:rsid w:val="00F33F6E"/>
    <w:rsid w:val="00F33FE3"/>
    <w:rsid w:val="00F3641F"/>
    <w:rsid w:val="00F3766A"/>
    <w:rsid w:val="00F37E0B"/>
    <w:rsid w:val="00F427EA"/>
    <w:rsid w:val="00F432FA"/>
    <w:rsid w:val="00F44021"/>
    <w:rsid w:val="00F44471"/>
    <w:rsid w:val="00F46F0A"/>
    <w:rsid w:val="00F50892"/>
    <w:rsid w:val="00F51CE6"/>
    <w:rsid w:val="00F52943"/>
    <w:rsid w:val="00F52F3A"/>
    <w:rsid w:val="00F54B36"/>
    <w:rsid w:val="00F56496"/>
    <w:rsid w:val="00F57168"/>
    <w:rsid w:val="00F61F68"/>
    <w:rsid w:val="00F626B8"/>
    <w:rsid w:val="00F63B2B"/>
    <w:rsid w:val="00F64B1E"/>
    <w:rsid w:val="00F652C6"/>
    <w:rsid w:val="00F669D2"/>
    <w:rsid w:val="00F675D5"/>
    <w:rsid w:val="00F75A87"/>
    <w:rsid w:val="00F762C6"/>
    <w:rsid w:val="00F771AB"/>
    <w:rsid w:val="00F80FA7"/>
    <w:rsid w:val="00F8191E"/>
    <w:rsid w:val="00F8234A"/>
    <w:rsid w:val="00F82E95"/>
    <w:rsid w:val="00F83187"/>
    <w:rsid w:val="00F83697"/>
    <w:rsid w:val="00F83A42"/>
    <w:rsid w:val="00F83DB4"/>
    <w:rsid w:val="00F83F1F"/>
    <w:rsid w:val="00F84657"/>
    <w:rsid w:val="00F86662"/>
    <w:rsid w:val="00F875FC"/>
    <w:rsid w:val="00F87635"/>
    <w:rsid w:val="00F87DEF"/>
    <w:rsid w:val="00F903BD"/>
    <w:rsid w:val="00F910C3"/>
    <w:rsid w:val="00F9134E"/>
    <w:rsid w:val="00F91570"/>
    <w:rsid w:val="00F92CB8"/>
    <w:rsid w:val="00F945FB"/>
    <w:rsid w:val="00F94669"/>
    <w:rsid w:val="00F94B87"/>
    <w:rsid w:val="00F95349"/>
    <w:rsid w:val="00F9562B"/>
    <w:rsid w:val="00FA0370"/>
    <w:rsid w:val="00FA0D57"/>
    <w:rsid w:val="00FA38CA"/>
    <w:rsid w:val="00FA482A"/>
    <w:rsid w:val="00FA4F14"/>
    <w:rsid w:val="00FA5B44"/>
    <w:rsid w:val="00FA6BC9"/>
    <w:rsid w:val="00FA6E0A"/>
    <w:rsid w:val="00FA7531"/>
    <w:rsid w:val="00FA76EB"/>
    <w:rsid w:val="00FB0223"/>
    <w:rsid w:val="00FB02BD"/>
    <w:rsid w:val="00FB1A85"/>
    <w:rsid w:val="00FB2E95"/>
    <w:rsid w:val="00FB306B"/>
    <w:rsid w:val="00FB3454"/>
    <w:rsid w:val="00FB3932"/>
    <w:rsid w:val="00FB3FA2"/>
    <w:rsid w:val="00FB3FC1"/>
    <w:rsid w:val="00FB46A5"/>
    <w:rsid w:val="00FB4A7A"/>
    <w:rsid w:val="00FB4C15"/>
    <w:rsid w:val="00FB5D62"/>
    <w:rsid w:val="00FB6B38"/>
    <w:rsid w:val="00FC00A1"/>
    <w:rsid w:val="00FC105B"/>
    <w:rsid w:val="00FC2108"/>
    <w:rsid w:val="00FC558B"/>
    <w:rsid w:val="00FC5ACB"/>
    <w:rsid w:val="00FC6852"/>
    <w:rsid w:val="00FC7F1C"/>
    <w:rsid w:val="00FD0126"/>
    <w:rsid w:val="00FD06AA"/>
    <w:rsid w:val="00FD0FE8"/>
    <w:rsid w:val="00FD1CB1"/>
    <w:rsid w:val="00FD2DC1"/>
    <w:rsid w:val="00FD30E0"/>
    <w:rsid w:val="00FD36F5"/>
    <w:rsid w:val="00FD411D"/>
    <w:rsid w:val="00FD442F"/>
    <w:rsid w:val="00FD53DE"/>
    <w:rsid w:val="00FD55B5"/>
    <w:rsid w:val="00FE207D"/>
    <w:rsid w:val="00FE3792"/>
    <w:rsid w:val="00FE3D86"/>
    <w:rsid w:val="00FE487D"/>
    <w:rsid w:val="00FE5BB8"/>
    <w:rsid w:val="00FE66A0"/>
    <w:rsid w:val="00FE6A91"/>
    <w:rsid w:val="00FE707C"/>
    <w:rsid w:val="00FF186A"/>
    <w:rsid w:val="00FF1960"/>
    <w:rsid w:val="00FF1EA2"/>
    <w:rsid w:val="00FF2AAD"/>
    <w:rsid w:val="00FF4505"/>
    <w:rsid w:val="00FF54D3"/>
    <w:rsid w:val="00FF5F7C"/>
    <w:rsid w:val="00FF78A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A7726"/>
  <w15:docId w15:val="{BDC42BB9-9751-4ECC-AABD-1A4A62E3E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4D3"/>
    <w:rPr>
      <w:rFonts w:ascii="Verdana" w:hAnsi="Verdana"/>
      <w:sz w:val="20"/>
    </w:rPr>
  </w:style>
  <w:style w:type="paragraph" w:styleId="Ttulo1">
    <w:name w:val="heading 1"/>
    <w:basedOn w:val="Prrafodelista"/>
    <w:next w:val="Normal"/>
    <w:link w:val="Ttulo1Car"/>
    <w:uiPriority w:val="9"/>
    <w:qFormat/>
    <w:rsid w:val="0059049C"/>
    <w:pPr>
      <w:ind w:left="0"/>
      <w:jc w:val="center"/>
      <w:outlineLvl w:val="0"/>
    </w:pPr>
    <w:rPr>
      <w:rFonts w:eastAsia="Calibri" w:cs="Times New Roman"/>
      <w:b/>
      <w:szCs w:val="20"/>
      <w:lang w:val="es-ES"/>
    </w:rPr>
  </w:style>
  <w:style w:type="paragraph" w:styleId="Ttulo2">
    <w:name w:val="heading 2"/>
    <w:basedOn w:val="Normal"/>
    <w:next w:val="Normal"/>
    <w:link w:val="Ttulo2Car"/>
    <w:uiPriority w:val="9"/>
    <w:unhideWhenUsed/>
    <w:qFormat/>
    <w:rsid w:val="00E668B8"/>
    <w:pPr>
      <w:keepNext/>
      <w:keepLines/>
      <w:numPr>
        <w:numId w:val="9"/>
      </w:numPr>
      <w:spacing w:after="0" w:line="240" w:lineRule="auto"/>
      <w:ind w:left="0" w:firstLine="0"/>
      <w:contextualSpacing/>
      <w:jc w:val="both"/>
      <w:outlineLvl w:val="1"/>
    </w:pPr>
    <w:rPr>
      <w:rFonts w:eastAsia="Calibri" w:cs="Times New Roman"/>
      <w:i/>
      <w:szCs w:val="20"/>
      <w:lang w:val="es-ES"/>
    </w:rPr>
  </w:style>
  <w:style w:type="paragraph" w:styleId="Ttulo3">
    <w:name w:val="heading 3"/>
    <w:basedOn w:val="Normal"/>
    <w:next w:val="Normal"/>
    <w:link w:val="Ttulo3Car"/>
    <w:uiPriority w:val="9"/>
    <w:unhideWhenUsed/>
    <w:qFormat/>
    <w:rsid w:val="00CE1EA7"/>
    <w:pPr>
      <w:keepNext/>
      <w:keepLines/>
      <w:spacing w:after="0" w:line="240" w:lineRule="auto"/>
      <w:ind w:left="426"/>
      <w:contextualSpacing/>
      <w:jc w:val="both"/>
      <w:outlineLvl w:val="2"/>
    </w:pPr>
    <w:rPr>
      <w:rFonts w:eastAsia="Calibri" w:cs="Times New Roman"/>
      <w:i/>
      <w:szCs w:val="20"/>
      <w:lang w:val="es-ES"/>
    </w:rPr>
  </w:style>
  <w:style w:type="paragraph" w:styleId="Ttulo4">
    <w:name w:val="heading 4"/>
    <w:basedOn w:val="Normal"/>
    <w:next w:val="Normal"/>
    <w:link w:val="Ttulo4Car"/>
    <w:uiPriority w:val="9"/>
    <w:unhideWhenUsed/>
    <w:qFormat/>
    <w:rsid w:val="001D1455"/>
    <w:pPr>
      <w:keepNext/>
      <w:keepLines/>
      <w:spacing w:before="200" w:after="0" w:line="240" w:lineRule="auto"/>
      <w:jc w:val="both"/>
      <w:outlineLvl w:val="3"/>
    </w:pPr>
    <w:rPr>
      <w:rFonts w:ascii="Cambria" w:eastAsia="MS Gothic" w:hAnsi="Cambria" w:cs="Times New Roman"/>
      <w:b/>
      <w:bCs/>
      <w:i/>
      <w:iCs/>
      <w:color w:val="4F81BD" w:themeColor="accent1"/>
      <w:szCs w:val="24"/>
      <w:lang w:val="es-ES_tradnl"/>
    </w:rPr>
  </w:style>
  <w:style w:type="paragraph" w:styleId="Ttulo5">
    <w:name w:val="heading 5"/>
    <w:basedOn w:val="Normal"/>
    <w:next w:val="Normal"/>
    <w:link w:val="Ttulo5Car"/>
    <w:uiPriority w:val="9"/>
    <w:unhideWhenUsed/>
    <w:qFormat/>
    <w:rsid w:val="00DB1F30"/>
    <w:pPr>
      <w:keepNext/>
      <w:keepLines/>
      <w:spacing w:after="0" w:line="240" w:lineRule="auto"/>
      <w:jc w:val="both"/>
      <w:outlineLvl w:val="4"/>
    </w:pPr>
    <w:rPr>
      <w:rFonts w:ascii="Cambria" w:eastAsia="MS Gothic" w:hAnsi="Cambria" w:cs="Times New Roman"/>
      <w:noProof/>
      <w:color w:val="243F60" w:themeColor="accent1" w:themeShade="7F"/>
      <w:szCs w:val="24"/>
      <w:lang w:val="es-ES_tradnl"/>
    </w:rPr>
  </w:style>
  <w:style w:type="paragraph" w:styleId="Ttulo6">
    <w:name w:val="heading 6"/>
    <w:basedOn w:val="Ttulo5"/>
    <w:next w:val="Normal"/>
    <w:link w:val="Ttulo6Car"/>
    <w:uiPriority w:val="99"/>
    <w:semiHidden/>
    <w:unhideWhenUsed/>
    <w:qFormat/>
    <w:rsid w:val="001D1455"/>
    <w:pPr>
      <w:keepNext w:val="0"/>
      <w:keepLines w:val="0"/>
      <w:numPr>
        <w:ilvl w:val="4"/>
        <w:numId w:val="2"/>
      </w:numPr>
      <w:outlineLvl w:val="5"/>
    </w:pPr>
    <w:rPr>
      <w:rFonts w:ascii="Verdana" w:eastAsia="Times New Roman" w:hAnsi="Verdana"/>
      <w:noProof w:val="0"/>
      <w:color w:val="auto"/>
      <w:spacing w:val="-2"/>
      <w:szCs w:val="20"/>
      <w:lang w:eastAsia="es-CR"/>
    </w:rPr>
  </w:style>
  <w:style w:type="paragraph" w:styleId="Ttulo7">
    <w:name w:val="heading 7"/>
    <w:basedOn w:val="Normal"/>
    <w:next w:val="Normal"/>
    <w:link w:val="Ttulo7Car"/>
    <w:uiPriority w:val="99"/>
    <w:semiHidden/>
    <w:unhideWhenUsed/>
    <w:qFormat/>
    <w:rsid w:val="001D1455"/>
    <w:pPr>
      <w:keepNext/>
      <w:keepLines/>
      <w:spacing w:before="200" w:after="0" w:line="240" w:lineRule="auto"/>
      <w:jc w:val="both"/>
      <w:outlineLvl w:val="6"/>
    </w:pPr>
    <w:rPr>
      <w:rFonts w:asciiTheme="majorHAnsi" w:eastAsiaTheme="majorEastAsia" w:hAnsiTheme="majorHAnsi" w:cstheme="majorBidi"/>
      <w:i/>
      <w:iCs/>
      <w:noProof/>
      <w:color w:val="404040" w:themeColor="text1" w:themeTint="BF"/>
      <w:szCs w:val="24"/>
      <w:lang w:val="es-ES_tradnl"/>
    </w:rPr>
  </w:style>
  <w:style w:type="paragraph" w:styleId="Ttulo8">
    <w:name w:val="heading 8"/>
    <w:basedOn w:val="Normal"/>
    <w:next w:val="Normal"/>
    <w:link w:val="Ttulo8Car"/>
    <w:uiPriority w:val="99"/>
    <w:semiHidden/>
    <w:unhideWhenUsed/>
    <w:qFormat/>
    <w:rsid w:val="001D1455"/>
    <w:pPr>
      <w:keepNext/>
      <w:keepLines/>
      <w:spacing w:before="200" w:after="0" w:line="240" w:lineRule="auto"/>
      <w:jc w:val="both"/>
      <w:outlineLvl w:val="7"/>
    </w:pPr>
    <w:rPr>
      <w:rFonts w:asciiTheme="majorHAnsi" w:eastAsiaTheme="majorEastAsia" w:hAnsiTheme="majorHAnsi" w:cstheme="majorBidi"/>
      <w:noProof/>
      <w:color w:val="404040" w:themeColor="text1" w:themeTint="BF"/>
      <w:szCs w:val="20"/>
      <w:lang w:val="es-ES_tradnl"/>
    </w:rPr>
  </w:style>
  <w:style w:type="paragraph" w:styleId="Ttulo9">
    <w:name w:val="heading 9"/>
    <w:basedOn w:val="Normal"/>
    <w:next w:val="Normal"/>
    <w:link w:val="Ttulo9Car"/>
    <w:uiPriority w:val="99"/>
    <w:semiHidden/>
    <w:unhideWhenUsed/>
    <w:qFormat/>
    <w:rsid w:val="001D1455"/>
    <w:pPr>
      <w:keepNext/>
      <w:keepLines/>
      <w:spacing w:before="200" w:after="0" w:line="240" w:lineRule="auto"/>
      <w:jc w:val="both"/>
      <w:outlineLvl w:val="8"/>
    </w:pPr>
    <w:rPr>
      <w:rFonts w:asciiTheme="majorHAnsi" w:eastAsiaTheme="majorEastAsia" w:hAnsiTheme="majorHAnsi" w:cstheme="majorBidi"/>
      <w:i/>
      <w:iCs/>
      <w:noProof/>
      <w:color w:val="404040" w:themeColor="text1" w:themeTint="BF"/>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9049C"/>
    <w:rPr>
      <w:rFonts w:ascii="Verdana" w:eastAsia="Calibri" w:hAnsi="Verdana" w:cs="Times New Roman"/>
      <w:b/>
      <w:noProof/>
      <w:sz w:val="20"/>
      <w:szCs w:val="20"/>
      <w:lang w:val="es-ES"/>
    </w:rPr>
  </w:style>
  <w:style w:type="character" w:customStyle="1" w:styleId="Ttulo2Car">
    <w:name w:val="Título 2 Car"/>
    <w:basedOn w:val="Fuentedeprrafopredeter"/>
    <w:link w:val="Ttulo2"/>
    <w:uiPriority w:val="9"/>
    <w:rsid w:val="00E668B8"/>
    <w:rPr>
      <w:rFonts w:ascii="Verdana" w:eastAsia="Calibri" w:hAnsi="Verdana" w:cs="Times New Roman"/>
      <w:i/>
      <w:sz w:val="20"/>
      <w:szCs w:val="20"/>
      <w:lang w:val="es-ES"/>
    </w:rPr>
  </w:style>
  <w:style w:type="character" w:customStyle="1" w:styleId="Ttulo3Car">
    <w:name w:val="Título 3 Car"/>
    <w:basedOn w:val="Fuentedeprrafopredeter"/>
    <w:link w:val="Ttulo3"/>
    <w:uiPriority w:val="9"/>
    <w:rsid w:val="00CE1EA7"/>
    <w:rPr>
      <w:rFonts w:ascii="Verdana" w:eastAsia="Calibri" w:hAnsi="Verdana" w:cs="Times New Roman"/>
      <w:i/>
      <w:sz w:val="20"/>
      <w:szCs w:val="20"/>
      <w:lang w:val="es-ES"/>
    </w:rPr>
  </w:style>
  <w:style w:type="character" w:customStyle="1" w:styleId="Ttulo4Car">
    <w:name w:val="Título 4 Car"/>
    <w:basedOn w:val="Fuentedeprrafopredeter"/>
    <w:link w:val="Ttulo4"/>
    <w:uiPriority w:val="9"/>
    <w:rsid w:val="001D1455"/>
    <w:rPr>
      <w:rFonts w:ascii="Cambria" w:eastAsia="MS Gothic" w:hAnsi="Cambria" w:cs="Times New Roman"/>
      <w:b/>
      <w:bCs/>
      <w:i/>
      <w:iCs/>
      <w:color w:val="4F81BD" w:themeColor="accent1"/>
      <w:sz w:val="20"/>
      <w:szCs w:val="24"/>
      <w:lang w:val="es-ES_tradnl"/>
    </w:rPr>
  </w:style>
  <w:style w:type="character" w:customStyle="1" w:styleId="Ttulo5Car">
    <w:name w:val="Título 5 Car"/>
    <w:basedOn w:val="Fuentedeprrafopredeter"/>
    <w:link w:val="Ttulo5"/>
    <w:uiPriority w:val="9"/>
    <w:rsid w:val="00DB1F30"/>
    <w:rPr>
      <w:rFonts w:ascii="Cambria" w:eastAsia="MS Gothic" w:hAnsi="Cambria" w:cs="Times New Roman"/>
      <w:noProof/>
      <w:color w:val="243F60" w:themeColor="accent1" w:themeShade="7F"/>
      <w:sz w:val="20"/>
      <w:szCs w:val="24"/>
      <w:lang w:val="es-ES_tradnl"/>
    </w:rPr>
  </w:style>
  <w:style w:type="character" w:customStyle="1" w:styleId="Ttulo6Car">
    <w:name w:val="Título 6 Car"/>
    <w:basedOn w:val="Fuentedeprrafopredeter"/>
    <w:link w:val="Ttulo6"/>
    <w:uiPriority w:val="99"/>
    <w:semiHidden/>
    <w:rsid w:val="001D1455"/>
    <w:rPr>
      <w:rFonts w:ascii="Verdana" w:eastAsia="Times New Roman" w:hAnsi="Verdana" w:cs="Times New Roman"/>
      <w:spacing w:val="-2"/>
      <w:sz w:val="20"/>
      <w:szCs w:val="20"/>
      <w:lang w:val="es-ES_tradnl" w:eastAsia="es-CR"/>
    </w:rPr>
  </w:style>
  <w:style w:type="character" w:customStyle="1" w:styleId="Ttulo7Car">
    <w:name w:val="Título 7 Car"/>
    <w:basedOn w:val="Fuentedeprrafopredeter"/>
    <w:link w:val="Ttulo7"/>
    <w:uiPriority w:val="99"/>
    <w:semiHidden/>
    <w:rsid w:val="001D1455"/>
    <w:rPr>
      <w:rFonts w:asciiTheme="majorHAnsi" w:eastAsiaTheme="majorEastAsia" w:hAnsiTheme="majorHAnsi" w:cstheme="majorBidi"/>
      <w:i/>
      <w:iCs/>
      <w:noProof/>
      <w:color w:val="404040" w:themeColor="text1" w:themeTint="BF"/>
      <w:sz w:val="20"/>
      <w:szCs w:val="24"/>
      <w:lang w:val="es-ES_tradnl"/>
    </w:rPr>
  </w:style>
  <w:style w:type="character" w:customStyle="1" w:styleId="Ttulo8Car">
    <w:name w:val="Título 8 Car"/>
    <w:basedOn w:val="Fuentedeprrafopredeter"/>
    <w:link w:val="Ttulo8"/>
    <w:uiPriority w:val="99"/>
    <w:semiHidden/>
    <w:rsid w:val="001D1455"/>
    <w:rPr>
      <w:rFonts w:asciiTheme="majorHAnsi" w:eastAsiaTheme="majorEastAsia" w:hAnsiTheme="majorHAnsi" w:cstheme="majorBidi"/>
      <w:noProof/>
      <w:color w:val="404040" w:themeColor="text1" w:themeTint="BF"/>
      <w:sz w:val="20"/>
      <w:szCs w:val="20"/>
      <w:lang w:val="es-ES_tradnl"/>
    </w:rPr>
  </w:style>
  <w:style w:type="character" w:customStyle="1" w:styleId="Ttulo9Car">
    <w:name w:val="Título 9 Car"/>
    <w:basedOn w:val="Fuentedeprrafopredeter"/>
    <w:link w:val="Ttulo9"/>
    <w:uiPriority w:val="99"/>
    <w:semiHidden/>
    <w:rsid w:val="001D1455"/>
    <w:rPr>
      <w:rFonts w:asciiTheme="majorHAnsi" w:eastAsiaTheme="majorEastAsia" w:hAnsiTheme="majorHAnsi" w:cstheme="majorBidi"/>
      <w:i/>
      <w:iCs/>
      <w:noProof/>
      <w:color w:val="404040" w:themeColor="text1" w:themeTint="BF"/>
      <w:sz w:val="20"/>
      <w:szCs w:val="20"/>
      <w:lang w:val="es-ES_tradnl"/>
    </w:rPr>
  </w:style>
  <w:style w:type="numbering" w:customStyle="1" w:styleId="Sinlista1">
    <w:name w:val="Sin lista1"/>
    <w:next w:val="Sinlista"/>
    <w:uiPriority w:val="99"/>
    <w:semiHidden/>
    <w:unhideWhenUsed/>
    <w:rsid w:val="001D1455"/>
  </w:style>
  <w:style w:type="character" w:styleId="Hipervnculo">
    <w:name w:val="Hyperlink"/>
    <w:aliases w:val="Heading 3 caso"/>
    <w:basedOn w:val="Fuentedeprrafopredeter"/>
    <w:uiPriority w:val="99"/>
    <w:unhideWhenUsed/>
    <w:rsid w:val="001D1455"/>
    <w:rPr>
      <w:color w:val="0000FF"/>
      <w:u w:val="single"/>
    </w:rPr>
  </w:style>
  <w:style w:type="character" w:styleId="Hipervnculovisitado">
    <w:name w:val="FollowedHyperlink"/>
    <w:basedOn w:val="Fuentedeprrafopredeter"/>
    <w:uiPriority w:val="99"/>
    <w:semiHidden/>
    <w:unhideWhenUsed/>
    <w:rsid w:val="001D1455"/>
    <w:rPr>
      <w:rFonts w:ascii="Times New Roman" w:hAnsi="Times New Roman" w:cs="Times New Roman" w:hint="default"/>
      <w:color w:val="800080"/>
      <w:u w:val="single"/>
    </w:rPr>
  </w:style>
  <w:style w:type="character" w:styleId="nfasis">
    <w:name w:val="Emphasis"/>
    <w:basedOn w:val="Fuentedeprrafopredeter"/>
    <w:uiPriority w:val="20"/>
    <w:qFormat/>
    <w:rsid w:val="001D1455"/>
    <w:rPr>
      <w:rFonts w:ascii="Times New Roman" w:hAnsi="Times New Roman" w:cs="Times New Roman" w:hint="default"/>
      <w:i/>
      <w:iCs/>
    </w:rPr>
  </w:style>
  <w:style w:type="paragraph" w:styleId="Prrafodelista">
    <w:name w:val="List Paragraph"/>
    <w:aliases w:val="Footnote,List Paragraph1,Colorful List - Accent 11,Párrafo de lista1,List Paragraph2,Lista vistosa - Énfasis 11"/>
    <w:basedOn w:val="Normal"/>
    <w:link w:val="PrrafodelistaCar"/>
    <w:uiPriority w:val="34"/>
    <w:qFormat/>
    <w:rsid w:val="001D1455"/>
    <w:pPr>
      <w:spacing w:after="0" w:line="240" w:lineRule="auto"/>
      <w:ind w:left="720"/>
      <w:contextualSpacing/>
      <w:jc w:val="both"/>
    </w:pPr>
    <w:rPr>
      <w:rFonts w:eastAsia="Batang" w:cs="Times"/>
      <w:noProof/>
      <w:szCs w:val="24"/>
      <w:lang w:val="es-ES_tradnl"/>
    </w:rPr>
  </w:style>
  <w:style w:type="paragraph" w:styleId="NormalWeb">
    <w:name w:val="Normal (Web)"/>
    <w:aliases w:val="Normal (Web) Char1,Normal (Web) Char Char,Normal (Web) Char1 Char,Normal (Web) Char Char Char"/>
    <w:basedOn w:val="Ttulo1"/>
    <w:next w:val="Normal"/>
    <w:autoRedefine/>
    <w:unhideWhenUsed/>
    <w:qFormat/>
    <w:rsid w:val="000C4476"/>
    <w:pPr>
      <w:contextualSpacing w:val="0"/>
      <w:jc w:val="both"/>
      <w:outlineLvl w:val="9"/>
    </w:pPr>
    <w:rPr>
      <w:rFonts w:eastAsia="MS Gothic"/>
      <w:b w:val="0"/>
      <w:noProof w:val="0"/>
      <w:lang w:val="en-US" w:eastAsia="ja-JP"/>
    </w:rPr>
  </w:style>
  <w:style w:type="character" w:customStyle="1" w:styleId="TextonotapieCar1">
    <w:name w:val="Texto nota pie Car1"/>
    <w:aliases w:val="2. Footnote Text Car,Footnote Tesina Car,FA Fu Car1,Footnote Text Char Char Char Char Char Car1,Footnote Text Char Char Char Char Car1,Footnote reference Car1,Footnote Text Char Char Char Car1,Footnote Text Cha Car1,Ca Car,C Car"/>
    <w:basedOn w:val="Fuentedeprrafopredeter"/>
    <w:link w:val="Textonotapie"/>
    <w:locked/>
    <w:rsid w:val="000245C5"/>
    <w:rPr>
      <w:rFonts w:ascii="Verdana" w:eastAsia="Batang" w:hAnsi="Verdana" w:cs="Times"/>
      <w:noProof/>
      <w:sz w:val="16"/>
      <w:szCs w:val="20"/>
      <w:lang w:val="es-ES_tradnl"/>
    </w:rPr>
  </w:style>
  <w:style w:type="paragraph" w:styleId="Textonotapie">
    <w:name w:val="footnote text"/>
    <w:aliases w:val="2. Footnote Text,Footnote Tesina,FA Fu,Footnote Text Char Char Char Char Char,Footnote Text Char Char Char Char,Footnote reference,Footnote Text Char Char Char,Footnote Text Cha,FA Fußnotentext,FA Fuﬂnotentext,Ca,C,ft,5,footnote text,Car"/>
    <w:basedOn w:val="Normal"/>
    <w:link w:val="TextonotapieCar1"/>
    <w:unhideWhenUsed/>
    <w:qFormat/>
    <w:rsid w:val="000245C5"/>
    <w:pPr>
      <w:spacing w:after="0" w:line="240" w:lineRule="auto"/>
      <w:jc w:val="both"/>
    </w:pPr>
    <w:rPr>
      <w:rFonts w:eastAsia="Batang" w:cs="Times"/>
      <w:noProof/>
      <w:sz w:val="16"/>
      <w:szCs w:val="20"/>
      <w:lang w:val="es-ES_tradnl"/>
    </w:rPr>
  </w:style>
  <w:style w:type="character" w:customStyle="1" w:styleId="TextonotapieCar">
    <w:name w:val="Texto nota pie Car"/>
    <w:aliases w:val="2. Footnote Text Car1,Footnote Tesina Car1,FA Fu Car,Footnote Text Char Char Char Char Char Car,Footnote Text Char Char Char Char Car,Footnote reference Car,Footnote Text Char Char Char Car,Footnote Text Cha Car,FA Fußnotentext Car"/>
    <w:basedOn w:val="Fuentedeprrafopredeter"/>
    <w:uiPriority w:val="99"/>
    <w:semiHidden/>
    <w:rsid w:val="001D1455"/>
    <w:rPr>
      <w:sz w:val="20"/>
      <w:szCs w:val="20"/>
    </w:rPr>
  </w:style>
  <w:style w:type="character" w:customStyle="1" w:styleId="TextocomentarioCar">
    <w:name w:val="Texto comentario Car"/>
    <w:basedOn w:val="Fuentedeprrafopredeter"/>
    <w:link w:val="Textocomentario"/>
    <w:uiPriority w:val="99"/>
    <w:locked/>
    <w:rsid w:val="001D1455"/>
    <w:rPr>
      <w:rFonts w:ascii="Verdana" w:eastAsia="Batang" w:hAnsi="Verdana" w:cs="Times"/>
      <w:noProof/>
      <w:sz w:val="20"/>
      <w:szCs w:val="20"/>
      <w:lang w:val="es-ES_tradnl"/>
    </w:rPr>
  </w:style>
  <w:style w:type="character" w:customStyle="1" w:styleId="EncabezadoCar">
    <w:name w:val="Encabezado Car"/>
    <w:basedOn w:val="Fuentedeprrafopredeter"/>
    <w:link w:val="Encabezado"/>
    <w:uiPriority w:val="99"/>
    <w:locked/>
    <w:rsid w:val="001D1455"/>
    <w:rPr>
      <w:rFonts w:ascii="Verdana" w:eastAsia="Batang" w:hAnsi="Verdana" w:cs="Times"/>
      <w:noProof/>
      <w:sz w:val="20"/>
      <w:szCs w:val="24"/>
      <w:lang w:val="es-ES_tradnl"/>
    </w:rPr>
  </w:style>
  <w:style w:type="character" w:customStyle="1" w:styleId="PiedepginaCar">
    <w:name w:val="Pie de página Car"/>
    <w:basedOn w:val="Fuentedeprrafopredeter"/>
    <w:link w:val="Piedepgina"/>
    <w:uiPriority w:val="99"/>
    <w:locked/>
    <w:rsid w:val="001D1455"/>
    <w:rPr>
      <w:rFonts w:ascii="Verdana" w:eastAsia="Batang" w:hAnsi="Verdana" w:cs="Times"/>
      <w:noProof/>
      <w:sz w:val="20"/>
      <w:szCs w:val="24"/>
      <w:lang w:val="es-ES_tradnl"/>
    </w:rPr>
  </w:style>
  <w:style w:type="character" w:customStyle="1" w:styleId="TextonotaalfinalCar">
    <w:name w:val="Texto nota al final Car"/>
    <w:basedOn w:val="Fuentedeprrafopredeter"/>
    <w:link w:val="Textonotaalfinal"/>
    <w:uiPriority w:val="99"/>
    <w:semiHidden/>
    <w:locked/>
    <w:rsid w:val="001D1455"/>
    <w:rPr>
      <w:rFonts w:ascii="CG Times" w:eastAsia="Times New Roman" w:hAnsi="CG Times" w:cs="Times New Roman"/>
      <w:szCs w:val="20"/>
    </w:rPr>
  </w:style>
  <w:style w:type="character" w:customStyle="1" w:styleId="TtuloCar">
    <w:name w:val="Título Car"/>
    <w:basedOn w:val="Fuentedeprrafopredeter"/>
    <w:link w:val="Ttulo"/>
    <w:locked/>
    <w:rsid w:val="001D1455"/>
    <w:rPr>
      <w:rFonts w:ascii="Verdana" w:eastAsia="Times New Roman" w:hAnsi="Verdana" w:cs="Times New Roman"/>
      <w:b/>
      <w:noProof/>
      <w:sz w:val="20"/>
      <w:szCs w:val="20"/>
      <w:lang w:val="es-ES_tradnl"/>
    </w:rPr>
  </w:style>
  <w:style w:type="character" w:customStyle="1" w:styleId="TextoindependienteCar">
    <w:name w:val="Texto independiente Car"/>
    <w:basedOn w:val="Fuentedeprrafopredeter"/>
    <w:link w:val="Textoindependiente"/>
    <w:uiPriority w:val="99"/>
    <w:semiHidden/>
    <w:locked/>
    <w:rsid w:val="001D1455"/>
    <w:rPr>
      <w:rFonts w:ascii="Univers" w:eastAsia="Times New Roman" w:hAnsi="Univers" w:cs="Times New Roman"/>
      <w:szCs w:val="20"/>
      <w:lang w:val="es-CL"/>
    </w:rPr>
  </w:style>
  <w:style w:type="character" w:customStyle="1" w:styleId="SangradetextonormalCar">
    <w:name w:val="Sangría de texto normal Car"/>
    <w:basedOn w:val="Fuentedeprrafopredeter"/>
    <w:link w:val="Sangradetextonormal"/>
    <w:uiPriority w:val="99"/>
    <w:semiHidden/>
    <w:locked/>
    <w:rsid w:val="001D1455"/>
    <w:rPr>
      <w:rFonts w:ascii="Univers" w:eastAsia="Times New Roman" w:hAnsi="Univers" w:cs="Times New Roman"/>
      <w:sz w:val="20"/>
      <w:szCs w:val="20"/>
      <w:lang w:val="es-CL"/>
    </w:rPr>
  </w:style>
  <w:style w:type="character" w:customStyle="1" w:styleId="SubttuloCar">
    <w:name w:val="Subtítulo Car"/>
    <w:basedOn w:val="Fuentedeprrafopredeter"/>
    <w:link w:val="Subttulo"/>
    <w:locked/>
    <w:rsid w:val="001D1455"/>
    <w:rPr>
      <w:rFonts w:ascii="Verdana" w:eastAsia="Times New Roman" w:hAnsi="Verdana" w:cs="Times New Roman"/>
      <w:b/>
      <w:i/>
      <w:iCs/>
      <w:noProof/>
      <w:spacing w:val="15"/>
      <w:sz w:val="20"/>
      <w:szCs w:val="24"/>
      <w:lang w:val="es-ES_tradnl"/>
    </w:rPr>
  </w:style>
  <w:style w:type="character" w:customStyle="1" w:styleId="Textoindependiente2Car">
    <w:name w:val="Texto independiente 2 Car"/>
    <w:basedOn w:val="Fuentedeprrafopredeter"/>
    <w:link w:val="Textoindependiente2"/>
    <w:uiPriority w:val="99"/>
    <w:semiHidden/>
    <w:locked/>
    <w:rsid w:val="001D1455"/>
    <w:rPr>
      <w:rFonts w:ascii="Times New Roman" w:eastAsia="Times New Roman" w:hAnsi="Times New Roman" w:cs="Times New Roman"/>
      <w:sz w:val="24"/>
      <w:szCs w:val="24"/>
      <w:lang w:val="es-ES_tradnl"/>
    </w:rPr>
  </w:style>
  <w:style w:type="character" w:customStyle="1" w:styleId="Textoindependiente3Car">
    <w:name w:val="Texto independiente 3 Car"/>
    <w:basedOn w:val="Fuentedeprrafopredeter"/>
    <w:link w:val="Textoindependiente3"/>
    <w:uiPriority w:val="99"/>
    <w:semiHidden/>
    <w:locked/>
    <w:rsid w:val="001D1455"/>
    <w:rPr>
      <w:rFonts w:ascii="Times New Roman" w:eastAsia="Times New Roman" w:hAnsi="Times New Roman" w:cs="Times New Roman"/>
      <w:sz w:val="16"/>
      <w:szCs w:val="16"/>
    </w:rPr>
  </w:style>
  <w:style w:type="character" w:customStyle="1" w:styleId="Sangra2detindependienteCar">
    <w:name w:val="Sangría 2 de t. independiente Car"/>
    <w:basedOn w:val="Fuentedeprrafopredeter"/>
    <w:link w:val="Sangra2detindependiente"/>
    <w:uiPriority w:val="99"/>
    <w:semiHidden/>
    <w:locked/>
    <w:rsid w:val="001D1455"/>
    <w:rPr>
      <w:rFonts w:ascii="Times New Roman" w:eastAsia="Times New Roman" w:hAnsi="Times New Roman" w:cs="Times New Roman"/>
      <w:sz w:val="24"/>
      <w:szCs w:val="20"/>
      <w:lang w:val="es-ES_tradnl"/>
    </w:rPr>
  </w:style>
  <w:style w:type="character" w:customStyle="1" w:styleId="Sangra3detindependienteCar">
    <w:name w:val="Sangría 3 de t. independiente Car"/>
    <w:basedOn w:val="Fuentedeprrafopredeter"/>
    <w:link w:val="Sangra3detindependiente"/>
    <w:uiPriority w:val="99"/>
    <w:semiHidden/>
    <w:locked/>
    <w:rsid w:val="001D1455"/>
    <w:rPr>
      <w:rFonts w:ascii="Times New Roman" w:eastAsia="Times New Roman" w:hAnsi="Times New Roman" w:cs="Times New Roman"/>
      <w:sz w:val="16"/>
      <w:szCs w:val="16"/>
    </w:rPr>
  </w:style>
  <w:style w:type="paragraph" w:styleId="Textocomentario">
    <w:name w:val="annotation text"/>
    <w:basedOn w:val="Normal"/>
    <w:link w:val="TextocomentarioCar"/>
    <w:uiPriority w:val="99"/>
    <w:unhideWhenUsed/>
    <w:rsid w:val="001D1455"/>
    <w:pPr>
      <w:spacing w:after="0" w:line="240" w:lineRule="auto"/>
      <w:jc w:val="both"/>
    </w:pPr>
    <w:rPr>
      <w:rFonts w:eastAsia="Batang" w:cs="Times"/>
      <w:noProof/>
      <w:szCs w:val="20"/>
      <w:lang w:val="es-ES_tradnl"/>
    </w:rPr>
  </w:style>
  <w:style w:type="character" w:customStyle="1" w:styleId="TextocomentarioCar1">
    <w:name w:val="Texto comentario Car1"/>
    <w:basedOn w:val="Fuentedeprrafopredeter"/>
    <w:uiPriority w:val="99"/>
    <w:semiHidden/>
    <w:rsid w:val="001D1455"/>
    <w:rPr>
      <w:sz w:val="20"/>
      <w:szCs w:val="20"/>
    </w:rPr>
  </w:style>
  <w:style w:type="character" w:customStyle="1" w:styleId="AsuntodelcomentarioCar">
    <w:name w:val="Asunto del comentario Car"/>
    <w:basedOn w:val="TextocomentarioCar"/>
    <w:link w:val="Asuntodelcomentario"/>
    <w:uiPriority w:val="99"/>
    <w:locked/>
    <w:rsid w:val="001D1455"/>
    <w:rPr>
      <w:rFonts w:ascii="Verdana" w:eastAsia="Batang" w:hAnsi="Verdana" w:cs="Times"/>
      <w:b/>
      <w:bCs/>
      <w:noProof/>
      <w:sz w:val="20"/>
      <w:szCs w:val="20"/>
      <w:lang w:val="es-ES_tradnl"/>
    </w:rPr>
  </w:style>
  <w:style w:type="character" w:customStyle="1" w:styleId="TextodegloboCar">
    <w:name w:val="Texto de globo Car"/>
    <w:basedOn w:val="Fuentedeprrafopredeter"/>
    <w:link w:val="Textodeglobo"/>
    <w:uiPriority w:val="99"/>
    <w:semiHidden/>
    <w:locked/>
    <w:rsid w:val="001D1455"/>
    <w:rPr>
      <w:rFonts w:ascii="Tahoma" w:eastAsia="Batang" w:hAnsi="Tahoma" w:cs="Tahoma"/>
      <w:noProof/>
      <w:sz w:val="16"/>
      <w:szCs w:val="16"/>
      <w:lang w:val="es-ES_tradnl"/>
    </w:rPr>
  </w:style>
  <w:style w:type="character" w:customStyle="1" w:styleId="PrrafodelistaCar">
    <w:name w:val="Párrafo de lista Car"/>
    <w:aliases w:val="Footnote Car,List Paragraph1 Car,Colorful List - Accent 11 Car,Párrafo de lista1 Car,List Paragraph2 Car,Lista vistosa - Énfasis 11 Car"/>
    <w:basedOn w:val="Fuentedeprrafopredeter"/>
    <w:link w:val="Prrafodelista"/>
    <w:uiPriority w:val="34"/>
    <w:locked/>
    <w:rsid w:val="001D1455"/>
    <w:rPr>
      <w:rFonts w:ascii="Verdana" w:eastAsia="Batang" w:hAnsi="Verdana" w:cs="Times"/>
      <w:noProof/>
      <w:sz w:val="20"/>
      <w:szCs w:val="24"/>
      <w:lang w:val="es-ES_tradnl"/>
    </w:rPr>
  </w:style>
  <w:style w:type="paragraph" w:customStyle="1" w:styleId="citaindirecta">
    <w:name w:val="cita indirecta"/>
    <w:basedOn w:val="Normal"/>
    <w:uiPriority w:val="99"/>
    <w:rsid w:val="001D1455"/>
    <w:pPr>
      <w:spacing w:after="0" w:line="240" w:lineRule="auto"/>
      <w:ind w:left="708"/>
      <w:jc w:val="both"/>
    </w:pPr>
    <w:rPr>
      <w:rFonts w:eastAsia="Times New Roman" w:cs="Times New Roman"/>
      <w:noProof/>
      <w:szCs w:val="20"/>
      <w:lang w:val="es-ES_tradnl"/>
    </w:rPr>
  </w:style>
  <w:style w:type="character" w:customStyle="1" w:styleId="Estilo1Car">
    <w:name w:val="Estilo1 Car"/>
    <w:basedOn w:val="Fuentedeprrafopredeter"/>
    <w:link w:val="Estilo1"/>
    <w:locked/>
    <w:rsid w:val="001D1455"/>
    <w:rPr>
      <w:rFonts w:ascii="Verdana" w:eastAsia="Batang" w:hAnsi="Verdana" w:cs="Times"/>
      <w:i/>
      <w:noProof/>
      <w:sz w:val="20"/>
      <w:szCs w:val="24"/>
      <w:lang w:val="es-ES_tradnl"/>
    </w:rPr>
  </w:style>
  <w:style w:type="paragraph" w:customStyle="1" w:styleId="Estilo1">
    <w:name w:val="Estilo1"/>
    <w:basedOn w:val="Normal"/>
    <w:link w:val="Estilo1Car"/>
    <w:qFormat/>
    <w:rsid w:val="001D1455"/>
    <w:pPr>
      <w:spacing w:after="120" w:line="240" w:lineRule="auto"/>
      <w:ind w:left="2018" w:right="6" w:hanging="180"/>
      <w:jc w:val="both"/>
    </w:pPr>
    <w:rPr>
      <w:rFonts w:eastAsia="Batang" w:cs="Times"/>
      <w:i/>
      <w:noProof/>
      <w:szCs w:val="24"/>
      <w:lang w:val="es-ES_tradnl"/>
    </w:rPr>
  </w:style>
  <w:style w:type="character" w:customStyle="1" w:styleId="FootnotesChar">
    <w:name w:val="**. Footnotes Char"/>
    <w:basedOn w:val="Fuentedeprrafopredeter"/>
    <w:link w:val="Footnotes"/>
    <w:locked/>
    <w:rsid w:val="00F94669"/>
    <w:rPr>
      <w:rFonts w:ascii="Verdana" w:eastAsia="Times New Roman" w:hAnsi="Verdana" w:cs="Palatino-Italic"/>
      <w:iCs/>
      <w:spacing w:val="-4"/>
      <w:sz w:val="16"/>
      <w:szCs w:val="16"/>
      <w:lang w:bidi="en-US"/>
    </w:rPr>
  </w:style>
  <w:style w:type="paragraph" w:customStyle="1" w:styleId="Footnotes">
    <w:name w:val="**. Footnotes"/>
    <w:basedOn w:val="Textonotapie"/>
    <w:link w:val="FootnotesChar"/>
    <w:autoRedefine/>
    <w:qFormat/>
    <w:rsid w:val="00F94669"/>
    <w:pPr>
      <w:spacing w:after="60"/>
    </w:pPr>
    <w:rPr>
      <w:rFonts w:eastAsia="Times New Roman" w:cs="Palatino-Italic"/>
      <w:iCs/>
      <w:noProof w:val="0"/>
      <w:spacing w:val="-4"/>
      <w:szCs w:val="16"/>
      <w:lang w:val="es-CR" w:bidi="en-US"/>
    </w:rPr>
  </w:style>
  <w:style w:type="character" w:customStyle="1" w:styleId="2FootnotesChar">
    <w:name w:val="2. Footnotes Char"/>
    <w:link w:val="2Footnotes"/>
    <w:locked/>
    <w:rsid w:val="001D1455"/>
    <w:rPr>
      <w:rFonts w:ascii="Verdana" w:eastAsia="Times New Roman" w:hAnsi="Verdana" w:cs="Palatino-Italic"/>
      <w:iCs/>
      <w:sz w:val="16"/>
      <w:szCs w:val="18"/>
    </w:rPr>
  </w:style>
  <w:style w:type="paragraph" w:customStyle="1" w:styleId="2Footnotes">
    <w:name w:val="2. Footnotes"/>
    <w:basedOn w:val="Textonotapie"/>
    <w:link w:val="2FootnotesChar"/>
    <w:autoRedefine/>
    <w:qFormat/>
    <w:rsid w:val="001D1455"/>
    <w:rPr>
      <w:rFonts w:eastAsia="Times New Roman" w:cs="Palatino-Italic"/>
      <w:iCs/>
      <w:noProof w:val="0"/>
      <w:szCs w:val="18"/>
      <w:lang w:val="es-CR"/>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basedOn w:val="Fuentedeprrafopredeter"/>
    <w:link w:val="4GChar"/>
    <w:unhideWhenUsed/>
    <w:qFormat/>
    <w:rsid w:val="001D1455"/>
    <w:rPr>
      <w:rFonts w:ascii="Times New Roman" w:hAnsi="Times New Roman" w:cs="Times New Roman"/>
      <w:szCs w:val="20"/>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1D1455"/>
    <w:pPr>
      <w:spacing w:after="0" w:line="240" w:lineRule="auto"/>
      <w:jc w:val="both"/>
    </w:pPr>
    <w:rPr>
      <w:rFonts w:ascii="Times New Roman" w:hAnsi="Times New Roman" w:cs="Times New Roman"/>
      <w:szCs w:val="20"/>
      <w:vertAlign w:val="superscript"/>
    </w:rPr>
  </w:style>
  <w:style w:type="character" w:customStyle="1" w:styleId="PrrafodeSentenciaChar">
    <w:name w:val="*. Párrafo de Sentencia Char"/>
    <w:link w:val="PrrafodeSentencia"/>
    <w:locked/>
    <w:rsid w:val="001D1455"/>
    <w:rPr>
      <w:rFonts w:ascii="Verdana" w:eastAsia="Batang" w:hAnsi="Verdana" w:cs="Arial"/>
      <w:sz w:val="20"/>
      <w:szCs w:val="20"/>
      <w:lang w:eastAsia="es-MX"/>
    </w:rPr>
  </w:style>
  <w:style w:type="paragraph" w:customStyle="1" w:styleId="PrrafodeSentencia">
    <w:name w:val="*. Párrafo de Sentencia"/>
    <w:basedOn w:val="Textonotapie"/>
    <w:link w:val="PrrafodeSentenciaChar"/>
    <w:autoRedefine/>
    <w:qFormat/>
    <w:rsid w:val="001D1455"/>
    <w:pPr>
      <w:tabs>
        <w:tab w:val="left" w:pos="720"/>
      </w:tabs>
    </w:pPr>
    <w:rPr>
      <w:rFonts w:cs="Arial"/>
      <w:noProof w:val="0"/>
      <w:sz w:val="20"/>
      <w:lang w:val="es-CR" w:eastAsia="es-MX"/>
    </w:rPr>
  </w:style>
  <w:style w:type="paragraph" w:customStyle="1" w:styleId="negritamayuscula">
    <w:name w:val="negrita mayuscula"/>
    <w:basedOn w:val="Normal"/>
    <w:uiPriority w:val="99"/>
    <w:rsid w:val="001D1455"/>
    <w:pPr>
      <w:widowControl w:val="0"/>
      <w:tabs>
        <w:tab w:val="left" w:pos="1120"/>
      </w:tabs>
      <w:spacing w:before="60" w:after="60" w:line="360" w:lineRule="atLeast"/>
      <w:jc w:val="both"/>
    </w:pPr>
    <w:rPr>
      <w:rFonts w:ascii="Garamond" w:eastAsia="Times New Roman" w:hAnsi="Garamond" w:cs="Times New Roman"/>
      <w:sz w:val="24"/>
      <w:szCs w:val="20"/>
      <w:lang w:val="es-ES_tradnl"/>
    </w:rPr>
  </w:style>
  <w:style w:type="paragraph" w:customStyle="1" w:styleId="Default">
    <w:name w:val="Default"/>
    <w:uiPriority w:val="99"/>
    <w:rsid w:val="001D1455"/>
    <w:pPr>
      <w:autoSpaceDE w:val="0"/>
      <w:autoSpaceDN w:val="0"/>
      <w:adjustRightInd w:val="0"/>
      <w:spacing w:before="60" w:after="0" w:line="240" w:lineRule="auto"/>
    </w:pPr>
    <w:rPr>
      <w:rFonts w:ascii="Arial" w:eastAsia="Times New Roman" w:hAnsi="Arial" w:cs="Arial"/>
      <w:color w:val="000000"/>
      <w:sz w:val="24"/>
      <w:szCs w:val="24"/>
      <w:lang w:val="en-US"/>
    </w:rPr>
  </w:style>
  <w:style w:type="paragraph" w:customStyle="1" w:styleId="newsbody">
    <w:name w:val="news_body"/>
    <w:basedOn w:val="Normal"/>
    <w:uiPriority w:val="99"/>
    <w:rsid w:val="001D1455"/>
    <w:pPr>
      <w:spacing w:before="100" w:beforeAutospacing="1" w:after="100" w:afterAutospacing="1"/>
    </w:pPr>
    <w:rPr>
      <w:rFonts w:eastAsia="Times New Roman" w:cs="Times New Roman"/>
      <w:color w:val="000000"/>
      <w:spacing w:val="3"/>
      <w:sz w:val="18"/>
      <w:szCs w:val="18"/>
      <w:lang w:val="es-ES" w:eastAsia="es-ES"/>
    </w:rPr>
  </w:style>
  <w:style w:type="paragraph" w:customStyle="1" w:styleId="Titre1">
    <w:name w:val="Titre 1"/>
    <w:basedOn w:val="Normal"/>
    <w:uiPriority w:val="99"/>
    <w:rsid w:val="001D1455"/>
    <w:pPr>
      <w:numPr>
        <w:numId w:val="4"/>
      </w:numPr>
      <w:tabs>
        <w:tab w:val="num" w:pos="1080"/>
      </w:tabs>
      <w:spacing w:before="60" w:after="60"/>
      <w:ind w:left="1080" w:hanging="720"/>
      <w:jc w:val="center"/>
    </w:pPr>
    <w:rPr>
      <w:rFonts w:eastAsia="Times New Roman" w:cs="Times New Roman"/>
      <w:b/>
      <w:caps/>
      <w:szCs w:val="20"/>
      <w:lang w:val="es-ES" w:eastAsia="es-ES"/>
    </w:rPr>
  </w:style>
  <w:style w:type="paragraph" w:customStyle="1" w:styleId="textoparrafo">
    <w:name w:val="textoparrafo"/>
    <w:basedOn w:val="Normal"/>
    <w:uiPriority w:val="99"/>
    <w:rsid w:val="001D1455"/>
    <w:pPr>
      <w:spacing w:before="100" w:beforeAutospacing="1" w:after="100" w:afterAutospacing="1"/>
    </w:pPr>
    <w:rPr>
      <w:rFonts w:ascii="Times New Roman" w:eastAsia="Times New Roman" w:hAnsi="Times New Roman" w:cs="Times New Roman"/>
      <w:sz w:val="24"/>
      <w:szCs w:val="24"/>
      <w:lang w:val="es-ES" w:eastAsia="es-ES"/>
    </w:rPr>
  </w:style>
  <w:style w:type="paragraph" w:customStyle="1" w:styleId="Prrafodelista1">
    <w:name w:val="P∑rrafo de lista1"/>
    <w:basedOn w:val="Normal"/>
    <w:uiPriority w:val="99"/>
    <w:rsid w:val="001D1455"/>
    <w:pPr>
      <w:spacing w:before="60" w:after="60"/>
      <w:ind w:left="720"/>
      <w:contextualSpacing/>
    </w:pPr>
    <w:rPr>
      <w:rFonts w:ascii="Times New Roman" w:eastAsia="Times New Roman" w:hAnsi="Times New Roman" w:cs="Times New Roman"/>
      <w:sz w:val="24"/>
      <w:szCs w:val="24"/>
      <w:lang w:val="es-ES_tradnl"/>
    </w:rPr>
  </w:style>
  <w:style w:type="paragraph" w:customStyle="1" w:styleId="StyleHeading2LatinTimesNewRomanAsianBatang12ptN">
    <w:name w:val="Style Heading 2 + (Latin) Times New Roman (Asian) Batang 12 pt N..."/>
    <w:basedOn w:val="Ttulo2"/>
    <w:next w:val="Normal"/>
    <w:uiPriority w:val="99"/>
    <w:rsid w:val="001D1455"/>
    <w:pPr>
      <w:numPr>
        <w:ilvl w:val="1"/>
      </w:numPr>
      <w:tabs>
        <w:tab w:val="num" w:pos="360"/>
        <w:tab w:val="num" w:pos="576"/>
      </w:tabs>
      <w:spacing w:line="276" w:lineRule="auto"/>
      <w:ind w:left="576" w:hanging="576"/>
    </w:pPr>
    <w:rPr>
      <w:rFonts w:ascii="Times New Roman" w:hAnsi="Times New Roman"/>
      <w:i w:val="0"/>
      <w:color w:val="365F91"/>
      <w:sz w:val="24"/>
      <w:lang w:eastAsia="es-ES"/>
    </w:rPr>
  </w:style>
  <w:style w:type="paragraph" w:customStyle="1" w:styleId="JuPara">
    <w:name w:val="Ju_Para"/>
    <w:basedOn w:val="Normal"/>
    <w:uiPriority w:val="99"/>
    <w:rsid w:val="001D1455"/>
    <w:pPr>
      <w:suppressAutoHyphens/>
      <w:spacing w:before="240" w:after="240"/>
      <w:ind w:firstLine="284"/>
      <w:jc w:val="both"/>
    </w:pPr>
    <w:rPr>
      <w:rFonts w:ascii="Times New Roman" w:eastAsia="Times New Roman" w:hAnsi="Times New Roman" w:cs="Times New Roman"/>
      <w:sz w:val="24"/>
      <w:szCs w:val="20"/>
      <w:lang w:val="en-GB"/>
    </w:rPr>
  </w:style>
  <w:style w:type="paragraph" w:customStyle="1" w:styleId="Index91">
    <w:name w:val="Index 91"/>
    <w:basedOn w:val="Normal"/>
    <w:uiPriority w:val="99"/>
    <w:rsid w:val="001D1455"/>
    <w:pPr>
      <w:spacing w:before="60" w:after="60"/>
      <w:jc w:val="center"/>
    </w:pPr>
    <w:rPr>
      <w:rFonts w:ascii="Apple Chancery" w:eastAsia="Times New Roman" w:hAnsi="Apple Chancery" w:cs="Times New Roman"/>
      <w:b/>
      <w:sz w:val="24"/>
      <w:szCs w:val="20"/>
      <w:lang w:val="es-ES_tradnl" w:eastAsia="es-ES"/>
    </w:rPr>
  </w:style>
  <w:style w:type="paragraph" w:customStyle="1" w:styleId="Textoindependiente21">
    <w:name w:val="Texto independiente 21"/>
    <w:basedOn w:val="Normal"/>
    <w:uiPriority w:val="99"/>
    <w:rsid w:val="001D1455"/>
    <w:pPr>
      <w:spacing w:before="60" w:after="60" w:line="360" w:lineRule="atLeast"/>
      <w:jc w:val="both"/>
    </w:pPr>
    <w:rPr>
      <w:rFonts w:eastAsia="Times New Roman" w:cs="Times New Roman"/>
      <w:szCs w:val="20"/>
      <w:lang w:val="es-ES_tradnl" w:eastAsia="es-ES"/>
    </w:rPr>
  </w:style>
  <w:style w:type="paragraph" w:customStyle="1" w:styleId="Normal6">
    <w:name w:val="Normal+6"/>
    <w:basedOn w:val="Normal"/>
    <w:next w:val="Normal"/>
    <w:uiPriority w:val="99"/>
    <w:rsid w:val="001D1455"/>
    <w:pPr>
      <w:autoSpaceDE w:val="0"/>
      <w:autoSpaceDN w:val="0"/>
      <w:adjustRightInd w:val="0"/>
      <w:spacing w:before="60" w:after="60"/>
    </w:pPr>
    <w:rPr>
      <w:rFonts w:ascii="Times New Roman" w:eastAsia="Times New Roman" w:hAnsi="Times New Roman" w:cs="Times New Roman"/>
      <w:sz w:val="24"/>
      <w:szCs w:val="24"/>
      <w:lang w:val="es-ES" w:eastAsia="es-ES"/>
    </w:rPr>
  </w:style>
  <w:style w:type="paragraph" w:customStyle="1" w:styleId="MacroText1">
    <w:name w:val="Macro Text1"/>
    <w:basedOn w:val="Normal"/>
    <w:uiPriority w:val="99"/>
    <w:rsid w:val="001D1455"/>
    <w:pPr>
      <w:suppressAutoHyphens/>
      <w:spacing w:before="60" w:after="60"/>
    </w:pPr>
    <w:rPr>
      <w:rFonts w:eastAsia="Times New Roman" w:cs="Times New Roman"/>
      <w:sz w:val="24"/>
      <w:szCs w:val="20"/>
      <w:lang w:val="es-ES_tradnl" w:eastAsia="ar-SA"/>
    </w:rPr>
  </w:style>
  <w:style w:type="paragraph" w:customStyle="1" w:styleId="ju-005fpara-0020char1-0020char-0020char-0020char-0020char-0020char">
    <w:name w:val="ju-005fpara-0020char1-0020char-0020char-0020char-0020char-0020char"/>
    <w:basedOn w:val="Normal"/>
    <w:uiPriority w:val="99"/>
    <w:rsid w:val="001D1455"/>
    <w:pPr>
      <w:spacing w:before="100" w:beforeAutospacing="1" w:after="100" w:afterAutospacing="1"/>
    </w:pPr>
    <w:rPr>
      <w:rFonts w:ascii="Times New Roman" w:eastAsia="Times New Roman" w:hAnsi="Times New Roman" w:cs="Times New Roman"/>
      <w:sz w:val="24"/>
      <w:szCs w:val="24"/>
      <w:lang w:val="en-US"/>
    </w:rPr>
  </w:style>
  <w:style w:type="paragraph" w:customStyle="1" w:styleId="ju-005fpara-0020char-0020char-0020char">
    <w:name w:val="ju-005fpara-0020char-0020char-0020char"/>
    <w:basedOn w:val="Normal"/>
    <w:uiPriority w:val="99"/>
    <w:rsid w:val="001D1455"/>
    <w:pPr>
      <w:spacing w:before="100" w:beforeAutospacing="1" w:after="100" w:afterAutospacing="1"/>
    </w:pPr>
    <w:rPr>
      <w:rFonts w:ascii="Times New Roman" w:eastAsia="Times New Roman" w:hAnsi="Times New Roman" w:cs="Times New Roman"/>
      <w:sz w:val="24"/>
      <w:szCs w:val="24"/>
      <w:lang w:val="en-US"/>
    </w:rPr>
  </w:style>
  <w:style w:type="paragraph" w:customStyle="1" w:styleId="western">
    <w:name w:val="western"/>
    <w:basedOn w:val="Normal"/>
    <w:uiPriority w:val="99"/>
    <w:rsid w:val="001D1455"/>
    <w:pPr>
      <w:spacing w:before="100" w:beforeAutospacing="1" w:after="60"/>
      <w:jc w:val="both"/>
    </w:pPr>
    <w:rPr>
      <w:rFonts w:ascii="Times New Roman" w:eastAsia="Times New Roman" w:hAnsi="Times New Roman" w:cs="Times New Roman"/>
      <w:color w:val="000000"/>
      <w:sz w:val="28"/>
      <w:szCs w:val="28"/>
      <w:lang w:val="en-US"/>
    </w:rPr>
  </w:style>
  <w:style w:type="paragraph" w:customStyle="1" w:styleId="CM124">
    <w:name w:val="CM124"/>
    <w:basedOn w:val="Default"/>
    <w:next w:val="Default"/>
    <w:uiPriority w:val="99"/>
    <w:rsid w:val="001D1455"/>
    <w:pPr>
      <w:widowControl w:val="0"/>
    </w:pPr>
    <w:rPr>
      <w:color w:val="auto"/>
    </w:rPr>
  </w:style>
  <w:style w:type="paragraph" w:customStyle="1" w:styleId="CM125">
    <w:name w:val="CM125"/>
    <w:basedOn w:val="Default"/>
    <w:next w:val="Default"/>
    <w:uiPriority w:val="99"/>
    <w:rsid w:val="001D1455"/>
    <w:pPr>
      <w:widowControl w:val="0"/>
    </w:pPr>
    <w:rPr>
      <w:color w:val="auto"/>
    </w:rPr>
  </w:style>
  <w:style w:type="paragraph" w:customStyle="1" w:styleId="CM129">
    <w:name w:val="CM129"/>
    <w:basedOn w:val="Default"/>
    <w:next w:val="Default"/>
    <w:uiPriority w:val="99"/>
    <w:rsid w:val="001D1455"/>
    <w:pPr>
      <w:widowControl w:val="0"/>
    </w:pPr>
    <w:rPr>
      <w:color w:val="auto"/>
    </w:rPr>
  </w:style>
  <w:style w:type="paragraph" w:customStyle="1" w:styleId="Prrafodelista2">
    <w:name w:val="Párrafo de lista2"/>
    <w:basedOn w:val="Normal"/>
    <w:uiPriority w:val="99"/>
    <w:rsid w:val="001D1455"/>
    <w:pPr>
      <w:spacing w:after="0" w:line="240" w:lineRule="auto"/>
      <w:ind w:left="720"/>
    </w:pPr>
    <w:rPr>
      <w:rFonts w:eastAsia="MS Mincho" w:cs="Times New Roman"/>
      <w:szCs w:val="20"/>
      <w:lang w:val="es-ES_tradnl" w:bidi="en-US"/>
    </w:rPr>
  </w:style>
  <w:style w:type="character" w:styleId="Refdecomentario">
    <w:name w:val="annotation reference"/>
    <w:basedOn w:val="Fuentedeprrafopredeter"/>
    <w:uiPriority w:val="99"/>
    <w:semiHidden/>
    <w:unhideWhenUsed/>
    <w:rsid w:val="001D1455"/>
    <w:rPr>
      <w:sz w:val="16"/>
      <w:szCs w:val="16"/>
    </w:rPr>
  </w:style>
  <w:style w:type="character" w:styleId="Nmerodepgina">
    <w:name w:val="page number"/>
    <w:basedOn w:val="Fuentedeprrafopredeter"/>
    <w:uiPriority w:val="99"/>
    <w:semiHidden/>
    <w:unhideWhenUsed/>
    <w:rsid w:val="001D1455"/>
    <w:rPr>
      <w:rFonts w:ascii="Times New Roman" w:hAnsi="Times New Roman" w:cs="Times New Roman" w:hint="default"/>
    </w:rPr>
  </w:style>
  <w:style w:type="character" w:styleId="Refdenotaalfinal">
    <w:name w:val="endnote reference"/>
    <w:basedOn w:val="Fuentedeprrafopredeter"/>
    <w:uiPriority w:val="99"/>
    <w:semiHidden/>
    <w:unhideWhenUsed/>
    <w:rsid w:val="001D1455"/>
    <w:rPr>
      <w:vertAlign w:val="superscript"/>
    </w:rPr>
  </w:style>
  <w:style w:type="character" w:styleId="Textodelmarcadordeposicin">
    <w:name w:val="Placeholder Text"/>
    <w:basedOn w:val="Fuentedeprrafopredeter"/>
    <w:uiPriority w:val="99"/>
    <w:semiHidden/>
    <w:rsid w:val="001D1455"/>
    <w:rPr>
      <w:color w:val="808080"/>
    </w:rPr>
  </w:style>
  <w:style w:type="character" w:customStyle="1" w:styleId="Ttulo7Car1">
    <w:name w:val="Título 7 Car1"/>
    <w:basedOn w:val="Fuentedeprrafopredeter"/>
    <w:uiPriority w:val="99"/>
    <w:semiHidden/>
    <w:rsid w:val="001D1455"/>
    <w:rPr>
      <w:rFonts w:asciiTheme="majorHAnsi" w:eastAsiaTheme="majorEastAsia" w:hAnsiTheme="majorHAnsi" w:cstheme="majorBidi"/>
      <w:i/>
      <w:iCs/>
      <w:noProof/>
      <w:color w:val="404040" w:themeColor="text1" w:themeTint="BF"/>
      <w:szCs w:val="24"/>
      <w:lang w:val="es-ES_tradnl"/>
    </w:rPr>
  </w:style>
  <w:style w:type="character" w:customStyle="1" w:styleId="Ttulo8Car1">
    <w:name w:val="Título 8 Car1"/>
    <w:basedOn w:val="Fuentedeprrafopredeter"/>
    <w:uiPriority w:val="99"/>
    <w:semiHidden/>
    <w:rsid w:val="001D1455"/>
    <w:rPr>
      <w:rFonts w:asciiTheme="majorHAnsi" w:eastAsiaTheme="majorEastAsia" w:hAnsiTheme="majorHAnsi" w:cstheme="majorBidi"/>
      <w:noProof/>
      <w:color w:val="404040" w:themeColor="text1" w:themeTint="BF"/>
      <w:lang w:val="es-ES_tradnl"/>
    </w:rPr>
  </w:style>
  <w:style w:type="character" w:customStyle="1" w:styleId="Ttulo9Car1">
    <w:name w:val="Título 9 Car1"/>
    <w:basedOn w:val="Fuentedeprrafopredeter"/>
    <w:uiPriority w:val="99"/>
    <w:semiHidden/>
    <w:rsid w:val="001D1455"/>
    <w:rPr>
      <w:rFonts w:asciiTheme="majorHAnsi" w:eastAsiaTheme="majorEastAsia" w:hAnsiTheme="majorHAnsi" w:cstheme="majorBidi"/>
      <w:i/>
      <w:iCs/>
      <w:noProof/>
      <w:color w:val="404040" w:themeColor="text1" w:themeTint="BF"/>
      <w:lang w:val="es-ES_tradnl"/>
    </w:rPr>
  </w:style>
  <w:style w:type="paragraph" w:styleId="Ttulo">
    <w:name w:val="Title"/>
    <w:basedOn w:val="Normal"/>
    <w:next w:val="Normal"/>
    <w:link w:val="TtuloCar"/>
    <w:qFormat/>
    <w:rsid w:val="001D1455"/>
    <w:pPr>
      <w:pBdr>
        <w:bottom w:val="single" w:sz="8" w:space="4" w:color="4F81BD" w:themeColor="accent1"/>
      </w:pBdr>
      <w:spacing w:after="300" w:line="240" w:lineRule="auto"/>
      <w:contextualSpacing/>
      <w:jc w:val="both"/>
    </w:pPr>
    <w:rPr>
      <w:rFonts w:eastAsia="Times New Roman" w:cs="Times New Roman"/>
      <w:b/>
      <w:noProof/>
      <w:szCs w:val="20"/>
      <w:lang w:val="es-ES_tradnl"/>
    </w:rPr>
  </w:style>
  <w:style w:type="character" w:customStyle="1" w:styleId="TtuloCar1">
    <w:name w:val="Título Car1"/>
    <w:basedOn w:val="Fuentedeprrafopredeter"/>
    <w:rsid w:val="001D1455"/>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qFormat/>
    <w:rsid w:val="001D1455"/>
    <w:pPr>
      <w:numPr>
        <w:ilvl w:val="1"/>
      </w:numPr>
      <w:spacing w:after="0" w:line="240" w:lineRule="auto"/>
      <w:jc w:val="both"/>
    </w:pPr>
    <w:rPr>
      <w:rFonts w:eastAsia="Times New Roman" w:cs="Times New Roman"/>
      <w:b/>
      <w:i/>
      <w:iCs/>
      <w:noProof/>
      <w:spacing w:val="15"/>
      <w:szCs w:val="24"/>
      <w:lang w:val="es-ES_tradnl"/>
    </w:rPr>
  </w:style>
  <w:style w:type="character" w:customStyle="1" w:styleId="SubttuloCar1">
    <w:name w:val="Subtítulo Car1"/>
    <w:basedOn w:val="Fuentedeprrafopredeter"/>
    <w:rsid w:val="001D1455"/>
    <w:rPr>
      <w:rFonts w:asciiTheme="majorHAnsi" w:eastAsiaTheme="majorEastAsia" w:hAnsiTheme="majorHAnsi" w:cstheme="majorBidi"/>
      <w:i/>
      <w:iCs/>
      <w:color w:val="4F81BD" w:themeColor="accent1"/>
      <w:spacing w:val="15"/>
      <w:sz w:val="24"/>
      <w:szCs w:val="24"/>
    </w:rPr>
  </w:style>
  <w:style w:type="paragraph" w:styleId="Encabezado">
    <w:name w:val="header"/>
    <w:basedOn w:val="Normal"/>
    <w:link w:val="EncabezadoCar"/>
    <w:uiPriority w:val="99"/>
    <w:unhideWhenUsed/>
    <w:rsid w:val="001D1455"/>
    <w:pPr>
      <w:tabs>
        <w:tab w:val="center" w:pos="4419"/>
        <w:tab w:val="right" w:pos="8838"/>
      </w:tabs>
      <w:spacing w:after="0" w:line="240" w:lineRule="auto"/>
      <w:jc w:val="both"/>
    </w:pPr>
    <w:rPr>
      <w:rFonts w:eastAsia="Batang" w:cs="Times"/>
      <w:noProof/>
      <w:szCs w:val="24"/>
      <w:lang w:val="es-ES_tradnl"/>
    </w:rPr>
  </w:style>
  <w:style w:type="character" w:customStyle="1" w:styleId="EncabezadoCar1">
    <w:name w:val="Encabezado Car1"/>
    <w:basedOn w:val="Fuentedeprrafopredeter"/>
    <w:uiPriority w:val="99"/>
    <w:semiHidden/>
    <w:rsid w:val="001D1455"/>
  </w:style>
  <w:style w:type="paragraph" w:styleId="Piedepgina">
    <w:name w:val="footer"/>
    <w:basedOn w:val="Normal"/>
    <w:link w:val="PiedepginaCar"/>
    <w:uiPriority w:val="99"/>
    <w:unhideWhenUsed/>
    <w:rsid w:val="001D1455"/>
    <w:pPr>
      <w:tabs>
        <w:tab w:val="center" w:pos="4419"/>
        <w:tab w:val="right" w:pos="8838"/>
      </w:tabs>
      <w:spacing w:after="0" w:line="240" w:lineRule="auto"/>
      <w:jc w:val="both"/>
    </w:pPr>
    <w:rPr>
      <w:rFonts w:eastAsia="Batang" w:cs="Times"/>
      <w:noProof/>
      <w:szCs w:val="24"/>
      <w:lang w:val="es-ES_tradnl"/>
    </w:rPr>
  </w:style>
  <w:style w:type="character" w:customStyle="1" w:styleId="PiedepginaCar1">
    <w:name w:val="Pie de página Car1"/>
    <w:basedOn w:val="Fuentedeprrafopredeter"/>
    <w:uiPriority w:val="99"/>
    <w:semiHidden/>
    <w:rsid w:val="001D1455"/>
  </w:style>
  <w:style w:type="character" w:customStyle="1" w:styleId="apple-converted-space">
    <w:name w:val="apple-converted-space"/>
    <w:basedOn w:val="Fuentedeprrafopredeter"/>
    <w:rsid w:val="001D1455"/>
  </w:style>
  <w:style w:type="paragraph" w:styleId="Textodeglobo">
    <w:name w:val="Balloon Text"/>
    <w:basedOn w:val="Normal"/>
    <w:link w:val="TextodegloboCar"/>
    <w:uiPriority w:val="99"/>
    <w:semiHidden/>
    <w:unhideWhenUsed/>
    <w:rsid w:val="001D1455"/>
    <w:pPr>
      <w:spacing w:after="0" w:line="240" w:lineRule="auto"/>
      <w:jc w:val="both"/>
    </w:pPr>
    <w:rPr>
      <w:rFonts w:ascii="Tahoma" w:eastAsia="Batang" w:hAnsi="Tahoma" w:cs="Tahoma"/>
      <w:noProof/>
      <w:sz w:val="16"/>
      <w:szCs w:val="16"/>
      <w:lang w:val="es-ES_tradnl"/>
    </w:rPr>
  </w:style>
  <w:style w:type="character" w:customStyle="1" w:styleId="TextodegloboCar1">
    <w:name w:val="Texto de globo Car1"/>
    <w:basedOn w:val="Fuentedeprrafopredeter"/>
    <w:uiPriority w:val="99"/>
    <w:semiHidden/>
    <w:rsid w:val="001D1455"/>
    <w:rPr>
      <w:rFonts w:ascii="Tahoma" w:hAnsi="Tahoma" w:cs="Tahoma"/>
      <w:sz w:val="16"/>
      <w:szCs w:val="16"/>
    </w:rPr>
  </w:style>
  <w:style w:type="paragraph" w:styleId="Asuntodelcomentario">
    <w:name w:val="annotation subject"/>
    <w:basedOn w:val="Textocomentario"/>
    <w:next w:val="Textocomentario"/>
    <w:link w:val="AsuntodelcomentarioCar"/>
    <w:uiPriority w:val="99"/>
    <w:unhideWhenUsed/>
    <w:rsid w:val="001D1455"/>
    <w:rPr>
      <w:b/>
      <w:bCs/>
    </w:rPr>
  </w:style>
  <w:style w:type="character" w:customStyle="1" w:styleId="AsuntodelcomentarioCar1">
    <w:name w:val="Asunto del comentario Car1"/>
    <w:basedOn w:val="TextocomentarioCar1"/>
    <w:uiPriority w:val="99"/>
    <w:semiHidden/>
    <w:rsid w:val="001D1455"/>
    <w:rPr>
      <w:b/>
      <w:bCs/>
      <w:sz w:val="20"/>
      <w:szCs w:val="20"/>
    </w:rPr>
  </w:style>
  <w:style w:type="character" w:customStyle="1" w:styleId="Smbolodenotaalpie">
    <w:name w:val="Símbolo de nota al pie"/>
    <w:rsid w:val="001D1455"/>
    <w:rPr>
      <w:rFonts w:ascii="Times New Roman" w:hAnsi="Times New Roman" w:cs="Times New Roman" w:hint="default"/>
      <w:szCs w:val="20"/>
      <w:vertAlign w:val="superscript"/>
    </w:rPr>
  </w:style>
  <w:style w:type="paragraph" w:styleId="Textonotaalfinal">
    <w:name w:val="endnote text"/>
    <w:basedOn w:val="Normal"/>
    <w:link w:val="TextonotaalfinalCar"/>
    <w:uiPriority w:val="99"/>
    <w:semiHidden/>
    <w:unhideWhenUsed/>
    <w:rsid w:val="001D1455"/>
    <w:pPr>
      <w:spacing w:after="0" w:line="240" w:lineRule="auto"/>
      <w:jc w:val="both"/>
    </w:pPr>
    <w:rPr>
      <w:rFonts w:ascii="CG Times" w:eastAsia="Times New Roman" w:hAnsi="CG Times" w:cs="Times New Roman"/>
      <w:szCs w:val="20"/>
    </w:rPr>
  </w:style>
  <w:style w:type="character" w:customStyle="1" w:styleId="TextonotaalfinalCar1">
    <w:name w:val="Texto nota al final Car1"/>
    <w:basedOn w:val="Fuentedeprrafopredeter"/>
    <w:uiPriority w:val="99"/>
    <w:semiHidden/>
    <w:rsid w:val="001D1455"/>
    <w:rPr>
      <w:sz w:val="20"/>
      <w:szCs w:val="20"/>
    </w:rPr>
  </w:style>
  <w:style w:type="paragraph" w:styleId="Sangradetextonormal">
    <w:name w:val="Body Text Indent"/>
    <w:basedOn w:val="Normal"/>
    <w:link w:val="SangradetextonormalCar"/>
    <w:uiPriority w:val="99"/>
    <w:semiHidden/>
    <w:unhideWhenUsed/>
    <w:rsid w:val="001D1455"/>
    <w:pPr>
      <w:spacing w:after="120" w:line="240" w:lineRule="auto"/>
      <w:ind w:left="283"/>
      <w:jc w:val="both"/>
    </w:pPr>
    <w:rPr>
      <w:rFonts w:ascii="Univers" w:eastAsia="Times New Roman" w:hAnsi="Univers" w:cs="Times New Roman"/>
      <w:szCs w:val="20"/>
      <w:lang w:val="es-CL"/>
    </w:rPr>
  </w:style>
  <w:style w:type="character" w:customStyle="1" w:styleId="SangradetextonormalCar1">
    <w:name w:val="Sangría de texto normal Car1"/>
    <w:basedOn w:val="Fuentedeprrafopredeter"/>
    <w:uiPriority w:val="99"/>
    <w:semiHidden/>
    <w:rsid w:val="001D1455"/>
  </w:style>
  <w:style w:type="paragraph" w:styleId="Textoindependiente">
    <w:name w:val="Body Text"/>
    <w:basedOn w:val="Normal"/>
    <w:link w:val="TextoindependienteCar"/>
    <w:uiPriority w:val="99"/>
    <w:semiHidden/>
    <w:unhideWhenUsed/>
    <w:rsid w:val="001D1455"/>
    <w:pPr>
      <w:spacing w:after="120" w:line="240" w:lineRule="auto"/>
      <w:jc w:val="both"/>
    </w:pPr>
    <w:rPr>
      <w:rFonts w:ascii="Univers" w:eastAsia="Times New Roman" w:hAnsi="Univers" w:cs="Times New Roman"/>
      <w:szCs w:val="20"/>
      <w:lang w:val="es-CL"/>
    </w:rPr>
  </w:style>
  <w:style w:type="character" w:customStyle="1" w:styleId="TextoindependienteCar1">
    <w:name w:val="Texto independiente Car1"/>
    <w:basedOn w:val="Fuentedeprrafopredeter"/>
    <w:uiPriority w:val="99"/>
    <w:semiHidden/>
    <w:rsid w:val="001D1455"/>
  </w:style>
  <w:style w:type="paragraph" w:styleId="Textoindependiente2">
    <w:name w:val="Body Text 2"/>
    <w:basedOn w:val="Normal"/>
    <w:link w:val="Textoindependiente2Car"/>
    <w:uiPriority w:val="99"/>
    <w:semiHidden/>
    <w:unhideWhenUsed/>
    <w:rsid w:val="001D1455"/>
    <w:pPr>
      <w:spacing w:after="120" w:line="480" w:lineRule="auto"/>
      <w:jc w:val="both"/>
    </w:pPr>
    <w:rPr>
      <w:rFonts w:ascii="Times New Roman" w:eastAsia="Times New Roman" w:hAnsi="Times New Roman" w:cs="Times New Roman"/>
      <w:sz w:val="24"/>
      <w:szCs w:val="24"/>
      <w:lang w:val="es-ES_tradnl"/>
    </w:rPr>
  </w:style>
  <w:style w:type="character" w:customStyle="1" w:styleId="Textoindependiente2Car1">
    <w:name w:val="Texto independiente 2 Car1"/>
    <w:basedOn w:val="Fuentedeprrafopredeter"/>
    <w:uiPriority w:val="99"/>
    <w:semiHidden/>
    <w:rsid w:val="001D1455"/>
  </w:style>
  <w:style w:type="paragraph" w:styleId="Sangra2detindependiente">
    <w:name w:val="Body Text Indent 2"/>
    <w:basedOn w:val="Normal"/>
    <w:link w:val="Sangra2detindependienteCar"/>
    <w:uiPriority w:val="99"/>
    <w:semiHidden/>
    <w:unhideWhenUsed/>
    <w:rsid w:val="001D1455"/>
    <w:pPr>
      <w:spacing w:after="120" w:line="480" w:lineRule="auto"/>
      <w:ind w:left="283"/>
      <w:jc w:val="both"/>
    </w:pPr>
    <w:rPr>
      <w:rFonts w:ascii="Times New Roman" w:eastAsia="Times New Roman" w:hAnsi="Times New Roman" w:cs="Times New Roman"/>
      <w:sz w:val="24"/>
      <w:szCs w:val="20"/>
      <w:lang w:val="es-ES_tradnl"/>
    </w:rPr>
  </w:style>
  <w:style w:type="character" w:customStyle="1" w:styleId="Sangra2detindependienteCar1">
    <w:name w:val="Sangría 2 de t. independiente Car1"/>
    <w:basedOn w:val="Fuentedeprrafopredeter"/>
    <w:uiPriority w:val="99"/>
    <w:semiHidden/>
    <w:rsid w:val="001D1455"/>
  </w:style>
  <w:style w:type="paragraph" w:styleId="Sangra3detindependiente">
    <w:name w:val="Body Text Indent 3"/>
    <w:basedOn w:val="Normal"/>
    <w:link w:val="Sangra3detindependienteCar"/>
    <w:uiPriority w:val="99"/>
    <w:semiHidden/>
    <w:unhideWhenUsed/>
    <w:rsid w:val="001D1455"/>
    <w:pPr>
      <w:spacing w:after="120" w:line="240" w:lineRule="auto"/>
      <w:ind w:left="283"/>
      <w:jc w:val="both"/>
    </w:pPr>
    <w:rPr>
      <w:rFonts w:ascii="Times New Roman" w:eastAsia="Times New Roman" w:hAnsi="Times New Roman" w:cs="Times New Roman"/>
      <w:sz w:val="16"/>
      <w:szCs w:val="16"/>
    </w:rPr>
  </w:style>
  <w:style w:type="character" w:customStyle="1" w:styleId="Sangra3detindependienteCar1">
    <w:name w:val="Sangría 3 de t. independiente Car1"/>
    <w:basedOn w:val="Fuentedeprrafopredeter"/>
    <w:uiPriority w:val="99"/>
    <w:semiHidden/>
    <w:rsid w:val="001D1455"/>
    <w:rPr>
      <w:sz w:val="16"/>
      <w:szCs w:val="16"/>
    </w:rPr>
  </w:style>
  <w:style w:type="paragraph" w:styleId="Textoindependiente3">
    <w:name w:val="Body Text 3"/>
    <w:basedOn w:val="Normal"/>
    <w:link w:val="Textoindependiente3Car"/>
    <w:uiPriority w:val="99"/>
    <w:semiHidden/>
    <w:unhideWhenUsed/>
    <w:rsid w:val="001D1455"/>
    <w:pPr>
      <w:spacing w:after="120" w:line="240" w:lineRule="auto"/>
      <w:jc w:val="both"/>
    </w:pPr>
    <w:rPr>
      <w:rFonts w:ascii="Times New Roman" w:eastAsia="Times New Roman" w:hAnsi="Times New Roman" w:cs="Times New Roman"/>
      <w:sz w:val="16"/>
      <w:szCs w:val="16"/>
    </w:rPr>
  </w:style>
  <w:style w:type="character" w:customStyle="1" w:styleId="Textoindependiente3Car1">
    <w:name w:val="Texto independiente 3 Car1"/>
    <w:basedOn w:val="Fuentedeprrafopredeter"/>
    <w:uiPriority w:val="99"/>
    <w:semiHidden/>
    <w:rsid w:val="001D1455"/>
    <w:rPr>
      <w:sz w:val="16"/>
      <w:szCs w:val="16"/>
    </w:rPr>
  </w:style>
  <w:style w:type="character" w:customStyle="1" w:styleId="Smbolodenotaalpie0">
    <w:name w:val="S√mbolo de nota al pie"/>
    <w:uiPriority w:val="99"/>
    <w:rsid w:val="001D1455"/>
    <w:rPr>
      <w:vertAlign w:val="superscript"/>
    </w:rPr>
  </w:style>
  <w:style w:type="character" w:customStyle="1" w:styleId="FootnoteCharacters">
    <w:name w:val="Footnote Characters"/>
    <w:basedOn w:val="Fuentedeprrafopredeter"/>
    <w:uiPriority w:val="99"/>
    <w:rsid w:val="001D1455"/>
    <w:rPr>
      <w:rFonts w:ascii="Times New Roman" w:hAnsi="Times New Roman" w:cs="Times New Roman" w:hint="default"/>
      <w:vertAlign w:val="superscript"/>
    </w:rPr>
  </w:style>
  <w:style w:type="character" w:customStyle="1" w:styleId="CarCar">
    <w:name w:val="Car Car"/>
    <w:basedOn w:val="Fuentedeprrafopredeter"/>
    <w:uiPriority w:val="99"/>
    <w:rsid w:val="001D1455"/>
    <w:rPr>
      <w:rFonts w:ascii="Times New Roman" w:hAnsi="Times New Roman" w:cs="Times New Roman" w:hint="default"/>
      <w:sz w:val="24"/>
      <w:lang w:val="es-ES" w:eastAsia="en-US"/>
    </w:rPr>
  </w:style>
  <w:style w:type="character" w:customStyle="1" w:styleId="documentbody">
    <w:name w:val="documentbody"/>
    <w:basedOn w:val="Fuentedeprrafopredeter"/>
    <w:uiPriority w:val="99"/>
    <w:rsid w:val="001D1455"/>
    <w:rPr>
      <w:rFonts w:ascii="Times New Roman" w:hAnsi="Times New Roman" w:cs="Times New Roman" w:hint="default"/>
    </w:rPr>
  </w:style>
  <w:style w:type="character" w:customStyle="1" w:styleId="Refdenotaalpie7">
    <w:name w:val="Ref. de nota al pie7"/>
    <w:uiPriority w:val="99"/>
    <w:rsid w:val="001D1455"/>
    <w:rPr>
      <w:vertAlign w:val="superscript"/>
    </w:rPr>
  </w:style>
  <w:style w:type="character" w:customStyle="1" w:styleId="googqs-tidbit1">
    <w:name w:val="goog_qs-tidbit1"/>
    <w:basedOn w:val="Fuentedeprrafopredeter"/>
    <w:uiPriority w:val="99"/>
    <w:rsid w:val="001D1455"/>
    <w:rPr>
      <w:rFonts w:ascii="Times New Roman" w:hAnsi="Times New Roman" w:cs="Times New Roman" w:hint="default"/>
    </w:rPr>
  </w:style>
  <w:style w:type="character" w:customStyle="1" w:styleId="apple-style-span">
    <w:name w:val="apple-style-span"/>
    <w:basedOn w:val="Fuentedeprrafopredeter"/>
    <w:rsid w:val="001D1455"/>
    <w:rPr>
      <w:rFonts w:ascii="Times New Roman" w:hAnsi="Times New Roman" w:cs="Times New Roman" w:hint="default"/>
    </w:rPr>
  </w:style>
  <w:style w:type="character" w:customStyle="1" w:styleId="WW8Num5z1">
    <w:name w:val="WW8Num5z1"/>
    <w:uiPriority w:val="99"/>
    <w:rsid w:val="001D1455"/>
    <w:rPr>
      <w:rFonts w:ascii="Courier New" w:hAnsi="Courier New" w:cs="Courier New" w:hint="default"/>
    </w:rPr>
  </w:style>
  <w:style w:type="character" w:customStyle="1" w:styleId="A10">
    <w:name w:val="A10"/>
    <w:uiPriority w:val="99"/>
    <w:rsid w:val="001D1455"/>
    <w:rPr>
      <w:color w:val="000000"/>
      <w:sz w:val="11"/>
    </w:rPr>
  </w:style>
  <w:style w:type="character" w:customStyle="1" w:styleId="ju-005fpara-0020char-0020char-0020char--char">
    <w:name w:val="ju-005fpara-0020char-0020char-0020char--char"/>
    <w:basedOn w:val="Fuentedeprrafopredeter"/>
    <w:uiPriority w:val="99"/>
    <w:rsid w:val="001D1455"/>
    <w:rPr>
      <w:rFonts w:ascii="Times New Roman" w:hAnsi="Times New Roman" w:cs="Times New Roman" w:hint="default"/>
    </w:rPr>
  </w:style>
  <w:style w:type="character" w:customStyle="1" w:styleId="FootnoteTextChar3">
    <w:name w:val="Footnote Text Char3"/>
    <w:aliases w:val="Footnote Text Char Char Char Char Char Char1,Footnote Text Char Char Char Char Char2,FA Fu Char1,Footnote reference Char1,Footnote Text Char Char Char Char2,Footnote Text Cha Char1,FA Fußnotentext Char1,FA Fuﬂnotentext Char1,Ca Char2"/>
    <w:locked/>
    <w:rsid w:val="001D1455"/>
    <w:rPr>
      <w:rFonts w:ascii="Univers" w:hAnsi="Univers" w:cs="Times New Roman" w:hint="default"/>
      <w:lang w:val="en-US" w:eastAsia="en-US" w:bidi="ar-SA"/>
    </w:rPr>
  </w:style>
  <w:style w:type="character" w:customStyle="1" w:styleId="FootnoteAnchor">
    <w:name w:val="Footnote Anchor"/>
    <w:rsid w:val="001D1455"/>
    <w:rPr>
      <w:vertAlign w:val="superscript"/>
    </w:rPr>
  </w:style>
  <w:style w:type="character" w:customStyle="1" w:styleId="FootnoteTextChar">
    <w:name w:val="Footnote Text Char"/>
    <w:aliases w:val="2. Footnote Text Char,Footnote Tesina Char,FA Fu Char,Footnote Text Char Char Char Char Char Char,Footnote Text Char Char Char Char Char1,Footnote reference Char,Footnote Text Char Char Char Char1,Footnote Text Cha Char,Ca Char,C Char"/>
    <w:basedOn w:val="Fuentedeprrafopredeter"/>
    <w:qFormat/>
    <w:locked/>
    <w:rsid w:val="001D1455"/>
    <w:rPr>
      <w:rFonts w:ascii="Verdana" w:hAnsi="Verdana" w:hint="default"/>
    </w:rPr>
  </w:style>
  <w:style w:type="character" w:customStyle="1" w:styleId="notranslate">
    <w:name w:val="notranslate"/>
    <w:basedOn w:val="Fuentedeprrafopredeter"/>
    <w:rsid w:val="001D1455"/>
  </w:style>
  <w:style w:type="table" w:styleId="Tablaconcuadrcula">
    <w:name w:val="Table Grid"/>
    <w:basedOn w:val="Tablanormal"/>
    <w:uiPriority w:val="99"/>
    <w:rsid w:val="001D1455"/>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basedOn w:val="Fuentedeprrafopredeter"/>
    <w:uiPriority w:val="22"/>
    <w:qFormat/>
    <w:rsid w:val="001D1455"/>
    <w:rPr>
      <w:b/>
      <w:bCs/>
    </w:rPr>
  </w:style>
  <w:style w:type="paragraph" w:styleId="Listaconvietas">
    <w:name w:val="List Bullet"/>
    <w:basedOn w:val="Normal"/>
    <w:uiPriority w:val="99"/>
    <w:semiHidden/>
    <w:unhideWhenUsed/>
    <w:rsid w:val="001D1455"/>
    <w:pPr>
      <w:numPr>
        <w:numId w:val="3"/>
      </w:numPr>
      <w:spacing w:after="0" w:line="240" w:lineRule="auto"/>
      <w:contextualSpacing/>
      <w:jc w:val="both"/>
    </w:pPr>
    <w:rPr>
      <w:rFonts w:eastAsia="Batang" w:cs="Times"/>
      <w:noProof/>
      <w:szCs w:val="24"/>
      <w:lang w:val="es-ES_tradnl"/>
    </w:rPr>
  </w:style>
  <w:style w:type="paragraph" w:styleId="TDC1">
    <w:name w:val="toc 1"/>
    <w:basedOn w:val="Normal"/>
    <w:next w:val="Normal"/>
    <w:autoRedefine/>
    <w:uiPriority w:val="39"/>
    <w:unhideWhenUsed/>
    <w:rsid w:val="006F78EB"/>
    <w:pPr>
      <w:tabs>
        <w:tab w:val="right" w:leader="dot" w:pos="9508"/>
      </w:tabs>
      <w:spacing w:after="60" w:line="240" w:lineRule="auto"/>
    </w:pPr>
    <w:rPr>
      <w:rFonts w:eastAsia="Calibri" w:cs="Times New Roman"/>
      <w:noProof/>
      <w:szCs w:val="20"/>
      <w:lang w:eastAsia="es-ES"/>
    </w:rPr>
  </w:style>
  <w:style w:type="paragraph" w:styleId="TDC2">
    <w:name w:val="toc 2"/>
    <w:basedOn w:val="Normal"/>
    <w:next w:val="Normal"/>
    <w:autoRedefine/>
    <w:uiPriority w:val="39"/>
    <w:unhideWhenUsed/>
    <w:rsid w:val="00DA7FC1"/>
    <w:pPr>
      <w:tabs>
        <w:tab w:val="left" w:pos="660"/>
        <w:tab w:val="right" w:leader="dot" w:pos="9508"/>
      </w:tabs>
      <w:spacing w:after="100"/>
      <w:ind w:left="220"/>
    </w:pPr>
    <w:rPr>
      <w:rFonts w:eastAsia="Calibri" w:cs="Times New Roman"/>
      <w:b/>
      <w:i/>
      <w:noProof/>
    </w:rPr>
  </w:style>
  <w:style w:type="paragraph" w:styleId="TDC3">
    <w:name w:val="toc 3"/>
    <w:basedOn w:val="Normal"/>
    <w:next w:val="Normal"/>
    <w:autoRedefine/>
    <w:uiPriority w:val="39"/>
    <w:unhideWhenUsed/>
    <w:rsid w:val="008F49BF"/>
    <w:pPr>
      <w:spacing w:after="100"/>
      <w:ind w:left="440"/>
    </w:pPr>
  </w:style>
  <w:style w:type="numbering" w:customStyle="1" w:styleId="NoList1">
    <w:name w:val="No List1"/>
    <w:next w:val="Sinlista"/>
    <w:uiPriority w:val="99"/>
    <w:semiHidden/>
    <w:unhideWhenUsed/>
    <w:rsid w:val="003B5FC8"/>
  </w:style>
  <w:style w:type="paragraph" w:customStyle="1" w:styleId="Revision1">
    <w:name w:val="Revision1"/>
    <w:next w:val="Revisin"/>
    <w:hidden/>
    <w:uiPriority w:val="99"/>
    <w:semiHidden/>
    <w:rsid w:val="003B5FC8"/>
    <w:pPr>
      <w:spacing w:after="0" w:line="240" w:lineRule="auto"/>
    </w:pPr>
  </w:style>
  <w:style w:type="paragraph" w:styleId="Revisin">
    <w:name w:val="Revision"/>
    <w:hidden/>
    <w:uiPriority w:val="99"/>
    <w:semiHidden/>
    <w:rsid w:val="003B5FC8"/>
    <w:pPr>
      <w:spacing w:after="0" w:line="240" w:lineRule="auto"/>
    </w:pPr>
  </w:style>
  <w:style w:type="paragraph" w:customStyle="1" w:styleId="Heading23">
    <w:name w:val="Heading 2.3"/>
    <w:basedOn w:val="Normal"/>
    <w:uiPriority w:val="99"/>
    <w:qFormat/>
    <w:rsid w:val="00B17F19"/>
    <w:pPr>
      <w:spacing w:after="0" w:line="240" w:lineRule="auto"/>
      <w:jc w:val="both"/>
    </w:pPr>
    <w:rPr>
      <w:rFonts w:cs="Verdana"/>
      <w:sz w:val="16"/>
      <w:szCs w:val="16"/>
      <w:vertAlign w:val="superscript"/>
    </w:rPr>
  </w:style>
  <w:style w:type="character" w:styleId="Nmerodelnea">
    <w:name w:val="line number"/>
    <w:basedOn w:val="Fuentedeprrafopredeter"/>
    <w:uiPriority w:val="99"/>
    <w:semiHidden/>
    <w:unhideWhenUsed/>
    <w:rsid w:val="00D95CA9"/>
  </w:style>
  <w:style w:type="paragraph" w:customStyle="1" w:styleId="Estilo2">
    <w:name w:val="Estilo2"/>
    <w:basedOn w:val="Normal"/>
    <w:qFormat/>
    <w:rsid w:val="00B91D70"/>
    <w:pPr>
      <w:tabs>
        <w:tab w:val="left" w:pos="567"/>
        <w:tab w:val="left" w:pos="1134"/>
        <w:tab w:val="num" w:pos="4767"/>
      </w:tabs>
      <w:spacing w:after="120" w:line="240" w:lineRule="auto"/>
      <w:ind w:left="4767" w:hanging="360"/>
      <w:jc w:val="both"/>
    </w:pPr>
    <w:rPr>
      <w:rFonts w:eastAsia="Calibri" w:cs="Times New Roman"/>
      <w:szCs w:val="20"/>
      <w:lang w:val="es-ES"/>
    </w:rPr>
  </w:style>
  <w:style w:type="paragraph" w:customStyle="1" w:styleId="ju-005fpara-002cleft-002cfirst-0020line-003a-0020-00200-0020cm">
    <w:name w:val="ju-005fpara-002cleft-002cfirst-0020line-003a-0020-00200-0020cm"/>
    <w:basedOn w:val="Normal"/>
    <w:rsid w:val="00C9299F"/>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numbering" w:customStyle="1" w:styleId="NoList2">
    <w:name w:val="No List2"/>
    <w:next w:val="Sinlista"/>
    <w:uiPriority w:val="99"/>
    <w:semiHidden/>
    <w:unhideWhenUsed/>
    <w:rsid w:val="000744A8"/>
  </w:style>
  <w:style w:type="paragraph" w:styleId="Textodebloque">
    <w:name w:val="Block Text"/>
    <w:basedOn w:val="Normal"/>
    <w:uiPriority w:val="99"/>
    <w:unhideWhenUsed/>
    <w:rsid w:val="000744A8"/>
    <w:pPr>
      <w:spacing w:after="0" w:line="240" w:lineRule="auto"/>
      <w:ind w:left="709" w:right="662"/>
      <w:jc w:val="both"/>
    </w:pPr>
    <w:rPr>
      <w:sz w:val="18"/>
      <w:szCs w:val="18"/>
    </w:rPr>
  </w:style>
  <w:style w:type="character" w:styleId="MquinadeescribirHTML">
    <w:name w:val="HTML Typewriter"/>
    <w:rsid w:val="000744A8"/>
    <w:rPr>
      <w:rFonts w:ascii="Courier New" w:eastAsia="Times New Roman" w:hAnsi="Courier New" w:cs="Courier New"/>
      <w:sz w:val="20"/>
      <w:szCs w:val="20"/>
    </w:rPr>
  </w:style>
  <w:style w:type="paragraph" w:styleId="Sinespaciado">
    <w:name w:val="No Spacing"/>
    <w:uiPriority w:val="1"/>
    <w:qFormat/>
    <w:rsid w:val="000744A8"/>
    <w:pPr>
      <w:spacing w:after="0" w:line="240" w:lineRule="auto"/>
      <w:jc w:val="both"/>
    </w:pPr>
    <w:rPr>
      <w:rFonts w:ascii="Verdana" w:eastAsia="Batang" w:hAnsi="Verdana" w:cs="Times New Roman"/>
      <w:sz w:val="24"/>
      <w:szCs w:val="24"/>
      <w:lang w:val="es-ES_tradnl"/>
    </w:rPr>
  </w:style>
  <w:style w:type="character" w:styleId="Mencinsinresolver">
    <w:name w:val="Unresolved Mention"/>
    <w:basedOn w:val="Fuentedeprrafopredeter"/>
    <w:uiPriority w:val="99"/>
    <w:semiHidden/>
    <w:unhideWhenUsed/>
    <w:rsid w:val="002F27C0"/>
    <w:rPr>
      <w:color w:val="605E5C"/>
      <w:shd w:val="clear" w:color="auto" w:fill="E1DFDD"/>
    </w:rPr>
  </w:style>
  <w:style w:type="character" w:customStyle="1" w:styleId="tagtrans">
    <w:name w:val="tag_trans"/>
    <w:basedOn w:val="Fuentedeprrafopredeter"/>
    <w:rsid w:val="0068208E"/>
  </w:style>
  <w:style w:type="character" w:customStyle="1" w:styleId="st">
    <w:name w:val="st"/>
    <w:basedOn w:val="Fuentedeprrafopredeter"/>
    <w:rsid w:val="00652385"/>
  </w:style>
  <w:style w:type="character" w:customStyle="1" w:styleId="highlight">
    <w:name w:val="highlight"/>
    <w:basedOn w:val="Fuentedeprrafopredeter"/>
    <w:rsid w:val="00703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2801">
      <w:bodyDiv w:val="1"/>
      <w:marLeft w:val="0"/>
      <w:marRight w:val="0"/>
      <w:marTop w:val="0"/>
      <w:marBottom w:val="0"/>
      <w:divBdr>
        <w:top w:val="none" w:sz="0" w:space="0" w:color="auto"/>
        <w:left w:val="none" w:sz="0" w:space="0" w:color="auto"/>
        <w:bottom w:val="none" w:sz="0" w:space="0" w:color="auto"/>
        <w:right w:val="none" w:sz="0" w:space="0" w:color="auto"/>
      </w:divBdr>
      <w:divsChild>
        <w:div w:id="612595660">
          <w:marLeft w:val="0"/>
          <w:marRight w:val="0"/>
          <w:marTop w:val="0"/>
          <w:marBottom w:val="0"/>
          <w:divBdr>
            <w:top w:val="none" w:sz="0" w:space="0" w:color="auto"/>
            <w:left w:val="none" w:sz="0" w:space="0" w:color="auto"/>
            <w:bottom w:val="none" w:sz="0" w:space="0" w:color="auto"/>
            <w:right w:val="none" w:sz="0" w:space="0" w:color="auto"/>
          </w:divBdr>
        </w:div>
      </w:divsChild>
    </w:div>
    <w:div w:id="63065646">
      <w:bodyDiv w:val="1"/>
      <w:marLeft w:val="0"/>
      <w:marRight w:val="0"/>
      <w:marTop w:val="0"/>
      <w:marBottom w:val="0"/>
      <w:divBdr>
        <w:top w:val="none" w:sz="0" w:space="0" w:color="auto"/>
        <w:left w:val="none" w:sz="0" w:space="0" w:color="auto"/>
        <w:bottom w:val="none" w:sz="0" w:space="0" w:color="auto"/>
        <w:right w:val="none" w:sz="0" w:space="0" w:color="auto"/>
      </w:divBdr>
    </w:div>
    <w:div w:id="67459119">
      <w:bodyDiv w:val="1"/>
      <w:marLeft w:val="0"/>
      <w:marRight w:val="0"/>
      <w:marTop w:val="0"/>
      <w:marBottom w:val="0"/>
      <w:divBdr>
        <w:top w:val="none" w:sz="0" w:space="0" w:color="auto"/>
        <w:left w:val="none" w:sz="0" w:space="0" w:color="auto"/>
        <w:bottom w:val="none" w:sz="0" w:space="0" w:color="auto"/>
        <w:right w:val="none" w:sz="0" w:space="0" w:color="auto"/>
      </w:divBdr>
    </w:div>
    <w:div w:id="135488328">
      <w:bodyDiv w:val="1"/>
      <w:marLeft w:val="0"/>
      <w:marRight w:val="0"/>
      <w:marTop w:val="0"/>
      <w:marBottom w:val="0"/>
      <w:divBdr>
        <w:top w:val="none" w:sz="0" w:space="0" w:color="auto"/>
        <w:left w:val="none" w:sz="0" w:space="0" w:color="auto"/>
        <w:bottom w:val="none" w:sz="0" w:space="0" w:color="auto"/>
        <w:right w:val="none" w:sz="0" w:space="0" w:color="auto"/>
      </w:divBdr>
    </w:div>
    <w:div w:id="222562588">
      <w:bodyDiv w:val="1"/>
      <w:marLeft w:val="0"/>
      <w:marRight w:val="0"/>
      <w:marTop w:val="0"/>
      <w:marBottom w:val="0"/>
      <w:divBdr>
        <w:top w:val="none" w:sz="0" w:space="0" w:color="auto"/>
        <w:left w:val="none" w:sz="0" w:space="0" w:color="auto"/>
        <w:bottom w:val="none" w:sz="0" w:space="0" w:color="auto"/>
        <w:right w:val="none" w:sz="0" w:space="0" w:color="auto"/>
      </w:divBdr>
    </w:div>
    <w:div w:id="230309558">
      <w:bodyDiv w:val="1"/>
      <w:marLeft w:val="0"/>
      <w:marRight w:val="0"/>
      <w:marTop w:val="0"/>
      <w:marBottom w:val="0"/>
      <w:divBdr>
        <w:top w:val="none" w:sz="0" w:space="0" w:color="auto"/>
        <w:left w:val="none" w:sz="0" w:space="0" w:color="auto"/>
        <w:bottom w:val="none" w:sz="0" w:space="0" w:color="auto"/>
        <w:right w:val="none" w:sz="0" w:space="0" w:color="auto"/>
      </w:divBdr>
    </w:div>
    <w:div w:id="308948295">
      <w:bodyDiv w:val="1"/>
      <w:marLeft w:val="0"/>
      <w:marRight w:val="0"/>
      <w:marTop w:val="0"/>
      <w:marBottom w:val="0"/>
      <w:divBdr>
        <w:top w:val="none" w:sz="0" w:space="0" w:color="auto"/>
        <w:left w:val="none" w:sz="0" w:space="0" w:color="auto"/>
        <w:bottom w:val="none" w:sz="0" w:space="0" w:color="auto"/>
        <w:right w:val="none" w:sz="0" w:space="0" w:color="auto"/>
      </w:divBdr>
    </w:div>
    <w:div w:id="539243399">
      <w:bodyDiv w:val="1"/>
      <w:marLeft w:val="0"/>
      <w:marRight w:val="0"/>
      <w:marTop w:val="0"/>
      <w:marBottom w:val="0"/>
      <w:divBdr>
        <w:top w:val="none" w:sz="0" w:space="0" w:color="auto"/>
        <w:left w:val="none" w:sz="0" w:space="0" w:color="auto"/>
        <w:bottom w:val="none" w:sz="0" w:space="0" w:color="auto"/>
        <w:right w:val="none" w:sz="0" w:space="0" w:color="auto"/>
      </w:divBdr>
    </w:div>
    <w:div w:id="566040719">
      <w:bodyDiv w:val="1"/>
      <w:marLeft w:val="0"/>
      <w:marRight w:val="0"/>
      <w:marTop w:val="0"/>
      <w:marBottom w:val="0"/>
      <w:divBdr>
        <w:top w:val="none" w:sz="0" w:space="0" w:color="auto"/>
        <w:left w:val="none" w:sz="0" w:space="0" w:color="auto"/>
        <w:bottom w:val="none" w:sz="0" w:space="0" w:color="auto"/>
        <w:right w:val="none" w:sz="0" w:space="0" w:color="auto"/>
      </w:divBdr>
    </w:div>
    <w:div w:id="600913988">
      <w:bodyDiv w:val="1"/>
      <w:marLeft w:val="0"/>
      <w:marRight w:val="0"/>
      <w:marTop w:val="0"/>
      <w:marBottom w:val="0"/>
      <w:divBdr>
        <w:top w:val="none" w:sz="0" w:space="0" w:color="auto"/>
        <w:left w:val="none" w:sz="0" w:space="0" w:color="auto"/>
        <w:bottom w:val="none" w:sz="0" w:space="0" w:color="auto"/>
        <w:right w:val="none" w:sz="0" w:space="0" w:color="auto"/>
      </w:divBdr>
    </w:div>
    <w:div w:id="633604545">
      <w:bodyDiv w:val="1"/>
      <w:marLeft w:val="0"/>
      <w:marRight w:val="0"/>
      <w:marTop w:val="0"/>
      <w:marBottom w:val="0"/>
      <w:divBdr>
        <w:top w:val="none" w:sz="0" w:space="0" w:color="auto"/>
        <w:left w:val="none" w:sz="0" w:space="0" w:color="auto"/>
        <w:bottom w:val="none" w:sz="0" w:space="0" w:color="auto"/>
        <w:right w:val="none" w:sz="0" w:space="0" w:color="auto"/>
      </w:divBdr>
    </w:div>
    <w:div w:id="669256201">
      <w:bodyDiv w:val="1"/>
      <w:marLeft w:val="0"/>
      <w:marRight w:val="0"/>
      <w:marTop w:val="0"/>
      <w:marBottom w:val="0"/>
      <w:divBdr>
        <w:top w:val="none" w:sz="0" w:space="0" w:color="auto"/>
        <w:left w:val="none" w:sz="0" w:space="0" w:color="auto"/>
        <w:bottom w:val="none" w:sz="0" w:space="0" w:color="auto"/>
        <w:right w:val="none" w:sz="0" w:space="0" w:color="auto"/>
      </w:divBdr>
    </w:div>
    <w:div w:id="742876122">
      <w:bodyDiv w:val="1"/>
      <w:marLeft w:val="0"/>
      <w:marRight w:val="0"/>
      <w:marTop w:val="0"/>
      <w:marBottom w:val="0"/>
      <w:divBdr>
        <w:top w:val="none" w:sz="0" w:space="0" w:color="auto"/>
        <w:left w:val="none" w:sz="0" w:space="0" w:color="auto"/>
        <w:bottom w:val="none" w:sz="0" w:space="0" w:color="auto"/>
        <w:right w:val="none" w:sz="0" w:space="0" w:color="auto"/>
      </w:divBdr>
    </w:div>
    <w:div w:id="808593979">
      <w:bodyDiv w:val="1"/>
      <w:marLeft w:val="0"/>
      <w:marRight w:val="0"/>
      <w:marTop w:val="0"/>
      <w:marBottom w:val="0"/>
      <w:divBdr>
        <w:top w:val="none" w:sz="0" w:space="0" w:color="auto"/>
        <w:left w:val="none" w:sz="0" w:space="0" w:color="auto"/>
        <w:bottom w:val="none" w:sz="0" w:space="0" w:color="auto"/>
        <w:right w:val="none" w:sz="0" w:space="0" w:color="auto"/>
      </w:divBdr>
    </w:div>
    <w:div w:id="812676244">
      <w:bodyDiv w:val="1"/>
      <w:marLeft w:val="0"/>
      <w:marRight w:val="0"/>
      <w:marTop w:val="0"/>
      <w:marBottom w:val="0"/>
      <w:divBdr>
        <w:top w:val="none" w:sz="0" w:space="0" w:color="auto"/>
        <w:left w:val="none" w:sz="0" w:space="0" w:color="auto"/>
        <w:bottom w:val="none" w:sz="0" w:space="0" w:color="auto"/>
        <w:right w:val="none" w:sz="0" w:space="0" w:color="auto"/>
      </w:divBdr>
    </w:div>
    <w:div w:id="864682684">
      <w:bodyDiv w:val="1"/>
      <w:marLeft w:val="0"/>
      <w:marRight w:val="0"/>
      <w:marTop w:val="0"/>
      <w:marBottom w:val="0"/>
      <w:divBdr>
        <w:top w:val="none" w:sz="0" w:space="0" w:color="auto"/>
        <w:left w:val="none" w:sz="0" w:space="0" w:color="auto"/>
        <w:bottom w:val="none" w:sz="0" w:space="0" w:color="auto"/>
        <w:right w:val="none" w:sz="0" w:space="0" w:color="auto"/>
      </w:divBdr>
    </w:div>
    <w:div w:id="925773077">
      <w:bodyDiv w:val="1"/>
      <w:marLeft w:val="0"/>
      <w:marRight w:val="0"/>
      <w:marTop w:val="0"/>
      <w:marBottom w:val="0"/>
      <w:divBdr>
        <w:top w:val="none" w:sz="0" w:space="0" w:color="auto"/>
        <w:left w:val="none" w:sz="0" w:space="0" w:color="auto"/>
        <w:bottom w:val="none" w:sz="0" w:space="0" w:color="auto"/>
        <w:right w:val="none" w:sz="0" w:space="0" w:color="auto"/>
      </w:divBdr>
    </w:div>
    <w:div w:id="967122538">
      <w:bodyDiv w:val="1"/>
      <w:marLeft w:val="0"/>
      <w:marRight w:val="0"/>
      <w:marTop w:val="0"/>
      <w:marBottom w:val="0"/>
      <w:divBdr>
        <w:top w:val="none" w:sz="0" w:space="0" w:color="auto"/>
        <w:left w:val="none" w:sz="0" w:space="0" w:color="auto"/>
        <w:bottom w:val="none" w:sz="0" w:space="0" w:color="auto"/>
        <w:right w:val="none" w:sz="0" w:space="0" w:color="auto"/>
      </w:divBdr>
    </w:div>
    <w:div w:id="967204754">
      <w:bodyDiv w:val="1"/>
      <w:marLeft w:val="0"/>
      <w:marRight w:val="0"/>
      <w:marTop w:val="0"/>
      <w:marBottom w:val="0"/>
      <w:divBdr>
        <w:top w:val="none" w:sz="0" w:space="0" w:color="auto"/>
        <w:left w:val="none" w:sz="0" w:space="0" w:color="auto"/>
        <w:bottom w:val="none" w:sz="0" w:space="0" w:color="auto"/>
        <w:right w:val="none" w:sz="0" w:space="0" w:color="auto"/>
      </w:divBdr>
    </w:div>
    <w:div w:id="1004743612">
      <w:bodyDiv w:val="1"/>
      <w:marLeft w:val="0"/>
      <w:marRight w:val="0"/>
      <w:marTop w:val="0"/>
      <w:marBottom w:val="0"/>
      <w:divBdr>
        <w:top w:val="none" w:sz="0" w:space="0" w:color="auto"/>
        <w:left w:val="none" w:sz="0" w:space="0" w:color="auto"/>
        <w:bottom w:val="none" w:sz="0" w:space="0" w:color="auto"/>
        <w:right w:val="none" w:sz="0" w:space="0" w:color="auto"/>
      </w:divBdr>
    </w:div>
    <w:div w:id="1061749532">
      <w:bodyDiv w:val="1"/>
      <w:marLeft w:val="0"/>
      <w:marRight w:val="0"/>
      <w:marTop w:val="0"/>
      <w:marBottom w:val="0"/>
      <w:divBdr>
        <w:top w:val="none" w:sz="0" w:space="0" w:color="auto"/>
        <w:left w:val="none" w:sz="0" w:space="0" w:color="auto"/>
        <w:bottom w:val="none" w:sz="0" w:space="0" w:color="auto"/>
        <w:right w:val="none" w:sz="0" w:space="0" w:color="auto"/>
      </w:divBdr>
    </w:div>
    <w:div w:id="1070538704">
      <w:bodyDiv w:val="1"/>
      <w:marLeft w:val="0"/>
      <w:marRight w:val="0"/>
      <w:marTop w:val="0"/>
      <w:marBottom w:val="0"/>
      <w:divBdr>
        <w:top w:val="none" w:sz="0" w:space="0" w:color="auto"/>
        <w:left w:val="none" w:sz="0" w:space="0" w:color="auto"/>
        <w:bottom w:val="none" w:sz="0" w:space="0" w:color="auto"/>
        <w:right w:val="none" w:sz="0" w:space="0" w:color="auto"/>
      </w:divBdr>
      <w:divsChild>
        <w:div w:id="748578218">
          <w:marLeft w:val="0"/>
          <w:marRight w:val="0"/>
          <w:marTop w:val="0"/>
          <w:marBottom w:val="0"/>
          <w:divBdr>
            <w:top w:val="none" w:sz="0" w:space="0" w:color="auto"/>
            <w:left w:val="none" w:sz="0" w:space="0" w:color="auto"/>
            <w:bottom w:val="none" w:sz="0" w:space="0" w:color="auto"/>
            <w:right w:val="none" w:sz="0" w:space="0" w:color="auto"/>
          </w:divBdr>
        </w:div>
      </w:divsChild>
    </w:div>
    <w:div w:id="1084031776">
      <w:bodyDiv w:val="1"/>
      <w:marLeft w:val="0"/>
      <w:marRight w:val="0"/>
      <w:marTop w:val="0"/>
      <w:marBottom w:val="0"/>
      <w:divBdr>
        <w:top w:val="none" w:sz="0" w:space="0" w:color="auto"/>
        <w:left w:val="none" w:sz="0" w:space="0" w:color="auto"/>
        <w:bottom w:val="none" w:sz="0" w:space="0" w:color="auto"/>
        <w:right w:val="none" w:sz="0" w:space="0" w:color="auto"/>
      </w:divBdr>
    </w:div>
    <w:div w:id="1187282832">
      <w:bodyDiv w:val="1"/>
      <w:marLeft w:val="0"/>
      <w:marRight w:val="0"/>
      <w:marTop w:val="0"/>
      <w:marBottom w:val="0"/>
      <w:divBdr>
        <w:top w:val="none" w:sz="0" w:space="0" w:color="auto"/>
        <w:left w:val="none" w:sz="0" w:space="0" w:color="auto"/>
        <w:bottom w:val="none" w:sz="0" w:space="0" w:color="auto"/>
        <w:right w:val="none" w:sz="0" w:space="0" w:color="auto"/>
      </w:divBdr>
    </w:div>
    <w:div w:id="1192499696">
      <w:bodyDiv w:val="1"/>
      <w:marLeft w:val="0"/>
      <w:marRight w:val="0"/>
      <w:marTop w:val="0"/>
      <w:marBottom w:val="0"/>
      <w:divBdr>
        <w:top w:val="none" w:sz="0" w:space="0" w:color="auto"/>
        <w:left w:val="none" w:sz="0" w:space="0" w:color="auto"/>
        <w:bottom w:val="none" w:sz="0" w:space="0" w:color="auto"/>
        <w:right w:val="none" w:sz="0" w:space="0" w:color="auto"/>
      </w:divBdr>
    </w:div>
    <w:div w:id="1296372314">
      <w:bodyDiv w:val="1"/>
      <w:marLeft w:val="0"/>
      <w:marRight w:val="0"/>
      <w:marTop w:val="0"/>
      <w:marBottom w:val="0"/>
      <w:divBdr>
        <w:top w:val="none" w:sz="0" w:space="0" w:color="auto"/>
        <w:left w:val="none" w:sz="0" w:space="0" w:color="auto"/>
        <w:bottom w:val="none" w:sz="0" w:space="0" w:color="auto"/>
        <w:right w:val="none" w:sz="0" w:space="0" w:color="auto"/>
      </w:divBdr>
    </w:div>
    <w:div w:id="1334725679">
      <w:bodyDiv w:val="1"/>
      <w:marLeft w:val="0"/>
      <w:marRight w:val="0"/>
      <w:marTop w:val="0"/>
      <w:marBottom w:val="0"/>
      <w:divBdr>
        <w:top w:val="none" w:sz="0" w:space="0" w:color="auto"/>
        <w:left w:val="none" w:sz="0" w:space="0" w:color="auto"/>
        <w:bottom w:val="none" w:sz="0" w:space="0" w:color="auto"/>
        <w:right w:val="none" w:sz="0" w:space="0" w:color="auto"/>
      </w:divBdr>
    </w:div>
    <w:div w:id="1340427801">
      <w:bodyDiv w:val="1"/>
      <w:marLeft w:val="0"/>
      <w:marRight w:val="0"/>
      <w:marTop w:val="0"/>
      <w:marBottom w:val="0"/>
      <w:divBdr>
        <w:top w:val="none" w:sz="0" w:space="0" w:color="auto"/>
        <w:left w:val="none" w:sz="0" w:space="0" w:color="auto"/>
        <w:bottom w:val="none" w:sz="0" w:space="0" w:color="auto"/>
        <w:right w:val="none" w:sz="0" w:space="0" w:color="auto"/>
      </w:divBdr>
    </w:div>
    <w:div w:id="1382903328">
      <w:bodyDiv w:val="1"/>
      <w:marLeft w:val="0"/>
      <w:marRight w:val="0"/>
      <w:marTop w:val="0"/>
      <w:marBottom w:val="0"/>
      <w:divBdr>
        <w:top w:val="none" w:sz="0" w:space="0" w:color="auto"/>
        <w:left w:val="none" w:sz="0" w:space="0" w:color="auto"/>
        <w:bottom w:val="none" w:sz="0" w:space="0" w:color="auto"/>
        <w:right w:val="none" w:sz="0" w:space="0" w:color="auto"/>
      </w:divBdr>
    </w:div>
    <w:div w:id="1505625947">
      <w:bodyDiv w:val="1"/>
      <w:marLeft w:val="0"/>
      <w:marRight w:val="0"/>
      <w:marTop w:val="0"/>
      <w:marBottom w:val="0"/>
      <w:divBdr>
        <w:top w:val="none" w:sz="0" w:space="0" w:color="auto"/>
        <w:left w:val="none" w:sz="0" w:space="0" w:color="auto"/>
        <w:bottom w:val="none" w:sz="0" w:space="0" w:color="auto"/>
        <w:right w:val="none" w:sz="0" w:space="0" w:color="auto"/>
      </w:divBdr>
    </w:div>
    <w:div w:id="1752314986">
      <w:bodyDiv w:val="1"/>
      <w:marLeft w:val="0"/>
      <w:marRight w:val="0"/>
      <w:marTop w:val="0"/>
      <w:marBottom w:val="0"/>
      <w:divBdr>
        <w:top w:val="none" w:sz="0" w:space="0" w:color="auto"/>
        <w:left w:val="none" w:sz="0" w:space="0" w:color="auto"/>
        <w:bottom w:val="none" w:sz="0" w:space="0" w:color="auto"/>
        <w:right w:val="none" w:sz="0" w:space="0" w:color="auto"/>
      </w:divBdr>
    </w:div>
    <w:div w:id="1873150588">
      <w:bodyDiv w:val="1"/>
      <w:marLeft w:val="0"/>
      <w:marRight w:val="0"/>
      <w:marTop w:val="0"/>
      <w:marBottom w:val="0"/>
      <w:divBdr>
        <w:top w:val="none" w:sz="0" w:space="0" w:color="auto"/>
        <w:left w:val="none" w:sz="0" w:space="0" w:color="auto"/>
        <w:bottom w:val="none" w:sz="0" w:space="0" w:color="auto"/>
        <w:right w:val="none" w:sz="0" w:space="0" w:color="auto"/>
      </w:divBdr>
    </w:div>
    <w:div w:id="1915896724">
      <w:bodyDiv w:val="1"/>
      <w:marLeft w:val="0"/>
      <w:marRight w:val="0"/>
      <w:marTop w:val="0"/>
      <w:marBottom w:val="0"/>
      <w:divBdr>
        <w:top w:val="none" w:sz="0" w:space="0" w:color="auto"/>
        <w:left w:val="none" w:sz="0" w:space="0" w:color="auto"/>
        <w:bottom w:val="none" w:sz="0" w:space="0" w:color="auto"/>
        <w:right w:val="none" w:sz="0" w:space="0" w:color="auto"/>
      </w:divBdr>
    </w:div>
    <w:div w:id="1929001209">
      <w:bodyDiv w:val="1"/>
      <w:marLeft w:val="0"/>
      <w:marRight w:val="0"/>
      <w:marTop w:val="0"/>
      <w:marBottom w:val="0"/>
      <w:divBdr>
        <w:top w:val="none" w:sz="0" w:space="0" w:color="auto"/>
        <w:left w:val="none" w:sz="0" w:space="0" w:color="auto"/>
        <w:bottom w:val="none" w:sz="0" w:space="0" w:color="auto"/>
        <w:right w:val="none" w:sz="0" w:space="0" w:color="auto"/>
      </w:divBdr>
    </w:div>
    <w:div w:id="1956055581">
      <w:bodyDiv w:val="1"/>
      <w:marLeft w:val="0"/>
      <w:marRight w:val="0"/>
      <w:marTop w:val="0"/>
      <w:marBottom w:val="0"/>
      <w:divBdr>
        <w:top w:val="none" w:sz="0" w:space="0" w:color="auto"/>
        <w:left w:val="none" w:sz="0" w:space="0" w:color="auto"/>
        <w:bottom w:val="none" w:sz="0" w:space="0" w:color="auto"/>
        <w:right w:val="none" w:sz="0" w:space="0" w:color="auto"/>
      </w:divBdr>
    </w:div>
    <w:div w:id="1980525704">
      <w:bodyDiv w:val="1"/>
      <w:marLeft w:val="0"/>
      <w:marRight w:val="0"/>
      <w:marTop w:val="0"/>
      <w:marBottom w:val="0"/>
      <w:divBdr>
        <w:top w:val="none" w:sz="0" w:space="0" w:color="auto"/>
        <w:left w:val="none" w:sz="0" w:space="0" w:color="auto"/>
        <w:bottom w:val="none" w:sz="0" w:space="0" w:color="auto"/>
        <w:right w:val="none" w:sz="0" w:space="0" w:color="auto"/>
      </w:divBdr>
    </w:div>
    <w:div w:id="1982540068">
      <w:bodyDiv w:val="1"/>
      <w:marLeft w:val="0"/>
      <w:marRight w:val="0"/>
      <w:marTop w:val="0"/>
      <w:marBottom w:val="0"/>
      <w:divBdr>
        <w:top w:val="none" w:sz="0" w:space="0" w:color="auto"/>
        <w:left w:val="none" w:sz="0" w:space="0" w:color="auto"/>
        <w:bottom w:val="none" w:sz="0" w:space="0" w:color="auto"/>
        <w:right w:val="none" w:sz="0" w:space="0" w:color="auto"/>
      </w:divBdr>
    </w:div>
    <w:div w:id="2040470228">
      <w:bodyDiv w:val="1"/>
      <w:marLeft w:val="0"/>
      <w:marRight w:val="0"/>
      <w:marTop w:val="0"/>
      <w:marBottom w:val="0"/>
      <w:divBdr>
        <w:top w:val="none" w:sz="0" w:space="0" w:color="auto"/>
        <w:left w:val="none" w:sz="0" w:space="0" w:color="auto"/>
        <w:bottom w:val="none" w:sz="0" w:space="0" w:color="auto"/>
        <w:right w:val="none" w:sz="0" w:space="0" w:color="auto"/>
      </w:divBdr>
    </w:div>
    <w:div w:id="206204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guee.es/ingles-espanol/traduccion/a+fortiori.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undocs.org/en/A/72/10" TargetMode="External"/><Relationship Id="rId13" Type="http://schemas.openxmlformats.org/officeDocument/2006/relationships/hyperlink" Target="http://legal.un.org/ilc/documentation/english/reports/a_51_10.pdf" TargetMode="External"/><Relationship Id="rId18" Type="http://schemas.openxmlformats.org/officeDocument/2006/relationships/hyperlink" Target="https://undocs.org/en/A/72/10" TargetMode="External"/><Relationship Id="rId26" Type="http://schemas.openxmlformats.org/officeDocument/2006/relationships/hyperlink" Target="https://undocs.org/en/A/CN.4/648" TargetMode="External"/><Relationship Id="rId3" Type="http://schemas.openxmlformats.org/officeDocument/2006/relationships/hyperlink" Target="https://www.oas.org/dil/treaties_b-32_%20american_convention_on_human_rights_sign.htm" TargetMode="External"/><Relationship Id="rId21" Type="http://schemas.openxmlformats.org/officeDocument/2006/relationships/hyperlink" Target="https://www.ohchr.org/Documents/Publications/Amnesties_en.pdf" TargetMode="External"/><Relationship Id="rId7" Type="http://schemas.openxmlformats.org/officeDocument/2006/relationships/hyperlink" Target="https://undocs.org/en/A/CN.4/L.532" TargetMode="External"/><Relationship Id="rId12" Type="http://schemas.openxmlformats.org/officeDocument/2006/relationships/hyperlink" Target="https://undocs.org/en/A/CN.4/680" TargetMode="External"/><Relationship Id="rId17" Type="http://schemas.openxmlformats.org/officeDocument/2006/relationships/hyperlink" Target="https://undocs.org/en/%20a/res/2391(XXIII)" TargetMode="External"/><Relationship Id="rId25" Type="http://schemas.openxmlformats.org/officeDocument/2006/relationships/hyperlink" Target="https://undocs.org/A/CN.4/L.844" TargetMode="External"/><Relationship Id="rId33" Type="http://schemas.openxmlformats.org/officeDocument/2006/relationships/hyperlink" Target="https://undocs.org/en/CCPR/C/ESP/CO/5" TargetMode="External"/><Relationship Id="rId2" Type="http://schemas.openxmlformats.org/officeDocument/2006/relationships/hyperlink" Target="http://www.corteidh.or.cr/docs/asuntos/herzog_07_04_17.pdf" TargetMode="External"/><Relationship Id="rId16" Type="http://schemas.openxmlformats.org/officeDocument/2006/relationships/hyperlink" Target="https://undocs.org/en/A/RES/2840(XXVI)" TargetMode="External"/><Relationship Id="rId20" Type="http://schemas.openxmlformats.org/officeDocument/2006/relationships/hyperlink" Target="https://undocs.org/A/HRC/5/7" TargetMode="External"/><Relationship Id="rId29" Type="http://schemas.openxmlformats.org/officeDocument/2006/relationships/hyperlink" Target="https://undocs.org/en/A/CN.4/680" TargetMode="External"/><Relationship Id="rId1" Type="http://schemas.openxmlformats.org/officeDocument/2006/relationships/hyperlink" Target="http://www.corteidh.or.cr/docs/asuntos/vladimir_herzog_fv_17es%20.pdf" TargetMode="External"/><Relationship Id="rId6" Type="http://schemas.openxmlformats.org/officeDocument/2006/relationships/hyperlink" Target="http://undocs.org/E/CN.4/906" TargetMode="External"/><Relationship Id="rId11" Type="http://schemas.openxmlformats.org/officeDocument/2006/relationships/hyperlink" Target="https://undocs.org/A/HRC/34/54" TargetMode="External"/><Relationship Id="rId24" Type="http://schemas.openxmlformats.org/officeDocument/2006/relationships/hyperlink" Target="http://www.idi-iil.org/app/uploads/2017/06/%202005_kra_03_en.pdf" TargetMode="External"/><Relationship Id="rId32" Type="http://schemas.openxmlformats.org/officeDocument/2006/relationships/hyperlink" Target="http://www2.camara.leg.br/%20legin/fed/decret/%201824-1899/decreto-847-11-outubro-1890-503086-publicacaooriginal-1-pe.html" TargetMode="External"/><Relationship Id="rId5" Type="http://schemas.openxmlformats.org/officeDocument/2006/relationships/hyperlink" Target="https://undocs.org/en/A/RES/2338(XXII)" TargetMode="External"/><Relationship Id="rId15" Type="http://schemas.openxmlformats.org/officeDocument/2006/relationships/hyperlink" Target="https://undocs.org/en/A/RES/2712(XXV)" TargetMode="External"/><Relationship Id="rId23" Type="http://schemas.openxmlformats.org/officeDocument/2006/relationships/hyperlink" Target="https://undocs.org/en/A/56/677" TargetMode="External"/><Relationship Id="rId28" Type="http://schemas.openxmlformats.org/officeDocument/2006/relationships/hyperlink" Target="https://undocs.org/A/70/125" TargetMode="External"/><Relationship Id="rId10" Type="http://schemas.openxmlformats.org/officeDocument/2006/relationships/hyperlink" Target="http://legal.un.org/ilc/documentation/english/a_cn4_l682.pdf" TargetMode="External"/><Relationship Id="rId19" Type="http://schemas.openxmlformats.org/officeDocument/2006/relationships/hyperlink" Target="https://undocs.org/S/2004/616" TargetMode="External"/><Relationship Id="rId31" Type="http://schemas.openxmlformats.org/officeDocument/2006/relationships/hyperlink" Target="http://www.planalto.gov.br/ccivil_03/leis/lim/lim-16-12-1830.htm" TargetMode="External"/><Relationship Id="rId4" Type="http://schemas.openxmlformats.org/officeDocument/2006/relationships/hyperlink" Target="https://undocs.org/A/RES/2391(XXIII)" TargetMode="External"/><Relationship Id="rId9" Type="http://schemas.openxmlformats.org/officeDocument/2006/relationships/hyperlink" Target="http://legal.un.org/ilc/%20documentation/english/reports/a_56_10.pdf" TargetMode="External"/><Relationship Id="rId14" Type="http://schemas.openxmlformats.org/officeDocument/2006/relationships/hyperlink" Target="http://legal.un.org/ilc/documentation/english/reports/a_cn4_34.pdf" TargetMode="External"/><Relationship Id="rId22" Type="http://schemas.openxmlformats.org/officeDocument/2006/relationships/hyperlink" Target="https://undocs.org/S/%20RES/1757(2007)" TargetMode="External"/><Relationship Id="rId27" Type="http://schemas.openxmlformats.org/officeDocument/2006/relationships/hyperlink" Target="https://undocs.org/en/A/66/93" TargetMode="External"/><Relationship Id="rId30" Type="http://schemas.openxmlformats.org/officeDocument/2006/relationships/hyperlink" Target="https://undocs.org/A/C.6/70/SR.1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32F50-CEF1-4A9A-8FBA-EBAF6D3E8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104</Pages>
  <Words>44002</Words>
  <Characters>242015</Characters>
  <Application>Microsoft Office Word</Application>
  <DocSecurity>0</DocSecurity>
  <Lines>2016</Lines>
  <Paragraphs>570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Francella Hernandez</cp:lastModifiedBy>
  <cp:revision>2</cp:revision>
  <cp:lastPrinted>2018-04-26T21:10:00Z</cp:lastPrinted>
  <dcterms:created xsi:type="dcterms:W3CDTF">2020-06-04T23:07:00Z</dcterms:created>
  <dcterms:modified xsi:type="dcterms:W3CDTF">2020-06-04T23:07:00Z</dcterms:modified>
</cp:coreProperties>
</file>