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F0E02" w14:textId="77777777" w:rsidR="003E5472" w:rsidRPr="003633D2" w:rsidRDefault="003E5472" w:rsidP="00EE5E64">
      <w:pPr>
        <w:pStyle w:val="CommentSubject"/>
        <w:widowControl w:val="0"/>
        <w:tabs>
          <w:tab w:val="left" w:pos="567"/>
        </w:tabs>
        <w:adjustRightInd w:val="0"/>
        <w:textAlignment w:val="baseline"/>
        <w:rPr>
          <w:rFonts w:cs="Verdana Bold"/>
          <w:caps/>
          <w:lang w:val="es-CR"/>
        </w:rPr>
      </w:pPr>
    </w:p>
    <w:p w14:paraId="45D964CD"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3FFCF2E6"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65FF4701"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0D53EF52" w14:textId="77777777" w:rsidR="003E5472" w:rsidRDefault="003E5472" w:rsidP="00EE5E64">
      <w:pPr>
        <w:widowControl w:val="0"/>
        <w:tabs>
          <w:tab w:val="left" w:pos="567"/>
        </w:tabs>
        <w:adjustRightInd w:val="0"/>
        <w:textAlignment w:val="baseline"/>
        <w:rPr>
          <w:rFonts w:cs="Verdana Bold"/>
          <w:b/>
          <w:bCs/>
          <w:caps/>
          <w:szCs w:val="20"/>
          <w:lang w:val="es-CR"/>
        </w:rPr>
      </w:pPr>
    </w:p>
    <w:p w14:paraId="4BB06350" w14:textId="77777777" w:rsidR="0063495B" w:rsidRPr="003633D2" w:rsidRDefault="0063495B" w:rsidP="00EE5E64">
      <w:pPr>
        <w:widowControl w:val="0"/>
        <w:tabs>
          <w:tab w:val="left" w:pos="567"/>
        </w:tabs>
        <w:adjustRightInd w:val="0"/>
        <w:textAlignment w:val="baseline"/>
        <w:rPr>
          <w:rFonts w:cs="Verdana Bold"/>
          <w:b/>
          <w:bCs/>
          <w:caps/>
          <w:szCs w:val="20"/>
          <w:lang w:val="es-CR"/>
        </w:rPr>
      </w:pPr>
    </w:p>
    <w:p w14:paraId="6810DD3A"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6A03DC00"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311BD55A"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13D4A003"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5F0B3D0C"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4D31EAC6" w14:textId="77777777" w:rsidR="003E5472" w:rsidRPr="003633D2" w:rsidRDefault="003E5472" w:rsidP="00EE5E64">
      <w:pPr>
        <w:widowControl w:val="0"/>
        <w:tabs>
          <w:tab w:val="left" w:pos="567"/>
        </w:tabs>
        <w:adjustRightInd w:val="0"/>
        <w:textAlignment w:val="baseline"/>
        <w:rPr>
          <w:rFonts w:cs="Verdana Bold"/>
          <w:b/>
          <w:bCs/>
          <w:caps/>
          <w:szCs w:val="20"/>
          <w:lang w:val="es-CR"/>
        </w:rPr>
      </w:pPr>
    </w:p>
    <w:p w14:paraId="0F08799C" w14:textId="77777777" w:rsidR="003E5472" w:rsidRPr="003633D2" w:rsidRDefault="003E5472" w:rsidP="00EE5E64">
      <w:pPr>
        <w:widowControl w:val="0"/>
        <w:tabs>
          <w:tab w:val="left" w:pos="567"/>
        </w:tabs>
        <w:adjustRightInd w:val="0"/>
        <w:textAlignment w:val="baseline"/>
        <w:rPr>
          <w:b/>
          <w:szCs w:val="20"/>
          <w:lang w:val="es-CR" w:eastAsia="es-CR"/>
        </w:rPr>
      </w:pPr>
    </w:p>
    <w:p w14:paraId="17061E76" w14:textId="77777777" w:rsidR="003132E7" w:rsidRDefault="003132E7" w:rsidP="003132E7">
      <w:pPr>
        <w:pStyle w:val="Title"/>
        <w:rPr>
          <w:spacing w:val="-4"/>
          <w:lang w:val="es-ES_tradnl"/>
        </w:rPr>
      </w:pPr>
      <w:bookmarkStart w:id="0" w:name="_Toc524880303"/>
      <w:bookmarkStart w:id="1" w:name="_Toc526152682"/>
      <w:r>
        <w:rPr>
          <w:spacing w:val="-4"/>
          <w:lang w:val="es-ES_tradnl"/>
        </w:rPr>
        <w:t>CORTE INTERAMERICANA DE DERECHOS HUMANOS</w:t>
      </w:r>
      <w:r>
        <w:rPr>
          <w:rStyle w:val="FootnoteReference"/>
          <w:spacing w:val="-4"/>
          <w:lang w:val="es-ES_tradnl"/>
        </w:rPr>
        <w:footnoteReference w:customMarkFollows="1" w:id="1"/>
        <w:t>*</w:t>
      </w:r>
      <w:bookmarkEnd w:id="0"/>
      <w:bookmarkEnd w:id="1"/>
    </w:p>
    <w:p w14:paraId="434C68CA" w14:textId="77777777" w:rsidR="003E5472" w:rsidRPr="0004233D" w:rsidRDefault="003E5472" w:rsidP="0004233D">
      <w:pPr>
        <w:pStyle w:val="CommentSubject"/>
        <w:tabs>
          <w:tab w:val="left" w:pos="567"/>
        </w:tabs>
        <w:rPr>
          <w:lang w:val="es-CR"/>
        </w:rPr>
      </w:pPr>
    </w:p>
    <w:p w14:paraId="655CED37" w14:textId="77777777" w:rsidR="003E5472" w:rsidRPr="003633D2" w:rsidRDefault="003E5472" w:rsidP="00EE5E64">
      <w:pPr>
        <w:tabs>
          <w:tab w:val="left" w:pos="567"/>
        </w:tabs>
        <w:jc w:val="center"/>
        <w:rPr>
          <w:b/>
          <w:bCs/>
          <w:szCs w:val="20"/>
          <w:lang w:val="es-CR"/>
        </w:rPr>
      </w:pPr>
      <w:r w:rsidRPr="003633D2">
        <w:rPr>
          <w:b/>
          <w:bCs/>
          <w:szCs w:val="20"/>
          <w:lang w:val="es-CR"/>
        </w:rPr>
        <w:t xml:space="preserve">CASO </w:t>
      </w:r>
      <w:r w:rsidR="002E2131" w:rsidRPr="003633D2">
        <w:rPr>
          <w:b/>
          <w:bCs/>
          <w:szCs w:val="20"/>
          <w:lang w:val="es-CR"/>
        </w:rPr>
        <w:t>MUN</w:t>
      </w:r>
      <w:r w:rsidR="002E2131" w:rsidRPr="003633D2">
        <w:rPr>
          <w:rFonts w:cs="Verdana"/>
          <w:b/>
          <w:szCs w:val="20"/>
          <w:lang w:val="es-CR" w:eastAsia="es-CR"/>
        </w:rPr>
        <w:t>Á</w:t>
      </w:r>
      <w:r w:rsidR="002E2131" w:rsidRPr="003633D2">
        <w:rPr>
          <w:b/>
          <w:bCs/>
          <w:szCs w:val="20"/>
          <w:lang w:val="es-CR"/>
        </w:rPr>
        <w:t>RRIZ ESCOBAR</w:t>
      </w:r>
      <w:r w:rsidRPr="003633D2">
        <w:rPr>
          <w:b/>
          <w:bCs/>
          <w:szCs w:val="20"/>
          <w:lang w:val="es-CR"/>
        </w:rPr>
        <w:t xml:space="preserve"> </w:t>
      </w:r>
      <w:r w:rsidR="002E2131" w:rsidRPr="003633D2">
        <w:rPr>
          <w:b/>
          <w:bCs/>
          <w:szCs w:val="20"/>
          <w:lang w:val="es-CR"/>
        </w:rPr>
        <w:t xml:space="preserve">Y </w:t>
      </w:r>
      <w:r w:rsidRPr="003633D2">
        <w:rPr>
          <w:b/>
          <w:bCs/>
          <w:szCs w:val="20"/>
          <w:lang w:val="es-CR"/>
        </w:rPr>
        <w:t xml:space="preserve">OTROS VS. </w:t>
      </w:r>
      <w:r w:rsidR="002E2131" w:rsidRPr="003633D2">
        <w:rPr>
          <w:b/>
          <w:bCs/>
          <w:szCs w:val="20"/>
          <w:lang w:val="es-CR"/>
        </w:rPr>
        <w:t>PERÚ</w:t>
      </w:r>
    </w:p>
    <w:p w14:paraId="39053D09" w14:textId="77777777" w:rsidR="003E5472" w:rsidRPr="003633D2" w:rsidRDefault="003E5472" w:rsidP="00EE5E64">
      <w:pPr>
        <w:tabs>
          <w:tab w:val="left" w:pos="567"/>
        </w:tabs>
        <w:jc w:val="center"/>
        <w:rPr>
          <w:b/>
          <w:szCs w:val="20"/>
          <w:lang w:val="es-CR"/>
        </w:rPr>
      </w:pPr>
    </w:p>
    <w:p w14:paraId="190344E2" w14:textId="15722DAE" w:rsidR="003E5472" w:rsidRPr="003633D2" w:rsidRDefault="003E5472" w:rsidP="00EE5E64">
      <w:pPr>
        <w:tabs>
          <w:tab w:val="left" w:pos="567"/>
        </w:tabs>
        <w:jc w:val="center"/>
        <w:rPr>
          <w:b/>
          <w:szCs w:val="20"/>
          <w:lang w:val="es-CR"/>
        </w:rPr>
      </w:pPr>
      <w:bookmarkStart w:id="2" w:name="_Toc424833992"/>
      <w:bookmarkStart w:id="3" w:name="_Toc424834593"/>
      <w:bookmarkStart w:id="4" w:name="_Toc424834676"/>
      <w:bookmarkStart w:id="5" w:name="_Toc424834743"/>
      <w:r w:rsidRPr="003633D2">
        <w:rPr>
          <w:b/>
          <w:szCs w:val="20"/>
          <w:lang w:val="es-CR"/>
        </w:rPr>
        <w:t xml:space="preserve">SENTENCIA DE </w:t>
      </w:r>
      <w:r w:rsidR="003132E7">
        <w:rPr>
          <w:b/>
          <w:szCs w:val="20"/>
          <w:lang w:val="es-CR"/>
        </w:rPr>
        <w:t>20</w:t>
      </w:r>
      <w:r w:rsidRPr="003633D2">
        <w:rPr>
          <w:b/>
          <w:szCs w:val="20"/>
          <w:lang w:val="es-CR"/>
        </w:rPr>
        <w:t xml:space="preserve"> DE </w:t>
      </w:r>
      <w:r w:rsidR="00BF670E">
        <w:rPr>
          <w:b/>
          <w:szCs w:val="20"/>
          <w:lang w:val="es-CR"/>
        </w:rPr>
        <w:t>AGOSTO</w:t>
      </w:r>
      <w:r w:rsidRPr="003633D2">
        <w:rPr>
          <w:b/>
          <w:szCs w:val="20"/>
          <w:lang w:val="es-CR"/>
        </w:rPr>
        <w:t xml:space="preserve"> DE </w:t>
      </w:r>
      <w:bookmarkEnd w:id="2"/>
      <w:bookmarkEnd w:id="3"/>
      <w:bookmarkEnd w:id="4"/>
      <w:bookmarkEnd w:id="5"/>
      <w:r w:rsidR="00546BDF">
        <w:rPr>
          <w:b/>
          <w:szCs w:val="20"/>
          <w:lang w:val="es-CR"/>
        </w:rPr>
        <w:t>2018</w:t>
      </w:r>
    </w:p>
    <w:p w14:paraId="2D7657F0" w14:textId="77777777" w:rsidR="003E5472" w:rsidRPr="003633D2" w:rsidRDefault="003E5472" w:rsidP="00EE5E64">
      <w:pPr>
        <w:tabs>
          <w:tab w:val="left" w:pos="567"/>
        </w:tabs>
        <w:rPr>
          <w:szCs w:val="20"/>
          <w:lang w:val="es-CR"/>
        </w:rPr>
      </w:pPr>
    </w:p>
    <w:p w14:paraId="301850C1" w14:textId="2EB4083D" w:rsidR="003E5472" w:rsidRPr="003633D2" w:rsidRDefault="003E5472" w:rsidP="00EE5E64">
      <w:pPr>
        <w:tabs>
          <w:tab w:val="left" w:pos="567"/>
        </w:tabs>
        <w:jc w:val="center"/>
        <w:rPr>
          <w:rFonts w:cs="Verdana"/>
          <w:b/>
          <w:bCs/>
          <w:caps/>
          <w:snapToGrid w:val="0"/>
          <w:szCs w:val="20"/>
          <w:lang w:val="es-CR" w:eastAsia="es-ES"/>
        </w:rPr>
      </w:pPr>
      <w:bookmarkStart w:id="6" w:name="_Toc424833993"/>
      <w:bookmarkStart w:id="7" w:name="_Toc424834594"/>
      <w:bookmarkStart w:id="8" w:name="_Toc424834677"/>
      <w:bookmarkStart w:id="9" w:name="_Toc424834744"/>
      <w:r w:rsidRPr="003633D2">
        <w:rPr>
          <w:b/>
          <w:szCs w:val="20"/>
          <w:lang w:val="es-CR"/>
        </w:rPr>
        <w:t>(</w:t>
      </w:r>
      <w:r w:rsidR="003633D2" w:rsidRPr="003633D2">
        <w:rPr>
          <w:b/>
          <w:i/>
          <w:szCs w:val="20"/>
          <w:lang w:val="es-CR"/>
        </w:rPr>
        <w:t xml:space="preserve">Excepción </w:t>
      </w:r>
      <w:r w:rsidRPr="003633D2">
        <w:rPr>
          <w:b/>
          <w:i/>
          <w:szCs w:val="20"/>
          <w:lang w:val="es-CR"/>
        </w:rPr>
        <w:t>Preliminar, Fondo, Reparaciones y Costas</w:t>
      </w:r>
      <w:r w:rsidRPr="003633D2">
        <w:rPr>
          <w:b/>
          <w:szCs w:val="20"/>
          <w:lang w:val="es-CR"/>
        </w:rPr>
        <w:t>)</w:t>
      </w:r>
      <w:bookmarkEnd w:id="6"/>
      <w:bookmarkEnd w:id="7"/>
      <w:bookmarkEnd w:id="8"/>
      <w:bookmarkEnd w:id="9"/>
    </w:p>
    <w:p w14:paraId="2FDEC94A"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10DCF92C" w14:textId="77777777" w:rsidR="003E5472" w:rsidRPr="003633D2" w:rsidRDefault="003E5472" w:rsidP="00EE5E64">
      <w:pPr>
        <w:widowControl w:val="0"/>
        <w:tabs>
          <w:tab w:val="left" w:pos="567"/>
          <w:tab w:val="left" w:pos="6932"/>
        </w:tabs>
        <w:adjustRightInd w:val="0"/>
        <w:textAlignment w:val="baseline"/>
        <w:rPr>
          <w:rFonts w:cs="Verdana"/>
          <w:b/>
          <w:bCs/>
          <w:color w:val="00B050"/>
          <w:szCs w:val="20"/>
          <w:lang w:val="es-CR" w:eastAsia="es-CR"/>
        </w:rPr>
      </w:pPr>
      <w:r w:rsidRPr="003633D2">
        <w:rPr>
          <w:rFonts w:cs="Verdana"/>
          <w:b/>
          <w:bCs/>
          <w:color w:val="00B050"/>
          <w:szCs w:val="20"/>
          <w:lang w:val="es-CR" w:eastAsia="es-CR"/>
        </w:rPr>
        <w:tab/>
      </w:r>
    </w:p>
    <w:p w14:paraId="084FC5EF"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77691718" w14:textId="77777777" w:rsidR="003E5472" w:rsidRPr="003633D2" w:rsidRDefault="003E5472" w:rsidP="00EE5E64">
      <w:pPr>
        <w:widowControl w:val="0"/>
        <w:tabs>
          <w:tab w:val="left" w:pos="567"/>
          <w:tab w:val="left" w:pos="720"/>
        </w:tabs>
        <w:adjustRightInd w:val="0"/>
        <w:textAlignment w:val="baseline"/>
        <w:rPr>
          <w:rFonts w:cs="Verdana"/>
          <w:i/>
          <w:iCs/>
          <w:szCs w:val="20"/>
          <w:lang w:val="es-CR" w:eastAsia="es-CR"/>
        </w:rPr>
      </w:pPr>
      <w:r w:rsidRPr="003633D2">
        <w:rPr>
          <w:rFonts w:cs="Verdana"/>
          <w:szCs w:val="20"/>
          <w:lang w:val="es-CR" w:eastAsia="es-CR"/>
        </w:rPr>
        <w:t>En el caso</w:t>
      </w:r>
      <w:r w:rsidRPr="003633D2">
        <w:rPr>
          <w:rFonts w:cs="Verdana"/>
          <w:i/>
          <w:iCs/>
          <w:szCs w:val="20"/>
          <w:lang w:val="es-CR" w:eastAsia="es-CR"/>
        </w:rPr>
        <w:t xml:space="preserve"> </w:t>
      </w:r>
      <w:proofErr w:type="spellStart"/>
      <w:r w:rsidR="002E2131" w:rsidRPr="003633D2">
        <w:rPr>
          <w:rFonts w:cs="Verdana"/>
          <w:i/>
          <w:iCs/>
          <w:szCs w:val="20"/>
          <w:lang w:val="es-CR" w:eastAsia="es-CR"/>
        </w:rPr>
        <w:t>Mun</w:t>
      </w:r>
      <w:r w:rsidR="002E2131" w:rsidRPr="00402DCB">
        <w:rPr>
          <w:rFonts w:cs="Verdana"/>
          <w:i/>
          <w:szCs w:val="20"/>
          <w:lang w:val="es-CR" w:eastAsia="es-CR"/>
        </w:rPr>
        <w:t>á</w:t>
      </w:r>
      <w:r w:rsidR="002E2131" w:rsidRPr="003633D2">
        <w:rPr>
          <w:rFonts w:cs="Verdana"/>
          <w:i/>
          <w:iCs/>
          <w:szCs w:val="20"/>
          <w:lang w:val="es-CR" w:eastAsia="es-CR"/>
        </w:rPr>
        <w:t>rriz</w:t>
      </w:r>
      <w:proofErr w:type="spellEnd"/>
      <w:r w:rsidR="002E2131" w:rsidRPr="003633D2">
        <w:rPr>
          <w:rFonts w:cs="Verdana"/>
          <w:i/>
          <w:iCs/>
          <w:szCs w:val="20"/>
          <w:lang w:val="es-CR" w:eastAsia="es-CR"/>
        </w:rPr>
        <w:t xml:space="preserve"> Escobar</w:t>
      </w:r>
      <w:r w:rsidRPr="003633D2">
        <w:rPr>
          <w:rFonts w:cs="Verdana"/>
          <w:i/>
          <w:iCs/>
          <w:szCs w:val="20"/>
          <w:lang w:val="es-CR" w:eastAsia="es-CR"/>
        </w:rPr>
        <w:t xml:space="preserve"> y otros Vs. </w:t>
      </w:r>
      <w:r w:rsidR="002E2131" w:rsidRPr="003633D2">
        <w:rPr>
          <w:rFonts w:cs="Verdana"/>
          <w:i/>
          <w:iCs/>
          <w:szCs w:val="20"/>
          <w:lang w:val="es-CR" w:eastAsia="es-CR"/>
        </w:rPr>
        <w:t>Perú</w:t>
      </w:r>
      <w:r w:rsidRPr="003633D2">
        <w:rPr>
          <w:rFonts w:cs="Verdana"/>
          <w:i/>
          <w:iCs/>
          <w:szCs w:val="20"/>
          <w:lang w:val="es-CR" w:eastAsia="es-CR"/>
        </w:rPr>
        <w:t xml:space="preserve">, </w:t>
      </w:r>
    </w:p>
    <w:p w14:paraId="15A7F98B"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681D0CDB"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roofErr w:type="gramStart"/>
      <w:r w:rsidRPr="003633D2">
        <w:rPr>
          <w:rFonts w:cs="Verdana"/>
          <w:szCs w:val="20"/>
          <w:lang w:val="es-CR" w:eastAsia="es-CR"/>
        </w:rPr>
        <w:t>la</w:t>
      </w:r>
      <w:proofErr w:type="gramEnd"/>
      <w:r w:rsidRPr="003633D2">
        <w:rPr>
          <w:rFonts w:cs="Verdana"/>
          <w:szCs w:val="20"/>
          <w:lang w:val="es-CR" w:eastAsia="es-CR"/>
        </w:rPr>
        <w:t xml:space="preserve"> Corte Interamericana de Derechos Humanos (en adelante “la Corte Interamericana”, “la Corte” o “este Tribunal”), integrada por los siguientes jueces:</w:t>
      </w:r>
    </w:p>
    <w:p w14:paraId="3D8312B6"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6871B232" w14:textId="77777777" w:rsidR="003E5472" w:rsidRPr="003633D2" w:rsidRDefault="00F544C5" w:rsidP="00EE5E64">
      <w:pPr>
        <w:pStyle w:val="citaindirecta"/>
        <w:tabs>
          <w:tab w:val="left" w:pos="567"/>
          <w:tab w:val="left" w:pos="851"/>
        </w:tabs>
        <w:ind w:left="0" w:right="-174"/>
        <w:rPr>
          <w:lang w:val="pt-BR"/>
        </w:rPr>
      </w:pPr>
      <w:r w:rsidRPr="003633D2">
        <w:rPr>
          <w:lang w:val="pt-BR"/>
        </w:rPr>
        <w:t>Eduardo Ferrer Mac-Gregor Poisot</w:t>
      </w:r>
      <w:r w:rsidR="003E5472" w:rsidRPr="003633D2">
        <w:rPr>
          <w:lang w:val="pt-BR"/>
        </w:rPr>
        <w:t>, Presidente;</w:t>
      </w:r>
    </w:p>
    <w:p w14:paraId="28E66BC4" w14:textId="77777777" w:rsidR="003E5472" w:rsidRPr="003633D2" w:rsidRDefault="003E5472" w:rsidP="00EE5E64">
      <w:pPr>
        <w:pStyle w:val="citaindirecta"/>
        <w:tabs>
          <w:tab w:val="left" w:pos="567"/>
          <w:tab w:val="left" w:pos="851"/>
        </w:tabs>
        <w:ind w:left="0" w:right="-174"/>
        <w:rPr>
          <w:lang w:val="es-CR"/>
        </w:rPr>
      </w:pPr>
      <w:r w:rsidRPr="003633D2">
        <w:rPr>
          <w:lang w:val="es-CR"/>
        </w:rPr>
        <w:t>Humberto Antonio Sierra Porto, Juez;</w:t>
      </w:r>
    </w:p>
    <w:p w14:paraId="2AC10D2E" w14:textId="77777777" w:rsidR="003E5472" w:rsidRPr="003633D2" w:rsidRDefault="003E5472" w:rsidP="00EE5E64">
      <w:pPr>
        <w:tabs>
          <w:tab w:val="left" w:pos="567"/>
          <w:tab w:val="left" w:pos="720"/>
          <w:tab w:val="left" w:pos="851"/>
        </w:tabs>
        <w:ind w:right="-174"/>
        <w:rPr>
          <w:rFonts w:cs="Verdana"/>
          <w:szCs w:val="20"/>
          <w:lang w:val="es-CR"/>
        </w:rPr>
      </w:pPr>
      <w:r w:rsidRPr="003633D2">
        <w:rPr>
          <w:rFonts w:cs="Verdana"/>
          <w:szCs w:val="20"/>
          <w:lang w:val="es-CR"/>
        </w:rPr>
        <w:t xml:space="preserve">Elizabeth Odio Benito, </w:t>
      </w:r>
      <w:r w:rsidRPr="003633D2">
        <w:rPr>
          <w:szCs w:val="20"/>
          <w:lang w:val="es-CR"/>
        </w:rPr>
        <w:t>Jueza;</w:t>
      </w:r>
    </w:p>
    <w:p w14:paraId="4B23626B" w14:textId="77777777" w:rsidR="003E5472" w:rsidRPr="003633D2" w:rsidRDefault="003E5472" w:rsidP="00EE5E64">
      <w:pPr>
        <w:tabs>
          <w:tab w:val="left" w:pos="567"/>
          <w:tab w:val="left" w:pos="720"/>
          <w:tab w:val="left" w:pos="851"/>
        </w:tabs>
        <w:ind w:right="-174"/>
        <w:rPr>
          <w:rFonts w:cs="Verdana"/>
          <w:szCs w:val="20"/>
          <w:lang w:val="es-CR"/>
        </w:rPr>
      </w:pPr>
      <w:r w:rsidRPr="003633D2">
        <w:rPr>
          <w:szCs w:val="20"/>
          <w:lang w:val="es-CR"/>
        </w:rPr>
        <w:t xml:space="preserve">Eugenio Raúl </w:t>
      </w:r>
      <w:proofErr w:type="spellStart"/>
      <w:r w:rsidRPr="003633D2">
        <w:rPr>
          <w:szCs w:val="20"/>
          <w:lang w:val="es-CR"/>
        </w:rPr>
        <w:t>Zaffaroni</w:t>
      </w:r>
      <w:proofErr w:type="spellEnd"/>
      <w:r w:rsidRPr="003633D2">
        <w:rPr>
          <w:szCs w:val="20"/>
          <w:lang w:val="es-CR"/>
        </w:rPr>
        <w:t>,</w:t>
      </w:r>
      <w:r w:rsidRPr="003633D2">
        <w:rPr>
          <w:rFonts w:cs="Verdana"/>
          <w:szCs w:val="20"/>
          <w:lang w:val="es-CR"/>
        </w:rPr>
        <w:t xml:space="preserve"> </w:t>
      </w:r>
      <w:r w:rsidRPr="003633D2">
        <w:rPr>
          <w:szCs w:val="20"/>
          <w:lang w:val="es-CR"/>
        </w:rPr>
        <w:t>Juez</w:t>
      </w:r>
      <w:r w:rsidR="00E26EDD" w:rsidRPr="003633D2">
        <w:rPr>
          <w:szCs w:val="20"/>
          <w:lang w:val="es-CR"/>
        </w:rPr>
        <w:t>,</w:t>
      </w:r>
      <w:r w:rsidRPr="003633D2">
        <w:rPr>
          <w:rFonts w:cs="Verdana"/>
          <w:szCs w:val="20"/>
          <w:lang w:val="es-CR"/>
        </w:rPr>
        <w:t xml:space="preserve"> </w:t>
      </w:r>
      <w:r w:rsidR="00E26EDD" w:rsidRPr="003633D2">
        <w:rPr>
          <w:rFonts w:cs="Verdana"/>
          <w:szCs w:val="20"/>
          <w:lang w:val="es-CR"/>
        </w:rPr>
        <w:t>y</w:t>
      </w:r>
    </w:p>
    <w:p w14:paraId="2783925E" w14:textId="77777777" w:rsidR="005F58FC" w:rsidRPr="003633D2" w:rsidRDefault="005F58FC" w:rsidP="00EE5E64">
      <w:pPr>
        <w:tabs>
          <w:tab w:val="left" w:pos="567"/>
          <w:tab w:val="left" w:pos="720"/>
          <w:tab w:val="left" w:pos="851"/>
        </w:tabs>
        <w:ind w:right="-174"/>
        <w:rPr>
          <w:rFonts w:cs="Verdana"/>
          <w:szCs w:val="20"/>
          <w:lang w:val="es-CR"/>
        </w:rPr>
      </w:pPr>
      <w:r w:rsidRPr="003633D2">
        <w:rPr>
          <w:rFonts w:cs="Verdana"/>
          <w:szCs w:val="20"/>
          <w:lang w:val="es-CR"/>
        </w:rPr>
        <w:t>Patricio Pazmiño Freire, Juez;</w:t>
      </w:r>
    </w:p>
    <w:p w14:paraId="7D92DE69"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066B602E"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roofErr w:type="gramStart"/>
      <w:r w:rsidRPr="003633D2">
        <w:rPr>
          <w:rFonts w:cs="Verdana"/>
          <w:szCs w:val="20"/>
          <w:lang w:val="es-CR" w:eastAsia="es-CR"/>
        </w:rPr>
        <w:t>presentes</w:t>
      </w:r>
      <w:proofErr w:type="gramEnd"/>
      <w:r w:rsidRPr="003633D2">
        <w:rPr>
          <w:rFonts w:cs="Verdana"/>
          <w:szCs w:val="20"/>
          <w:lang w:val="es-CR" w:eastAsia="es-CR"/>
        </w:rPr>
        <w:t xml:space="preserve"> además,</w:t>
      </w:r>
    </w:p>
    <w:p w14:paraId="605565E7"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47333AAA"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r w:rsidRPr="003633D2">
        <w:rPr>
          <w:rFonts w:cs="Verdana"/>
          <w:szCs w:val="20"/>
          <w:lang w:val="es-CR" w:eastAsia="es-CR"/>
        </w:rPr>
        <w:t xml:space="preserve">Pablo Saavedra Alessandri, Secretario, y </w:t>
      </w:r>
    </w:p>
    <w:p w14:paraId="135E6D3E"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r w:rsidRPr="003633D2">
        <w:rPr>
          <w:rFonts w:cs="Verdana"/>
          <w:szCs w:val="20"/>
          <w:lang w:val="es-CR" w:eastAsia="es-MX"/>
        </w:rPr>
        <w:t>Emilia Segares Rodríguez, Secretaria Adjunta,</w:t>
      </w:r>
    </w:p>
    <w:p w14:paraId="2891A310"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762977D9" w14:textId="77777777" w:rsidR="003E5472" w:rsidRPr="003633D2" w:rsidRDefault="003E5472" w:rsidP="00EE5E64">
      <w:pPr>
        <w:pStyle w:val="Textoindependiente1"/>
        <w:tabs>
          <w:tab w:val="left" w:pos="567"/>
          <w:tab w:val="left" w:pos="720"/>
        </w:tabs>
        <w:adjustRightInd w:val="0"/>
        <w:textAlignment w:val="baseline"/>
        <w:rPr>
          <w:rFonts w:ascii="Verdana" w:hAnsi="Verdana" w:cs="Verdana"/>
          <w:lang w:val="es-CR" w:eastAsia="es-CR"/>
        </w:rPr>
      </w:pPr>
      <w:proofErr w:type="gramStart"/>
      <w:r w:rsidRPr="003633D2">
        <w:rPr>
          <w:rFonts w:ascii="Verdana" w:hAnsi="Verdana" w:cs="Verdana"/>
          <w:lang w:val="es-CR" w:eastAsia="es-CR"/>
        </w:rPr>
        <w:t>de</w:t>
      </w:r>
      <w:proofErr w:type="gramEnd"/>
      <w:r w:rsidRPr="003633D2">
        <w:rPr>
          <w:rFonts w:ascii="Verdana" w:hAnsi="Verdana" w:cs="Verdana"/>
          <w:lang w:val="es-CR" w:eastAsia="es-CR"/>
        </w:rPr>
        <w:t xml:space="preserv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2FE7B446" w14:textId="77777777" w:rsidR="003E5472" w:rsidRPr="003633D2" w:rsidRDefault="003E5472" w:rsidP="00EE5E64">
      <w:pPr>
        <w:widowControl w:val="0"/>
        <w:tabs>
          <w:tab w:val="left" w:pos="567"/>
          <w:tab w:val="left" w:pos="720"/>
        </w:tabs>
        <w:adjustRightInd w:val="0"/>
        <w:textAlignment w:val="baseline"/>
        <w:rPr>
          <w:rFonts w:cs="Verdana"/>
          <w:szCs w:val="20"/>
          <w:lang w:val="es-CR" w:eastAsia="es-CR"/>
        </w:rPr>
      </w:pPr>
    </w:p>
    <w:p w14:paraId="5E1EC7D9" w14:textId="77777777" w:rsidR="003E5472" w:rsidRDefault="003E5472" w:rsidP="003132E7">
      <w:pPr>
        <w:tabs>
          <w:tab w:val="left" w:pos="567"/>
        </w:tabs>
        <w:rPr>
          <w:szCs w:val="20"/>
          <w:lang w:val="es-CR"/>
        </w:rPr>
      </w:pPr>
      <w:bookmarkStart w:id="10" w:name="_Toc424834678"/>
      <w:bookmarkStart w:id="11" w:name="_Toc427932784"/>
      <w:bookmarkStart w:id="12" w:name="_Toc431584601"/>
      <w:bookmarkStart w:id="13" w:name="_Toc434850389"/>
      <w:r w:rsidRPr="003633D2">
        <w:rPr>
          <w:szCs w:val="20"/>
          <w:lang w:val="es-CR"/>
        </w:rPr>
        <w:br w:type="page"/>
      </w:r>
      <w:bookmarkEnd w:id="10"/>
      <w:bookmarkEnd w:id="11"/>
      <w:bookmarkEnd w:id="12"/>
      <w:bookmarkEnd w:id="13"/>
    </w:p>
    <w:p w14:paraId="5DB72C8C" w14:textId="374760EF" w:rsidR="00AB0DA7" w:rsidRPr="00100230" w:rsidRDefault="00AB0DA7" w:rsidP="00100230">
      <w:pPr>
        <w:pStyle w:val="TOC1"/>
        <w:tabs>
          <w:tab w:val="left" w:pos="426"/>
          <w:tab w:val="right" w:leader="dot" w:pos="9394"/>
        </w:tabs>
        <w:jc w:val="center"/>
        <w:rPr>
          <w:rFonts w:ascii="Verdana" w:hAnsi="Verdana"/>
          <w:lang w:val="es-CR"/>
        </w:rPr>
      </w:pPr>
      <w:r w:rsidRPr="00100230">
        <w:rPr>
          <w:rFonts w:ascii="Verdana" w:hAnsi="Verdana"/>
        </w:rPr>
        <w:lastRenderedPageBreak/>
        <w:t>TABLA DE CONTENIDO</w:t>
      </w:r>
    </w:p>
    <w:p w14:paraId="414A352F" w14:textId="77777777" w:rsidR="00100230" w:rsidRPr="00100230" w:rsidRDefault="00AB0DA7"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r w:rsidRPr="00100230">
        <w:rPr>
          <w:rFonts w:ascii="Verdana" w:hAnsi="Verdana"/>
          <w:lang w:val="es-CR"/>
        </w:rPr>
        <w:fldChar w:fldCharType="begin"/>
      </w:r>
      <w:r w:rsidRPr="00100230">
        <w:rPr>
          <w:rFonts w:ascii="Verdana" w:hAnsi="Verdana"/>
          <w:lang w:val="es-CR"/>
        </w:rPr>
        <w:instrText xml:space="preserve"> TOC \o "1-3" \h \z \u </w:instrText>
      </w:r>
      <w:r w:rsidRPr="00100230">
        <w:rPr>
          <w:rFonts w:ascii="Verdana" w:hAnsi="Verdana"/>
          <w:lang w:val="es-CR"/>
        </w:rPr>
        <w:fldChar w:fldCharType="separate"/>
      </w:r>
      <w:hyperlink w:anchor="_Toc526152682" w:history="1">
        <w:r w:rsidR="00100230" w:rsidRPr="00100230">
          <w:rPr>
            <w:rStyle w:val="Hyperlink"/>
            <w:rFonts w:ascii="Verdana" w:hAnsi="Verdana"/>
            <w:noProof/>
            <w:spacing w:val="-4"/>
            <w:lang w:val="es-ES_tradnl"/>
          </w:rPr>
          <w:t>CORTE INTERAMERICANA DE DERECHOS HUMANOS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_Toc526152682 \h </w:instrText>
        </w:r>
        <w:r w:rsidR="00100230" w:rsidRPr="00100230">
          <w:rPr>
            <w:rFonts w:ascii="Verdana" w:hAnsi="Verdana"/>
            <w:noProof/>
            <w:webHidden/>
          </w:rPr>
        </w:r>
        <w:r w:rsidR="00100230" w:rsidRPr="00100230">
          <w:rPr>
            <w:rFonts w:ascii="Verdana" w:hAnsi="Verdana"/>
            <w:noProof/>
            <w:webHidden/>
          </w:rPr>
          <w:fldChar w:fldCharType="separate"/>
        </w:r>
        <w:r w:rsidR="00087178">
          <w:rPr>
            <w:rFonts w:ascii="Verdana" w:hAnsi="Verdana"/>
            <w:noProof/>
            <w:webHidden/>
          </w:rPr>
          <w:t>1</w:t>
        </w:r>
        <w:r w:rsidR="00100230" w:rsidRPr="00100230">
          <w:rPr>
            <w:rFonts w:ascii="Verdana" w:hAnsi="Verdana"/>
            <w:noProof/>
            <w:webHidden/>
          </w:rPr>
          <w:fldChar w:fldCharType="end"/>
        </w:r>
      </w:hyperlink>
    </w:p>
    <w:p w14:paraId="56E72204"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83" w:history="1">
        <w:r w:rsidR="00100230" w:rsidRPr="00100230">
          <w:rPr>
            <w:rStyle w:val="Hyperlink"/>
            <w:rFonts w:ascii="Verdana" w:hAnsi="Verdana"/>
            <w:noProof/>
          </w:rPr>
          <w:t>I INTRODUCCIÓN DE LA CAUSA Y OBJETO DE LA CONTROVERSIA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_Toc526152683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w:t>
        </w:r>
        <w:r w:rsidR="00100230" w:rsidRPr="00100230">
          <w:rPr>
            <w:rFonts w:ascii="Verdana" w:hAnsi="Verdana"/>
            <w:noProof/>
            <w:webHidden/>
          </w:rPr>
          <w:fldChar w:fldCharType="end"/>
        </w:r>
      </w:hyperlink>
    </w:p>
    <w:p w14:paraId="7C10DA67"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84" w:history="1">
        <w:r w:rsidR="00100230" w:rsidRPr="00100230">
          <w:rPr>
            <w:rStyle w:val="Hyperlink"/>
            <w:rFonts w:ascii="Verdana" w:hAnsi="Verdana"/>
            <w:noProof/>
          </w:rPr>
          <w:t>II PROCEDIMIENTO ANTE LA CORTE</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_Toc526152684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6</w:t>
        </w:r>
        <w:r w:rsidR="00100230" w:rsidRPr="00100230">
          <w:rPr>
            <w:rFonts w:ascii="Verdana" w:hAnsi="Verdana"/>
            <w:noProof/>
            <w:webHidden/>
          </w:rPr>
          <w:fldChar w:fldCharType="end"/>
        </w:r>
      </w:hyperlink>
    </w:p>
    <w:p w14:paraId="2D97914A"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85" w:history="1">
        <w:r w:rsidR="00100230" w:rsidRPr="00100230">
          <w:rPr>
            <w:rStyle w:val="Hyperlink"/>
            <w:rFonts w:ascii="Verdana" w:hAnsi="Verdana"/>
            <w:noProof/>
            <w:snapToGrid w:val="0"/>
          </w:rPr>
          <w:t>III COMPETENCIA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_Toc526152685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7</w:t>
        </w:r>
        <w:r w:rsidR="00100230" w:rsidRPr="00100230">
          <w:rPr>
            <w:rFonts w:ascii="Verdana" w:hAnsi="Verdana"/>
            <w:noProof/>
            <w:webHidden/>
          </w:rPr>
          <w:fldChar w:fldCharType="end"/>
        </w:r>
      </w:hyperlink>
    </w:p>
    <w:p w14:paraId="2AAD7EB4"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86" w:history="1">
        <w:r w:rsidR="00100230" w:rsidRPr="00100230">
          <w:rPr>
            <w:rStyle w:val="Hyperlink"/>
            <w:rFonts w:ascii="Verdana" w:hAnsi="Verdana"/>
            <w:noProof/>
          </w:rPr>
          <w:t>IV EXCEPCIÓN PRELIMINAR</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_Toc526152686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7</w:t>
        </w:r>
        <w:r w:rsidR="00100230" w:rsidRPr="00100230">
          <w:rPr>
            <w:rFonts w:ascii="Verdana" w:hAnsi="Verdana"/>
            <w:noProof/>
            <w:webHidden/>
          </w:rPr>
          <w:fldChar w:fldCharType="end"/>
        </w:r>
      </w:hyperlink>
    </w:p>
    <w:p w14:paraId="5CE2896B"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687"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Alegatos de las partes y la Comisión</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_Toc526152687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7</w:t>
        </w:r>
        <w:r w:rsidR="00100230" w:rsidRPr="00100230">
          <w:rPr>
            <w:rFonts w:ascii="Verdana" w:hAnsi="Verdana"/>
            <w:noProof/>
            <w:webHidden/>
          </w:rPr>
          <w:fldChar w:fldCharType="end"/>
        </w:r>
      </w:hyperlink>
    </w:p>
    <w:p w14:paraId="79BEB964"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688" w:history="1">
        <w:r w:rsidR="00100230" w:rsidRPr="00100230">
          <w:rPr>
            <w:rStyle w:val="Hyperlink"/>
            <w:rFonts w:ascii="Verdana" w:hAnsi="Verdana"/>
            <w:noProof/>
          </w:rPr>
          <w:t>B.</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Consideraciones de la Corte</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_Toc526152688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8</w:t>
        </w:r>
        <w:r w:rsidR="00100230" w:rsidRPr="00100230">
          <w:rPr>
            <w:rFonts w:ascii="Verdana" w:hAnsi="Verdana"/>
            <w:noProof/>
            <w:webHidden/>
          </w:rPr>
          <w:fldChar w:fldCharType="end"/>
        </w:r>
      </w:hyperlink>
    </w:p>
    <w:p w14:paraId="24DB2445"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89" w:history="1">
        <w:r w:rsidR="00100230" w:rsidRPr="00100230">
          <w:rPr>
            <w:rStyle w:val="Hyperlink"/>
            <w:rFonts w:ascii="Verdana" w:hAnsi="Verdana"/>
            <w:noProof/>
          </w:rPr>
          <w:t>V CONSIDERACIÓN PREVIA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_Toc526152689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8</w:t>
        </w:r>
        <w:r w:rsidR="00100230" w:rsidRPr="00100230">
          <w:rPr>
            <w:rFonts w:ascii="Verdana" w:hAnsi="Verdana"/>
            <w:noProof/>
            <w:webHidden/>
          </w:rPr>
          <w:fldChar w:fldCharType="end"/>
        </w:r>
      </w:hyperlink>
    </w:p>
    <w:p w14:paraId="060B36F9"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690"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Alegado reconocimiento del Estado durante el procedimiento ante la Comisión</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_Toc526152690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8</w:t>
        </w:r>
        <w:r w:rsidR="00100230" w:rsidRPr="00100230">
          <w:rPr>
            <w:rFonts w:ascii="Verdana" w:hAnsi="Verdana"/>
            <w:noProof/>
            <w:webHidden/>
          </w:rPr>
          <w:fldChar w:fldCharType="end"/>
        </w:r>
      </w:hyperlink>
    </w:p>
    <w:p w14:paraId="7748A201"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91" w:history="1">
        <w:r w:rsidR="00100230" w:rsidRPr="00100230">
          <w:rPr>
            <w:rStyle w:val="Hyperlink"/>
            <w:rFonts w:ascii="Verdana" w:hAnsi="Verdana"/>
            <w:noProof/>
          </w:rPr>
          <w:t>VI PRUEBA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_Toc526152691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10</w:t>
        </w:r>
        <w:r w:rsidR="00100230" w:rsidRPr="00100230">
          <w:rPr>
            <w:rFonts w:ascii="Verdana" w:hAnsi="Verdana"/>
            <w:noProof/>
            <w:webHidden/>
          </w:rPr>
          <w:fldChar w:fldCharType="end"/>
        </w:r>
      </w:hyperlink>
    </w:p>
    <w:p w14:paraId="387BFF5E"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692"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Admisibilidad de la prueba documental</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_Toc526152692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10</w:t>
        </w:r>
        <w:r w:rsidR="00100230" w:rsidRPr="00100230">
          <w:rPr>
            <w:rFonts w:ascii="Verdana" w:hAnsi="Verdana"/>
            <w:noProof/>
            <w:webHidden/>
          </w:rPr>
          <w:fldChar w:fldCharType="end"/>
        </w:r>
      </w:hyperlink>
    </w:p>
    <w:p w14:paraId="08008E7F" w14:textId="77777777" w:rsidR="00100230" w:rsidRPr="00100230" w:rsidRDefault="00087178" w:rsidP="00100230">
      <w:pPr>
        <w:pStyle w:val="TOC2"/>
        <w:tabs>
          <w:tab w:val="left" w:pos="426"/>
          <w:tab w:val="right" w:leader="dot" w:pos="9394"/>
        </w:tabs>
        <w:ind w:left="0"/>
        <w:jc w:val="both"/>
        <w:rPr>
          <w:rFonts w:ascii="Verdana" w:eastAsiaTheme="minorEastAsia" w:hAnsi="Verdana" w:cstheme="minorBidi"/>
          <w:smallCaps w:val="0"/>
          <w:noProof/>
          <w:lang w:val="es-CR" w:eastAsia="es-CR"/>
        </w:rPr>
      </w:pPr>
      <w:hyperlink w:anchor="_Toc526152693" w:history="1">
        <w:r w:rsidR="00100230" w:rsidRPr="00100230">
          <w:rPr>
            <w:rStyle w:val="Hyperlink"/>
            <w:rFonts w:ascii="Verdana" w:hAnsi="Verdana"/>
            <w:noProof/>
            <w:lang w:val="es-CR"/>
          </w:rPr>
          <w:t xml:space="preserve">B.   </w:t>
        </w:r>
        <w:r w:rsidR="00100230" w:rsidRPr="00100230">
          <w:rPr>
            <w:rStyle w:val="Hyperlink"/>
            <w:rFonts w:ascii="Verdana" w:hAnsi="Verdana"/>
            <w:noProof/>
          </w:rPr>
          <w:t>Admisibilidad</w:t>
        </w:r>
        <w:r w:rsidR="00100230" w:rsidRPr="00100230">
          <w:rPr>
            <w:rStyle w:val="Hyperlink"/>
            <w:rFonts w:ascii="Verdana" w:hAnsi="Verdana"/>
            <w:noProof/>
            <w:lang w:val="es-CR"/>
          </w:rPr>
          <w:t xml:space="preserve"> de la prueba</w:t>
        </w:r>
        <w:r w:rsidR="00100230" w:rsidRPr="00100230">
          <w:rPr>
            <w:rStyle w:val="Hyperlink"/>
            <w:rFonts w:ascii="Verdana" w:hAnsi="Verdana"/>
            <w:noProof/>
          </w:rPr>
          <w:t xml:space="preserve"> testimonial y pericial</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_Toc526152693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10</w:t>
        </w:r>
        <w:r w:rsidR="00100230" w:rsidRPr="00100230">
          <w:rPr>
            <w:rFonts w:ascii="Verdana" w:hAnsi="Verdana"/>
            <w:noProof/>
            <w:webHidden/>
          </w:rPr>
          <w:fldChar w:fldCharType="end"/>
        </w:r>
      </w:hyperlink>
    </w:p>
    <w:p w14:paraId="18674D58"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694" w:history="1">
        <w:r w:rsidR="00100230" w:rsidRPr="00100230">
          <w:rPr>
            <w:rStyle w:val="Hyperlink"/>
            <w:rFonts w:ascii="Verdana" w:hAnsi="Verdana"/>
            <w:noProof/>
          </w:rPr>
          <w:t>VII HECHOS PROBADOS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_Toc526152694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11</w:t>
        </w:r>
        <w:r w:rsidR="00100230" w:rsidRPr="00100230">
          <w:rPr>
            <w:rFonts w:ascii="Verdana" w:hAnsi="Verdana"/>
            <w:noProof/>
            <w:webHidden/>
          </w:rPr>
          <w:fldChar w:fldCharType="end"/>
        </w:r>
      </w:hyperlink>
    </w:p>
    <w:p w14:paraId="4E0EED14"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695"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Detención y desaparición de Walter Munárriz Escobar</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_Toc526152695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11</w:t>
        </w:r>
        <w:r w:rsidR="00100230" w:rsidRPr="00100230">
          <w:rPr>
            <w:rFonts w:ascii="Verdana" w:hAnsi="Verdana"/>
            <w:noProof/>
            <w:webHidden/>
          </w:rPr>
          <w:fldChar w:fldCharType="end"/>
        </w:r>
      </w:hyperlink>
    </w:p>
    <w:p w14:paraId="2DA9F661"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696" w:history="1">
        <w:r w:rsidR="00100230" w:rsidRPr="00100230">
          <w:rPr>
            <w:rStyle w:val="Hyperlink"/>
            <w:rFonts w:ascii="Verdana" w:hAnsi="Verdana"/>
            <w:noProof/>
            <w:lang w:val="es-CR"/>
          </w:rPr>
          <w:t>B.</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Diligencias y gestiones iniciadas por la desaparición de Walter Munárriz Escobar</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_Toc526152696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13</w:t>
        </w:r>
        <w:r w:rsidR="00100230" w:rsidRPr="00100230">
          <w:rPr>
            <w:rFonts w:ascii="Verdana" w:hAnsi="Verdana"/>
            <w:noProof/>
            <w:webHidden/>
          </w:rPr>
          <w:fldChar w:fldCharType="end"/>
        </w:r>
      </w:hyperlink>
    </w:p>
    <w:p w14:paraId="6C5DA01B"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697" w:history="1">
        <w:r w:rsidR="00100230" w:rsidRPr="00100230">
          <w:rPr>
            <w:rStyle w:val="Hyperlink"/>
            <w:rFonts w:ascii="Verdana" w:hAnsi="Verdana"/>
            <w:i w:val="0"/>
            <w:noProof/>
          </w:rPr>
          <w:t>B.1 Gestiones realizadas a instancia de los familiares y amigos</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_Toc526152697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13</w:t>
        </w:r>
        <w:r w:rsidR="00100230" w:rsidRPr="00100230">
          <w:rPr>
            <w:rFonts w:ascii="Verdana" w:hAnsi="Verdana"/>
            <w:i w:val="0"/>
            <w:noProof/>
            <w:webHidden/>
          </w:rPr>
          <w:fldChar w:fldCharType="end"/>
        </w:r>
      </w:hyperlink>
    </w:p>
    <w:p w14:paraId="5ED426D7"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698" w:history="1">
        <w:r w:rsidR="00100230" w:rsidRPr="00100230">
          <w:rPr>
            <w:rStyle w:val="Hyperlink"/>
            <w:rFonts w:ascii="Verdana" w:hAnsi="Verdana"/>
            <w:i w:val="0"/>
            <w:noProof/>
          </w:rPr>
          <w:t>B.2 Investigación Penal</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_Toc526152698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13</w:t>
        </w:r>
        <w:r w:rsidR="00100230" w:rsidRPr="00100230">
          <w:rPr>
            <w:rFonts w:ascii="Verdana" w:hAnsi="Verdana"/>
            <w:i w:val="0"/>
            <w:noProof/>
            <w:webHidden/>
          </w:rPr>
          <w:fldChar w:fldCharType="end"/>
        </w:r>
      </w:hyperlink>
    </w:p>
    <w:p w14:paraId="0BE2E9B0"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699" w:history="1">
        <w:r w:rsidR="00100230" w:rsidRPr="00100230">
          <w:rPr>
            <w:rStyle w:val="Hyperlink"/>
            <w:rFonts w:ascii="Verdana" w:hAnsi="Verdana"/>
            <w:i w:val="0"/>
            <w:noProof/>
          </w:rPr>
          <w:t>B.3 Estado actual de la investigación penal</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_Toc526152699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17</w:t>
        </w:r>
        <w:r w:rsidR="00100230" w:rsidRPr="00100230">
          <w:rPr>
            <w:rFonts w:ascii="Verdana" w:hAnsi="Verdana"/>
            <w:i w:val="0"/>
            <w:noProof/>
            <w:webHidden/>
          </w:rPr>
          <w:fldChar w:fldCharType="end"/>
        </w:r>
      </w:hyperlink>
    </w:p>
    <w:p w14:paraId="1B2BC7C7"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00" w:history="1">
        <w:r w:rsidR="00100230" w:rsidRPr="00100230">
          <w:rPr>
            <w:rStyle w:val="Hyperlink"/>
            <w:rFonts w:ascii="Verdana" w:hAnsi="Verdana"/>
            <w:i w:val="0"/>
            <w:noProof/>
          </w:rPr>
          <w:t>B.4 Investigación realizada en la Defensoría del Pueblo de Huancavelica</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_Toc526152700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17</w:t>
        </w:r>
        <w:r w:rsidR="00100230" w:rsidRPr="00100230">
          <w:rPr>
            <w:rFonts w:ascii="Verdana" w:hAnsi="Verdana"/>
            <w:i w:val="0"/>
            <w:noProof/>
            <w:webHidden/>
          </w:rPr>
          <w:fldChar w:fldCharType="end"/>
        </w:r>
      </w:hyperlink>
    </w:p>
    <w:p w14:paraId="799BD1AA"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01" w:history="1">
        <w:r w:rsidR="00100230" w:rsidRPr="00100230">
          <w:rPr>
            <w:rStyle w:val="Hyperlink"/>
            <w:rFonts w:ascii="Verdana" w:hAnsi="Verdana"/>
            <w:i w:val="0"/>
            <w:noProof/>
          </w:rPr>
          <w:t>B.5 Proceso Disciplinario</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_Toc526152701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19</w:t>
        </w:r>
        <w:r w:rsidR="00100230" w:rsidRPr="00100230">
          <w:rPr>
            <w:rFonts w:ascii="Verdana" w:hAnsi="Verdana"/>
            <w:i w:val="0"/>
            <w:noProof/>
            <w:webHidden/>
          </w:rPr>
          <w:fldChar w:fldCharType="end"/>
        </w:r>
      </w:hyperlink>
    </w:p>
    <w:p w14:paraId="69C765AF"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702" w:history="1">
        <w:r w:rsidR="00100230" w:rsidRPr="00100230">
          <w:rPr>
            <w:rStyle w:val="Hyperlink"/>
            <w:rFonts w:ascii="Verdana" w:hAnsi="Verdana"/>
            <w:noProof/>
          </w:rPr>
          <w:t>VIII FONDO</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_Toc526152702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19</w:t>
        </w:r>
        <w:r w:rsidR="00100230" w:rsidRPr="00100230">
          <w:rPr>
            <w:rFonts w:ascii="Verdana" w:hAnsi="Verdana"/>
            <w:noProof/>
            <w:webHidden/>
          </w:rPr>
          <w:fldChar w:fldCharType="end"/>
        </w:r>
      </w:hyperlink>
    </w:p>
    <w:p w14:paraId="2194DF3D"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703" w:history="1">
        <w:r w:rsidR="00100230" w:rsidRPr="00100230">
          <w:rPr>
            <w:rStyle w:val="Hyperlink"/>
            <w:rFonts w:ascii="Verdana" w:hAnsi="Verdana"/>
            <w:noProof/>
          </w:rPr>
          <w:t>VIII.1 DESAPARICIÓN FORZADA DE WALTER MUNÁRRIZ ESCOBAR DERECHOS A LA LIBERTAD PERSONAL, INTEGRIDAD PERSONAL, VIDA Y RECONOCIMIENTO DE LA PERSONALIDAD JURÍDICA, EN RELACIÓN CON LA OBLIGACIÓN DE RESPETAR LOS DERECHOS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_Toc526152703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20</w:t>
        </w:r>
        <w:r w:rsidR="00100230" w:rsidRPr="00100230">
          <w:rPr>
            <w:rFonts w:ascii="Verdana" w:hAnsi="Verdana"/>
            <w:noProof/>
            <w:webHidden/>
          </w:rPr>
          <w:fldChar w:fldCharType="end"/>
        </w:r>
      </w:hyperlink>
    </w:p>
    <w:p w14:paraId="6744F9E1"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04"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Argumentos de la Comisión y las partes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_Toc526152704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20</w:t>
        </w:r>
        <w:r w:rsidR="00100230" w:rsidRPr="00100230">
          <w:rPr>
            <w:rFonts w:ascii="Verdana" w:hAnsi="Verdana"/>
            <w:noProof/>
            <w:webHidden/>
          </w:rPr>
          <w:fldChar w:fldCharType="end"/>
        </w:r>
      </w:hyperlink>
    </w:p>
    <w:p w14:paraId="5C331AF5" w14:textId="77777777" w:rsidR="00100230" w:rsidRPr="00100230" w:rsidRDefault="00087178" w:rsidP="00100230">
      <w:pPr>
        <w:pStyle w:val="TOC2"/>
        <w:tabs>
          <w:tab w:val="left" w:pos="426"/>
          <w:tab w:val="right" w:leader="dot" w:pos="9394"/>
        </w:tabs>
        <w:ind w:left="0"/>
        <w:jc w:val="both"/>
        <w:rPr>
          <w:rFonts w:ascii="Verdana" w:eastAsiaTheme="minorEastAsia" w:hAnsi="Verdana" w:cstheme="minorBidi"/>
          <w:smallCaps w:val="0"/>
          <w:noProof/>
          <w:lang w:val="es-CR" w:eastAsia="es-CR"/>
        </w:rPr>
      </w:pPr>
      <w:hyperlink w:anchor="_Toc526152705" w:history="1">
        <w:r w:rsidR="00100230" w:rsidRPr="00100230">
          <w:rPr>
            <w:rStyle w:val="Hyperlink"/>
            <w:rFonts w:ascii="Verdana" w:hAnsi="Verdana"/>
            <w:noProof/>
          </w:rPr>
          <w:t>B.  Consideraciones de la Corte</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_Toc526152705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21</w:t>
        </w:r>
        <w:r w:rsidR="00100230" w:rsidRPr="00100230">
          <w:rPr>
            <w:rFonts w:ascii="Verdana" w:hAnsi="Verdana"/>
            <w:noProof/>
            <w:webHidden/>
          </w:rPr>
          <w:fldChar w:fldCharType="end"/>
        </w:r>
      </w:hyperlink>
    </w:p>
    <w:p w14:paraId="2F9E0A43"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06" w:history="1">
        <w:r w:rsidR="00100230" w:rsidRPr="00100230">
          <w:rPr>
            <w:rStyle w:val="Hyperlink"/>
            <w:rFonts w:ascii="Verdana" w:hAnsi="Verdana"/>
            <w:i w:val="0"/>
            <w:noProof/>
          </w:rPr>
          <w:t>B.1 Determinación de la ocurrencia de una desaparición forzada</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_Toc526152706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22</w:t>
        </w:r>
        <w:r w:rsidR="00100230" w:rsidRPr="00100230">
          <w:rPr>
            <w:rFonts w:ascii="Verdana" w:hAnsi="Verdana"/>
            <w:i w:val="0"/>
            <w:noProof/>
            <w:webHidden/>
          </w:rPr>
          <w:fldChar w:fldCharType="end"/>
        </w:r>
      </w:hyperlink>
    </w:p>
    <w:p w14:paraId="5CFC7D56"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07" w:history="1">
        <w:r w:rsidR="00100230" w:rsidRPr="00100230">
          <w:rPr>
            <w:rStyle w:val="Hyperlink"/>
            <w:rFonts w:ascii="Verdana" w:hAnsi="Verdana"/>
            <w:i w:val="0"/>
            <w:noProof/>
          </w:rPr>
          <w:t>B.2 Violaciones a los artículos 7, 5.1, 5.2, 4.1 y 3 de la Convención Americana y I.a de la Convención Interamericana sobre Desaparición Forzada</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_Toc526152707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27</w:t>
        </w:r>
        <w:r w:rsidR="00100230" w:rsidRPr="00100230">
          <w:rPr>
            <w:rFonts w:ascii="Verdana" w:hAnsi="Verdana"/>
            <w:i w:val="0"/>
            <w:noProof/>
            <w:webHidden/>
          </w:rPr>
          <w:fldChar w:fldCharType="end"/>
        </w:r>
      </w:hyperlink>
    </w:p>
    <w:p w14:paraId="5D6133A4"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708" w:history="1">
        <w:r w:rsidR="00100230" w:rsidRPr="00100230">
          <w:rPr>
            <w:rStyle w:val="Hyperlink"/>
            <w:rFonts w:ascii="Verdana" w:hAnsi="Verdana"/>
            <w:noProof/>
          </w:rPr>
          <w:t>VIII-2 DERECHOS A LAS GARANTÍAS JUDICIALES Y A LA PROTECCIÓN JUDICIAL, EN RELACIÓN CON LA OBLIGACIÓN DE RESPETAR Y GARANTIZAR LOS DERECHOS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_Toc526152708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28</w:t>
        </w:r>
        <w:r w:rsidR="00100230" w:rsidRPr="00100230">
          <w:rPr>
            <w:rFonts w:ascii="Verdana" w:hAnsi="Verdana"/>
            <w:noProof/>
            <w:webHidden/>
          </w:rPr>
          <w:fldChar w:fldCharType="end"/>
        </w:r>
      </w:hyperlink>
    </w:p>
    <w:p w14:paraId="75070DE4"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09"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Alegatos de la Comisión y de las partes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_Toc526152709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28</w:t>
        </w:r>
        <w:r w:rsidR="00100230" w:rsidRPr="00100230">
          <w:rPr>
            <w:rFonts w:ascii="Verdana" w:hAnsi="Verdana"/>
            <w:noProof/>
            <w:webHidden/>
          </w:rPr>
          <w:fldChar w:fldCharType="end"/>
        </w:r>
      </w:hyperlink>
    </w:p>
    <w:p w14:paraId="2AACD293"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10" w:history="1">
        <w:r w:rsidR="00100230" w:rsidRPr="00100230">
          <w:rPr>
            <w:rStyle w:val="Hyperlink"/>
            <w:rFonts w:ascii="Verdana" w:hAnsi="Verdana"/>
            <w:bCs/>
            <w:noProof/>
          </w:rPr>
          <w:t>B.</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bCs/>
            <w:noProof/>
          </w:rPr>
          <w:t>Consideraciones de la Corte</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_Toc526152710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30</w:t>
        </w:r>
        <w:r w:rsidR="00100230" w:rsidRPr="00100230">
          <w:rPr>
            <w:rFonts w:ascii="Verdana" w:hAnsi="Verdana"/>
            <w:noProof/>
            <w:webHidden/>
          </w:rPr>
          <w:fldChar w:fldCharType="end"/>
        </w:r>
      </w:hyperlink>
    </w:p>
    <w:p w14:paraId="431716B6"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11" w:history="1">
        <w:r w:rsidR="00100230" w:rsidRPr="00100230">
          <w:rPr>
            <w:rStyle w:val="Hyperlink"/>
            <w:rFonts w:ascii="Verdana" w:hAnsi="Verdana"/>
            <w:i w:val="0"/>
            <w:noProof/>
          </w:rPr>
          <w:t>B.1 Deber de iniciar de oficio una investigación</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_Toc526152711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31</w:t>
        </w:r>
        <w:r w:rsidR="00100230" w:rsidRPr="00100230">
          <w:rPr>
            <w:rFonts w:ascii="Verdana" w:hAnsi="Verdana"/>
            <w:i w:val="0"/>
            <w:noProof/>
            <w:webHidden/>
          </w:rPr>
          <w:fldChar w:fldCharType="end"/>
        </w:r>
      </w:hyperlink>
    </w:p>
    <w:p w14:paraId="67CF1EA1"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12" w:history="1">
        <w:r w:rsidR="00100230" w:rsidRPr="00100230">
          <w:rPr>
            <w:rStyle w:val="Hyperlink"/>
            <w:rFonts w:ascii="Verdana" w:hAnsi="Verdana"/>
            <w:i w:val="0"/>
            <w:noProof/>
          </w:rPr>
          <w:t>B.2 Debida diligencia en las investigaciones</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_Toc526152712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31</w:t>
        </w:r>
        <w:r w:rsidR="00100230" w:rsidRPr="00100230">
          <w:rPr>
            <w:rFonts w:ascii="Verdana" w:hAnsi="Verdana"/>
            <w:i w:val="0"/>
            <w:noProof/>
            <w:webHidden/>
          </w:rPr>
          <w:fldChar w:fldCharType="end"/>
        </w:r>
      </w:hyperlink>
    </w:p>
    <w:p w14:paraId="0FD6F084"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13" w:history="1">
        <w:r w:rsidR="00100230" w:rsidRPr="00100230">
          <w:rPr>
            <w:rStyle w:val="Hyperlink"/>
            <w:rFonts w:ascii="Verdana" w:hAnsi="Verdana"/>
            <w:i w:val="0"/>
            <w:noProof/>
          </w:rPr>
          <w:t>B.3 Omisión de las labores de búsqueda del señor Walter Munárriz Escobar</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_Toc526152713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34</w:t>
        </w:r>
        <w:r w:rsidR="00100230" w:rsidRPr="00100230">
          <w:rPr>
            <w:rFonts w:ascii="Verdana" w:hAnsi="Verdana"/>
            <w:i w:val="0"/>
            <w:noProof/>
            <w:webHidden/>
          </w:rPr>
          <w:fldChar w:fldCharType="end"/>
        </w:r>
      </w:hyperlink>
    </w:p>
    <w:p w14:paraId="43D5AC41"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14" w:history="1">
        <w:r w:rsidR="00100230" w:rsidRPr="00100230">
          <w:rPr>
            <w:rStyle w:val="Hyperlink"/>
            <w:rFonts w:ascii="Verdana" w:hAnsi="Verdana"/>
            <w:i w:val="0"/>
            <w:noProof/>
          </w:rPr>
          <w:t>B.4 El plazo razonable y derecho a conocer la verdad</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_Toc526152714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35</w:t>
        </w:r>
        <w:r w:rsidR="00100230" w:rsidRPr="00100230">
          <w:rPr>
            <w:rFonts w:ascii="Verdana" w:hAnsi="Verdana"/>
            <w:i w:val="0"/>
            <w:noProof/>
            <w:webHidden/>
          </w:rPr>
          <w:fldChar w:fldCharType="end"/>
        </w:r>
      </w:hyperlink>
    </w:p>
    <w:p w14:paraId="773E0B35"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15" w:history="1">
        <w:r w:rsidR="00100230" w:rsidRPr="00100230">
          <w:rPr>
            <w:rStyle w:val="Hyperlink"/>
            <w:rFonts w:ascii="Verdana" w:hAnsi="Verdana"/>
            <w:i w:val="0"/>
            <w:noProof/>
          </w:rPr>
          <w:t>B.5 Conclusión</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_Toc526152715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36</w:t>
        </w:r>
        <w:r w:rsidR="00100230" w:rsidRPr="00100230">
          <w:rPr>
            <w:rFonts w:ascii="Verdana" w:hAnsi="Verdana"/>
            <w:i w:val="0"/>
            <w:noProof/>
            <w:webHidden/>
          </w:rPr>
          <w:fldChar w:fldCharType="end"/>
        </w:r>
      </w:hyperlink>
    </w:p>
    <w:p w14:paraId="2240E90A"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716" w:history="1">
        <w:r w:rsidR="00100230" w:rsidRPr="00100230">
          <w:rPr>
            <w:rStyle w:val="Hyperlink"/>
            <w:rFonts w:ascii="Verdana" w:hAnsi="Verdana"/>
            <w:noProof/>
          </w:rPr>
          <w:t>VIII-3 DERECHO A LA INTEGRIDAD PERSONAL DE LOS FAMILIARES DEL SEÑOR MUNÁRRIZ ESCOBAR, EN RELACIÓN CON LA OBLIGACIÓN DE RESPETAR  Y GARANTIZAR LOS DERECHOS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_Toc526152716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37</w:t>
        </w:r>
        <w:r w:rsidR="00100230" w:rsidRPr="00100230">
          <w:rPr>
            <w:rFonts w:ascii="Verdana" w:hAnsi="Verdana"/>
            <w:noProof/>
            <w:webHidden/>
          </w:rPr>
          <w:fldChar w:fldCharType="end"/>
        </w:r>
      </w:hyperlink>
    </w:p>
    <w:p w14:paraId="2F38F6FB"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17"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Alegatos de las partes y la Comisión</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_Toc526152717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37</w:t>
        </w:r>
        <w:r w:rsidR="00100230" w:rsidRPr="00100230">
          <w:rPr>
            <w:rFonts w:ascii="Verdana" w:hAnsi="Verdana"/>
            <w:noProof/>
            <w:webHidden/>
          </w:rPr>
          <w:fldChar w:fldCharType="end"/>
        </w:r>
      </w:hyperlink>
    </w:p>
    <w:p w14:paraId="3767C690"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18" w:history="1">
        <w:r w:rsidR="00100230" w:rsidRPr="00100230">
          <w:rPr>
            <w:rStyle w:val="Hyperlink"/>
            <w:rFonts w:ascii="Verdana" w:hAnsi="Verdana"/>
            <w:noProof/>
          </w:rPr>
          <w:t>B.</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Consideraciones de la Corte</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_Toc526152718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37</w:t>
        </w:r>
        <w:r w:rsidR="00100230" w:rsidRPr="00100230">
          <w:rPr>
            <w:rFonts w:ascii="Verdana" w:hAnsi="Verdana"/>
            <w:noProof/>
            <w:webHidden/>
          </w:rPr>
          <w:fldChar w:fldCharType="end"/>
        </w:r>
      </w:hyperlink>
    </w:p>
    <w:p w14:paraId="233951D0"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719" w:history="1">
        <w:r w:rsidR="00100230" w:rsidRPr="00100230">
          <w:rPr>
            <w:rStyle w:val="Hyperlink"/>
            <w:rFonts w:ascii="Verdana" w:hAnsi="Verdana"/>
            <w:noProof/>
          </w:rPr>
          <w:t>IX REPARACIONES (Aplicación del artículo 63.1 de la Convención Americana)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_Toc526152719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38</w:t>
        </w:r>
        <w:r w:rsidR="00100230" w:rsidRPr="00100230">
          <w:rPr>
            <w:rFonts w:ascii="Verdana" w:hAnsi="Verdana"/>
            <w:noProof/>
            <w:webHidden/>
          </w:rPr>
          <w:fldChar w:fldCharType="end"/>
        </w:r>
      </w:hyperlink>
    </w:p>
    <w:p w14:paraId="690467AF"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20" w:history="1">
        <w:r w:rsidR="00100230" w:rsidRPr="00100230">
          <w:rPr>
            <w:rStyle w:val="Hyperlink"/>
            <w:rFonts w:ascii="Verdana" w:hAnsi="Verdana"/>
            <w:noProof/>
          </w:rPr>
          <w:t>A.</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Parte Lesionada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_Toc526152720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39</w:t>
        </w:r>
        <w:r w:rsidR="00100230" w:rsidRPr="00100230">
          <w:rPr>
            <w:rFonts w:ascii="Verdana" w:hAnsi="Verdana"/>
            <w:noProof/>
            <w:webHidden/>
          </w:rPr>
          <w:fldChar w:fldCharType="end"/>
        </w:r>
      </w:hyperlink>
    </w:p>
    <w:p w14:paraId="690A9D95" w14:textId="77777777" w:rsidR="00100230" w:rsidRPr="00100230" w:rsidRDefault="00087178" w:rsidP="00100230">
      <w:pPr>
        <w:pStyle w:val="TOC2"/>
        <w:tabs>
          <w:tab w:val="left" w:pos="426"/>
          <w:tab w:val="right" w:leader="dot" w:pos="9394"/>
        </w:tabs>
        <w:ind w:left="0"/>
        <w:jc w:val="both"/>
        <w:rPr>
          <w:rFonts w:ascii="Verdana" w:eastAsiaTheme="minorEastAsia" w:hAnsi="Verdana" w:cstheme="minorBidi"/>
          <w:smallCaps w:val="0"/>
          <w:noProof/>
          <w:lang w:val="es-CR" w:eastAsia="es-CR"/>
        </w:rPr>
      </w:pPr>
      <w:hyperlink w:anchor="_Toc526152721" w:history="1">
        <w:r w:rsidR="00100230" w:rsidRPr="00100230">
          <w:rPr>
            <w:rStyle w:val="Hyperlink"/>
            <w:rFonts w:ascii="Verdana" w:hAnsi="Verdana"/>
            <w:noProof/>
          </w:rPr>
          <w:t>B.   Obligación de investigar los hechos e identificar, juzgar, en su caso,  sancionar a los responsables, así como determinar el paradero de la víctima</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_Toc526152721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39</w:t>
        </w:r>
        <w:r w:rsidR="00100230" w:rsidRPr="00100230">
          <w:rPr>
            <w:rFonts w:ascii="Verdana" w:hAnsi="Verdana"/>
            <w:noProof/>
            <w:webHidden/>
          </w:rPr>
          <w:fldChar w:fldCharType="end"/>
        </w:r>
      </w:hyperlink>
    </w:p>
    <w:p w14:paraId="574C4461"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22" w:history="1">
        <w:r w:rsidR="00100230" w:rsidRPr="00100230">
          <w:rPr>
            <w:rStyle w:val="Hyperlink"/>
            <w:rFonts w:ascii="Verdana" w:hAnsi="Verdana"/>
            <w:i w:val="0"/>
            <w:noProof/>
          </w:rPr>
          <w:t>B.1  Investigación, determinación, enjuiciamiento y, en su caso, sanción de todos los responsables</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_Toc526152722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39</w:t>
        </w:r>
        <w:r w:rsidR="00100230" w:rsidRPr="00100230">
          <w:rPr>
            <w:rFonts w:ascii="Verdana" w:hAnsi="Verdana"/>
            <w:i w:val="0"/>
            <w:noProof/>
            <w:webHidden/>
          </w:rPr>
          <w:fldChar w:fldCharType="end"/>
        </w:r>
      </w:hyperlink>
    </w:p>
    <w:p w14:paraId="23E8229E"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23" w:history="1">
        <w:r w:rsidR="00100230" w:rsidRPr="00100230">
          <w:rPr>
            <w:rStyle w:val="Hyperlink"/>
            <w:rFonts w:ascii="Verdana" w:hAnsi="Verdana"/>
            <w:i w:val="0"/>
            <w:noProof/>
          </w:rPr>
          <w:t>B.2 Determinación del paradero de la víctima</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_Toc526152723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40</w:t>
        </w:r>
        <w:r w:rsidR="00100230" w:rsidRPr="00100230">
          <w:rPr>
            <w:rFonts w:ascii="Verdana" w:hAnsi="Verdana"/>
            <w:i w:val="0"/>
            <w:noProof/>
            <w:webHidden/>
          </w:rPr>
          <w:fldChar w:fldCharType="end"/>
        </w:r>
      </w:hyperlink>
    </w:p>
    <w:p w14:paraId="1B84D806"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24" w:history="1">
        <w:r w:rsidR="00100230" w:rsidRPr="00100230">
          <w:rPr>
            <w:rStyle w:val="Hyperlink"/>
            <w:rFonts w:ascii="Verdana" w:hAnsi="Verdana"/>
            <w:noProof/>
          </w:rPr>
          <w:t>C.</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Medidas de satisfacción, rehabilitación y garantías de no repetición</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_Toc526152724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41</w:t>
        </w:r>
        <w:r w:rsidR="00100230" w:rsidRPr="00100230">
          <w:rPr>
            <w:rFonts w:ascii="Verdana" w:hAnsi="Verdana"/>
            <w:noProof/>
            <w:webHidden/>
          </w:rPr>
          <w:fldChar w:fldCharType="end"/>
        </w:r>
      </w:hyperlink>
    </w:p>
    <w:p w14:paraId="526022BD"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25" w:history="1">
        <w:r w:rsidR="00100230" w:rsidRPr="00100230">
          <w:rPr>
            <w:rStyle w:val="Hyperlink"/>
            <w:rFonts w:ascii="Verdana" w:hAnsi="Verdana"/>
            <w:i w:val="0"/>
            <w:noProof/>
          </w:rPr>
          <w:t>C.1 Rehabilitación</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_Toc526152725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41</w:t>
        </w:r>
        <w:r w:rsidR="00100230" w:rsidRPr="00100230">
          <w:rPr>
            <w:rFonts w:ascii="Verdana" w:hAnsi="Verdana"/>
            <w:i w:val="0"/>
            <w:noProof/>
            <w:webHidden/>
          </w:rPr>
          <w:fldChar w:fldCharType="end"/>
        </w:r>
      </w:hyperlink>
    </w:p>
    <w:p w14:paraId="4D218E37"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26" w:history="1">
        <w:r w:rsidR="00100230" w:rsidRPr="00100230">
          <w:rPr>
            <w:rStyle w:val="Hyperlink"/>
            <w:rFonts w:ascii="Verdana" w:hAnsi="Verdana"/>
            <w:i w:val="0"/>
            <w:noProof/>
          </w:rPr>
          <w:t>C.2 Medidas de Satisfacción</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_Toc526152726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42</w:t>
        </w:r>
        <w:r w:rsidR="00100230" w:rsidRPr="00100230">
          <w:rPr>
            <w:rFonts w:ascii="Verdana" w:hAnsi="Verdana"/>
            <w:i w:val="0"/>
            <w:noProof/>
            <w:webHidden/>
          </w:rPr>
          <w:fldChar w:fldCharType="end"/>
        </w:r>
      </w:hyperlink>
    </w:p>
    <w:p w14:paraId="1B59C0DB"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27" w:history="1">
        <w:r w:rsidR="00100230" w:rsidRPr="00100230">
          <w:rPr>
            <w:rStyle w:val="Hyperlink"/>
            <w:rFonts w:ascii="Verdana" w:hAnsi="Verdana"/>
            <w:noProof/>
          </w:rPr>
          <w:t>D.</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Otras medidas solicitadas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_Toc526152727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43</w:t>
        </w:r>
        <w:r w:rsidR="00100230" w:rsidRPr="00100230">
          <w:rPr>
            <w:rFonts w:ascii="Verdana" w:hAnsi="Verdana"/>
            <w:noProof/>
            <w:webHidden/>
          </w:rPr>
          <w:fldChar w:fldCharType="end"/>
        </w:r>
      </w:hyperlink>
    </w:p>
    <w:p w14:paraId="5D48421C"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28" w:history="1">
        <w:r w:rsidR="00100230" w:rsidRPr="00100230">
          <w:rPr>
            <w:rStyle w:val="Hyperlink"/>
            <w:rFonts w:ascii="Verdana" w:hAnsi="Verdana"/>
            <w:noProof/>
          </w:rPr>
          <w:t>E.</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Indemnizaciones Compensatorias: Daño material e inmaterial</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_Toc526152728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44</w:t>
        </w:r>
        <w:r w:rsidR="00100230" w:rsidRPr="00100230">
          <w:rPr>
            <w:rFonts w:ascii="Verdana" w:hAnsi="Verdana"/>
            <w:noProof/>
            <w:webHidden/>
          </w:rPr>
          <w:fldChar w:fldCharType="end"/>
        </w:r>
      </w:hyperlink>
    </w:p>
    <w:p w14:paraId="381D20FC" w14:textId="77777777" w:rsidR="00100230" w:rsidRPr="00100230" w:rsidRDefault="00087178" w:rsidP="00100230">
      <w:pPr>
        <w:pStyle w:val="TOC3"/>
        <w:tabs>
          <w:tab w:val="left" w:pos="426"/>
          <w:tab w:val="left" w:pos="1000"/>
          <w:tab w:val="right" w:leader="dot" w:pos="9394"/>
        </w:tabs>
        <w:ind w:left="0"/>
        <w:jc w:val="both"/>
        <w:rPr>
          <w:rFonts w:ascii="Verdana" w:eastAsiaTheme="minorEastAsia" w:hAnsi="Verdana" w:cstheme="minorBidi"/>
          <w:i w:val="0"/>
          <w:iCs w:val="0"/>
          <w:noProof/>
          <w:lang w:val="es-CR" w:eastAsia="es-CR"/>
        </w:rPr>
      </w:pPr>
      <w:hyperlink w:anchor="_Toc526152729" w:history="1">
        <w:r w:rsidR="00100230" w:rsidRPr="00100230">
          <w:rPr>
            <w:rStyle w:val="Hyperlink"/>
            <w:rFonts w:ascii="Verdana" w:hAnsi="Verdana"/>
            <w:i w:val="0"/>
            <w:noProof/>
          </w:rPr>
          <w:t>E.1.</w:t>
        </w:r>
        <w:r w:rsidR="00100230" w:rsidRPr="00100230">
          <w:rPr>
            <w:rFonts w:ascii="Verdana" w:eastAsiaTheme="minorEastAsia" w:hAnsi="Verdana" w:cstheme="minorBidi"/>
            <w:i w:val="0"/>
            <w:iCs w:val="0"/>
            <w:noProof/>
            <w:lang w:val="es-CR" w:eastAsia="es-CR"/>
          </w:rPr>
          <w:tab/>
        </w:r>
        <w:r w:rsidR="00100230" w:rsidRPr="00100230">
          <w:rPr>
            <w:rStyle w:val="Hyperlink"/>
            <w:rFonts w:ascii="Verdana" w:hAnsi="Verdana"/>
            <w:i w:val="0"/>
            <w:noProof/>
          </w:rPr>
          <w:t>Daño material</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_Toc526152729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44</w:t>
        </w:r>
        <w:r w:rsidR="00100230" w:rsidRPr="00100230">
          <w:rPr>
            <w:rFonts w:ascii="Verdana" w:hAnsi="Verdana"/>
            <w:i w:val="0"/>
            <w:noProof/>
            <w:webHidden/>
          </w:rPr>
          <w:fldChar w:fldCharType="end"/>
        </w:r>
      </w:hyperlink>
    </w:p>
    <w:p w14:paraId="50874434" w14:textId="77777777" w:rsidR="00100230" w:rsidRPr="00100230" w:rsidRDefault="00087178" w:rsidP="00100230">
      <w:pPr>
        <w:pStyle w:val="TOC3"/>
        <w:tabs>
          <w:tab w:val="left" w:pos="426"/>
          <w:tab w:val="right" w:leader="dot" w:pos="9394"/>
        </w:tabs>
        <w:ind w:left="0"/>
        <w:jc w:val="both"/>
        <w:rPr>
          <w:rFonts w:ascii="Verdana" w:eastAsiaTheme="minorEastAsia" w:hAnsi="Verdana" w:cstheme="minorBidi"/>
          <w:i w:val="0"/>
          <w:iCs w:val="0"/>
          <w:noProof/>
          <w:lang w:val="es-CR" w:eastAsia="es-CR"/>
        </w:rPr>
      </w:pPr>
      <w:hyperlink w:anchor="_Toc526152730" w:history="1">
        <w:r w:rsidR="00100230" w:rsidRPr="00100230">
          <w:rPr>
            <w:rStyle w:val="Hyperlink"/>
            <w:rFonts w:ascii="Verdana" w:hAnsi="Verdana"/>
            <w:i w:val="0"/>
            <w:noProof/>
          </w:rPr>
          <w:t>E.2 Daño Inmaterial</w:t>
        </w:r>
        <w:r w:rsidR="00100230" w:rsidRPr="00100230">
          <w:rPr>
            <w:rFonts w:ascii="Verdana" w:hAnsi="Verdana"/>
            <w:i w:val="0"/>
            <w:noProof/>
            <w:webHidden/>
          </w:rPr>
          <w:tab/>
        </w:r>
        <w:r w:rsidR="00100230" w:rsidRPr="00100230">
          <w:rPr>
            <w:rFonts w:ascii="Verdana" w:hAnsi="Verdana"/>
            <w:i w:val="0"/>
            <w:noProof/>
            <w:webHidden/>
          </w:rPr>
          <w:fldChar w:fldCharType="begin"/>
        </w:r>
        <w:r w:rsidR="00100230" w:rsidRPr="00100230">
          <w:rPr>
            <w:rFonts w:ascii="Verdana" w:hAnsi="Verdana"/>
            <w:i w:val="0"/>
            <w:noProof/>
            <w:webHidden/>
          </w:rPr>
          <w:instrText xml:space="preserve"> PAGEREF _Toc526152730 \h </w:instrText>
        </w:r>
        <w:r w:rsidR="00100230" w:rsidRPr="00100230">
          <w:rPr>
            <w:rFonts w:ascii="Verdana" w:hAnsi="Verdana"/>
            <w:i w:val="0"/>
            <w:noProof/>
            <w:webHidden/>
          </w:rPr>
        </w:r>
        <w:r w:rsidR="00100230" w:rsidRPr="00100230">
          <w:rPr>
            <w:rFonts w:ascii="Verdana" w:hAnsi="Verdana"/>
            <w:i w:val="0"/>
            <w:noProof/>
            <w:webHidden/>
          </w:rPr>
          <w:fldChar w:fldCharType="separate"/>
        </w:r>
        <w:r>
          <w:rPr>
            <w:rFonts w:ascii="Verdana" w:hAnsi="Verdana"/>
            <w:i w:val="0"/>
            <w:noProof/>
            <w:webHidden/>
          </w:rPr>
          <w:t>45</w:t>
        </w:r>
        <w:r w:rsidR="00100230" w:rsidRPr="00100230">
          <w:rPr>
            <w:rFonts w:ascii="Verdana" w:hAnsi="Verdana"/>
            <w:i w:val="0"/>
            <w:noProof/>
            <w:webHidden/>
          </w:rPr>
          <w:fldChar w:fldCharType="end"/>
        </w:r>
      </w:hyperlink>
    </w:p>
    <w:p w14:paraId="705064DE"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31" w:history="1">
        <w:r w:rsidR="00100230" w:rsidRPr="00100230">
          <w:rPr>
            <w:rStyle w:val="Hyperlink"/>
            <w:rFonts w:ascii="Verdana" w:hAnsi="Verdana"/>
            <w:noProof/>
          </w:rPr>
          <w:t>F.</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Costas y gastos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_Toc526152731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46</w:t>
        </w:r>
        <w:r w:rsidR="00100230" w:rsidRPr="00100230">
          <w:rPr>
            <w:rFonts w:ascii="Verdana" w:hAnsi="Verdana"/>
            <w:noProof/>
            <w:webHidden/>
          </w:rPr>
          <w:fldChar w:fldCharType="end"/>
        </w:r>
      </w:hyperlink>
    </w:p>
    <w:p w14:paraId="573A7AA7"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32" w:history="1">
        <w:r w:rsidR="00100230" w:rsidRPr="00100230">
          <w:rPr>
            <w:rStyle w:val="Hyperlink"/>
            <w:rFonts w:ascii="Verdana" w:hAnsi="Verdana"/>
            <w:noProof/>
          </w:rPr>
          <w:t>G.</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Reintegro de los gastos al Fondo de Asistencia Legal de Víctimas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_Toc526152732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47</w:t>
        </w:r>
        <w:r w:rsidR="00100230" w:rsidRPr="00100230">
          <w:rPr>
            <w:rFonts w:ascii="Verdana" w:hAnsi="Verdana"/>
            <w:noProof/>
            <w:webHidden/>
          </w:rPr>
          <w:fldChar w:fldCharType="end"/>
        </w:r>
      </w:hyperlink>
    </w:p>
    <w:p w14:paraId="798048FB" w14:textId="77777777" w:rsidR="00100230" w:rsidRPr="00100230" w:rsidRDefault="00087178" w:rsidP="00100230">
      <w:pPr>
        <w:pStyle w:val="TOC2"/>
        <w:tabs>
          <w:tab w:val="left" w:pos="426"/>
          <w:tab w:val="left" w:pos="600"/>
          <w:tab w:val="right" w:leader="dot" w:pos="9394"/>
        </w:tabs>
        <w:ind w:left="0"/>
        <w:jc w:val="both"/>
        <w:rPr>
          <w:rFonts w:ascii="Verdana" w:eastAsiaTheme="minorEastAsia" w:hAnsi="Verdana" w:cstheme="minorBidi"/>
          <w:smallCaps w:val="0"/>
          <w:noProof/>
          <w:lang w:val="es-CR" w:eastAsia="es-CR"/>
        </w:rPr>
      </w:pPr>
      <w:hyperlink w:anchor="_Toc526152733" w:history="1">
        <w:r w:rsidR="00100230" w:rsidRPr="00100230">
          <w:rPr>
            <w:rStyle w:val="Hyperlink"/>
            <w:rFonts w:ascii="Verdana" w:hAnsi="Verdana"/>
            <w:noProof/>
          </w:rPr>
          <w:t>H.</w:t>
        </w:r>
        <w:r w:rsidR="00100230" w:rsidRPr="00100230">
          <w:rPr>
            <w:rFonts w:ascii="Verdana" w:eastAsiaTheme="minorEastAsia" w:hAnsi="Verdana" w:cstheme="minorBidi"/>
            <w:smallCaps w:val="0"/>
            <w:noProof/>
            <w:lang w:val="es-CR" w:eastAsia="es-CR"/>
          </w:rPr>
          <w:tab/>
        </w:r>
        <w:r w:rsidR="00100230" w:rsidRPr="00100230">
          <w:rPr>
            <w:rStyle w:val="Hyperlink"/>
            <w:rFonts w:ascii="Verdana" w:hAnsi="Verdana"/>
            <w:noProof/>
          </w:rPr>
          <w:t>Modalidad de cumplimiento de los pagos ordenados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_Toc526152733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48</w:t>
        </w:r>
        <w:r w:rsidR="00100230" w:rsidRPr="00100230">
          <w:rPr>
            <w:rFonts w:ascii="Verdana" w:hAnsi="Verdana"/>
            <w:noProof/>
            <w:webHidden/>
          </w:rPr>
          <w:fldChar w:fldCharType="end"/>
        </w:r>
      </w:hyperlink>
    </w:p>
    <w:p w14:paraId="497CD01A" w14:textId="77777777" w:rsidR="00100230" w:rsidRPr="00100230" w:rsidRDefault="00087178" w:rsidP="00100230">
      <w:pPr>
        <w:pStyle w:val="TOC1"/>
        <w:tabs>
          <w:tab w:val="left" w:pos="426"/>
          <w:tab w:val="right" w:leader="dot" w:pos="9394"/>
        </w:tabs>
        <w:jc w:val="both"/>
        <w:rPr>
          <w:rFonts w:ascii="Verdana" w:eastAsiaTheme="minorEastAsia" w:hAnsi="Verdana" w:cstheme="minorBidi"/>
          <w:b w:val="0"/>
          <w:bCs w:val="0"/>
          <w:caps w:val="0"/>
          <w:noProof/>
          <w:lang w:val="es-CR" w:eastAsia="es-CR"/>
        </w:rPr>
      </w:pPr>
      <w:hyperlink w:anchor="_Toc526152734" w:history="1">
        <w:r w:rsidR="00100230" w:rsidRPr="00100230">
          <w:rPr>
            <w:rStyle w:val="Hyperlink"/>
            <w:rFonts w:ascii="Verdana" w:hAnsi="Verdana"/>
            <w:noProof/>
          </w:rPr>
          <w:t>X PUNTOS RESOLUTIVOS</w:t>
        </w:r>
        <w:r w:rsidR="00100230" w:rsidRPr="00100230">
          <w:rPr>
            <w:rFonts w:ascii="Verdana" w:hAnsi="Verdana"/>
            <w:noProof/>
            <w:webHidden/>
          </w:rPr>
          <w:tab/>
        </w:r>
        <w:r w:rsidR="00100230" w:rsidRPr="00100230">
          <w:rPr>
            <w:rFonts w:ascii="Verdana" w:hAnsi="Verdana"/>
            <w:noProof/>
            <w:webHidden/>
          </w:rPr>
          <w:fldChar w:fldCharType="begin"/>
        </w:r>
        <w:r w:rsidR="00100230" w:rsidRPr="00100230">
          <w:rPr>
            <w:rFonts w:ascii="Verdana" w:hAnsi="Verdana"/>
            <w:noProof/>
            <w:webHidden/>
          </w:rPr>
          <w:instrText xml:space="preserve"> PAGEREF _Toc526152734 \h </w:instrText>
        </w:r>
        <w:r w:rsidR="00100230" w:rsidRPr="00100230">
          <w:rPr>
            <w:rFonts w:ascii="Verdana" w:hAnsi="Verdana"/>
            <w:noProof/>
            <w:webHidden/>
          </w:rPr>
        </w:r>
        <w:r w:rsidR="00100230" w:rsidRPr="00100230">
          <w:rPr>
            <w:rFonts w:ascii="Verdana" w:hAnsi="Verdana"/>
            <w:noProof/>
            <w:webHidden/>
          </w:rPr>
          <w:fldChar w:fldCharType="separate"/>
        </w:r>
        <w:r>
          <w:rPr>
            <w:rFonts w:ascii="Verdana" w:hAnsi="Verdana"/>
            <w:noProof/>
            <w:webHidden/>
          </w:rPr>
          <w:t>49</w:t>
        </w:r>
        <w:r w:rsidR="00100230" w:rsidRPr="00100230">
          <w:rPr>
            <w:rFonts w:ascii="Verdana" w:hAnsi="Verdana"/>
            <w:noProof/>
            <w:webHidden/>
          </w:rPr>
          <w:fldChar w:fldCharType="end"/>
        </w:r>
      </w:hyperlink>
    </w:p>
    <w:p w14:paraId="7277562D" w14:textId="77777777" w:rsidR="00AB0DA7" w:rsidRPr="00100230" w:rsidRDefault="00AB0DA7" w:rsidP="00100230">
      <w:pPr>
        <w:tabs>
          <w:tab w:val="left" w:pos="426"/>
          <w:tab w:val="left" w:pos="567"/>
          <w:tab w:val="right" w:leader="dot" w:pos="9394"/>
        </w:tabs>
        <w:jc w:val="both"/>
        <w:rPr>
          <w:szCs w:val="20"/>
          <w:lang w:val="es-CR"/>
        </w:rPr>
      </w:pPr>
      <w:r w:rsidRPr="00100230">
        <w:rPr>
          <w:szCs w:val="20"/>
          <w:lang w:val="es-CR"/>
        </w:rPr>
        <w:fldChar w:fldCharType="end"/>
      </w:r>
    </w:p>
    <w:p w14:paraId="13F4E902" w14:textId="77777777" w:rsidR="00AB0DA7" w:rsidRPr="00100230" w:rsidRDefault="00AB0DA7" w:rsidP="00100230">
      <w:pPr>
        <w:tabs>
          <w:tab w:val="left" w:pos="426"/>
          <w:tab w:val="left" w:pos="567"/>
        </w:tabs>
        <w:jc w:val="center"/>
        <w:rPr>
          <w:szCs w:val="20"/>
          <w:lang w:val="es-CR"/>
        </w:rPr>
      </w:pPr>
    </w:p>
    <w:p w14:paraId="53ED3A6A" w14:textId="77777777" w:rsidR="00AB0DA7" w:rsidRPr="00100230" w:rsidRDefault="00AB0DA7" w:rsidP="00100230">
      <w:pPr>
        <w:tabs>
          <w:tab w:val="left" w:pos="426"/>
          <w:tab w:val="left" w:pos="567"/>
        </w:tabs>
        <w:jc w:val="center"/>
        <w:rPr>
          <w:szCs w:val="20"/>
          <w:lang w:val="es-CR"/>
        </w:rPr>
      </w:pPr>
    </w:p>
    <w:p w14:paraId="52384007" w14:textId="77777777" w:rsidR="00AB0DA7" w:rsidRPr="00100230" w:rsidRDefault="00AB0DA7" w:rsidP="00100230">
      <w:pPr>
        <w:tabs>
          <w:tab w:val="left" w:pos="426"/>
          <w:tab w:val="left" w:pos="567"/>
        </w:tabs>
        <w:jc w:val="center"/>
        <w:rPr>
          <w:szCs w:val="20"/>
          <w:lang w:val="es-CR"/>
        </w:rPr>
      </w:pPr>
    </w:p>
    <w:p w14:paraId="3A92A7CC" w14:textId="77777777" w:rsidR="00AB0DA7" w:rsidRPr="00100230" w:rsidRDefault="00AB0DA7" w:rsidP="00100230">
      <w:pPr>
        <w:tabs>
          <w:tab w:val="left" w:pos="426"/>
          <w:tab w:val="left" w:pos="567"/>
        </w:tabs>
        <w:jc w:val="center"/>
        <w:rPr>
          <w:szCs w:val="20"/>
          <w:lang w:val="es-CR"/>
        </w:rPr>
      </w:pPr>
    </w:p>
    <w:p w14:paraId="332AD8AD" w14:textId="77777777" w:rsidR="00AB0DA7" w:rsidRPr="00100230" w:rsidRDefault="00AB0DA7" w:rsidP="00100230">
      <w:pPr>
        <w:tabs>
          <w:tab w:val="left" w:pos="426"/>
          <w:tab w:val="left" w:pos="567"/>
        </w:tabs>
        <w:jc w:val="center"/>
        <w:rPr>
          <w:szCs w:val="20"/>
          <w:lang w:val="es-CR"/>
        </w:rPr>
      </w:pPr>
    </w:p>
    <w:p w14:paraId="5E371FAB" w14:textId="77777777" w:rsidR="00AB0DA7" w:rsidRPr="00100230" w:rsidRDefault="00AB0DA7" w:rsidP="00100230">
      <w:pPr>
        <w:tabs>
          <w:tab w:val="left" w:pos="426"/>
          <w:tab w:val="left" w:pos="567"/>
        </w:tabs>
        <w:jc w:val="center"/>
        <w:rPr>
          <w:szCs w:val="20"/>
          <w:lang w:val="es-CR"/>
        </w:rPr>
      </w:pPr>
    </w:p>
    <w:p w14:paraId="7E80259E" w14:textId="77777777" w:rsidR="00AB0DA7" w:rsidRDefault="00AB0DA7" w:rsidP="00EE5E64">
      <w:pPr>
        <w:tabs>
          <w:tab w:val="left" w:pos="567"/>
        </w:tabs>
        <w:jc w:val="center"/>
        <w:rPr>
          <w:szCs w:val="20"/>
          <w:lang w:val="es-CR"/>
        </w:rPr>
      </w:pPr>
    </w:p>
    <w:p w14:paraId="2A8B497C" w14:textId="77777777" w:rsidR="00AB0DA7" w:rsidRDefault="00AB0DA7" w:rsidP="00EE5E64">
      <w:pPr>
        <w:tabs>
          <w:tab w:val="left" w:pos="567"/>
        </w:tabs>
        <w:jc w:val="center"/>
        <w:rPr>
          <w:szCs w:val="20"/>
          <w:lang w:val="es-CR"/>
        </w:rPr>
      </w:pPr>
    </w:p>
    <w:p w14:paraId="76DDDFB5" w14:textId="77777777" w:rsidR="00AB0DA7" w:rsidRDefault="00AB0DA7" w:rsidP="00EE5E64">
      <w:pPr>
        <w:tabs>
          <w:tab w:val="left" w:pos="567"/>
        </w:tabs>
        <w:jc w:val="center"/>
        <w:rPr>
          <w:szCs w:val="20"/>
          <w:lang w:val="es-CR"/>
        </w:rPr>
      </w:pPr>
    </w:p>
    <w:p w14:paraId="415B55D3" w14:textId="77777777" w:rsidR="00AB0DA7" w:rsidRDefault="00AB0DA7" w:rsidP="00EE5E64">
      <w:pPr>
        <w:tabs>
          <w:tab w:val="left" w:pos="567"/>
        </w:tabs>
        <w:jc w:val="center"/>
        <w:rPr>
          <w:szCs w:val="20"/>
          <w:lang w:val="es-CR"/>
        </w:rPr>
      </w:pPr>
    </w:p>
    <w:p w14:paraId="5E98F439" w14:textId="77777777" w:rsidR="00AB0DA7" w:rsidRDefault="00AB0DA7" w:rsidP="00EE5E64">
      <w:pPr>
        <w:tabs>
          <w:tab w:val="left" w:pos="567"/>
        </w:tabs>
        <w:jc w:val="center"/>
        <w:rPr>
          <w:szCs w:val="20"/>
          <w:lang w:val="es-CR"/>
        </w:rPr>
      </w:pPr>
    </w:p>
    <w:p w14:paraId="190B3A00" w14:textId="77777777" w:rsidR="00AB0DA7" w:rsidRDefault="00AB0DA7" w:rsidP="00EE5E64">
      <w:pPr>
        <w:tabs>
          <w:tab w:val="left" w:pos="567"/>
        </w:tabs>
        <w:jc w:val="center"/>
        <w:rPr>
          <w:szCs w:val="20"/>
          <w:lang w:val="es-CR"/>
        </w:rPr>
      </w:pPr>
    </w:p>
    <w:p w14:paraId="422237AC" w14:textId="77777777" w:rsidR="00AB0DA7" w:rsidRDefault="00AB0DA7" w:rsidP="00EE5E64">
      <w:pPr>
        <w:tabs>
          <w:tab w:val="left" w:pos="567"/>
        </w:tabs>
        <w:jc w:val="center"/>
        <w:rPr>
          <w:szCs w:val="20"/>
          <w:lang w:val="es-CR"/>
        </w:rPr>
      </w:pPr>
    </w:p>
    <w:p w14:paraId="6DB0C84C" w14:textId="77777777" w:rsidR="00AB0DA7" w:rsidRDefault="00AB0DA7" w:rsidP="00EE5E64">
      <w:pPr>
        <w:tabs>
          <w:tab w:val="left" w:pos="567"/>
        </w:tabs>
        <w:jc w:val="center"/>
        <w:rPr>
          <w:szCs w:val="20"/>
          <w:lang w:val="es-CR"/>
        </w:rPr>
      </w:pPr>
    </w:p>
    <w:p w14:paraId="79A434B0" w14:textId="77777777" w:rsidR="00AB0DA7" w:rsidRDefault="00AB0DA7" w:rsidP="00EE5E64">
      <w:pPr>
        <w:tabs>
          <w:tab w:val="left" w:pos="567"/>
        </w:tabs>
        <w:jc w:val="center"/>
        <w:rPr>
          <w:szCs w:val="20"/>
          <w:lang w:val="es-CR"/>
        </w:rPr>
      </w:pPr>
    </w:p>
    <w:p w14:paraId="0103A5E8" w14:textId="77777777" w:rsidR="00AB0DA7" w:rsidRDefault="00AB0DA7" w:rsidP="00EE5E64">
      <w:pPr>
        <w:tabs>
          <w:tab w:val="left" w:pos="567"/>
        </w:tabs>
        <w:jc w:val="center"/>
        <w:rPr>
          <w:szCs w:val="20"/>
          <w:lang w:val="es-CR"/>
        </w:rPr>
      </w:pPr>
    </w:p>
    <w:p w14:paraId="31525912" w14:textId="77777777" w:rsidR="00AB0DA7" w:rsidRDefault="00AB0DA7" w:rsidP="00EE5E64">
      <w:pPr>
        <w:tabs>
          <w:tab w:val="left" w:pos="567"/>
        </w:tabs>
        <w:jc w:val="center"/>
        <w:rPr>
          <w:szCs w:val="20"/>
          <w:lang w:val="es-CR"/>
        </w:rPr>
      </w:pPr>
    </w:p>
    <w:p w14:paraId="78C5740D" w14:textId="77777777" w:rsidR="00AB0DA7" w:rsidRDefault="00AB0DA7" w:rsidP="00EE5E64">
      <w:pPr>
        <w:tabs>
          <w:tab w:val="left" w:pos="567"/>
        </w:tabs>
        <w:jc w:val="center"/>
        <w:rPr>
          <w:szCs w:val="20"/>
          <w:lang w:val="es-CR"/>
        </w:rPr>
      </w:pPr>
    </w:p>
    <w:p w14:paraId="651EFE96" w14:textId="77777777" w:rsidR="00AB0DA7" w:rsidRDefault="00AB0DA7" w:rsidP="00EE5E64">
      <w:pPr>
        <w:tabs>
          <w:tab w:val="left" w:pos="567"/>
        </w:tabs>
        <w:jc w:val="center"/>
        <w:rPr>
          <w:szCs w:val="20"/>
          <w:lang w:val="es-CR"/>
        </w:rPr>
      </w:pPr>
    </w:p>
    <w:p w14:paraId="6AEF152A" w14:textId="77777777" w:rsidR="00AB0DA7" w:rsidRDefault="00AB0DA7" w:rsidP="00EE5E64">
      <w:pPr>
        <w:tabs>
          <w:tab w:val="left" w:pos="567"/>
        </w:tabs>
        <w:jc w:val="center"/>
        <w:rPr>
          <w:szCs w:val="20"/>
          <w:lang w:val="es-CR"/>
        </w:rPr>
      </w:pPr>
    </w:p>
    <w:p w14:paraId="04B68C66" w14:textId="77777777" w:rsidR="00AB0DA7" w:rsidRDefault="00AB0DA7" w:rsidP="00EE5E64">
      <w:pPr>
        <w:tabs>
          <w:tab w:val="left" w:pos="567"/>
        </w:tabs>
        <w:jc w:val="center"/>
        <w:rPr>
          <w:szCs w:val="20"/>
          <w:lang w:val="es-CR"/>
        </w:rPr>
      </w:pPr>
    </w:p>
    <w:p w14:paraId="7E7928BC" w14:textId="77777777" w:rsidR="00AB0DA7" w:rsidRDefault="00AB0DA7" w:rsidP="00EE5E64">
      <w:pPr>
        <w:tabs>
          <w:tab w:val="left" w:pos="567"/>
        </w:tabs>
        <w:jc w:val="center"/>
        <w:rPr>
          <w:szCs w:val="20"/>
          <w:lang w:val="es-CR"/>
        </w:rPr>
      </w:pPr>
    </w:p>
    <w:p w14:paraId="231CEB73" w14:textId="77777777" w:rsidR="00D16772" w:rsidRDefault="00D16772" w:rsidP="00D16772">
      <w:pPr>
        <w:pStyle w:val="Title"/>
        <w:tabs>
          <w:tab w:val="left" w:pos="567"/>
        </w:tabs>
        <w:jc w:val="left"/>
        <w:outlineLvl w:val="9"/>
        <w:rPr>
          <w:b w:val="0"/>
          <w:lang w:eastAsia="en-US"/>
        </w:rPr>
      </w:pPr>
      <w:bookmarkStart w:id="14" w:name="_Toc424833995"/>
      <w:bookmarkStart w:id="15" w:name="_Toc424834679"/>
      <w:bookmarkStart w:id="16" w:name="_Toc424834746"/>
      <w:bookmarkStart w:id="17" w:name="_Toc427234534"/>
      <w:bookmarkStart w:id="18" w:name="_Toc427342823"/>
      <w:bookmarkStart w:id="19" w:name="_Toc427663809"/>
      <w:bookmarkStart w:id="20" w:name="_Toc427932785"/>
      <w:bookmarkStart w:id="21" w:name="_Toc427943548"/>
      <w:bookmarkStart w:id="22" w:name="_Toc427943722"/>
      <w:bookmarkStart w:id="23" w:name="_Toc431584602"/>
      <w:bookmarkStart w:id="24" w:name="_Toc431584718"/>
      <w:bookmarkStart w:id="25" w:name="_Toc431585023"/>
      <w:bookmarkStart w:id="26" w:name="_Toc431646540"/>
      <w:bookmarkStart w:id="27" w:name="_Toc431834523"/>
      <w:bookmarkStart w:id="28" w:name="_Toc431834619"/>
      <w:bookmarkStart w:id="29" w:name="_Toc308537924"/>
      <w:bookmarkStart w:id="30" w:name="_Toc308538144"/>
      <w:bookmarkStart w:id="31" w:name="_Toc434849616"/>
      <w:bookmarkStart w:id="32" w:name="_Toc434849911"/>
      <w:bookmarkStart w:id="33" w:name="_Toc434850390"/>
      <w:bookmarkStart w:id="34" w:name="_Toc469594898"/>
      <w:bookmarkStart w:id="35" w:name="_Toc469664207"/>
      <w:bookmarkStart w:id="36" w:name="_Toc469664469"/>
      <w:bookmarkStart w:id="37" w:name="_Toc469940914"/>
    </w:p>
    <w:p w14:paraId="1D2C1C41" w14:textId="77777777" w:rsidR="00997F58" w:rsidRDefault="00997F58" w:rsidP="00997F58">
      <w:pPr>
        <w:rPr>
          <w:lang w:val="es-CR"/>
        </w:rPr>
      </w:pPr>
    </w:p>
    <w:p w14:paraId="4044A209" w14:textId="77777777" w:rsidR="00997F58" w:rsidRDefault="00997F58" w:rsidP="00997F58">
      <w:pPr>
        <w:rPr>
          <w:lang w:val="es-CR"/>
        </w:rPr>
      </w:pPr>
    </w:p>
    <w:p w14:paraId="2409047E" w14:textId="77777777" w:rsidR="00997F58" w:rsidRPr="00997F58" w:rsidRDefault="00997F58" w:rsidP="00997F58">
      <w:pPr>
        <w:rPr>
          <w:lang w:val="es-CR"/>
        </w:rPr>
      </w:pPr>
    </w:p>
    <w:p w14:paraId="5124F3D6" w14:textId="77777777" w:rsidR="00D16772" w:rsidRDefault="00D16772" w:rsidP="00D16772">
      <w:pPr>
        <w:pStyle w:val="Title"/>
        <w:tabs>
          <w:tab w:val="left" w:pos="567"/>
        </w:tabs>
        <w:jc w:val="left"/>
        <w:outlineLvl w:val="9"/>
      </w:pPr>
    </w:p>
    <w:p w14:paraId="33AB5A82" w14:textId="77777777" w:rsidR="00D16772" w:rsidRDefault="00D16772" w:rsidP="00D16772">
      <w:pPr>
        <w:pStyle w:val="Title"/>
        <w:tabs>
          <w:tab w:val="left" w:pos="567"/>
        </w:tabs>
        <w:outlineLvl w:val="9"/>
      </w:pPr>
    </w:p>
    <w:p w14:paraId="4E604085" w14:textId="07AB0AB2" w:rsidR="003E5472" w:rsidRPr="003633D2" w:rsidRDefault="003E5472" w:rsidP="00B5160D">
      <w:pPr>
        <w:pStyle w:val="Title"/>
        <w:tabs>
          <w:tab w:val="left" w:pos="567"/>
        </w:tabs>
      </w:pPr>
      <w:bookmarkStart w:id="38" w:name="_Toc526152683"/>
      <w:r w:rsidRPr="003633D2">
        <w:lastRenderedPageBreak/>
        <w:t>I</w:t>
      </w:r>
      <w:r w:rsidR="00B5160D">
        <w:br/>
      </w:r>
      <w:r w:rsidRPr="003633D2">
        <w:t>INTRODUCCIÓN DE LA CAUSA Y OBJETO DE LA CONTROVERSIA</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D97FFC3" w14:textId="77777777" w:rsidR="003E5472" w:rsidRPr="003633D2" w:rsidRDefault="003E5472" w:rsidP="00EE5E64">
      <w:pPr>
        <w:pStyle w:val="NoSpacing"/>
        <w:tabs>
          <w:tab w:val="left" w:pos="567"/>
        </w:tabs>
        <w:rPr>
          <w:rFonts w:ascii="Verdana" w:hAnsi="Verdana"/>
          <w:sz w:val="20"/>
          <w:szCs w:val="20"/>
          <w:lang w:val="es-CR"/>
        </w:rPr>
      </w:pPr>
    </w:p>
    <w:p w14:paraId="2B3BC6B0" w14:textId="25C3F8EB" w:rsidR="003E5472" w:rsidRPr="003633D2" w:rsidRDefault="003E5472" w:rsidP="009F7500">
      <w:pPr>
        <w:pStyle w:val="PrrafodeSentencia"/>
        <w:rPr>
          <w:b/>
        </w:rPr>
      </w:pPr>
      <w:bookmarkStart w:id="39" w:name="_Ref464815030"/>
      <w:bookmarkStart w:id="40" w:name="_Ref419215582"/>
      <w:bookmarkStart w:id="41" w:name="_Ref308343890"/>
      <w:bookmarkStart w:id="42" w:name="_Ref314691210"/>
      <w:bookmarkStart w:id="43" w:name="_Ref343554304"/>
      <w:r w:rsidRPr="003633D2">
        <w:rPr>
          <w:i/>
        </w:rPr>
        <w:t xml:space="preserve">El caso sometido a la Corte. - </w:t>
      </w:r>
      <w:r w:rsidRPr="003633D2">
        <w:t xml:space="preserve">El </w:t>
      </w:r>
      <w:r w:rsidR="00973C8C">
        <w:t>9 de junio de</w:t>
      </w:r>
      <w:r w:rsidR="002E2131" w:rsidRPr="003633D2">
        <w:t xml:space="preserve"> 2017</w:t>
      </w:r>
      <w:r w:rsidRPr="003633D2">
        <w:t xml:space="preserve"> la Comisión Interamericana de Derechos Humanos (en adelante “la Comisión Interamericana” o “la Comisión”) sometió a la jurisdicción de la Corte el caso </w:t>
      </w:r>
      <w:proofErr w:type="spellStart"/>
      <w:r w:rsidR="001D5861" w:rsidRPr="003633D2">
        <w:rPr>
          <w:i/>
        </w:rPr>
        <w:t>Munárriz</w:t>
      </w:r>
      <w:proofErr w:type="spellEnd"/>
      <w:r w:rsidR="002E2131" w:rsidRPr="003633D2">
        <w:rPr>
          <w:i/>
        </w:rPr>
        <w:t xml:space="preserve"> Escobar y otros </w:t>
      </w:r>
      <w:r w:rsidRPr="003633D2">
        <w:rPr>
          <w:i/>
          <w:iCs/>
        </w:rPr>
        <w:t xml:space="preserve">contra la República </w:t>
      </w:r>
      <w:r w:rsidR="002E2131" w:rsidRPr="003633D2">
        <w:rPr>
          <w:i/>
          <w:iCs/>
        </w:rPr>
        <w:t>de Perú</w:t>
      </w:r>
      <w:r w:rsidRPr="003633D2">
        <w:rPr>
          <w:i/>
          <w:iCs/>
        </w:rPr>
        <w:t xml:space="preserve"> </w:t>
      </w:r>
      <w:r w:rsidR="009C27B1" w:rsidRPr="003633D2">
        <w:t xml:space="preserve">(en adelante “el Estado”, “el Estado peruano” </w:t>
      </w:r>
      <w:r w:rsidRPr="003633D2">
        <w:t>o “</w:t>
      </w:r>
      <w:r w:rsidR="002E2131" w:rsidRPr="003633D2">
        <w:t>Perú</w:t>
      </w:r>
      <w:r w:rsidRPr="003633D2">
        <w:t xml:space="preserve">”). La Comisión señaló que </w:t>
      </w:r>
      <w:r w:rsidR="0051519F" w:rsidRPr="003633D2">
        <w:t>“</w:t>
      </w:r>
      <w:r w:rsidRPr="003633D2">
        <w:t xml:space="preserve">el presente caso se relaciona con la presunta desaparición forzada del señor </w:t>
      </w:r>
      <w:r w:rsidR="002E2131" w:rsidRPr="003633D2">
        <w:t xml:space="preserve">Walter </w:t>
      </w:r>
      <w:proofErr w:type="spellStart"/>
      <w:r w:rsidR="001D5861" w:rsidRPr="003633D2">
        <w:t>Munárriz</w:t>
      </w:r>
      <w:proofErr w:type="spellEnd"/>
      <w:r w:rsidR="002E2131" w:rsidRPr="003633D2">
        <w:t xml:space="preserve"> Escobar</w:t>
      </w:r>
      <w:r w:rsidRPr="003633D2">
        <w:t xml:space="preserve"> (en adelante “la presunta víctima”)</w:t>
      </w:r>
      <w:r w:rsidR="00ED1683" w:rsidRPr="003633D2">
        <w:t xml:space="preserve"> </w:t>
      </w:r>
      <w:r w:rsidR="0051519F" w:rsidRPr="003633D2">
        <w:t xml:space="preserve">desde el </w:t>
      </w:r>
      <w:r w:rsidR="00ED1683" w:rsidRPr="003633D2">
        <w:t>20 de marzo de 1999</w:t>
      </w:r>
      <w:r w:rsidR="0051519F" w:rsidRPr="003633D2">
        <w:t xml:space="preserve">, </w:t>
      </w:r>
      <w:r w:rsidR="0051519F" w:rsidRPr="003633D2">
        <w:rPr>
          <w:spacing w:val="0"/>
        </w:rPr>
        <w:t>después de ser detenido en el Hospedaje Los Manolos por personal policial y ll</w:t>
      </w:r>
      <w:r w:rsidR="00D16772">
        <w:rPr>
          <w:spacing w:val="0"/>
        </w:rPr>
        <w:t>evado a la Comisarí</w:t>
      </w:r>
      <w:r w:rsidR="00BE6BAF">
        <w:rPr>
          <w:spacing w:val="0"/>
        </w:rPr>
        <w:t xml:space="preserve">a de </w:t>
      </w:r>
      <w:proofErr w:type="spellStart"/>
      <w:r w:rsidR="00BE6BAF">
        <w:rPr>
          <w:spacing w:val="0"/>
        </w:rPr>
        <w:t>Lircay</w:t>
      </w:r>
      <w:proofErr w:type="spellEnd"/>
      <w:r w:rsidR="00BE6BAF">
        <w:rPr>
          <w:spacing w:val="0"/>
        </w:rPr>
        <w:t xml:space="preserve">, donde </w:t>
      </w:r>
      <w:r w:rsidR="0051519F" w:rsidRPr="003633D2">
        <w:rPr>
          <w:spacing w:val="0"/>
        </w:rPr>
        <w:t>estuvo privado de libertad</w:t>
      </w:r>
      <w:r w:rsidR="005E57D9" w:rsidRPr="003633D2">
        <w:t xml:space="preserve">. </w:t>
      </w:r>
      <w:r w:rsidR="00327E7C">
        <w:t>L</w:t>
      </w:r>
      <w:r w:rsidR="005E57D9" w:rsidRPr="003633D2">
        <w:t>a Comisión determinó que el Estado peruano no logr</w:t>
      </w:r>
      <w:r w:rsidR="007B39CF" w:rsidRPr="003633D2">
        <w:t>ó</w:t>
      </w:r>
      <w:r w:rsidR="005E57D9" w:rsidRPr="003633D2">
        <w:t xml:space="preserve"> demostrar la liberación de Walter </w:t>
      </w:r>
      <w:proofErr w:type="spellStart"/>
      <w:r w:rsidR="001D5861" w:rsidRPr="003633D2">
        <w:t>Munárriz</w:t>
      </w:r>
      <w:proofErr w:type="spellEnd"/>
      <w:r w:rsidR="005E57D9" w:rsidRPr="003633D2">
        <w:t xml:space="preserve"> Escobar y, por lo tanto, no pudo desvirtuar la participación de agentes estatales en su desaparición. Asimismo, la Comisión señaló que las autoridades estatales negaron que Walter </w:t>
      </w:r>
      <w:proofErr w:type="spellStart"/>
      <w:r w:rsidR="001D5861" w:rsidRPr="003633D2">
        <w:t>Munárriz</w:t>
      </w:r>
      <w:proofErr w:type="spellEnd"/>
      <w:r w:rsidR="005E57D9" w:rsidRPr="003633D2">
        <w:t xml:space="preserve"> Escobar contin</w:t>
      </w:r>
      <w:r w:rsidR="00E832D0">
        <w:t>u</w:t>
      </w:r>
      <w:r w:rsidR="000D146B">
        <w:t>ara</w:t>
      </w:r>
      <w:r w:rsidR="005E57D9" w:rsidRPr="003633D2">
        <w:t xml:space="preserve"> detenido bajo su custodia y se abstuvieron de dar información sobre su destino o paradero</w:t>
      </w:r>
      <w:r w:rsidR="000F4135" w:rsidRPr="003633D2">
        <w:t>.</w:t>
      </w:r>
      <w:r w:rsidRPr="003633D2">
        <w:t xml:space="preserve"> </w:t>
      </w:r>
      <w:bookmarkEnd w:id="39"/>
      <w:r w:rsidR="007B39CF" w:rsidRPr="003633D2">
        <w:t xml:space="preserve">Además, el caso se relaciona con la </w:t>
      </w:r>
      <w:r w:rsidR="000D146B">
        <w:t xml:space="preserve">alegada </w:t>
      </w:r>
      <w:r w:rsidR="007B39CF" w:rsidRPr="003633D2">
        <w:t>demora excesiva en la investigación de los hechos</w:t>
      </w:r>
      <w:r w:rsidR="00085120">
        <w:t>,</w:t>
      </w:r>
      <w:r w:rsidR="007B39CF" w:rsidRPr="003633D2">
        <w:t xml:space="preserve"> la tipificación inadecuada del delito de desaparición</w:t>
      </w:r>
      <w:r w:rsidR="00085120">
        <w:t xml:space="preserve"> y</w:t>
      </w:r>
      <w:r w:rsidR="007B39CF" w:rsidRPr="003633D2">
        <w:t xml:space="preserve"> la alegada violación al derecho a la integridad personal de los familiares de Walter </w:t>
      </w:r>
      <w:proofErr w:type="spellStart"/>
      <w:r w:rsidR="007B39CF" w:rsidRPr="003633D2">
        <w:t>Munárriz</w:t>
      </w:r>
      <w:proofErr w:type="spellEnd"/>
      <w:r w:rsidR="007B39CF" w:rsidRPr="003633D2">
        <w:t xml:space="preserve"> Escobar</w:t>
      </w:r>
      <w:r w:rsidR="007B39CF" w:rsidRPr="003633D2">
        <w:rPr>
          <w:rStyle w:val="FootnoteReference"/>
          <w:sz w:val="20"/>
          <w:szCs w:val="20"/>
        </w:rPr>
        <w:footnoteReference w:id="2"/>
      </w:r>
      <w:r w:rsidR="007B39CF" w:rsidRPr="003633D2">
        <w:t>.</w:t>
      </w:r>
      <w:r w:rsidR="007B39CF" w:rsidRPr="003633D2">
        <w:rPr>
          <w:b/>
        </w:rPr>
        <w:t xml:space="preserve"> </w:t>
      </w:r>
    </w:p>
    <w:p w14:paraId="2F422887" w14:textId="77777777" w:rsidR="003E5472" w:rsidRPr="003633D2" w:rsidRDefault="003E5472" w:rsidP="009F7500">
      <w:pPr>
        <w:pStyle w:val="PrrafodeSentencia"/>
        <w:numPr>
          <w:ilvl w:val="0"/>
          <w:numId w:val="0"/>
        </w:numPr>
      </w:pPr>
    </w:p>
    <w:p w14:paraId="18198DAD" w14:textId="77777777" w:rsidR="003E5472" w:rsidRPr="003633D2" w:rsidRDefault="003E5472" w:rsidP="009F7500">
      <w:pPr>
        <w:pStyle w:val="PrrafodeSentencia"/>
        <w:rPr>
          <w:b/>
        </w:rPr>
      </w:pPr>
      <w:bookmarkStart w:id="44" w:name="_Ref464811109"/>
      <w:r w:rsidRPr="003633D2">
        <w:rPr>
          <w:i/>
        </w:rPr>
        <w:t xml:space="preserve">Trámite ante la Comisión. - </w:t>
      </w:r>
      <w:r w:rsidRPr="003633D2">
        <w:t>El trámite ante la Comisión fue el siguiente:</w:t>
      </w:r>
      <w:bookmarkEnd w:id="40"/>
      <w:bookmarkEnd w:id="44"/>
    </w:p>
    <w:p w14:paraId="275CD607" w14:textId="77777777" w:rsidR="003E5472" w:rsidRPr="003633D2" w:rsidRDefault="003E5472" w:rsidP="009F7500">
      <w:pPr>
        <w:pStyle w:val="PrrafodeSentencia"/>
        <w:numPr>
          <w:ilvl w:val="0"/>
          <w:numId w:val="0"/>
        </w:numPr>
      </w:pPr>
    </w:p>
    <w:p w14:paraId="2F8B9C84" w14:textId="5CB181FC" w:rsidR="003E5472" w:rsidRPr="003633D2" w:rsidRDefault="003E5472" w:rsidP="00EE5E64">
      <w:pPr>
        <w:pStyle w:val="NoSpacing"/>
        <w:numPr>
          <w:ilvl w:val="0"/>
          <w:numId w:val="4"/>
        </w:numPr>
        <w:tabs>
          <w:tab w:val="left" w:pos="567"/>
          <w:tab w:val="left" w:pos="709"/>
          <w:tab w:val="left" w:pos="1134"/>
        </w:tabs>
        <w:jc w:val="both"/>
        <w:rPr>
          <w:rFonts w:ascii="Verdana" w:hAnsi="Verdana"/>
          <w:sz w:val="20"/>
          <w:szCs w:val="20"/>
          <w:lang w:val="es-CR"/>
        </w:rPr>
      </w:pPr>
      <w:r w:rsidRPr="003633D2">
        <w:rPr>
          <w:rFonts w:ascii="Verdana" w:hAnsi="Verdana"/>
          <w:i/>
          <w:sz w:val="20"/>
          <w:szCs w:val="20"/>
          <w:lang w:val="es-CR"/>
        </w:rPr>
        <w:t xml:space="preserve">Petición. – </w:t>
      </w:r>
      <w:r w:rsidRPr="003633D2">
        <w:rPr>
          <w:rFonts w:ascii="Verdana" w:hAnsi="Verdana"/>
          <w:sz w:val="20"/>
          <w:szCs w:val="20"/>
          <w:lang w:val="es-CR"/>
        </w:rPr>
        <w:t xml:space="preserve">El </w:t>
      </w:r>
      <w:r w:rsidR="0042044C" w:rsidRPr="003633D2">
        <w:rPr>
          <w:rFonts w:ascii="Verdana" w:hAnsi="Verdana"/>
          <w:sz w:val="20"/>
          <w:szCs w:val="20"/>
          <w:lang w:val="es-CR"/>
        </w:rPr>
        <w:t>2</w:t>
      </w:r>
      <w:r w:rsidR="00633A9F" w:rsidRPr="003633D2">
        <w:rPr>
          <w:rFonts w:ascii="Verdana" w:hAnsi="Verdana"/>
          <w:sz w:val="20"/>
          <w:szCs w:val="20"/>
          <w:lang w:val="es-CR"/>
        </w:rPr>
        <w:t>8</w:t>
      </w:r>
      <w:r w:rsidR="0042044C" w:rsidRPr="003633D2">
        <w:rPr>
          <w:rFonts w:ascii="Verdana" w:hAnsi="Verdana"/>
          <w:sz w:val="20"/>
          <w:szCs w:val="20"/>
          <w:lang w:val="es-CR"/>
        </w:rPr>
        <w:t xml:space="preserve"> de junio de 2005 la Comisión de Derechos Humanos (COMISEDH), en</w:t>
      </w:r>
      <w:r w:rsidRPr="003633D2">
        <w:rPr>
          <w:rFonts w:ascii="Verdana" w:hAnsi="Verdana"/>
          <w:sz w:val="20"/>
          <w:szCs w:val="20"/>
          <w:lang w:val="es-CR"/>
        </w:rPr>
        <w:t xml:space="preserve"> </w:t>
      </w:r>
      <w:r w:rsidR="0042044C" w:rsidRPr="003633D2">
        <w:rPr>
          <w:rFonts w:ascii="Verdana" w:hAnsi="Verdana"/>
          <w:sz w:val="20"/>
          <w:szCs w:val="20"/>
          <w:lang w:val="es-CR"/>
        </w:rPr>
        <w:t xml:space="preserve">representación de Walter </w:t>
      </w:r>
      <w:proofErr w:type="spellStart"/>
      <w:r w:rsidR="00CE6DDF" w:rsidRPr="003633D2">
        <w:rPr>
          <w:rFonts w:ascii="Verdana" w:hAnsi="Verdana"/>
          <w:sz w:val="20"/>
          <w:szCs w:val="20"/>
          <w:lang w:val="es-CR"/>
        </w:rPr>
        <w:t>Munárriz</w:t>
      </w:r>
      <w:proofErr w:type="spellEnd"/>
      <w:r w:rsidR="0042044C" w:rsidRPr="003633D2">
        <w:rPr>
          <w:rFonts w:ascii="Verdana" w:hAnsi="Verdana"/>
          <w:sz w:val="20"/>
          <w:szCs w:val="20"/>
          <w:lang w:val="es-CR"/>
        </w:rPr>
        <w:t xml:space="preserve"> Escobar y sus familiares </w:t>
      </w:r>
      <w:r w:rsidRPr="003633D2">
        <w:rPr>
          <w:rFonts w:ascii="Verdana" w:hAnsi="Verdana"/>
          <w:sz w:val="20"/>
          <w:szCs w:val="20"/>
          <w:lang w:val="es-CR"/>
        </w:rPr>
        <w:t xml:space="preserve">presentó la petición inicial. </w:t>
      </w:r>
    </w:p>
    <w:p w14:paraId="1A0042DB" w14:textId="77777777" w:rsidR="003E5472" w:rsidRPr="003633D2" w:rsidRDefault="003E5472" w:rsidP="00EE5E64">
      <w:pPr>
        <w:pStyle w:val="NoSpacing"/>
        <w:tabs>
          <w:tab w:val="left" w:pos="567"/>
          <w:tab w:val="left" w:pos="709"/>
          <w:tab w:val="left" w:pos="1134"/>
        </w:tabs>
        <w:ind w:left="1069"/>
        <w:jc w:val="both"/>
        <w:rPr>
          <w:rFonts w:ascii="Verdana" w:hAnsi="Verdana"/>
          <w:sz w:val="20"/>
          <w:szCs w:val="20"/>
          <w:highlight w:val="green"/>
          <w:lang w:val="es-CR"/>
        </w:rPr>
      </w:pPr>
    </w:p>
    <w:p w14:paraId="1711894D" w14:textId="02FCC816" w:rsidR="00547A50" w:rsidRPr="003633D2" w:rsidRDefault="0019271E" w:rsidP="00EE5E64">
      <w:pPr>
        <w:pStyle w:val="NoSpacing"/>
        <w:numPr>
          <w:ilvl w:val="0"/>
          <w:numId w:val="4"/>
        </w:numPr>
        <w:tabs>
          <w:tab w:val="left" w:pos="567"/>
          <w:tab w:val="left" w:pos="709"/>
          <w:tab w:val="left" w:pos="1134"/>
        </w:tabs>
        <w:ind w:hanging="502"/>
        <w:jc w:val="both"/>
        <w:rPr>
          <w:rFonts w:ascii="Verdana" w:hAnsi="Verdana"/>
          <w:sz w:val="20"/>
          <w:szCs w:val="20"/>
          <w:lang w:val="es-CR"/>
        </w:rPr>
      </w:pPr>
      <w:r w:rsidRPr="003633D2">
        <w:rPr>
          <w:rFonts w:ascii="Verdana" w:hAnsi="Verdana"/>
          <w:i/>
          <w:sz w:val="20"/>
          <w:szCs w:val="20"/>
          <w:lang w:val="es-CR"/>
        </w:rPr>
        <w:t>Informe de Admisibilidad</w:t>
      </w:r>
      <w:r w:rsidR="005F2B69">
        <w:rPr>
          <w:rFonts w:ascii="Verdana" w:hAnsi="Verdana"/>
          <w:i/>
          <w:sz w:val="20"/>
          <w:szCs w:val="20"/>
          <w:lang w:val="es-CR"/>
        </w:rPr>
        <w:t>.</w:t>
      </w:r>
      <w:r w:rsidR="005F2B69" w:rsidRPr="003633D2">
        <w:rPr>
          <w:rFonts w:ascii="Verdana" w:hAnsi="Verdana"/>
          <w:i/>
          <w:sz w:val="20"/>
          <w:szCs w:val="20"/>
          <w:lang w:val="es-CR"/>
        </w:rPr>
        <w:t xml:space="preserve"> – </w:t>
      </w:r>
      <w:r w:rsidRPr="003633D2">
        <w:rPr>
          <w:rFonts w:ascii="Verdana" w:hAnsi="Verdana"/>
          <w:sz w:val="20"/>
          <w:szCs w:val="20"/>
          <w:lang w:val="es-CR"/>
        </w:rPr>
        <w:t xml:space="preserve">El 28 de febrero de 2007 la Comisión aprobó el Informe de </w:t>
      </w:r>
      <w:r w:rsidR="00633A9F" w:rsidRPr="003633D2">
        <w:rPr>
          <w:rFonts w:ascii="Verdana" w:hAnsi="Verdana"/>
          <w:sz w:val="20"/>
          <w:szCs w:val="20"/>
          <w:lang w:val="es-CR"/>
        </w:rPr>
        <w:t>Admisibilidad</w:t>
      </w:r>
      <w:r w:rsidRPr="003633D2">
        <w:rPr>
          <w:rFonts w:ascii="Verdana" w:hAnsi="Verdana"/>
          <w:sz w:val="20"/>
          <w:szCs w:val="20"/>
          <w:lang w:val="es-CR"/>
        </w:rPr>
        <w:t xml:space="preserve"> No. 10/07</w:t>
      </w:r>
      <w:r w:rsidR="00077ADB" w:rsidRPr="003633D2">
        <w:rPr>
          <w:rStyle w:val="FootnoteReference"/>
          <w:sz w:val="20"/>
          <w:szCs w:val="20"/>
          <w:lang w:val="es-CR"/>
        </w:rPr>
        <w:footnoteReference w:id="3"/>
      </w:r>
      <w:r w:rsidR="00E21829" w:rsidRPr="003633D2">
        <w:rPr>
          <w:rFonts w:ascii="Verdana" w:hAnsi="Verdana"/>
          <w:sz w:val="20"/>
          <w:szCs w:val="20"/>
          <w:lang w:val="es-CR"/>
        </w:rPr>
        <w:t>:</w:t>
      </w:r>
      <w:r w:rsidR="00547A50" w:rsidRPr="003633D2">
        <w:rPr>
          <w:rFonts w:ascii="Verdana" w:hAnsi="Verdana"/>
          <w:b/>
          <w:color w:val="000000"/>
          <w:sz w:val="20"/>
          <w:szCs w:val="20"/>
          <w:lang w:val="es-CR"/>
        </w:rPr>
        <w:t xml:space="preserve"> </w:t>
      </w:r>
    </w:p>
    <w:p w14:paraId="16CD1C3A" w14:textId="77777777" w:rsidR="0019271E" w:rsidRPr="003633D2" w:rsidRDefault="0019271E" w:rsidP="00EE5E64">
      <w:pPr>
        <w:pStyle w:val="ListParagraph"/>
        <w:tabs>
          <w:tab w:val="left" w:pos="567"/>
        </w:tabs>
        <w:rPr>
          <w:i/>
          <w:szCs w:val="20"/>
          <w:highlight w:val="green"/>
          <w:lang w:val="es-CR"/>
        </w:rPr>
      </w:pPr>
    </w:p>
    <w:p w14:paraId="55C09AF6" w14:textId="1963BB55" w:rsidR="003E5472" w:rsidRPr="003633D2" w:rsidRDefault="0019271E" w:rsidP="00EE5E64">
      <w:pPr>
        <w:pStyle w:val="NoSpacing"/>
        <w:numPr>
          <w:ilvl w:val="0"/>
          <w:numId w:val="4"/>
        </w:numPr>
        <w:tabs>
          <w:tab w:val="left" w:pos="567"/>
          <w:tab w:val="left" w:pos="709"/>
          <w:tab w:val="left" w:pos="1134"/>
        </w:tabs>
        <w:ind w:hanging="502"/>
        <w:jc w:val="both"/>
        <w:rPr>
          <w:rFonts w:ascii="Verdana" w:hAnsi="Verdana"/>
          <w:sz w:val="20"/>
          <w:szCs w:val="20"/>
          <w:lang w:val="es-CR"/>
        </w:rPr>
      </w:pPr>
      <w:r w:rsidRPr="003633D2">
        <w:rPr>
          <w:rFonts w:ascii="Verdana" w:hAnsi="Verdana"/>
          <w:i/>
          <w:sz w:val="20"/>
          <w:szCs w:val="20"/>
          <w:lang w:val="es-CR"/>
        </w:rPr>
        <w:t xml:space="preserve">Informe de </w:t>
      </w:r>
      <w:r w:rsidR="003E5472" w:rsidRPr="003633D2">
        <w:rPr>
          <w:rFonts w:ascii="Verdana" w:hAnsi="Verdana"/>
          <w:i/>
          <w:sz w:val="20"/>
          <w:szCs w:val="20"/>
          <w:lang w:val="es-CR"/>
        </w:rPr>
        <w:t xml:space="preserve">Fondo. – </w:t>
      </w:r>
      <w:r w:rsidRPr="003633D2">
        <w:rPr>
          <w:rFonts w:ascii="Verdana" w:hAnsi="Verdana"/>
          <w:sz w:val="20"/>
          <w:szCs w:val="20"/>
          <w:lang w:val="es-CR"/>
        </w:rPr>
        <w:t>El 10 de diciembre de 2016</w:t>
      </w:r>
      <w:r w:rsidR="003E5472" w:rsidRPr="003633D2">
        <w:rPr>
          <w:rFonts w:ascii="Verdana" w:hAnsi="Verdana"/>
          <w:sz w:val="20"/>
          <w:szCs w:val="20"/>
          <w:lang w:val="es-CR"/>
        </w:rPr>
        <w:t xml:space="preserve"> la Comisión aprobó el Informe de </w:t>
      </w:r>
      <w:r w:rsidRPr="003633D2">
        <w:rPr>
          <w:rFonts w:ascii="Verdana" w:hAnsi="Verdana"/>
          <w:sz w:val="20"/>
          <w:szCs w:val="20"/>
          <w:lang w:val="es-CR"/>
        </w:rPr>
        <w:t>Fondo No. 77/16</w:t>
      </w:r>
      <w:r w:rsidR="003E5472" w:rsidRPr="003633D2">
        <w:rPr>
          <w:rFonts w:ascii="Verdana" w:hAnsi="Verdana"/>
          <w:sz w:val="20"/>
          <w:szCs w:val="20"/>
          <w:lang w:val="es-CR"/>
        </w:rPr>
        <w:t xml:space="preserve">, en el cual llegó a una serie de conclusiones y formuló varias recomendaciones al Estado: </w:t>
      </w:r>
    </w:p>
    <w:p w14:paraId="5905AA8E" w14:textId="77777777" w:rsidR="003E5472" w:rsidRPr="003633D2" w:rsidRDefault="003E5472" w:rsidP="00EE5E64">
      <w:pPr>
        <w:pStyle w:val="NoSpacing"/>
        <w:numPr>
          <w:ilvl w:val="1"/>
          <w:numId w:val="0"/>
        </w:numPr>
        <w:tabs>
          <w:tab w:val="left" w:pos="567"/>
          <w:tab w:val="left" w:pos="709"/>
          <w:tab w:val="left" w:pos="1134"/>
        </w:tabs>
        <w:ind w:left="709"/>
        <w:rPr>
          <w:rFonts w:ascii="Verdana" w:hAnsi="Verdana"/>
          <w:sz w:val="20"/>
          <w:szCs w:val="20"/>
          <w:highlight w:val="green"/>
          <w:lang w:val="es-CR"/>
        </w:rPr>
      </w:pPr>
    </w:p>
    <w:p w14:paraId="71B0FA84" w14:textId="2AD87B0F" w:rsidR="003E5472" w:rsidRPr="000F16E1" w:rsidRDefault="003E5472" w:rsidP="00EE5E64">
      <w:pPr>
        <w:pStyle w:val="NoSpacing"/>
        <w:numPr>
          <w:ilvl w:val="0"/>
          <w:numId w:val="2"/>
        </w:numPr>
        <w:tabs>
          <w:tab w:val="left" w:pos="567"/>
          <w:tab w:val="left" w:pos="1170"/>
        </w:tabs>
        <w:ind w:left="1418" w:hanging="284"/>
        <w:jc w:val="both"/>
        <w:rPr>
          <w:rFonts w:ascii="Verdana" w:hAnsi="Verdana"/>
          <w:sz w:val="20"/>
          <w:szCs w:val="20"/>
          <w:lang w:val="es-CR"/>
        </w:rPr>
      </w:pPr>
      <w:r w:rsidRPr="000F16E1">
        <w:rPr>
          <w:rFonts w:ascii="Verdana" w:hAnsi="Verdana"/>
          <w:i/>
          <w:sz w:val="20"/>
          <w:szCs w:val="20"/>
          <w:lang w:val="es-CR"/>
        </w:rPr>
        <w:t>Conclusiones.</w:t>
      </w:r>
      <w:r w:rsidRPr="000F16E1">
        <w:rPr>
          <w:rFonts w:ascii="Verdana" w:hAnsi="Verdana"/>
          <w:sz w:val="20"/>
          <w:szCs w:val="20"/>
          <w:lang w:val="es-CR"/>
        </w:rPr>
        <w:t xml:space="preserve"> </w:t>
      </w:r>
      <w:r w:rsidR="00547A50" w:rsidRPr="000F16E1">
        <w:rPr>
          <w:rFonts w:ascii="Verdana" w:hAnsi="Verdana"/>
          <w:sz w:val="20"/>
          <w:szCs w:val="20"/>
          <w:lang w:val="es-CR"/>
        </w:rPr>
        <w:t>La Comisión concluy</w:t>
      </w:r>
      <w:r w:rsidR="00AF14F2" w:rsidRPr="000F16E1">
        <w:rPr>
          <w:rFonts w:ascii="Verdana" w:hAnsi="Verdana"/>
          <w:sz w:val="20"/>
          <w:szCs w:val="20"/>
          <w:lang w:val="es-CR"/>
        </w:rPr>
        <w:t>ó</w:t>
      </w:r>
      <w:r w:rsidR="00547A50" w:rsidRPr="000F16E1">
        <w:rPr>
          <w:rFonts w:ascii="Verdana" w:hAnsi="Verdana"/>
          <w:sz w:val="20"/>
          <w:szCs w:val="20"/>
          <w:lang w:val="es-CR"/>
        </w:rPr>
        <w:t xml:space="preserve"> que el Estado de Perú es responsable por la violación de los derechos a la personalidad jurídica, a la vida, a la integridad  personal, a la libertad  personal, a las garantías  judicia</w:t>
      </w:r>
      <w:r w:rsidR="000D146B" w:rsidRPr="000F16E1">
        <w:rPr>
          <w:rFonts w:ascii="Verdana" w:hAnsi="Verdana"/>
          <w:sz w:val="20"/>
          <w:szCs w:val="20"/>
          <w:lang w:val="es-CR"/>
        </w:rPr>
        <w:t>les y a la protección  judicial</w:t>
      </w:r>
      <w:r w:rsidR="00547A50" w:rsidRPr="000F16E1">
        <w:rPr>
          <w:rFonts w:ascii="Verdana" w:hAnsi="Verdana"/>
          <w:sz w:val="20"/>
          <w:szCs w:val="20"/>
          <w:lang w:val="es-CR"/>
        </w:rPr>
        <w:t xml:space="preserve"> consagrados en lo</w:t>
      </w:r>
      <w:r w:rsidR="00AF14F2" w:rsidRPr="000F16E1">
        <w:rPr>
          <w:rFonts w:ascii="Verdana" w:hAnsi="Verdana"/>
          <w:sz w:val="20"/>
          <w:szCs w:val="20"/>
          <w:lang w:val="es-CR"/>
        </w:rPr>
        <w:t>s artículos</w:t>
      </w:r>
      <w:r w:rsidR="00547A50" w:rsidRPr="000F16E1">
        <w:rPr>
          <w:rFonts w:ascii="Verdana" w:hAnsi="Verdana"/>
          <w:sz w:val="20"/>
          <w:szCs w:val="20"/>
          <w:lang w:val="es-CR"/>
        </w:rPr>
        <w:t xml:space="preserve"> 3, 4.1, 5.1, 5.2, 7.1, 7.2, 7.3, 7.4, 7.5, 8.1 y 25.1 de la Convención Americana en relación  con </w:t>
      </w:r>
      <w:r w:rsidR="000F16E1" w:rsidRPr="000F16E1">
        <w:rPr>
          <w:rFonts w:ascii="Verdana" w:hAnsi="Verdana"/>
          <w:sz w:val="20"/>
          <w:szCs w:val="20"/>
          <w:lang w:val="es-CR"/>
        </w:rPr>
        <w:t>los</w:t>
      </w:r>
      <w:r w:rsidR="00547A50" w:rsidRPr="000F16E1">
        <w:rPr>
          <w:rFonts w:ascii="Verdana" w:hAnsi="Verdana"/>
          <w:sz w:val="20"/>
          <w:szCs w:val="20"/>
          <w:lang w:val="es-CR"/>
        </w:rPr>
        <w:t xml:space="preserve"> artículo</w:t>
      </w:r>
      <w:r w:rsidR="000F16E1" w:rsidRPr="000F16E1">
        <w:rPr>
          <w:rFonts w:ascii="Verdana" w:hAnsi="Verdana"/>
          <w:sz w:val="20"/>
          <w:szCs w:val="20"/>
          <w:lang w:val="es-CR"/>
        </w:rPr>
        <w:t>s</w:t>
      </w:r>
      <w:r w:rsidR="00547A50" w:rsidRPr="000F16E1">
        <w:rPr>
          <w:rFonts w:ascii="Verdana" w:hAnsi="Verdana"/>
          <w:sz w:val="20"/>
          <w:szCs w:val="20"/>
          <w:lang w:val="es-CR"/>
        </w:rPr>
        <w:t xml:space="preserve"> 1.1 y 2 del mismo instrumento en perjuicio  de Walter </w:t>
      </w:r>
      <w:proofErr w:type="spellStart"/>
      <w:r w:rsidR="00C62987" w:rsidRPr="000F16E1">
        <w:rPr>
          <w:rFonts w:ascii="Verdana" w:hAnsi="Verdana"/>
          <w:sz w:val="20"/>
          <w:szCs w:val="20"/>
          <w:lang w:val="es-CR"/>
        </w:rPr>
        <w:t>Munárriz</w:t>
      </w:r>
      <w:proofErr w:type="spellEnd"/>
      <w:r w:rsidR="00AF14F2" w:rsidRPr="000F16E1">
        <w:rPr>
          <w:rFonts w:ascii="Verdana" w:hAnsi="Verdana"/>
          <w:sz w:val="20"/>
          <w:szCs w:val="20"/>
          <w:lang w:val="es-CR"/>
        </w:rPr>
        <w:t xml:space="preserve"> Escobar y de la violación a los artículos</w:t>
      </w:r>
      <w:r w:rsidR="00547A50" w:rsidRPr="000F16E1">
        <w:rPr>
          <w:rFonts w:ascii="Verdana" w:hAnsi="Verdana"/>
          <w:sz w:val="20"/>
          <w:szCs w:val="20"/>
          <w:lang w:val="es-CR"/>
        </w:rPr>
        <w:t xml:space="preserve"> 5.1, 8.1 y 25.1 de la </w:t>
      </w:r>
      <w:r w:rsidR="00C73DD0" w:rsidRPr="000F16E1">
        <w:rPr>
          <w:rFonts w:ascii="Verdana" w:hAnsi="Verdana"/>
          <w:sz w:val="20"/>
          <w:szCs w:val="20"/>
          <w:lang w:val="es-CR"/>
        </w:rPr>
        <w:t>Convención</w:t>
      </w:r>
      <w:r w:rsidR="00547A50" w:rsidRPr="000F16E1">
        <w:rPr>
          <w:rFonts w:ascii="Verdana" w:hAnsi="Verdana"/>
          <w:sz w:val="20"/>
          <w:szCs w:val="20"/>
          <w:lang w:val="es-CR"/>
        </w:rPr>
        <w:t xml:space="preserve">  Americana en  relaci</w:t>
      </w:r>
      <w:r w:rsidR="000C716B" w:rsidRPr="000F16E1">
        <w:rPr>
          <w:rFonts w:ascii="Verdana" w:hAnsi="Verdana"/>
          <w:sz w:val="20"/>
          <w:szCs w:val="20"/>
          <w:lang w:val="es-CR"/>
        </w:rPr>
        <w:t>ó</w:t>
      </w:r>
      <w:r w:rsidR="000F16E1" w:rsidRPr="000F16E1">
        <w:rPr>
          <w:rFonts w:ascii="Verdana" w:hAnsi="Verdana"/>
          <w:sz w:val="20"/>
          <w:szCs w:val="20"/>
          <w:lang w:val="es-CR"/>
        </w:rPr>
        <w:t>n</w:t>
      </w:r>
      <w:r w:rsidR="00AF14F2" w:rsidRPr="000F16E1">
        <w:rPr>
          <w:rFonts w:ascii="Verdana" w:hAnsi="Verdana"/>
          <w:sz w:val="20"/>
          <w:szCs w:val="20"/>
          <w:lang w:val="es-CR"/>
        </w:rPr>
        <w:t xml:space="preserve"> con el 1.1 y</w:t>
      </w:r>
      <w:r w:rsidR="00547A50" w:rsidRPr="000F16E1">
        <w:rPr>
          <w:rFonts w:ascii="Verdana" w:hAnsi="Verdana"/>
          <w:sz w:val="20"/>
          <w:szCs w:val="20"/>
          <w:lang w:val="es-CR"/>
        </w:rPr>
        <w:t xml:space="preserve"> 2 del mismo instrumento internacional</w:t>
      </w:r>
      <w:r w:rsidR="00AF14F2" w:rsidRPr="000F16E1">
        <w:rPr>
          <w:rFonts w:ascii="Verdana" w:hAnsi="Verdana"/>
          <w:sz w:val="20"/>
          <w:szCs w:val="20"/>
          <w:lang w:val="es-CR"/>
        </w:rPr>
        <w:t xml:space="preserve"> con respecto a sus familiares</w:t>
      </w:r>
      <w:r w:rsidR="00547A50" w:rsidRPr="000F16E1">
        <w:rPr>
          <w:rFonts w:ascii="Verdana" w:hAnsi="Verdana"/>
          <w:sz w:val="20"/>
          <w:szCs w:val="20"/>
          <w:lang w:val="es-CR"/>
        </w:rPr>
        <w:t>. Asimismo, la Comisión concluy</w:t>
      </w:r>
      <w:r w:rsidR="00AF14F2" w:rsidRPr="000F16E1">
        <w:rPr>
          <w:rFonts w:ascii="Verdana" w:hAnsi="Verdana"/>
          <w:sz w:val="20"/>
          <w:szCs w:val="20"/>
          <w:lang w:val="es-CR"/>
        </w:rPr>
        <w:t>ó</w:t>
      </w:r>
      <w:r w:rsidR="00547A50" w:rsidRPr="000F16E1">
        <w:rPr>
          <w:rFonts w:ascii="Verdana" w:hAnsi="Verdana"/>
          <w:sz w:val="20"/>
          <w:szCs w:val="20"/>
          <w:lang w:val="es-CR"/>
        </w:rPr>
        <w:t xml:space="preserve"> que el Estado es responsable por la violación de los artículos I y III</w:t>
      </w:r>
      <w:r w:rsidR="005461E0" w:rsidRPr="000F16E1">
        <w:rPr>
          <w:rFonts w:ascii="Verdana" w:hAnsi="Verdana"/>
          <w:sz w:val="20"/>
          <w:szCs w:val="20"/>
          <w:lang w:val="es-CR"/>
        </w:rPr>
        <w:t xml:space="preserve"> de la Convención</w:t>
      </w:r>
      <w:r w:rsidR="00547A50" w:rsidRPr="000F16E1">
        <w:rPr>
          <w:rFonts w:ascii="Verdana" w:hAnsi="Verdana"/>
          <w:sz w:val="20"/>
          <w:szCs w:val="20"/>
          <w:lang w:val="es-CR"/>
        </w:rPr>
        <w:t xml:space="preserve"> I</w:t>
      </w:r>
      <w:r w:rsidR="005461E0" w:rsidRPr="000F16E1">
        <w:rPr>
          <w:rFonts w:ascii="Verdana" w:hAnsi="Verdana"/>
          <w:sz w:val="20"/>
          <w:szCs w:val="20"/>
          <w:lang w:val="es-CR"/>
        </w:rPr>
        <w:t>nteramericana sobre  Desaparición</w:t>
      </w:r>
      <w:r w:rsidR="00547A50" w:rsidRPr="000F16E1">
        <w:rPr>
          <w:rFonts w:ascii="Verdana" w:hAnsi="Verdana"/>
          <w:sz w:val="20"/>
          <w:szCs w:val="20"/>
          <w:lang w:val="es-CR"/>
        </w:rPr>
        <w:t xml:space="preserve"> Forzada de Personas y de los </w:t>
      </w:r>
      <w:r w:rsidR="005461E0" w:rsidRPr="000F16E1">
        <w:rPr>
          <w:rFonts w:ascii="Verdana" w:hAnsi="Verdana"/>
          <w:sz w:val="20"/>
          <w:szCs w:val="20"/>
          <w:lang w:val="es-CR"/>
        </w:rPr>
        <w:t>artículos 1, 6 y 8 de l</w:t>
      </w:r>
      <w:r w:rsidR="00547A50" w:rsidRPr="000F16E1">
        <w:rPr>
          <w:rFonts w:ascii="Verdana" w:hAnsi="Verdana"/>
          <w:sz w:val="20"/>
          <w:szCs w:val="20"/>
          <w:lang w:val="es-CR"/>
        </w:rPr>
        <w:t xml:space="preserve">a </w:t>
      </w:r>
      <w:r w:rsidR="005461E0" w:rsidRPr="000F16E1">
        <w:rPr>
          <w:rFonts w:ascii="Verdana" w:hAnsi="Verdana"/>
          <w:sz w:val="20"/>
          <w:szCs w:val="20"/>
          <w:lang w:val="es-CR"/>
        </w:rPr>
        <w:t>Convención</w:t>
      </w:r>
      <w:r w:rsidR="00547A50" w:rsidRPr="000F16E1">
        <w:rPr>
          <w:rFonts w:ascii="Verdana" w:hAnsi="Verdana"/>
          <w:sz w:val="20"/>
          <w:szCs w:val="20"/>
          <w:lang w:val="es-CR"/>
        </w:rPr>
        <w:t xml:space="preserve"> </w:t>
      </w:r>
      <w:r w:rsidR="005461E0" w:rsidRPr="000F16E1">
        <w:rPr>
          <w:rFonts w:ascii="Verdana" w:hAnsi="Verdana"/>
          <w:sz w:val="20"/>
          <w:szCs w:val="20"/>
          <w:lang w:val="es-CR"/>
        </w:rPr>
        <w:t>Interamericana para Prevenir y Sancionar l</w:t>
      </w:r>
      <w:r w:rsidR="00547A50" w:rsidRPr="000F16E1">
        <w:rPr>
          <w:rFonts w:ascii="Verdana" w:hAnsi="Verdana"/>
          <w:sz w:val="20"/>
          <w:szCs w:val="20"/>
          <w:lang w:val="es-CR"/>
        </w:rPr>
        <w:t xml:space="preserve">a Tortura. </w:t>
      </w:r>
    </w:p>
    <w:p w14:paraId="6963C208" w14:textId="77777777" w:rsidR="000F16E1" w:rsidRPr="000F16E1" w:rsidRDefault="000F16E1" w:rsidP="000F16E1">
      <w:pPr>
        <w:pStyle w:val="NoSpacing"/>
        <w:tabs>
          <w:tab w:val="left" w:pos="567"/>
          <w:tab w:val="left" w:pos="1170"/>
        </w:tabs>
        <w:ind w:left="1418"/>
        <w:jc w:val="both"/>
        <w:rPr>
          <w:rFonts w:ascii="Verdana" w:hAnsi="Verdana"/>
          <w:sz w:val="20"/>
          <w:szCs w:val="20"/>
          <w:lang w:val="es-CR"/>
        </w:rPr>
      </w:pPr>
    </w:p>
    <w:p w14:paraId="2D879549" w14:textId="5C311A5A" w:rsidR="003E5472" w:rsidRPr="003633D2" w:rsidRDefault="003E5472" w:rsidP="00EE5E64">
      <w:pPr>
        <w:pStyle w:val="NoSpacing"/>
        <w:numPr>
          <w:ilvl w:val="0"/>
          <w:numId w:val="2"/>
        </w:numPr>
        <w:tabs>
          <w:tab w:val="left" w:pos="567"/>
          <w:tab w:val="left" w:pos="1170"/>
        </w:tabs>
        <w:ind w:left="1418" w:hanging="284"/>
        <w:jc w:val="both"/>
        <w:rPr>
          <w:rFonts w:ascii="Verdana" w:hAnsi="Verdana"/>
          <w:sz w:val="20"/>
          <w:szCs w:val="20"/>
          <w:lang w:val="es-CR"/>
        </w:rPr>
      </w:pPr>
      <w:r w:rsidRPr="003633D2">
        <w:rPr>
          <w:rFonts w:ascii="Verdana" w:hAnsi="Verdana"/>
          <w:i/>
          <w:sz w:val="20"/>
          <w:szCs w:val="20"/>
          <w:lang w:val="es-CR"/>
        </w:rPr>
        <w:t>Recomendaciones.</w:t>
      </w:r>
      <w:r w:rsidRPr="003633D2">
        <w:rPr>
          <w:rFonts w:ascii="Verdana" w:hAnsi="Verdana"/>
          <w:sz w:val="20"/>
          <w:szCs w:val="20"/>
          <w:lang w:val="es-CR"/>
        </w:rPr>
        <w:t xml:space="preserve"> - En consecuencia, la Comisión hizo al Estado una serie de r</w:t>
      </w:r>
      <w:r w:rsidR="00E01236">
        <w:rPr>
          <w:rFonts w:ascii="Verdana" w:hAnsi="Verdana"/>
          <w:sz w:val="20"/>
          <w:szCs w:val="20"/>
          <w:lang w:val="es-CR"/>
        </w:rPr>
        <w:t>ecomendaciones en relación con:</w:t>
      </w:r>
      <w:r w:rsidRPr="003633D2">
        <w:rPr>
          <w:rFonts w:ascii="Verdana" w:hAnsi="Verdana"/>
          <w:sz w:val="20"/>
          <w:szCs w:val="20"/>
          <w:lang w:val="es-CR"/>
        </w:rPr>
        <w:t xml:space="preserve"> </w:t>
      </w:r>
    </w:p>
    <w:p w14:paraId="4576EAC2" w14:textId="77777777" w:rsidR="003E5472" w:rsidRPr="003633D2" w:rsidRDefault="003E5472" w:rsidP="00EE5E64">
      <w:pPr>
        <w:pStyle w:val="NoSpacing"/>
        <w:tabs>
          <w:tab w:val="left" w:pos="567"/>
          <w:tab w:val="left" w:pos="1170"/>
        </w:tabs>
        <w:ind w:left="990"/>
        <w:rPr>
          <w:rFonts w:ascii="Verdana" w:hAnsi="Verdana"/>
          <w:sz w:val="20"/>
          <w:szCs w:val="20"/>
          <w:lang w:val="es-CR"/>
        </w:rPr>
      </w:pPr>
    </w:p>
    <w:p w14:paraId="7E18FB20" w14:textId="4DE12BD8" w:rsidR="005461E0" w:rsidRPr="004D2E4F" w:rsidRDefault="00C62987" w:rsidP="00EE5E64">
      <w:pPr>
        <w:pStyle w:val="ListParagraph"/>
        <w:widowControl w:val="0"/>
        <w:numPr>
          <w:ilvl w:val="0"/>
          <w:numId w:val="3"/>
        </w:numPr>
        <w:tabs>
          <w:tab w:val="left" w:pos="567"/>
          <w:tab w:val="left" w:pos="1170"/>
        </w:tabs>
        <w:autoSpaceDE w:val="0"/>
        <w:autoSpaceDN w:val="0"/>
        <w:adjustRightInd w:val="0"/>
        <w:ind w:left="1776" w:right="22"/>
        <w:jc w:val="both"/>
        <w:rPr>
          <w:sz w:val="18"/>
          <w:szCs w:val="18"/>
          <w:lang w:val="es-CR"/>
        </w:rPr>
      </w:pPr>
      <w:r w:rsidRPr="004D2E4F">
        <w:rPr>
          <w:sz w:val="18"/>
          <w:szCs w:val="18"/>
          <w:lang w:val="es-CR"/>
        </w:rPr>
        <w:lastRenderedPageBreak/>
        <w:t xml:space="preserve">Investigar </w:t>
      </w:r>
      <w:r w:rsidR="005461E0" w:rsidRPr="004D2E4F">
        <w:rPr>
          <w:sz w:val="18"/>
          <w:szCs w:val="18"/>
          <w:lang w:val="es-CR"/>
        </w:rPr>
        <w:t xml:space="preserve">de manera completa, imparcial y efectiva el paradero de Walter </w:t>
      </w:r>
      <w:proofErr w:type="spellStart"/>
      <w:r w:rsidRPr="004D2E4F">
        <w:rPr>
          <w:sz w:val="18"/>
          <w:szCs w:val="18"/>
          <w:lang w:val="es-CR"/>
        </w:rPr>
        <w:t>Munárriz</w:t>
      </w:r>
      <w:proofErr w:type="spellEnd"/>
      <w:r w:rsidR="005461E0" w:rsidRPr="004D2E4F">
        <w:rPr>
          <w:sz w:val="18"/>
          <w:szCs w:val="18"/>
          <w:lang w:val="es-CR"/>
        </w:rPr>
        <w:t xml:space="preserve"> Escobar y, de ser</w:t>
      </w:r>
      <w:r w:rsidR="00E01236">
        <w:rPr>
          <w:sz w:val="18"/>
          <w:szCs w:val="18"/>
          <w:lang w:val="es-CR"/>
        </w:rPr>
        <w:t xml:space="preserve"> el caso, adoptar las medidas necesarias para identificar</w:t>
      </w:r>
      <w:r w:rsidR="005461E0" w:rsidRPr="004D2E4F">
        <w:rPr>
          <w:sz w:val="18"/>
          <w:szCs w:val="18"/>
          <w:lang w:val="es-CR"/>
        </w:rPr>
        <w:t xml:space="preserve"> y entregar</w:t>
      </w:r>
      <w:r w:rsidRPr="004D2E4F">
        <w:rPr>
          <w:sz w:val="18"/>
          <w:szCs w:val="18"/>
          <w:lang w:val="es-CR"/>
        </w:rPr>
        <w:t xml:space="preserve"> a los familiares de este, según</w:t>
      </w:r>
      <w:r w:rsidR="005461E0" w:rsidRPr="004D2E4F">
        <w:rPr>
          <w:sz w:val="18"/>
          <w:szCs w:val="18"/>
          <w:lang w:val="es-CR"/>
        </w:rPr>
        <w:t xml:space="preserve"> sean sus deseos, sus restos mortales.</w:t>
      </w:r>
    </w:p>
    <w:p w14:paraId="1F66F4FC" w14:textId="77777777" w:rsidR="005461E0" w:rsidRPr="004D2E4F" w:rsidRDefault="005461E0" w:rsidP="00EE5E64">
      <w:pPr>
        <w:pStyle w:val="ListParagraph"/>
        <w:widowControl w:val="0"/>
        <w:tabs>
          <w:tab w:val="left" w:pos="567"/>
          <w:tab w:val="left" w:pos="1170"/>
        </w:tabs>
        <w:autoSpaceDE w:val="0"/>
        <w:autoSpaceDN w:val="0"/>
        <w:adjustRightInd w:val="0"/>
        <w:ind w:left="1776" w:right="22"/>
        <w:jc w:val="both"/>
        <w:rPr>
          <w:sz w:val="18"/>
          <w:szCs w:val="18"/>
          <w:lang w:val="es-CR"/>
        </w:rPr>
      </w:pPr>
    </w:p>
    <w:p w14:paraId="4BD132D9" w14:textId="5C168899" w:rsidR="005461E0" w:rsidRPr="004D2E4F" w:rsidRDefault="005461E0" w:rsidP="00EE5E64">
      <w:pPr>
        <w:pStyle w:val="ListParagraph"/>
        <w:widowControl w:val="0"/>
        <w:numPr>
          <w:ilvl w:val="0"/>
          <w:numId w:val="3"/>
        </w:numPr>
        <w:tabs>
          <w:tab w:val="left" w:pos="567"/>
          <w:tab w:val="left" w:pos="1170"/>
        </w:tabs>
        <w:autoSpaceDE w:val="0"/>
        <w:autoSpaceDN w:val="0"/>
        <w:adjustRightInd w:val="0"/>
        <w:ind w:left="1776" w:right="22"/>
        <w:jc w:val="both"/>
        <w:rPr>
          <w:sz w:val="18"/>
          <w:szCs w:val="18"/>
          <w:lang w:val="es-CR"/>
        </w:rPr>
      </w:pPr>
      <w:r w:rsidRPr="004D2E4F">
        <w:rPr>
          <w:sz w:val="18"/>
          <w:szCs w:val="18"/>
          <w:lang w:val="es-CR"/>
        </w:rPr>
        <w:t>Llevar a cabo los proce</w:t>
      </w:r>
      <w:r w:rsidR="00E01236">
        <w:rPr>
          <w:sz w:val="18"/>
          <w:szCs w:val="18"/>
          <w:lang w:val="es-CR"/>
        </w:rPr>
        <w:t>dimientos internos relacionados con las</w:t>
      </w:r>
      <w:r w:rsidRPr="004D2E4F">
        <w:rPr>
          <w:sz w:val="18"/>
          <w:szCs w:val="18"/>
          <w:lang w:val="es-CR"/>
        </w:rPr>
        <w:t xml:space="preserve"> violaciones</w:t>
      </w:r>
      <w:r w:rsidR="00E01236">
        <w:rPr>
          <w:sz w:val="18"/>
          <w:szCs w:val="18"/>
          <w:lang w:val="es-CR"/>
        </w:rPr>
        <w:t xml:space="preserve"> a los derechos humanos </w:t>
      </w:r>
      <w:r w:rsidRPr="004D2E4F">
        <w:rPr>
          <w:sz w:val="18"/>
          <w:szCs w:val="18"/>
          <w:lang w:val="es-CR"/>
        </w:rPr>
        <w:t>declar</w:t>
      </w:r>
      <w:r w:rsidR="00E01236">
        <w:rPr>
          <w:sz w:val="18"/>
          <w:szCs w:val="18"/>
          <w:lang w:val="es-CR"/>
        </w:rPr>
        <w:t>adas en el presente informe y conducir los procesos correspondientes por el delito</w:t>
      </w:r>
      <w:r w:rsidRPr="004D2E4F">
        <w:rPr>
          <w:sz w:val="18"/>
          <w:szCs w:val="18"/>
          <w:lang w:val="es-CR"/>
        </w:rPr>
        <w:t xml:space="preserve"> de </w:t>
      </w:r>
      <w:r w:rsidR="00C62987" w:rsidRPr="004D2E4F">
        <w:rPr>
          <w:sz w:val="18"/>
          <w:szCs w:val="18"/>
          <w:lang w:val="es-CR"/>
        </w:rPr>
        <w:t>desaparición</w:t>
      </w:r>
      <w:r w:rsidR="00E01236">
        <w:rPr>
          <w:sz w:val="18"/>
          <w:szCs w:val="18"/>
          <w:lang w:val="es-CR"/>
        </w:rPr>
        <w:t xml:space="preserve"> forzada de Walter </w:t>
      </w:r>
      <w:proofErr w:type="spellStart"/>
      <w:r w:rsidR="00C62987" w:rsidRPr="004D2E4F">
        <w:rPr>
          <w:sz w:val="18"/>
          <w:szCs w:val="18"/>
          <w:lang w:val="es-CR"/>
        </w:rPr>
        <w:t>Munárriz</w:t>
      </w:r>
      <w:proofErr w:type="spellEnd"/>
      <w:r w:rsidR="00E01236">
        <w:rPr>
          <w:sz w:val="18"/>
          <w:szCs w:val="18"/>
          <w:lang w:val="es-CR"/>
        </w:rPr>
        <w:t xml:space="preserve">  Escobar; de manera imparcial, efectiva y dentro de un </w:t>
      </w:r>
      <w:r w:rsidRPr="004D2E4F">
        <w:rPr>
          <w:sz w:val="18"/>
          <w:szCs w:val="18"/>
          <w:lang w:val="es-CR"/>
        </w:rPr>
        <w:t>plazo razonable, con el</w:t>
      </w:r>
      <w:r w:rsidR="00E01236">
        <w:rPr>
          <w:sz w:val="18"/>
          <w:szCs w:val="18"/>
          <w:lang w:val="es-CR"/>
        </w:rPr>
        <w:t xml:space="preserve"> objeto de esclarecer </w:t>
      </w:r>
      <w:r w:rsidRPr="004D2E4F">
        <w:rPr>
          <w:sz w:val="18"/>
          <w:szCs w:val="18"/>
          <w:lang w:val="es-CR"/>
        </w:rPr>
        <w:t xml:space="preserve">los hechos </w:t>
      </w:r>
      <w:r w:rsidR="00E01236">
        <w:rPr>
          <w:sz w:val="18"/>
          <w:szCs w:val="18"/>
          <w:lang w:val="es-CR"/>
        </w:rPr>
        <w:t xml:space="preserve">en forma completa, identificar </w:t>
      </w:r>
      <w:r w:rsidRPr="004D2E4F">
        <w:rPr>
          <w:sz w:val="18"/>
          <w:szCs w:val="18"/>
          <w:lang w:val="es-CR"/>
        </w:rPr>
        <w:t>a todos los responsables e imponer las sanciones que correspondan.</w:t>
      </w:r>
    </w:p>
    <w:p w14:paraId="33989DBA" w14:textId="77777777" w:rsidR="005461E0" w:rsidRPr="004D2E4F" w:rsidRDefault="005461E0" w:rsidP="00EE5E64">
      <w:pPr>
        <w:pStyle w:val="ListParagraph"/>
        <w:widowControl w:val="0"/>
        <w:tabs>
          <w:tab w:val="left" w:pos="567"/>
          <w:tab w:val="left" w:pos="1170"/>
        </w:tabs>
        <w:autoSpaceDE w:val="0"/>
        <w:autoSpaceDN w:val="0"/>
        <w:adjustRightInd w:val="0"/>
        <w:ind w:left="1776" w:right="22"/>
        <w:jc w:val="both"/>
        <w:rPr>
          <w:sz w:val="18"/>
          <w:szCs w:val="18"/>
          <w:lang w:val="es-CR"/>
        </w:rPr>
      </w:pPr>
    </w:p>
    <w:p w14:paraId="00E7BBD2" w14:textId="6FF02AC1" w:rsidR="005461E0" w:rsidRPr="004D2E4F" w:rsidRDefault="00C62987" w:rsidP="00EE5E64">
      <w:pPr>
        <w:pStyle w:val="ListParagraph"/>
        <w:widowControl w:val="0"/>
        <w:numPr>
          <w:ilvl w:val="0"/>
          <w:numId w:val="3"/>
        </w:numPr>
        <w:tabs>
          <w:tab w:val="left" w:pos="567"/>
          <w:tab w:val="left" w:pos="1170"/>
        </w:tabs>
        <w:autoSpaceDE w:val="0"/>
        <w:autoSpaceDN w:val="0"/>
        <w:adjustRightInd w:val="0"/>
        <w:ind w:left="1776" w:right="22"/>
        <w:jc w:val="both"/>
        <w:rPr>
          <w:sz w:val="18"/>
          <w:szCs w:val="18"/>
          <w:lang w:val="es-CR"/>
        </w:rPr>
      </w:pPr>
      <w:r w:rsidRPr="004D2E4F">
        <w:rPr>
          <w:sz w:val="18"/>
          <w:szCs w:val="18"/>
          <w:lang w:val="es-CR"/>
        </w:rPr>
        <w:t xml:space="preserve">Reparar </w:t>
      </w:r>
      <w:r w:rsidR="00956CDE" w:rsidRPr="004D2E4F">
        <w:rPr>
          <w:sz w:val="18"/>
          <w:szCs w:val="18"/>
          <w:lang w:val="es-CR"/>
        </w:rPr>
        <w:t xml:space="preserve">adecuadamente las violaciones </w:t>
      </w:r>
      <w:r w:rsidR="005461E0" w:rsidRPr="004D2E4F">
        <w:rPr>
          <w:sz w:val="18"/>
          <w:szCs w:val="18"/>
          <w:lang w:val="es-CR"/>
        </w:rPr>
        <w:t>de d</w:t>
      </w:r>
      <w:r w:rsidR="00E01236">
        <w:rPr>
          <w:sz w:val="18"/>
          <w:szCs w:val="18"/>
          <w:lang w:val="es-CR"/>
        </w:rPr>
        <w:t xml:space="preserve">erechos  humanos  declaradas en el presente informe tanto en el aspecto </w:t>
      </w:r>
      <w:r w:rsidR="005461E0" w:rsidRPr="004D2E4F">
        <w:rPr>
          <w:sz w:val="18"/>
          <w:szCs w:val="18"/>
          <w:lang w:val="es-CR"/>
        </w:rPr>
        <w:t>mate</w:t>
      </w:r>
      <w:r w:rsidR="00E01236">
        <w:rPr>
          <w:sz w:val="18"/>
          <w:szCs w:val="18"/>
          <w:lang w:val="es-CR"/>
        </w:rPr>
        <w:t>rial como moral, incluyendo una</w:t>
      </w:r>
      <w:r w:rsidR="005461E0" w:rsidRPr="004D2E4F">
        <w:rPr>
          <w:sz w:val="18"/>
          <w:szCs w:val="18"/>
          <w:lang w:val="es-CR"/>
        </w:rPr>
        <w:t xml:space="preserve"> justa </w:t>
      </w:r>
      <w:r w:rsidRPr="004D2E4F">
        <w:rPr>
          <w:sz w:val="18"/>
          <w:szCs w:val="18"/>
          <w:lang w:val="es-CR"/>
        </w:rPr>
        <w:t>compensación</w:t>
      </w:r>
      <w:r w:rsidR="00E01236">
        <w:rPr>
          <w:sz w:val="18"/>
          <w:szCs w:val="18"/>
          <w:lang w:val="es-CR"/>
        </w:rPr>
        <w:t xml:space="preserve">, </w:t>
      </w:r>
      <w:r w:rsidR="005461E0" w:rsidRPr="004D2E4F">
        <w:rPr>
          <w:sz w:val="18"/>
          <w:szCs w:val="18"/>
          <w:lang w:val="es-CR"/>
        </w:rPr>
        <w:t xml:space="preserve">el establecimiento y </w:t>
      </w:r>
      <w:r w:rsidRPr="004D2E4F">
        <w:rPr>
          <w:sz w:val="18"/>
          <w:szCs w:val="18"/>
          <w:lang w:val="es-CR"/>
        </w:rPr>
        <w:t>difusión de l</w:t>
      </w:r>
      <w:r w:rsidR="005461E0" w:rsidRPr="004D2E4F">
        <w:rPr>
          <w:sz w:val="18"/>
          <w:szCs w:val="18"/>
          <w:lang w:val="es-CR"/>
        </w:rPr>
        <w:t>a ver</w:t>
      </w:r>
      <w:r w:rsidRPr="004D2E4F">
        <w:rPr>
          <w:sz w:val="18"/>
          <w:szCs w:val="18"/>
          <w:lang w:val="es-CR"/>
        </w:rPr>
        <w:t>dad histórica de los hechos y l</w:t>
      </w:r>
      <w:r w:rsidR="005461E0" w:rsidRPr="004D2E4F">
        <w:rPr>
          <w:sz w:val="18"/>
          <w:szCs w:val="18"/>
          <w:lang w:val="es-CR"/>
        </w:rPr>
        <w:t xml:space="preserve">a </w:t>
      </w:r>
      <w:r w:rsidRPr="004D2E4F">
        <w:rPr>
          <w:sz w:val="18"/>
          <w:szCs w:val="18"/>
          <w:lang w:val="es-CR"/>
        </w:rPr>
        <w:t>implementación</w:t>
      </w:r>
      <w:r w:rsidR="005461E0" w:rsidRPr="004D2E4F">
        <w:rPr>
          <w:sz w:val="18"/>
          <w:szCs w:val="18"/>
          <w:lang w:val="es-CR"/>
        </w:rPr>
        <w:t xml:space="preserve"> de u</w:t>
      </w:r>
      <w:r w:rsidRPr="004D2E4F">
        <w:rPr>
          <w:sz w:val="18"/>
          <w:szCs w:val="18"/>
          <w:lang w:val="es-CR"/>
        </w:rPr>
        <w:t>n programa adecuado de atención</w:t>
      </w:r>
      <w:r w:rsidR="005461E0" w:rsidRPr="004D2E4F">
        <w:rPr>
          <w:sz w:val="18"/>
          <w:szCs w:val="18"/>
          <w:lang w:val="es-CR"/>
        </w:rPr>
        <w:t xml:space="preserve"> a los familiares de Walter </w:t>
      </w:r>
      <w:proofErr w:type="spellStart"/>
      <w:r w:rsidRPr="004D2E4F">
        <w:rPr>
          <w:sz w:val="18"/>
          <w:szCs w:val="18"/>
          <w:lang w:val="es-CR"/>
        </w:rPr>
        <w:t>Munárriz</w:t>
      </w:r>
      <w:proofErr w:type="spellEnd"/>
      <w:r w:rsidR="005461E0" w:rsidRPr="004D2E4F">
        <w:rPr>
          <w:sz w:val="18"/>
          <w:szCs w:val="18"/>
          <w:lang w:val="es-CR"/>
        </w:rPr>
        <w:t xml:space="preserve"> Escobar.</w:t>
      </w:r>
    </w:p>
    <w:p w14:paraId="551D1332" w14:textId="77777777" w:rsidR="005461E0" w:rsidRPr="004D2E4F" w:rsidRDefault="005461E0" w:rsidP="00EE5E64">
      <w:pPr>
        <w:pStyle w:val="ListParagraph"/>
        <w:tabs>
          <w:tab w:val="left" w:pos="567"/>
        </w:tabs>
        <w:ind w:left="1764"/>
        <w:rPr>
          <w:sz w:val="18"/>
          <w:szCs w:val="18"/>
          <w:highlight w:val="green"/>
          <w:lang w:val="es-CR"/>
        </w:rPr>
      </w:pPr>
    </w:p>
    <w:p w14:paraId="57764FF0" w14:textId="3343CB72" w:rsidR="005461E0" w:rsidRPr="004D2E4F" w:rsidRDefault="00E01236" w:rsidP="00EE5E64">
      <w:pPr>
        <w:pStyle w:val="ListParagraph"/>
        <w:widowControl w:val="0"/>
        <w:numPr>
          <w:ilvl w:val="0"/>
          <w:numId w:val="3"/>
        </w:numPr>
        <w:tabs>
          <w:tab w:val="left" w:pos="567"/>
          <w:tab w:val="left" w:pos="1170"/>
        </w:tabs>
        <w:autoSpaceDE w:val="0"/>
        <w:autoSpaceDN w:val="0"/>
        <w:adjustRightInd w:val="0"/>
        <w:ind w:left="1776" w:right="22"/>
        <w:jc w:val="both"/>
        <w:rPr>
          <w:sz w:val="18"/>
          <w:szCs w:val="18"/>
          <w:lang w:val="es-CR"/>
        </w:rPr>
      </w:pPr>
      <w:r>
        <w:rPr>
          <w:sz w:val="18"/>
          <w:szCs w:val="18"/>
          <w:lang w:val="es-CR"/>
        </w:rPr>
        <w:t xml:space="preserve">Adoptar medidas de no </w:t>
      </w:r>
      <w:r w:rsidR="00C62987" w:rsidRPr="004D2E4F">
        <w:rPr>
          <w:sz w:val="18"/>
          <w:szCs w:val="18"/>
          <w:lang w:val="es-CR"/>
        </w:rPr>
        <w:t>repet</w:t>
      </w:r>
      <w:r>
        <w:rPr>
          <w:sz w:val="18"/>
          <w:szCs w:val="18"/>
          <w:lang w:val="es-CR"/>
        </w:rPr>
        <w:t xml:space="preserve">ición necesarias para </w:t>
      </w:r>
      <w:r w:rsidR="00C62987" w:rsidRPr="004D2E4F">
        <w:rPr>
          <w:sz w:val="18"/>
          <w:szCs w:val="18"/>
          <w:lang w:val="es-CR"/>
        </w:rPr>
        <w:t xml:space="preserve">evitar que en el futuro </w:t>
      </w:r>
      <w:r>
        <w:rPr>
          <w:sz w:val="18"/>
          <w:szCs w:val="18"/>
          <w:lang w:val="es-CR"/>
        </w:rPr>
        <w:t xml:space="preserve">se </w:t>
      </w:r>
      <w:r w:rsidR="005461E0" w:rsidRPr="004D2E4F">
        <w:rPr>
          <w:sz w:val="18"/>
          <w:szCs w:val="18"/>
          <w:lang w:val="es-CR"/>
        </w:rPr>
        <w:t>produzcan hechos simi</w:t>
      </w:r>
      <w:r>
        <w:rPr>
          <w:sz w:val="18"/>
          <w:szCs w:val="18"/>
          <w:lang w:val="es-CR"/>
        </w:rPr>
        <w:t xml:space="preserve">lares. En particular, disponer las medidas necesarias para fortalecer la capacidad </w:t>
      </w:r>
      <w:r w:rsidR="005461E0" w:rsidRPr="004D2E4F">
        <w:rPr>
          <w:sz w:val="18"/>
          <w:szCs w:val="18"/>
          <w:lang w:val="es-CR"/>
        </w:rPr>
        <w:t xml:space="preserve">institucional para investigar casos </w:t>
      </w:r>
      <w:r w:rsidR="00C62987" w:rsidRPr="004D2E4F">
        <w:rPr>
          <w:sz w:val="18"/>
          <w:szCs w:val="18"/>
          <w:lang w:val="es-CR"/>
        </w:rPr>
        <w:t>de desaparición</w:t>
      </w:r>
      <w:r w:rsidR="005461E0" w:rsidRPr="004D2E4F">
        <w:rPr>
          <w:sz w:val="18"/>
          <w:szCs w:val="18"/>
          <w:lang w:val="es-CR"/>
        </w:rPr>
        <w:t xml:space="preserve"> forzada de personas, incluyendo </w:t>
      </w:r>
      <w:r w:rsidR="00C62987" w:rsidRPr="004D2E4F">
        <w:rPr>
          <w:sz w:val="18"/>
          <w:szCs w:val="18"/>
          <w:lang w:val="es-CR"/>
        </w:rPr>
        <w:t>l</w:t>
      </w:r>
      <w:r w:rsidR="005461E0" w:rsidRPr="004D2E4F">
        <w:rPr>
          <w:sz w:val="18"/>
          <w:szCs w:val="18"/>
          <w:lang w:val="es-CR"/>
        </w:rPr>
        <w:t xml:space="preserve">a </w:t>
      </w:r>
      <w:r w:rsidR="00C62987" w:rsidRPr="004D2E4F">
        <w:rPr>
          <w:sz w:val="18"/>
          <w:szCs w:val="18"/>
          <w:lang w:val="es-CR"/>
        </w:rPr>
        <w:t>búsqued</w:t>
      </w:r>
      <w:r>
        <w:rPr>
          <w:sz w:val="18"/>
          <w:szCs w:val="18"/>
          <w:lang w:val="es-CR"/>
        </w:rPr>
        <w:t xml:space="preserve">a </w:t>
      </w:r>
      <w:r w:rsidR="00C62987" w:rsidRPr="004D2E4F">
        <w:rPr>
          <w:sz w:val="18"/>
          <w:szCs w:val="18"/>
          <w:lang w:val="es-CR"/>
        </w:rPr>
        <w:t>exhaustiva del paradero de l</w:t>
      </w:r>
      <w:r w:rsidR="005461E0" w:rsidRPr="004D2E4F">
        <w:rPr>
          <w:sz w:val="18"/>
          <w:szCs w:val="18"/>
          <w:lang w:val="es-CR"/>
        </w:rPr>
        <w:t>a persona d</w:t>
      </w:r>
      <w:r w:rsidR="00C62987" w:rsidRPr="004D2E4F">
        <w:rPr>
          <w:sz w:val="18"/>
          <w:szCs w:val="18"/>
          <w:lang w:val="es-CR"/>
        </w:rPr>
        <w:t>esaparecida, así como el establ</w:t>
      </w:r>
      <w:r w:rsidR="005461E0" w:rsidRPr="004D2E4F">
        <w:rPr>
          <w:sz w:val="18"/>
          <w:szCs w:val="18"/>
          <w:lang w:val="es-CR"/>
        </w:rPr>
        <w:t>ecimiento de las respectivas responsabilidades.</w:t>
      </w:r>
    </w:p>
    <w:p w14:paraId="70E58945" w14:textId="77777777" w:rsidR="005461E0" w:rsidRPr="004D2E4F" w:rsidRDefault="005461E0" w:rsidP="00EE5E64">
      <w:pPr>
        <w:pStyle w:val="ListParagraph"/>
        <w:widowControl w:val="0"/>
        <w:tabs>
          <w:tab w:val="left" w:pos="567"/>
          <w:tab w:val="left" w:pos="1170"/>
        </w:tabs>
        <w:autoSpaceDE w:val="0"/>
        <w:autoSpaceDN w:val="0"/>
        <w:adjustRightInd w:val="0"/>
        <w:ind w:left="1776" w:right="22"/>
        <w:jc w:val="both"/>
        <w:rPr>
          <w:sz w:val="18"/>
          <w:szCs w:val="18"/>
          <w:lang w:val="es-CR"/>
        </w:rPr>
      </w:pPr>
    </w:p>
    <w:p w14:paraId="30D0092A" w14:textId="378C662B" w:rsidR="00077ADB" w:rsidRPr="004D2E4F" w:rsidRDefault="005461E0" w:rsidP="00EE5E64">
      <w:pPr>
        <w:pStyle w:val="ListParagraph"/>
        <w:widowControl w:val="0"/>
        <w:numPr>
          <w:ilvl w:val="0"/>
          <w:numId w:val="3"/>
        </w:numPr>
        <w:tabs>
          <w:tab w:val="left" w:pos="567"/>
          <w:tab w:val="left" w:pos="1170"/>
        </w:tabs>
        <w:autoSpaceDE w:val="0"/>
        <w:autoSpaceDN w:val="0"/>
        <w:adjustRightInd w:val="0"/>
        <w:ind w:left="1776" w:right="22"/>
        <w:jc w:val="both"/>
        <w:rPr>
          <w:sz w:val="18"/>
          <w:szCs w:val="18"/>
          <w:lang w:val="es-CR"/>
        </w:rPr>
      </w:pPr>
      <w:r w:rsidRPr="004D2E4F">
        <w:rPr>
          <w:sz w:val="18"/>
          <w:szCs w:val="18"/>
          <w:lang w:val="es-CR"/>
        </w:rPr>
        <w:t>Reconocer su responsabilidad por</w:t>
      </w:r>
      <w:r w:rsidR="00C62987" w:rsidRPr="004D2E4F">
        <w:rPr>
          <w:sz w:val="18"/>
          <w:szCs w:val="18"/>
          <w:lang w:val="es-CR"/>
        </w:rPr>
        <w:t xml:space="preserve"> l</w:t>
      </w:r>
      <w:r w:rsidR="00AC5E63">
        <w:rPr>
          <w:sz w:val="18"/>
          <w:szCs w:val="18"/>
          <w:lang w:val="es-CR"/>
        </w:rPr>
        <w:t>a desaparición</w:t>
      </w:r>
      <w:r w:rsidRPr="004D2E4F">
        <w:rPr>
          <w:sz w:val="18"/>
          <w:szCs w:val="18"/>
          <w:lang w:val="es-CR"/>
        </w:rPr>
        <w:t xml:space="preserve"> forzada de Walter </w:t>
      </w:r>
      <w:proofErr w:type="spellStart"/>
      <w:r w:rsidR="00C62987" w:rsidRPr="004D2E4F">
        <w:rPr>
          <w:sz w:val="18"/>
          <w:szCs w:val="18"/>
          <w:lang w:val="es-CR"/>
        </w:rPr>
        <w:t>Munárriz</w:t>
      </w:r>
      <w:proofErr w:type="spellEnd"/>
      <w:r w:rsidRPr="004D2E4F">
        <w:rPr>
          <w:sz w:val="18"/>
          <w:szCs w:val="18"/>
          <w:lang w:val="es-CR"/>
        </w:rPr>
        <w:t xml:space="preserve"> Escobar.</w:t>
      </w:r>
    </w:p>
    <w:p w14:paraId="37FC55B8" w14:textId="77777777" w:rsidR="00077ADB" w:rsidRPr="004D2E4F" w:rsidRDefault="00077ADB" w:rsidP="00EE5E64">
      <w:pPr>
        <w:pStyle w:val="ListParagraph"/>
        <w:tabs>
          <w:tab w:val="left" w:pos="567"/>
        </w:tabs>
        <w:rPr>
          <w:sz w:val="18"/>
          <w:szCs w:val="18"/>
          <w:lang w:val="es-CR"/>
        </w:rPr>
      </w:pPr>
    </w:p>
    <w:p w14:paraId="202ECD3F" w14:textId="71796604" w:rsidR="00C62987" w:rsidRPr="000F16E1" w:rsidRDefault="005461E0" w:rsidP="00EE5E64">
      <w:pPr>
        <w:pStyle w:val="ListParagraph"/>
        <w:widowControl w:val="0"/>
        <w:numPr>
          <w:ilvl w:val="0"/>
          <w:numId w:val="3"/>
        </w:numPr>
        <w:tabs>
          <w:tab w:val="left" w:pos="567"/>
          <w:tab w:val="left" w:pos="1170"/>
        </w:tabs>
        <w:autoSpaceDE w:val="0"/>
        <w:autoSpaceDN w:val="0"/>
        <w:adjustRightInd w:val="0"/>
        <w:ind w:left="1776" w:right="22"/>
        <w:jc w:val="both"/>
        <w:rPr>
          <w:szCs w:val="20"/>
          <w:lang w:val="es-CR"/>
        </w:rPr>
      </w:pPr>
      <w:r w:rsidRPr="000F16E1">
        <w:rPr>
          <w:sz w:val="18"/>
          <w:szCs w:val="18"/>
          <w:lang w:val="es-CR"/>
        </w:rPr>
        <w:t xml:space="preserve">Reformar </w:t>
      </w:r>
      <w:r w:rsidR="00C62987" w:rsidRPr="000F16E1">
        <w:rPr>
          <w:sz w:val="18"/>
          <w:szCs w:val="18"/>
          <w:lang w:val="es-CR"/>
        </w:rPr>
        <w:t>l</w:t>
      </w:r>
      <w:r w:rsidRPr="000F16E1">
        <w:rPr>
          <w:sz w:val="18"/>
          <w:szCs w:val="18"/>
          <w:lang w:val="es-CR"/>
        </w:rPr>
        <w:t xml:space="preserve">a </w:t>
      </w:r>
      <w:r w:rsidR="00C62987" w:rsidRPr="000F16E1">
        <w:rPr>
          <w:sz w:val="18"/>
          <w:szCs w:val="18"/>
          <w:lang w:val="es-CR"/>
        </w:rPr>
        <w:t>legislación penal a fin d</w:t>
      </w:r>
      <w:r w:rsidRPr="000F16E1">
        <w:rPr>
          <w:sz w:val="18"/>
          <w:szCs w:val="18"/>
          <w:lang w:val="es-CR"/>
        </w:rPr>
        <w:t xml:space="preserve">e que </w:t>
      </w:r>
      <w:r w:rsidR="00C62987" w:rsidRPr="000F16E1">
        <w:rPr>
          <w:sz w:val="18"/>
          <w:szCs w:val="18"/>
          <w:lang w:val="es-CR"/>
        </w:rPr>
        <w:t>l</w:t>
      </w:r>
      <w:r w:rsidRPr="000F16E1">
        <w:rPr>
          <w:sz w:val="18"/>
          <w:szCs w:val="18"/>
          <w:lang w:val="es-CR"/>
        </w:rPr>
        <w:t xml:space="preserve">a </w:t>
      </w:r>
      <w:r w:rsidR="00C62987" w:rsidRPr="000F16E1">
        <w:rPr>
          <w:sz w:val="18"/>
          <w:szCs w:val="18"/>
          <w:lang w:val="es-CR"/>
        </w:rPr>
        <w:t>tipificación</w:t>
      </w:r>
      <w:r w:rsidRPr="000F16E1">
        <w:rPr>
          <w:sz w:val="18"/>
          <w:szCs w:val="18"/>
          <w:lang w:val="es-CR"/>
        </w:rPr>
        <w:t xml:space="preserve"> del delito de </w:t>
      </w:r>
      <w:r w:rsidR="00C62987" w:rsidRPr="000F16E1">
        <w:rPr>
          <w:sz w:val="18"/>
          <w:szCs w:val="18"/>
          <w:lang w:val="es-CR"/>
        </w:rPr>
        <w:t>desaparición</w:t>
      </w:r>
      <w:r w:rsidRPr="000F16E1">
        <w:rPr>
          <w:sz w:val="18"/>
          <w:szCs w:val="18"/>
          <w:lang w:val="es-CR"/>
        </w:rPr>
        <w:t xml:space="preserve"> forzada de personas se ajuste a los </w:t>
      </w:r>
      <w:r w:rsidR="00C62987" w:rsidRPr="000F16E1">
        <w:rPr>
          <w:sz w:val="18"/>
          <w:szCs w:val="18"/>
          <w:lang w:val="es-CR"/>
        </w:rPr>
        <w:t>estándares</w:t>
      </w:r>
      <w:r w:rsidRPr="000F16E1">
        <w:rPr>
          <w:sz w:val="18"/>
          <w:szCs w:val="18"/>
          <w:lang w:val="es-CR"/>
        </w:rPr>
        <w:t xml:space="preserve"> interamericanos. </w:t>
      </w:r>
    </w:p>
    <w:p w14:paraId="18883936" w14:textId="77777777" w:rsidR="000F16E1" w:rsidRPr="000F16E1" w:rsidRDefault="000F16E1" w:rsidP="000F16E1">
      <w:pPr>
        <w:widowControl w:val="0"/>
        <w:tabs>
          <w:tab w:val="left" w:pos="567"/>
          <w:tab w:val="left" w:pos="1170"/>
        </w:tabs>
        <w:autoSpaceDE w:val="0"/>
        <w:autoSpaceDN w:val="0"/>
        <w:adjustRightInd w:val="0"/>
        <w:ind w:right="22"/>
        <w:jc w:val="both"/>
        <w:rPr>
          <w:szCs w:val="20"/>
          <w:lang w:val="es-CR"/>
        </w:rPr>
      </w:pPr>
    </w:p>
    <w:p w14:paraId="3E849EF0" w14:textId="7D37974D" w:rsidR="003E5472" w:rsidRPr="000F16E1" w:rsidRDefault="00C62987" w:rsidP="000F16E1">
      <w:pPr>
        <w:pStyle w:val="NoSpacing"/>
        <w:numPr>
          <w:ilvl w:val="0"/>
          <w:numId w:val="4"/>
        </w:numPr>
        <w:tabs>
          <w:tab w:val="left" w:pos="567"/>
          <w:tab w:val="left" w:pos="1170"/>
        </w:tabs>
        <w:jc w:val="both"/>
        <w:rPr>
          <w:rFonts w:ascii="Verdana" w:hAnsi="Verdana"/>
          <w:sz w:val="20"/>
          <w:szCs w:val="20"/>
          <w:lang w:val="es-CR"/>
        </w:rPr>
      </w:pPr>
      <w:r w:rsidRPr="003633D2">
        <w:rPr>
          <w:rFonts w:ascii="Verdana" w:hAnsi="Verdana"/>
          <w:i/>
          <w:sz w:val="20"/>
          <w:szCs w:val="20"/>
          <w:lang w:val="es-CR"/>
        </w:rPr>
        <w:t xml:space="preserve">Notificación del Informe de </w:t>
      </w:r>
      <w:r w:rsidR="003E5472" w:rsidRPr="003633D2">
        <w:rPr>
          <w:rFonts w:ascii="Verdana" w:hAnsi="Verdana"/>
          <w:i/>
          <w:sz w:val="20"/>
          <w:szCs w:val="20"/>
          <w:lang w:val="es-CR"/>
        </w:rPr>
        <w:t xml:space="preserve">Fondo. - </w:t>
      </w:r>
      <w:r w:rsidR="003E5472" w:rsidRPr="003633D2">
        <w:rPr>
          <w:rFonts w:ascii="Verdana" w:hAnsi="Verdana"/>
          <w:sz w:val="20"/>
          <w:szCs w:val="20"/>
          <w:lang w:val="es-CR"/>
        </w:rPr>
        <w:t xml:space="preserve">El </w:t>
      </w:r>
      <w:r w:rsidR="005F2B69">
        <w:rPr>
          <w:rFonts w:ascii="Verdana" w:hAnsi="Verdana"/>
          <w:sz w:val="20"/>
          <w:szCs w:val="20"/>
          <w:lang w:val="es-CR"/>
        </w:rPr>
        <w:t>i</w:t>
      </w:r>
      <w:r w:rsidR="003E5472" w:rsidRPr="003633D2">
        <w:rPr>
          <w:rFonts w:ascii="Verdana" w:hAnsi="Verdana"/>
          <w:sz w:val="20"/>
          <w:szCs w:val="20"/>
          <w:lang w:val="es-CR"/>
        </w:rPr>
        <w:t xml:space="preserve">nforme fue notificado al Estado el </w:t>
      </w:r>
      <w:r w:rsidR="00E21829" w:rsidRPr="003633D2">
        <w:rPr>
          <w:rFonts w:ascii="Verdana" w:hAnsi="Verdana"/>
          <w:sz w:val="20"/>
          <w:szCs w:val="20"/>
          <w:lang w:val="es-CR"/>
        </w:rPr>
        <w:t>11</w:t>
      </w:r>
      <w:r w:rsidR="003E5472" w:rsidRPr="003633D2">
        <w:rPr>
          <w:rFonts w:ascii="Verdana" w:hAnsi="Verdana"/>
          <w:sz w:val="20"/>
          <w:szCs w:val="20"/>
          <w:lang w:val="es-CR"/>
        </w:rPr>
        <w:t xml:space="preserve"> de </w:t>
      </w:r>
      <w:r w:rsidR="00E21829" w:rsidRPr="003633D2">
        <w:rPr>
          <w:rFonts w:ascii="Verdana" w:hAnsi="Verdana"/>
          <w:sz w:val="20"/>
          <w:szCs w:val="20"/>
          <w:lang w:val="es-CR"/>
        </w:rPr>
        <w:t>enero</w:t>
      </w:r>
      <w:r w:rsidR="003E5472" w:rsidRPr="003633D2">
        <w:rPr>
          <w:rFonts w:ascii="Verdana" w:hAnsi="Verdana"/>
          <w:sz w:val="20"/>
          <w:szCs w:val="20"/>
          <w:lang w:val="es-CR"/>
        </w:rPr>
        <w:t xml:space="preserve"> de 201</w:t>
      </w:r>
      <w:r w:rsidR="00E21829" w:rsidRPr="003633D2">
        <w:rPr>
          <w:rFonts w:ascii="Verdana" w:hAnsi="Verdana"/>
          <w:sz w:val="20"/>
          <w:szCs w:val="20"/>
          <w:lang w:val="es-CR"/>
        </w:rPr>
        <w:t>7</w:t>
      </w:r>
      <w:r w:rsidR="008A575D" w:rsidRPr="003633D2">
        <w:rPr>
          <w:rFonts w:ascii="Verdana" w:hAnsi="Verdana"/>
          <w:sz w:val="20"/>
          <w:szCs w:val="20"/>
          <w:lang w:val="es-CR"/>
        </w:rPr>
        <w:t xml:space="preserve"> </w:t>
      </w:r>
      <w:r w:rsidR="003E5472" w:rsidRPr="003633D2">
        <w:rPr>
          <w:rFonts w:ascii="Verdana" w:hAnsi="Verdana"/>
          <w:sz w:val="20"/>
          <w:szCs w:val="20"/>
          <w:lang w:val="es-CR"/>
        </w:rPr>
        <w:t xml:space="preserve">y se le otorgó un plazo de dos meses </w:t>
      </w:r>
      <w:r w:rsidR="003E5472" w:rsidRPr="003633D2">
        <w:rPr>
          <w:rFonts w:ascii="Verdana" w:hAnsi="Verdana"/>
          <w:sz w:val="20"/>
          <w:szCs w:val="20"/>
          <w:lang w:val="es-CR" w:eastAsia="es-CR"/>
        </w:rPr>
        <w:t>para informar sobre el cumplimiento de las recomendaciones</w:t>
      </w:r>
      <w:r w:rsidR="0010437B" w:rsidRPr="003633D2">
        <w:rPr>
          <w:rFonts w:ascii="Verdana" w:hAnsi="Verdana"/>
          <w:sz w:val="20"/>
          <w:szCs w:val="20"/>
          <w:lang w:val="es-CR"/>
        </w:rPr>
        <w:t>.</w:t>
      </w:r>
      <w:r w:rsidR="008A575D" w:rsidRPr="003633D2">
        <w:rPr>
          <w:rFonts w:ascii="Verdana" w:hAnsi="Verdana"/>
          <w:b/>
          <w:sz w:val="20"/>
          <w:szCs w:val="20"/>
          <w:lang w:val="es-CR"/>
        </w:rPr>
        <w:t xml:space="preserve"> </w:t>
      </w:r>
      <w:r w:rsidR="003E5472" w:rsidRPr="000F16E1">
        <w:rPr>
          <w:rFonts w:ascii="Verdana" w:hAnsi="Verdana"/>
          <w:bCs/>
          <w:sz w:val="20"/>
          <w:szCs w:val="20"/>
          <w:lang w:val="es-CR" w:eastAsia="es-CR"/>
        </w:rPr>
        <w:t>E</w:t>
      </w:r>
      <w:r w:rsidR="003E5472" w:rsidRPr="000F16E1">
        <w:rPr>
          <w:rFonts w:ascii="Verdana" w:hAnsi="Verdana"/>
          <w:sz w:val="20"/>
          <w:szCs w:val="20"/>
          <w:lang w:val="es-CR" w:eastAsia="es-CR"/>
        </w:rPr>
        <w:t xml:space="preserve">l </w:t>
      </w:r>
      <w:r w:rsidR="0010437B" w:rsidRPr="000F16E1">
        <w:rPr>
          <w:rFonts w:ascii="Verdana" w:hAnsi="Verdana"/>
          <w:sz w:val="20"/>
          <w:szCs w:val="20"/>
          <w:lang w:val="es-CR" w:eastAsia="es-CR"/>
        </w:rPr>
        <w:t xml:space="preserve">10 de marzo de 2017 el </w:t>
      </w:r>
      <w:r w:rsidR="003E5472" w:rsidRPr="000F16E1">
        <w:rPr>
          <w:rFonts w:ascii="Verdana" w:hAnsi="Verdana"/>
          <w:sz w:val="20"/>
          <w:szCs w:val="20"/>
          <w:lang w:val="es-CR" w:eastAsia="es-CR"/>
        </w:rPr>
        <w:t xml:space="preserve">Estado presentó </w:t>
      </w:r>
      <w:r w:rsidR="0010437B" w:rsidRPr="000F16E1">
        <w:rPr>
          <w:rFonts w:ascii="Verdana" w:hAnsi="Verdana"/>
          <w:sz w:val="20"/>
          <w:szCs w:val="20"/>
          <w:lang w:val="es-CR" w:eastAsia="es-CR"/>
        </w:rPr>
        <w:t>su</w:t>
      </w:r>
      <w:r w:rsidR="003E5472" w:rsidRPr="000F16E1">
        <w:rPr>
          <w:rFonts w:ascii="Verdana" w:hAnsi="Verdana"/>
          <w:sz w:val="20"/>
          <w:szCs w:val="20"/>
          <w:lang w:val="es-CR" w:eastAsia="es-CR"/>
        </w:rPr>
        <w:t xml:space="preserve"> </w:t>
      </w:r>
      <w:r w:rsidR="00972997" w:rsidRPr="000F16E1">
        <w:rPr>
          <w:rFonts w:ascii="Verdana" w:hAnsi="Verdana"/>
          <w:sz w:val="20"/>
          <w:szCs w:val="20"/>
          <w:lang w:val="es-CR" w:eastAsia="es-CR"/>
        </w:rPr>
        <w:t xml:space="preserve">primer </w:t>
      </w:r>
      <w:r w:rsidR="003E5472" w:rsidRPr="000F16E1">
        <w:rPr>
          <w:rFonts w:ascii="Verdana" w:hAnsi="Verdana"/>
          <w:sz w:val="20"/>
          <w:szCs w:val="20"/>
          <w:lang w:val="es-CR" w:eastAsia="es-CR"/>
        </w:rPr>
        <w:t xml:space="preserve">informe </w:t>
      </w:r>
      <w:r w:rsidR="00196F44" w:rsidRPr="000F16E1">
        <w:rPr>
          <w:rFonts w:ascii="Verdana" w:hAnsi="Verdana"/>
          <w:sz w:val="20"/>
          <w:szCs w:val="20"/>
          <w:lang w:val="es-CR" w:eastAsia="es-CR"/>
        </w:rPr>
        <w:t>sobre las medidas adoptadas para dar cumpli</w:t>
      </w:r>
      <w:r w:rsidR="00E01236" w:rsidRPr="000F16E1">
        <w:rPr>
          <w:rFonts w:ascii="Verdana" w:hAnsi="Verdana"/>
          <w:sz w:val="20"/>
          <w:szCs w:val="20"/>
          <w:lang w:val="es-CR" w:eastAsia="es-CR"/>
        </w:rPr>
        <w:t>miento a dichas recomendaciones</w:t>
      </w:r>
      <w:r w:rsidR="00196F44" w:rsidRPr="000F16E1">
        <w:rPr>
          <w:rFonts w:ascii="Verdana" w:hAnsi="Verdana"/>
          <w:sz w:val="20"/>
          <w:szCs w:val="20"/>
          <w:lang w:val="es-CR" w:eastAsia="es-CR"/>
        </w:rPr>
        <w:t xml:space="preserve"> </w:t>
      </w:r>
      <w:r w:rsidR="0010437B" w:rsidRPr="000F16E1">
        <w:rPr>
          <w:rFonts w:ascii="Verdana" w:hAnsi="Verdana"/>
          <w:sz w:val="20"/>
          <w:szCs w:val="20"/>
          <w:lang w:val="es-CR" w:eastAsia="es-CR"/>
        </w:rPr>
        <w:t>y solicitó una prórroga</w:t>
      </w:r>
      <w:r w:rsidR="003E5472" w:rsidRPr="000F16E1">
        <w:rPr>
          <w:rFonts w:ascii="Verdana" w:hAnsi="Verdana"/>
          <w:sz w:val="20"/>
          <w:szCs w:val="20"/>
          <w:lang w:val="es-CR"/>
        </w:rPr>
        <w:t xml:space="preserve">. </w:t>
      </w:r>
      <w:r w:rsidR="00196F44" w:rsidRPr="000F16E1">
        <w:rPr>
          <w:rFonts w:ascii="Verdana" w:hAnsi="Verdana"/>
          <w:sz w:val="20"/>
          <w:szCs w:val="20"/>
          <w:lang w:val="es-CR"/>
        </w:rPr>
        <w:t>E</w:t>
      </w:r>
      <w:r w:rsidR="0010437B" w:rsidRPr="000F16E1">
        <w:rPr>
          <w:rFonts w:ascii="Verdana" w:hAnsi="Verdana"/>
          <w:sz w:val="20"/>
          <w:szCs w:val="20"/>
          <w:lang w:val="es-CR"/>
        </w:rPr>
        <w:t xml:space="preserve">l 26 de mayo de 2017 el Estado presentó un segundo informe y solicitó una nueva prórroga, la cual no fue otorgada por la Comisión. </w:t>
      </w:r>
    </w:p>
    <w:p w14:paraId="00D227BF" w14:textId="77777777" w:rsidR="003E5472" w:rsidRPr="003633D2" w:rsidRDefault="003E5472" w:rsidP="00EE5E64">
      <w:pPr>
        <w:pStyle w:val="NoSpacing"/>
        <w:tabs>
          <w:tab w:val="left" w:pos="567"/>
          <w:tab w:val="left" w:pos="709"/>
          <w:tab w:val="left" w:pos="1080"/>
        </w:tabs>
        <w:rPr>
          <w:rFonts w:ascii="Verdana" w:hAnsi="Verdana"/>
          <w:sz w:val="20"/>
          <w:szCs w:val="20"/>
          <w:highlight w:val="cyan"/>
          <w:lang w:val="es-CR"/>
        </w:rPr>
      </w:pPr>
    </w:p>
    <w:p w14:paraId="7E9E8AAC" w14:textId="46ED1060" w:rsidR="003E5472" w:rsidRDefault="003E5472" w:rsidP="00EE5E64">
      <w:pPr>
        <w:pStyle w:val="PrrafodeSentencia"/>
        <w:rPr>
          <w:b/>
        </w:rPr>
      </w:pPr>
      <w:bookmarkStart w:id="45" w:name="_Ref464815035"/>
      <w:r w:rsidRPr="000F16E1">
        <w:rPr>
          <w:i/>
        </w:rPr>
        <w:t>Sometimiento a la Corte</w:t>
      </w:r>
      <w:r w:rsidRPr="003633D2">
        <w:t>.</w:t>
      </w:r>
      <w:r w:rsidRPr="000F16E1">
        <w:rPr>
          <w:i/>
        </w:rPr>
        <w:t xml:space="preserve"> – </w:t>
      </w:r>
      <w:r w:rsidRPr="003633D2">
        <w:t xml:space="preserve">El </w:t>
      </w:r>
      <w:r w:rsidR="005E57D9" w:rsidRPr="003633D2">
        <w:t>9</w:t>
      </w:r>
      <w:r w:rsidRPr="003633D2">
        <w:t xml:space="preserve"> de ju</w:t>
      </w:r>
      <w:r w:rsidR="005E57D9" w:rsidRPr="003633D2">
        <w:t>nio de 2017</w:t>
      </w:r>
      <w:r w:rsidRPr="003633D2">
        <w:t xml:space="preserve"> la Comisión sometió el presente caso a la Corte “ante la necesidad de obtención de justicia en el caso particular”. La Comisión</w:t>
      </w:r>
      <w:r w:rsidR="007B39CF" w:rsidRPr="003633D2">
        <w:t xml:space="preserve"> designó como delegados </w:t>
      </w:r>
      <w:r w:rsidR="009C27B1" w:rsidRPr="003633D2">
        <w:t xml:space="preserve">al Comisionado Paulo </w:t>
      </w:r>
      <w:proofErr w:type="spellStart"/>
      <w:r w:rsidR="009C27B1" w:rsidRPr="003633D2">
        <w:t>Vannuchi</w:t>
      </w:r>
      <w:proofErr w:type="spellEnd"/>
      <w:r w:rsidR="009C27B1" w:rsidRPr="003633D2">
        <w:t xml:space="preserve"> y al Secretario Ejecutivo Paulo </w:t>
      </w:r>
      <w:proofErr w:type="spellStart"/>
      <w:r w:rsidR="009C27B1" w:rsidRPr="003633D2">
        <w:t>Abr</w:t>
      </w:r>
      <w:r w:rsidR="009C27B1" w:rsidRPr="003633D2">
        <w:rPr>
          <w:spacing w:val="0"/>
        </w:rPr>
        <w:t>ã</w:t>
      </w:r>
      <w:r w:rsidR="007B39CF" w:rsidRPr="003633D2">
        <w:t>o</w:t>
      </w:r>
      <w:proofErr w:type="spellEnd"/>
      <w:r w:rsidR="007B39CF" w:rsidRPr="003633D2">
        <w:t>, así como a las señoras</w:t>
      </w:r>
      <w:r w:rsidR="009C27B1" w:rsidRPr="003633D2">
        <w:t xml:space="preserve"> Elizabeth </w:t>
      </w:r>
      <w:proofErr w:type="spellStart"/>
      <w:r w:rsidR="009C27B1" w:rsidRPr="003633D2">
        <w:t>Abi</w:t>
      </w:r>
      <w:proofErr w:type="spellEnd"/>
      <w:r w:rsidR="009C27B1" w:rsidRPr="003633D2">
        <w:t>-Meshed, Secretaria Ejecutiva Adjunta</w:t>
      </w:r>
      <w:r w:rsidR="007B39CF" w:rsidRPr="003633D2">
        <w:t>,</w:t>
      </w:r>
      <w:r w:rsidR="009C27B1" w:rsidRPr="003633D2">
        <w:t xml:space="preserve"> Silvia Serrano Guzmán y Paulina Corominas, como asesoras legales.</w:t>
      </w:r>
      <w:r w:rsidRPr="003633D2">
        <w:t xml:space="preserve"> </w:t>
      </w:r>
      <w:bookmarkEnd w:id="45"/>
    </w:p>
    <w:p w14:paraId="053167FD" w14:textId="77777777" w:rsidR="000F16E1" w:rsidRPr="000F16E1" w:rsidRDefault="000F16E1" w:rsidP="000F16E1">
      <w:pPr>
        <w:rPr>
          <w:lang w:val="es-CR" w:eastAsia="es-MX"/>
        </w:rPr>
      </w:pPr>
    </w:p>
    <w:p w14:paraId="233AE8E0" w14:textId="3F01250B" w:rsidR="003E5472" w:rsidRDefault="003E5472" w:rsidP="009F7500">
      <w:pPr>
        <w:pStyle w:val="PrrafodeSentencia"/>
        <w:rPr>
          <w:b/>
        </w:rPr>
      </w:pPr>
      <w:r w:rsidRPr="003633D2">
        <w:rPr>
          <w:i/>
        </w:rPr>
        <w:t xml:space="preserve">Solicitudes de la Comisión. – </w:t>
      </w:r>
      <w:r w:rsidRPr="003633D2">
        <w:t>Con base en lo anterior, la Comisión Interamericana solicitó a este Tribunal que concluyera y declarara la responsabilidad internacional de</w:t>
      </w:r>
      <w:r w:rsidR="00E301DE" w:rsidRPr="003633D2">
        <w:t xml:space="preserve"> Perú</w:t>
      </w:r>
      <w:r w:rsidRPr="003633D2">
        <w:t xml:space="preserve"> por l</w:t>
      </w:r>
      <w:bookmarkEnd w:id="41"/>
      <w:bookmarkEnd w:id="42"/>
      <w:bookmarkEnd w:id="43"/>
      <w:r w:rsidR="00E301DE" w:rsidRPr="003633D2">
        <w:t>a violación de los derechos a la personalidad jurídica, a la vida, a la integridad personal, a la libertad personal, a las garantías judiciales y a la protección judicial consagr</w:t>
      </w:r>
      <w:r w:rsidR="00CB2B9A">
        <w:t xml:space="preserve">ados en la Convención Americana, así como de los </w:t>
      </w:r>
      <w:r w:rsidR="00CB2B9A" w:rsidRPr="000F16E1">
        <w:rPr>
          <w:szCs w:val="20"/>
        </w:rPr>
        <w:t>artículos I y III de la Convención Interamericana sobre  Desaparición Forzada de Personas y de los artículos 1, 6 y 8 de la Convención Interamericana para Prevenir y Sancionar la Tortura</w:t>
      </w:r>
      <w:r w:rsidR="0011736B">
        <w:rPr>
          <w:szCs w:val="20"/>
        </w:rPr>
        <w:t>.</w:t>
      </w:r>
      <w:r w:rsidR="00CB2B9A">
        <w:t xml:space="preserve"> </w:t>
      </w:r>
    </w:p>
    <w:p w14:paraId="2604A953" w14:textId="77777777" w:rsidR="003E5472" w:rsidRDefault="003E5472" w:rsidP="009F7500">
      <w:pPr>
        <w:pStyle w:val="PrrafodeSentencia"/>
        <w:numPr>
          <w:ilvl w:val="0"/>
          <w:numId w:val="0"/>
        </w:numPr>
        <w:rPr>
          <w:rFonts w:eastAsia="Times New Roman" w:cs="Times New Roman"/>
          <w:spacing w:val="0"/>
          <w:szCs w:val="24"/>
        </w:rPr>
      </w:pPr>
    </w:p>
    <w:p w14:paraId="136E65B9" w14:textId="77777777" w:rsidR="00CB2B9A" w:rsidRDefault="00CB2B9A" w:rsidP="00CB2B9A">
      <w:pPr>
        <w:rPr>
          <w:lang w:val="es-CR" w:eastAsia="es-MX"/>
        </w:rPr>
      </w:pPr>
    </w:p>
    <w:p w14:paraId="03C06F11" w14:textId="77777777" w:rsidR="00CB2B9A" w:rsidRDefault="00CB2B9A" w:rsidP="00CB2B9A">
      <w:pPr>
        <w:rPr>
          <w:lang w:val="es-CR" w:eastAsia="es-MX"/>
        </w:rPr>
      </w:pPr>
    </w:p>
    <w:p w14:paraId="3EE73D51" w14:textId="77777777" w:rsidR="00CB2B9A" w:rsidRDefault="00CB2B9A" w:rsidP="00CB2B9A">
      <w:pPr>
        <w:rPr>
          <w:lang w:val="es-CR" w:eastAsia="es-MX"/>
        </w:rPr>
      </w:pPr>
    </w:p>
    <w:p w14:paraId="36DD4B37" w14:textId="77777777" w:rsidR="00CB2B9A" w:rsidRPr="00CB2B9A" w:rsidRDefault="00CB2B9A" w:rsidP="00CB2B9A">
      <w:pPr>
        <w:rPr>
          <w:lang w:val="es-CR" w:eastAsia="es-MX"/>
        </w:rPr>
      </w:pPr>
    </w:p>
    <w:p w14:paraId="148F447E" w14:textId="4A4FD1FB" w:rsidR="003E5472" w:rsidRPr="003633D2" w:rsidRDefault="003E5472" w:rsidP="00B5160D">
      <w:pPr>
        <w:pStyle w:val="Title"/>
        <w:tabs>
          <w:tab w:val="left" w:pos="567"/>
        </w:tabs>
      </w:pPr>
      <w:bookmarkStart w:id="46" w:name="_Toc424834680"/>
      <w:bookmarkStart w:id="47" w:name="_Toc427932786"/>
      <w:bookmarkStart w:id="48" w:name="_Toc431584603"/>
      <w:bookmarkStart w:id="49" w:name="_Toc434850391"/>
      <w:bookmarkStart w:id="50" w:name="_Toc469593448"/>
      <w:bookmarkStart w:id="51" w:name="_Toc469594431"/>
      <w:bookmarkStart w:id="52" w:name="_Toc469594533"/>
      <w:bookmarkStart w:id="53" w:name="_Toc469594796"/>
      <w:bookmarkStart w:id="54" w:name="_Toc469594899"/>
      <w:bookmarkStart w:id="55" w:name="_Toc469940915"/>
      <w:bookmarkStart w:id="56" w:name="_Toc526152684"/>
      <w:r w:rsidRPr="003633D2">
        <w:lastRenderedPageBreak/>
        <w:t>II</w:t>
      </w:r>
      <w:bookmarkStart w:id="57" w:name="_Toc424833997"/>
      <w:bookmarkStart w:id="58" w:name="_Toc424834681"/>
      <w:bookmarkStart w:id="59" w:name="_Toc424834748"/>
      <w:bookmarkStart w:id="60" w:name="_Toc427342825"/>
      <w:bookmarkStart w:id="61" w:name="_Toc427663811"/>
      <w:bookmarkStart w:id="62" w:name="_Toc427932787"/>
      <w:bookmarkStart w:id="63" w:name="_Toc427943550"/>
      <w:bookmarkStart w:id="64" w:name="_Toc427943724"/>
      <w:bookmarkStart w:id="65" w:name="_Toc431584604"/>
      <w:bookmarkStart w:id="66" w:name="_Toc431584720"/>
      <w:bookmarkStart w:id="67" w:name="_Toc431585025"/>
      <w:bookmarkStart w:id="68" w:name="_Toc431646542"/>
      <w:bookmarkStart w:id="69" w:name="_Toc431834525"/>
      <w:bookmarkStart w:id="70" w:name="_Toc431834621"/>
      <w:bookmarkStart w:id="71" w:name="_Toc308537926"/>
      <w:bookmarkStart w:id="72" w:name="_Toc308538146"/>
      <w:bookmarkStart w:id="73" w:name="_Toc434849913"/>
      <w:bookmarkStart w:id="74" w:name="_Toc434850392"/>
      <w:bookmarkStart w:id="75" w:name="_Toc469594900"/>
      <w:bookmarkStart w:id="76" w:name="_Toc469664209"/>
      <w:bookmarkStart w:id="77" w:name="_Toc469664471"/>
      <w:bookmarkStart w:id="78" w:name="_Toc469940916"/>
      <w:bookmarkEnd w:id="46"/>
      <w:bookmarkEnd w:id="47"/>
      <w:bookmarkEnd w:id="48"/>
      <w:bookmarkEnd w:id="49"/>
      <w:bookmarkEnd w:id="50"/>
      <w:bookmarkEnd w:id="51"/>
      <w:bookmarkEnd w:id="52"/>
      <w:bookmarkEnd w:id="53"/>
      <w:bookmarkEnd w:id="54"/>
      <w:bookmarkEnd w:id="55"/>
      <w:r w:rsidR="00B5160D">
        <w:br/>
      </w:r>
      <w:r w:rsidRPr="003633D2">
        <w:t>PROCEDIMIENTO ANTE LA CORTE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56"/>
    </w:p>
    <w:p w14:paraId="574358E8" w14:textId="77777777" w:rsidR="003E5472" w:rsidRPr="003633D2" w:rsidRDefault="003E5472" w:rsidP="00EE5E64">
      <w:pPr>
        <w:tabs>
          <w:tab w:val="left" w:pos="567"/>
        </w:tabs>
        <w:rPr>
          <w:szCs w:val="20"/>
          <w:lang w:val="es-CR"/>
        </w:rPr>
      </w:pPr>
    </w:p>
    <w:p w14:paraId="4DB6B2E4" w14:textId="6DB3923F" w:rsidR="003E5472" w:rsidRPr="003633D2" w:rsidRDefault="003E5472" w:rsidP="009F7500">
      <w:pPr>
        <w:pStyle w:val="PrrafodeSentencia"/>
      </w:pPr>
      <w:bookmarkStart w:id="79" w:name="_Ref357172062"/>
      <w:bookmarkStart w:id="80" w:name="_Ref343555499"/>
      <w:r w:rsidRPr="003633D2">
        <w:rPr>
          <w:i/>
        </w:rPr>
        <w:t xml:space="preserve">Notificación al Estado y a los representantes. - </w:t>
      </w:r>
      <w:r w:rsidRPr="003633D2">
        <w:t xml:space="preserve">El sometimiento del caso </w:t>
      </w:r>
      <w:bookmarkEnd w:id="79"/>
      <w:r w:rsidR="007C4645" w:rsidRPr="003633D2">
        <w:rPr>
          <w:rFonts w:eastAsia="Times New Roman" w:cs="Times New Roman"/>
          <w:color w:val="161616"/>
        </w:rPr>
        <w:t>fue</w:t>
      </w:r>
      <w:r w:rsidR="007C4645" w:rsidRPr="003633D2">
        <w:rPr>
          <w:rFonts w:eastAsia="Times New Roman" w:cs="Times New Roman"/>
          <w:color w:val="161616"/>
          <w:spacing w:val="22"/>
        </w:rPr>
        <w:t xml:space="preserve"> </w:t>
      </w:r>
      <w:r w:rsidR="007C4645" w:rsidRPr="003633D2">
        <w:rPr>
          <w:rFonts w:eastAsia="Times New Roman" w:cs="Times New Roman"/>
          <w:color w:val="161616"/>
        </w:rPr>
        <w:t>notificado</w:t>
      </w:r>
      <w:r w:rsidR="007C4645" w:rsidRPr="003633D2">
        <w:rPr>
          <w:rFonts w:eastAsia="Times New Roman" w:cs="Times New Roman"/>
          <w:color w:val="161616"/>
          <w:spacing w:val="29"/>
        </w:rPr>
        <w:t xml:space="preserve"> </w:t>
      </w:r>
      <w:r w:rsidR="007C4645" w:rsidRPr="003633D2">
        <w:rPr>
          <w:rFonts w:eastAsia="Times New Roman" w:cs="Times New Roman"/>
          <w:color w:val="262626"/>
        </w:rPr>
        <w:t>al</w:t>
      </w:r>
      <w:r w:rsidR="007C4645" w:rsidRPr="003633D2">
        <w:rPr>
          <w:rFonts w:eastAsia="Times New Roman" w:cs="Times New Roman"/>
          <w:color w:val="262626"/>
          <w:spacing w:val="11"/>
        </w:rPr>
        <w:t xml:space="preserve"> </w:t>
      </w:r>
      <w:r w:rsidR="007C4645" w:rsidRPr="003633D2">
        <w:rPr>
          <w:rFonts w:eastAsia="Times New Roman" w:cs="Times New Roman"/>
          <w:color w:val="262626"/>
        </w:rPr>
        <w:t>Estado</w:t>
      </w:r>
      <w:r w:rsidR="007C4645" w:rsidRPr="003633D2">
        <w:rPr>
          <w:rFonts w:eastAsia="Times New Roman" w:cs="Times New Roman"/>
          <w:color w:val="262626"/>
          <w:spacing w:val="34"/>
        </w:rPr>
        <w:t xml:space="preserve"> </w:t>
      </w:r>
      <w:r w:rsidR="007C4645" w:rsidRPr="003633D2">
        <w:rPr>
          <w:rFonts w:eastAsia="Times New Roman" w:cs="Times New Roman"/>
          <w:color w:val="161616"/>
        </w:rPr>
        <w:t>de</w:t>
      </w:r>
      <w:r w:rsidR="007C4645" w:rsidRPr="003633D2">
        <w:rPr>
          <w:rFonts w:eastAsia="Times New Roman" w:cs="Times New Roman"/>
          <w:color w:val="161616"/>
          <w:spacing w:val="27"/>
        </w:rPr>
        <w:t xml:space="preserve"> </w:t>
      </w:r>
      <w:r w:rsidR="007C4645" w:rsidRPr="003633D2">
        <w:rPr>
          <w:rFonts w:eastAsia="Times New Roman" w:cs="Times New Roman"/>
          <w:color w:val="161616"/>
        </w:rPr>
        <w:t>Perú</w:t>
      </w:r>
      <w:r w:rsidR="007C4645" w:rsidRPr="003633D2">
        <w:rPr>
          <w:rFonts w:eastAsia="Times New Roman" w:cs="Times New Roman"/>
          <w:color w:val="161616"/>
          <w:spacing w:val="28"/>
        </w:rPr>
        <w:t xml:space="preserve"> </w:t>
      </w:r>
      <w:r w:rsidR="007C4645" w:rsidRPr="003633D2">
        <w:rPr>
          <w:rFonts w:eastAsia="Times New Roman" w:cs="Times New Roman"/>
          <w:color w:val="161616"/>
          <w:w w:val="108"/>
        </w:rPr>
        <w:t xml:space="preserve">mediante </w:t>
      </w:r>
      <w:r w:rsidR="007B39CF" w:rsidRPr="003633D2">
        <w:rPr>
          <w:rFonts w:eastAsia="Times New Roman" w:cs="Times New Roman"/>
          <w:color w:val="262626"/>
        </w:rPr>
        <w:t>comunicación</w:t>
      </w:r>
      <w:r w:rsidR="007C4645" w:rsidRPr="003633D2">
        <w:rPr>
          <w:rFonts w:eastAsia="Times New Roman" w:cs="Times New Roman"/>
          <w:color w:val="262626"/>
          <w:spacing w:val="7"/>
        </w:rPr>
        <w:t xml:space="preserve"> </w:t>
      </w:r>
      <w:r w:rsidR="007B39CF" w:rsidRPr="003633D2">
        <w:rPr>
          <w:rFonts w:eastAsia="Times New Roman" w:cs="Times New Roman"/>
          <w:color w:val="161616"/>
        </w:rPr>
        <w:t>de</w:t>
      </w:r>
      <w:r w:rsidR="007C4645" w:rsidRPr="003633D2">
        <w:rPr>
          <w:rFonts w:eastAsia="Times New Roman" w:cs="Times New Roman"/>
          <w:color w:val="161616"/>
          <w:spacing w:val="32"/>
        </w:rPr>
        <w:t xml:space="preserve"> </w:t>
      </w:r>
      <w:r w:rsidR="009D2481">
        <w:rPr>
          <w:rFonts w:eastAsia="Times New Roman" w:cs="Times New Roman"/>
          <w:color w:val="161616"/>
        </w:rPr>
        <w:t>7</w:t>
      </w:r>
      <w:r w:rsidR="006766F4" w:rsidRPr="003633D2">
        <w:rPr>
          <w:rFonts w:eastAsia="Times New Roman" w:cs="Times New Roman"/>
          <w:color w:val="161616"/>
        </w:rPr>
        <w:t xml:space="preserve"> </w:t>
      </w:r>
      <w:r w:rsidR="00AE6764" w:rsidRPr="003633D2">
        <w:rPr>
          <w:rFonts w:eastAsia="Times New Roman" w:cs="Times New Roman"/>
          <w:color w:val="161616"/>
        </w:rPr>
        <w:t>de agosto</w:t>
      </w:r>
      <w:r w:rsidR="006766F4" w:rsidRPr="003633D2">
        <w:rPr>
          <w:rFonts w:eastAsia="Times New Roman" w:cs="Times New Roman"/>
          <w:color w:val="161616"/>
        </w:rPr>
        <w:t xml:space="preserve"> de</w:t>
      </w:r>
      <w:r w:rsidR="007C4645" w:rsidRPr="003633D2">
        <w:rPr>
          <w:rFonts w:eastAsia="Times New Roman" w:cs="Times New Roman"/>
          <w:color w:val="161616"/>
        </w:rPr>
        <w:t xml:space="preserve"> </w:t>
      </w:r>
      <w:r w:rsidR="007C4645" w:rsidRPr="003633D2">
        <w:rPr>
          <w:rFonts w:eastAsia="Times New Roman" w:cs="Times New Roman"/>
          <w:color w:val="262626"/>
        </w:rPr>
        <w:t>2017</w:t>
      </w:r>
      <w:r w:rsidRPr="003633D2">
        <w:t>.</w:t>
      </w:r>
      <w:bookmarkEnd w:id="80"/>
      <w:r w:rsidRPr="003633D2">
        <w:t xml:space="preserve"> </w:t>
      </w:r>
    </w:p>
    <w:p w14:paraId="74F9C345" w14:textId="77777777" w:rsidR="003E5472" w:rsidRPr="003633D2" w:rsidRDefault="003E5472" w:rsidP="009F7500">
      <w:pPr>
        <w:pStyle w:val="PrrafodeSentencia"/>
        <w:numPr>
          <w:ilvl w:val="0"/>
          <w:numId w:val="0"/>
        </w:numPr>
      </w:pPr>
    </w:p>
    <w:p w14:paraId="2CC5243B" w14:textId="560F0213" w:rsidR="003E5472" w:rsidRPr="003633D2" w:rsidRDefault="003E5472" w:rsidP="009D2481">
      <w:pPr>
        <w:pStyle w:val="PrrafodeSentencia"/>
      </w:pPr>
      <w:bookmarkStart w:id="81" w:name="_Ref308343867"/>
      <w:bookmarkStart w:id="82" w:name="_Ref357172044"/>
      <w:bookmarkStart w:id="83" w:name="_Ref464815038"/>
      <w:r w:rsidRPr="003633D2">
        <w:rPr>
          <w:i/>
        </w:rPr>
        <w:t>Escrito de solicitudes, argumento</w:t>
      </w:r>
      <w:r w:rsidR="00785857">
        <w:rPr>
          <w:i/>
        </w:rPr>
        <w:t>s</w:t>
      </w:r>
      <w:r w:rsidRPr="003633D2">
        <w:rPr>
          <w:i/>
        </w:rPr>
        <w:t xml:space="preserve"> y pruebas. - </w:t>
      </w:r>
      <w:r w:rsidRPr="003633D2">
        <w:t xml:space="preserve">El </w:t>
      </w:r>
      <w:r w:rsidR="006766F4" w:rsidRPr="003633D2">
        <w:t>4 de octubre de 2017 la</w:t>
      </w:r>
      <w:r w:rsidRPr="003633D2">
        <w:t xml:space="preserve"> </w:t>
      </w:r>
      <w:r w:rsidR="005A5080" w:rsidRPr="003633D2">
        <w:rPr>
          <w:spacing w:val="0"/>
        </w:rPr>
        <w:t>Comisión</w:t>
      </w:r>
      <w:r w:rsidR="008E4EEF" w:rsidRPr="003633D2">
        <w:rPr>
          <w:spacing w:val="0"/>
        </w:rPr>
        <w:t xml:space="preserve"> de Derechos Humanos </w:t>
      </w:r>
      <w:r w:rsidR="006766F4" w:rsidRPr="003633D2">
        <w:t>COMISEDH</w:t>
      </w:r>
      <w:r w:rsidRPr="003633D2">
        <w:t xml:space="preserve"> </w:t>
      </w:r>
      <w:r w:rsidR="002E443C" w:rsidRPr="003633D2">
        <w:t xml:space="preserve">(en adelante “los representantes”) </w:t>
      </w:r>
      <w:r w:rsidR="006766F4" w:rsidRPr="003633D2">
        <w:t>present</w:t>
      </w:r>
      <w:r w:rsidR="009D2481">
        <w:t>ó</w:t>
      </w:r>
      <w:r w:rsidRPr="003633D2">
        <w:t xml:space="preserve"> su escrito de solicitudes, argumentos y pruebas (en adelante “escrito de solicitudes y argumentos”), conforme a los artículos 25 y 40 del Reglamento de la Corte. Los representantes coincidieron sustancialmente con los alegatos de la Comisión y</w:t>
      </w:r>
      <w:r w:rsidRPr="009D2481">
        <w:rPr>
          <w:color w:val="FF0000"/>
        </w:rPr>
        <w:t xml:space="preserve"> </w:t>
      </w:r>
      <w:r w:rsidRPr="003633D2">
        <w:t xml:space="preserve">solicitaron a la Corte que declarara la responsabilidad internacional del Estado por la violación de los mismos artículos alegados por la Comisión. </w:t>
      </w:r>
      <w:r w:rsidR="00102F0D" w:rsidRPr="003633D2">
        <w:t>Asimismo</w:t>
      </w:r>
      <w:r w:rsidRPr="003633D2">
        <w:t>, los representantes solicitaron que se ordenara al Estado adoptar diversas medidas de reparación y el reintegro de determinadas costas y gastos.</w:t>
      </w:r>
      <w:bookmarkEnd w:id="81"/>
      <w:bookmarkEnd w:id="82"/>
      <w:bookmarkEnd w:id="83"/>
      <w:r w:rsidR="00102F0D" w:rsidRPr="003633D2">
        <w:t xml:space="preserve"> Finalmente, las presuntas víctimas, a</w:t>
      </w:r>
      <w:r w:rsidR="006064BD" w:rsidRPr="003633D2">
        <w:t xml:space="preserve"> través de sus representantes, presentaron</w:t>
      </w:r>
      <w:r w:rsidR="00102F0D" w:rsidRPr="003633D2">
        <w:t xml:space="preserve"> una solicitud para acogerse al </w:t>
      </w:r>
      <w:r w:rsidR="00657922">
        <w:t>Fondo de Asistencia Legal de Víctimas de la Corte Interamericana (en adelante el “Fondo de Asistencia Legal”)</w:t>
      </w:r>
      <w:r w:rsidR="00102F0D" w:rsidRPr="003633D2">
        <w:t xml:space="preserve">. </w:t>
      </w:r>
    </w:p>
    <w:p w14:paraId="220BB025" w14:textId="77777777" w:rsidR="003E5472" w:rsidRPr="003633D2" w:rsidRDefault="003E5472" w:rsidP="009F7500">
      <w:pPr>
        <w:pStyle w:val="PrrafodeSentencia"/>
        <w:numPr>
          <w:ilvl w:val="0"/>
          <w:numId w:val="0"/>
        </w:numPr>
      </w:pPr>
    </w:p>
    <w:p w14:paraId="35714493" w14:textId="39711C93" w:rsidR="003E5472" w:rsidRPr="003633D2" w:rsidRDefault="003E5472" w:rsidP="009F7500">
      <w:pPr>
        <w:pStyle w:val="PrrafodeSentencia"/>
        <w:rPr>
          <w:b/>
        </w:rPr>
      </w:pPr>
      <w:bookmarkStart w:id="84" w:name="_Ref308343874"/>
      <w:bookmarkStart w:id="85" w:name="_Ref464815040"/>
      <w:r w:rsidRPr="003633D2">
        <w:rPr>
          <w:i/>
        </w:rPr>
        <w:t xml:space="preserve">Escrito de contestación. - </w:t>
      </w:r>
      <w:r w:rsidRPr="003633D2">
        <w:t xml:space="preserve">El </w:t>
      </w:r>
      <w:r w:rsidR="007C4645" w:rsidRPr="003633D2">
        <w:t>15 de enero del 2018</w:t>
      </w:r>
      <w:r w:rsidRPr="003633D2">
        <w:t xml:space="preserve"> el Estado presentó ante la Corte su </w:t>
      </w:r>
      <w:r w:rsidR="00633F6E" w:rsidRPr="003633D2">
        <w:t xml:space="preserve">escrito de </w:t>
      </w:r>
      <w:r w:rsidR="002E443C" w:rsidRPr="003633D2">
        <w:t>excepci</w:t>
      </w:r>
      <w:r w:rsidR="001F0E21">
        <w:t>ón preliminar</w:t>
      </w:r>
      <w:r w:rsidR="002E443C" w:rsidRPr="003633D2">
        <w:t xml:space="preserve">, </w:t>
      </w:r>
      <w:r w:rsidR="00633F6E" w:rsidRPr="003633D2">
        <w:t xml:space="preserve">contestación al sometimiento del caso por parte de la Comisión, </w:t>
      </w:r>
      <w:r w:rsidR="00F75B17" w:rsidRPr="003633D2">
        <w:t>así</w:t>
      </w:r>
      <w:r w:rsidR="00633F6E" w:rsidRPr="003633D2">
        <w:t xml:space="preserve"> como sus observaciones al </w:t>
      </w:r>
      <w:r w:rsidR="002E443C" w:rsidRPr="003633D2">
        <w:t>e</w:t>
      </w:r>
      <w:r w:rsidR="00633F6E" w:rsidRPr="003633D2">
        <w:t xml:space="preserve">scrito de </w:t>
      </w:r>
      <w:r w:rsidR="002E443C" w:rsidRPr="003633D2">
        <w:t>solicitudes</w:t>
      </w:r>
      <w:r w:rsidR="001F0E21">
        <w:t xml:space="preserve"> y</w:t>
      </w:r>
      <w:r w:rsidR="002E443C" w:rsidRPr="003633D2">
        <w:t xml:space="preserve"> a</w:t>
      </w:r>
      <w:r w:rsidR="00E01236">
        <w:t xml:space="preserve">rgumentos </w:t>
      </w:r>
      <w:r w:rsidR="00633F6E" w:rsidRPr="003633D2">
        <w:t>(en adelante “escrito de contestación”)</w:t>
      </w:r>
      <w:r w:rsidR="002E443C" w:rsidRPr="003633D2">
        <w:rPr>
          <w:rStyle w:val="FootnoteReference"/>
          <w:sz w:val="20"/>
          <w:szCs w:val="20"/>
        </w:rPr>
        <w:footnoteReference w:id="4"/>
      </w:r>
      <w:r w:rsidR="00633F6E" w:rsidRPr="003633D2">
        <w:t>.</w:t>
      </w:r>
      <w:r w:rsidRPr="003633D2">
        <w:t xml:space="preserve"> En dicho escrito, el Estado interpuso </w:t>
      </w:r>
      <w:r w:rsidR="007F5F2C">
        <w:t>un</w:t>
      </w:r>
      <w:r w:rsidR="00633F6E" w:rsidRPr="003633D2">
        <w:t xml:space="preserve">a </w:t>
      </w:r>
      <w:r w:rsidR="00F75B17" w:rsidRPr="003633D2">
        <w:t>excepción</w:t>
      </w:r>
      <w:r w:rsidR="00633F6E" w:rsidRPr="003633D2">
        <w:t xml:space="preserve"> preliminar</w:t>
      </w:r>
      <w:r w:rsidRPr="003633D2">
        <w:t xml:space="preserve"> por la </w:t>
      </w:r>
      <w:r w:rsidR="001F0E21">
        <w:t xml:space="preserve">alegada </w:t>
      </w:r>
      <w:r w:rsidR="00F75B17" w:rsidRPr="003633D2">
        <w:rPr>
          <w:spacing w:val="0"/>
        </w:rPr>
        <w:t xml:space="preserve">falta de competencia </w:t>
      </w:r>
      <w:proofErr w:type="spellStart"/>
      <w:r w:rsidR="00F75B17" w:rsidRPr="003633D2">
        <w:rPr>
          <w:i/>
          <w:spacing w:val="0"/>
        </w:rPr>
        <w:t>ratione</w:t>
      </w:r>
      <w:proofErr w:type="spellEnd"/>
      <w:r w:rsidR="00F75B17" w:rsidRPr="003633D2">
        <w:rPr>
          <w:i/>
          <w:spacing w:val="0"/>
        </w:rPr>
        <w:t xml:space="preserve"> </w:t>
      </w:r>
      <w:proofErr w:type="spellStart"/>
      <w:r w:rsidR="00F75B17" w:rsidRPr="003633D2">
        <w:rPr>
          <w:i/>
          <w:spacing w:val="0"/>
        </w:rPr>
        <w:t>temporis</w:t>
      </w:r>
      <w:proofErr w:type="spellEnd"/>
      <w:r w:rsidR="00F75B17" w:rsidRPr="003633D2">
        <w:rPr>
          <w:spacing w:val="0"/>
        </w:rPr>
        <w:t xml:space="preserve"> de la Corte Interamericana </w:t>
      </w:r>
      <w:r w:rsidRPr="003633D2">
        <w:t>para conocer de violaciones a la Convención Interamericana sobre Desaparición Forzada</w:t>
      </w:r>
      <w:bookmarkEnd w:id="84"/>
      <w:r w:rsidR="00FE608F">
        <w:t xml:space="preserve"> de Personas (en adelante “</w:t>
      </w:r>
      <w:r w:rsidR="00FE608F" w:rsidRPr="003633D2">
        <w:t>Convención Interamericana sobre Desaparición Forzada</w:t>
      </w:r>
      <w:r w:rsidR="00FE608F">
        <w:t>”)</w:t>
      </w:r>
      <w:r w:rsidR="002E443C" w:rsidRPr="003633D2">
        <w:t>.</w:t>
      </w:r>
      <w:r w:rsidRPr="003633D2">
        <w:t xml:space="preserve"> </w:t>
      </w:r>
      <w:bookmarkEnd w:id="85"/>
    </w:p>
    <w:p w14:paraId="556079AB" w14:textId="77777777" w:rsidR="003E5472" w:rsidRPr="003633D2" w:rsidRDefault="003E5472" w:rsidP="00EE5E64">
      <w:pPr>
        <w:tabs>
          <w:tab w:val="left" w:pos="567"/>
        </w:tabs>
        <w:rPr>
          <w:szCs w:val="20"/>
          <w:lang w:val="es-CR" w:eastAsia="es-MX"/>
        </w:rPr>
      </w:pPr>
    </w:p>
    <w:p w14:paraId="765C2AF8" w14:textId="7904456F" w:rsidR="003633D2" w:rsidRPr="003633D2" w:rsidRDefault="003E5472" w:rsidP="009F7500">
      <w:pPr>
        <w:pStyle w:val="PrrafodeSentencia"/>
        <w:rPr>
          <w:b/>
        </w:rPr>
      </w:pPr>
      <w:r w:rsidRPr="003633D2">
        <w:rPr>
          <w:i/>
        </w:rPr>
        <w:t>Fondo de Asistencia Legal</w:t>
      </w:r>
      <w:r w:rsidRPr="003633D2">
        <w:t xml:space="preserve">. – Mediante Resolución de </w:t>
      </w:r>
      <w:r w:rsidR="00C73DD0" w:rsidRPr="003633D2">
        <w:t>16</w:t>
      </w:r>
      <w:r w:rsidRPr="003633D2">
        <w:t xml:space="preserve"> de </w:t>
      </w:r>
      <w:r w:rsidR="00C73DD0" w:rsidRPr="003633D2">
        <w:t>febrero</w:t>
      </w:r>
      <w:r w:rsidRPr="003633D2">
        <w:t xml:space="preserve"> de </w:t>
      </w:r>
      <w:r w:rsidR="00C73DD0" w:rsidRPr="003633D2">
        <w:t>2018</w:t>
      </w:r>
      <w:r w:rsidRPr="003633D2">
        <w:t xml:space="preserve"> el Presidente de la Corte declaró procedente la solicitud </w:t>
      </w:r>
      <w:r w:rsidR="006064BD" w:rsidRPr="003633D2">
        <w:t>presentad</w:t>
      </w:r>
      <w:r w:rsidR="00973C8C">
        <w:t>a</w:t>
      </w:r>
      <w:r w:rsidRPr="003633D2">
        <w:t xml:space="preserve"> por las presuntas víctimas, a través de sus representantes, para acogerse al Fondo de Asistencia Legal</w:t>
      </w:r>
      <w:r w:rsidRPr="003633D2">
        <w:rPr>
          <w:rStyle w:val="FootnoteReference"/>
          <w:spacing w:val="0"/>
          <w:sz w:val="20"/>
          <w:szCs w:val="20"/>
        </w:rPr>
        <w:footnoteReference w:id="5"/>
      </w:r>
      <w:r w:rsidRPr="003633D2">
        <w:t xml:space="preserve">. </w:t>
      </w:r>
    </w:p>
    <w:p w14:paraId="3AFE3309" w14:textId="77777777" w:rsidR="003633D2" w:rsidRPr="003633D2" w:rsidRDefault="003633D2" w:rsidP="00EE5E64">
      <w:pPr>
        <w:tabs>
          <w:tab w:val="left" w:pos="567"/>
        </w:tabs>
        <w:rPr>
          <w:lang w:val="es-CR" w:eastAsia="es-MX"/>
        </w:rPr>
      </w:pPr>
    </w:p>
    <w:p w14:paraId="12593345" w14:textId="24410F94" w:rsidR="00065ADD" w:rsidRDefault="003E5472" w:rsidP="009F7500">
      <w:pPr>
        <w:pStyle w:val="PrrafodeSentencia"/>
        <w:rPr>
          <w:b/>
        </w:rPr>
      </w:pPr>
      <w:r w:rsidRPr="003633D2">
        <w:rPr>
          <w:i/>
        </w:rPr>
        <w:t xml:space="preserve">Observaciones a la excepción preliminar. – </w:t>
      </w:r>
      <w:bookmarkStart w:id="86" w:name="_Ref308536157"/>
      <w:bookmarkStart w:id="87" w:name="_Ref427771015"/>
      <w:r w:rsidR="00972997" w:rsidRPr="003633D2">
        <w:t xml:space="preserve">El </w:t>
      </w:r>
      <w:r w:rsidR="009262AA" w:rsidRPr="003633D2">
        <w:t xml:space="preserve">16 </w:t>
      </w:r>
      <w:r w:rsidR="003633D2">
        <w:t xml:space="preserve">y 20 </w:t>
      </w:r>
      <w:r w:rsidR="009262AA" w:rsidRPr="003633D2">
        <w:t>de febrero de 2018</w:t>
      </w:r>
      <w:r w:rsidR="00972997" w:rsidRPr="003633D2">
        <w:t xml:space="preserve"> la Comisión </w:t>
      </w:r>
      <w:r w:rsidR="003633D2">
        <w:t>y los representantes pr</w:t>
      </w:r>
      <w:r w:rsidR="00E01236">
        <w:t>esentaron, respectivamente</w:t>
      </w:r>
      <w:r w:rsidR="007F5F2C">
        <w:t>,</w:t>
      </w:r>
      <w:r w:rsidR="00E01236">
        <w:t xml:space="preserve"> sus </w:t>
      </w:r>
      <w:r w:rsidR="003633D2">
        <w:t>observaciones a la</w:t>
      </w:r>
      <w:r w:rsidR="00972997" w:rsidRPr="003633D2">
        <w:t xml:space="preserve"> excepci</w:t>
      </w:r>
      <w:r w:rsidR="003633D2">
        <w:t>ón preliminar</w:t>
      </w:r>
      <w:r w:rsidR="00C94189" w:rsidRPr="003633D2">
        <w:t>.</w:t>
      </w:r>
      <w:r w:rsidR="00EF67EF" w:rsidRPr="003633D2">
        <w:t xml:space="preserve"> </w:t>
      </w:r>
      <w:bookmarkStart w:id="88" w:name="_Ref464836612"/>
    </w:p>
    <w:p w14:paraId="2C78C102" w14:textId="77777777" w:rsidR="00065ADD" w:rsidRPr="00065ADD" w:rsidRDefault="00065ADD" w:rsidP="00EE5E64">
      <w:pPr>
        <w:tabs>
          <w:tab w:val="left" w:pos="567"/>
        </w:tabs>
        <w:rPr>
          <w:lang w:val="es-CR" w:eastAsia="es-MX"/>
        </w:rPr>
      </w:pPr>
    </w:p>
    <w:p w14:paraId="354A7CE2" w14:textId="6F30D92C" w:rsidR="00EF67EF" w:rsidRPr="0081287A" w:rsidRDefault="003E5472" w:rsidP="009F7500">
      <w:pPr>
        <w:pStyle w:val="PrrafodeSentencia"/>
        <w:rPr>
          <w:b/>
        </w:rPr>
      </w:pPr>
      <w:r w:rsidRPr="00065ADD">
        <w:rPr>
          <w:i/>
        </w:rPr>
        <w:t xml:space="preserve">Audiencia Pública. – </w:t>
      </w:r>
      <w:bookmarkStart w:id="89" w:name="_Ref354147731"/>
      <w:bookmarkEnd w:id="86"/>
      <w:bookmarkEnd w:id="87"/>
      <w:bookmarkEnd w:id="88"/>
      <w:r w:rsidR="00065ADD" w:rsidRPr="00065ADD">
        <w:t>El</w:t>
      </w:r>
      <w:r w:rsidR="00CE7489" w:rsidRPr="00065ADD">
        <w:t xml:space="preserve"> 24 de abril de 2018</w:t>
      </w:r>
      <w:r w:rsidR="00065ADD" w:rsidRPr="00065ADD">
        <w:t xml:space="preserve"> </w:t>
      </w:r>
      <w:r w:rsidR="00065ADD" w:rsidRPr="00065ADD">
        <w:rPr>
          <w:lang w:val="es-MX"/>
        </w:rPr>
        <w:t>el Presidente emitió una Resolución mediante la cual</w:t>
      </w:r>
      <w:r w:rsidR="00CE7489" w:rsidRPr="00065ADD">
        <w:t xml:space="preserve"> convocó a las partes y a la Comisión a</w:t>
      </w:r>
      <w:r w:rsidR="00065ADD" w:rsidRPr="00065ADD">
        <w:t xml:space="preserve"> la celebración de una audiencia pública, respecto de</w:t>
      </w:r>
      <w:r w:rsidR="00065ADD" w:rsidRPr="00065ADD">
        <w:rPr>
          <w:spacing w:val="0"/>
        </w:rPr>
        <w:t xml:space="preserve"> la excepción preliminar y los eventuales</w:t>
      </w:r>
      <w:r w:rsidR="00065ADD" w:rsidRPr="00065ADD">
        <w:t xml:space="preserve"> fondo, reparaciones y costas, para escuchar los alegatos finales orales de las partes y las observaciones finales orales </w:t>
      </w:r>
      <w:r w:rsidR="00065ADD" w:rsidRPr="00546BDF">
        <w:t>de la Comisión respecto de dichos temas</w:t>
      </w:r>
      <w:bookmarkStart w:id="90" w:name="_Ref499811592"/>
      <w:r w:rsidR="00065ADD" w:rsidRPr="00546BDF">
        <w:rPr>
          <w:rStyle w:val="FootnoteReference"/>
          <w:sz w:val="20"/>
          <w:szCs w:val="20"/>
        </w:rPr>
        <w:footnoteReference w:id="6"/>
      </w:r>
      <w:bookmarkEnd w:id="90"/>
      <w:r w:rsidR="00065ADD" w:rsidRPr="00546BDF">
        <w:t xml:space="preserve">. </w:t>
      </w:r>
      <w:r w:rsidR="00CE7489" w:rsidRPr="00546BDF">
        <w:t>Asimismo, ordenó la recepción de la declaración de un</w:t>
      </w:r>
      <w:r w:rsidR="007F6C54" w:rsidRPr="00546BDF">
        <w:t>a presunta víctima</w:t>
      </w:r>
      <w:r w:rsidR="00CE7489" w:rsidRPr="00546BDF">
        <w:t xml:space="preserve"> propuest</w:t>
      </w:r>
      <w:r w:rsidR="007F6C54" w:rsidRPr="00546BDF">
        <w:t>a</w:t>
      </w:r>
      <w:r w:rsidR="00CE7489" w:rsidRPr="00546BDF">
        <w:t xml:space="preserve"> por los representantes. Del mismo modo, en dicha resolución se ordenó recibir la declaración rendida ante </w:t>
      </w:r>
      <w:r w:rsidR="00785857">
        <w:t>fedatario público (af</w:t>
      </w:r>
      <w:r w:rsidR="00CE7489" w:rsidRPr="00546BDF">
        <w:t xml:space="preserve">idávit) de </w:t>
      </w:r>
      <w:r w:rsidR="007F6C54" w:rsidRPr="00546BDF">
        <w:t>una presunta víctima</w:t>
      </w:r>
      <w:r w:rsidR="00CE7489" w:rsidRPr="00546BDF">
        <w:t xml:space="preserve"> propuest</w:t>
      </w:r>
      <w:r w:rsidR="007F6C54" w:rsidRPr="00546BDF">
        <w:t>a</w:t>
      </w:r>
      <w:r w:rsidR="00CE7489" w:rsidRPr="00546BDF">
        <w:t xml:space="preserve"> por los representantes</w:t>
      </w:r>
      <w:r w:rsidR="007F6C54" w:rsidRPr="00546BDF">
        <w:t xml:space="preserve"> y de un perito, propuesto por la Comisión</w:t>
      </w:r>
      <w:r w:rsidR="00CE7489" w:rsidRPr="007F6C54">
        <w:t>. La audiencia pública fue celebrada el 25 de mayo de 2018 durante el 124° Período Ordinario de Sesiones de la Corte, llevado a cabo en la sede de la Corte en San Jos</w:t>
      </w:r>
      <w:r w:rsidR="00475E9D">
        <w:t>é</w:t>
      </w:r>
      <w:r w:rsidR="00CE7489" w:rsidRPr="007F6C54">
        <w:t>, Costa Rica</w:t>
      </w:r>
      <w:r w:rsidR="003223CB" w:rsidRPr="003223CB">
        <w:rPr>
          <w:rStyle w:val="FootnoteReference"/>
          <w:sz w:val="20"/>
          <w:szCs w:val="20"/>
        </w:rPr>
        <w:t xml:space="preserve"> </w:t>
      </w:r>
      <w:r w:rsidR="003223CB" w:rsidRPr="003223CB">
        <w:rPr>
          <w:rStyle w:val="FootnoteReference"/>
          <w:sz w:val="20"/>
          <w:szCs w:val="20"/>
        </w:rPr>
        <w:footnoteReference w:id="7"/>
      </w:r>
      <w:r w:rsidR="00CE7489" w:rsidRPr="003223CB">
        <w:t>.</w:t>
      </w:r>
      <w:r w:rsidR="00EF67EF" w:rsidRPr="007F6C54">
        <w:t xml:space="preserve"> </w:t>
      </w:r>
      <w:r w:rsidR="00A11630">
        <w:t xml:space="preserve">En el curso de dicha audiencia, los </w:t>
      </w:r>
      <w:r w:rsidR="00A11630" w:rsidRPr="0081287A">
        <w:t>Jueces de la Corte solicitaron cierta información y explicaciones a las partes y a la Comisión.</w:t>
      </w:r>
    </w:p>
    <w:p w14:paraId="023212AB" w14:textId="229E3424" w:rsidR="003E5472" w:rsidRPr="0081287A" w:rsidRDefault="003E5472" w:rsidP="009F7500">
      <w:pPr>
        <w:pStyle w:val="PrrafodeSentencia"/>
        <w:numPr>
          <w:ilvl w:val="0"/>
          <w:numId w:val="0"/>
        </w:numPr>
      </w:pPr>
    </w:p>
    <w:p w14:paraId="56DB45BE" w14:textId="33E8BBD8" w:rsidR="0081287A" w:rsidRDefault="004D2E4F" w:rsidP="009F7500">
      <w:pPr>
        <w:pStyle w:val="PrrafodeSentencia"/>
        <w:rPr>
          <w:b/>
          <w:spacing w:val="0"/>
          <w:szCs w:val="20"/>
        </w:rPr>
      </w:pPr>
      <w:bookmarkStart w:id="91" w:name="_Ref464815046"/>
      <w:bookmarkStart w:id="92" w:name="_Ref517180779"/>
      <w:r w:rsidRPr="0081287A">
        <w:rPr>
          <w:i/>
          <w:spacing w:val="0"/>
          <w:szCs w:val="20"/>
        </w:rPr>
        <w:t xml:space="preserve">Prueba e información para mejor resolver. </w:t>
      </w:r>
      <w:bookmarkStart w:id="93" w:name="_Ref374886052"/>
      <w:bookmarkStart w:id="94" w:name="_Ref368677486"/>
      <w:bookmarkEnd w:id="91"/>
      <w:r w:rsidR="0081287A" w:rsidRPr="0081287A">
        <w:rPr>
          <w:i/>
          <w:spacing w:val="0"/>
          <w:szCs w:val="20"/>
        </w:rPr>
        <w:t>–</w:t>
      </w:r>
      <w:r w:rsidR="0081287A">
        <w:rPr>
          <w:i/>
          <w:spacing w:val="0"/>
          <w:szCs w:val="20"/>
        </w:rPr>
        <w:t xml:space="preserve"> </w:t>
      </w:r>
      <w:r w:rsidR="0081287A" w:rsidRPr="000B3B78">
        <w:t xml:space="preserve">Las partes presentaron la información y prueba para mejor resolver solicitada por los Jueces en la audiencia pública junto con sus alegatos finales </w:t>
      </w:r>
      <w:r w:rsidR="0081287A" w:rsidRPr="00973C8C">
        <w:rPr>
          <w:szCs w:val="20"/>
        </w:rPr>
        <w:t xml:space="preserve">escritos. Adicionalmente, el 30 de mayo de 2018 el Presidente de la Corte solicitó al Estado la presentación de </w:t>
      </w:r>
      <w:r w:rsidR="00FE608F" w:rsidRPr="00973C8C">
        <w:rPr>
          <w:szCs w:val="20"/>
        </w:rPr>
        <w:t xml:space="preserve">documentación </w:t>
      </w:r>
      <w:r w:rsidR="0081287A" w:rsidRPr="00973C8C">
        <w:rPr>
          <w:szCs w:val="20"/>
        </w:rPr>
        <w:t>para mejor resolver. Perú presentó</w:t>
      </w:r>
      <w:r w:rsidR="0081287A">
        <w:t xml:space="preserve"> dicha información el 8 de junio de 2018. </w:t>
      </w:r>
      <w:bookmarkEnd w:id="92"/>
      <w:r w:rsidR="00D237BA">
        <w:t xml:space="preserve">Por último, el 13 de julio de 2018 se solicitó al Estado una serie de documentos sobre dos diligencias de investigación. El Estado presentó esta información el 19 de julio de 2018. </w:t>
      </w:r>
    </w:p>
    <w:p w14:paraId="2B1D9F75" w14:textId="77777777" w:rsidR="0081287A" w:rsidRPr="0081287A" w:rsidRDefault="0081287A" w:rsidP="00EE5E64">
      <w:pPr>
        <w:tabs>
          <w:tab w:val="left" w:pos="567"/>
        </w:tabs>
        <w:rPr>
          <w:lang w:val="es-CR" w:eastAsia="es-MX"/>
        </w:rPr>
      </w:pPr>
    </w:p>
    <w:p w14:paraId="0B87D465" w14:textId="1DB98894" w:rsidR="0007758F" w:rsidRDefault="004D2E4F" w:rsidP="0007758F">
      <w:pPr>
        <w:pStyle w:val="PrrafodeSentencia"/>
      </w:pPr>
      <w:r w:rsidRPr="0081287A">
        <w:rPr>
          <w:i/>
          <w:spacing w:val="0"/>
          <w:szCs w:val="20"/>
        </w:rPr>
        <w:t>Observaciones a la información y prueba para mejor resolver</w:t>
      </w:r>
      <w:r w:rsidRPr="0081287A">
        <w:rPr>
          <w:spacing w:val="0"/>
          <w:szCs w:val="20"/>
        </w:rPr>
        <w:t xml:space="preserve">. </w:t>
      </w:r>
      <w:bookmarkEnd w:id="93"/>
      <w:bookmarkEnd w:id="94"/>
      <w:r w:rsidRPr="0081287A">
        <w:rPr>
          <w:spacing w:val="0"/>
          <w:szCs w:val="20"/>
        </w:rPr>
        <w:t>–</w:t>
      </w:r>
      <w:r w:rsidR="001F0E21">
        <w:rPr>
          <w:spacing w:val="0"/>
          <w:szCs w:val="20"/>
        </w:rPr>
        <w:t xml:space="preserve"> </w:t>
      </w:r>
      <w:r w:rsidR="0081287A" w:rsidRPr="000B3B78">
        <w:t xml:space="preserve">Los representantes presentaron observaciones a la información solicitada </w:t>
      </w:r>
      <w:r w:rsidR="0081350B">
        <w:t>el</w:t>
      </w:r>
      <w:r w:rsidR="00D237BA">
        <w:t xml:space="preserve"> 9 de julio de 2018 y </w:t>
      </w:r>
      <w:r w:rsidR="005F2B69">
        <w:t>el</w:t>
      </w:r>
      <w:r w:rsidR="00D237BA">
        <w:t xml:space="preserve"> </w:t>
      </w:r>
      <w:r w:rsidR="0081350B">
        <w:t>3 de agosto de 2018</w:t>
      </w:r>
      <w:r w:rsidR="0081287A" w:rsidRPr="000B3B78">
        <w:t>.</w:t>
      </w:r>
      <w:r w:rsidR="0081350B">
        <w:t xml:space="preserve"> </w:t>
      </w:r>
    </w:p>
    <w:p w14:paraId="3A3616C6" w14:textId="77777777" w:rsidR="0007758F" w:rsidRPr="0007758F" w:rsidRDefault="0007758F" w:rsidP="0007758F">
      <w:pPr>
        <w:pStyle w:val="Footer"/>
        <w:tabs>
          <w:tab w:val="clear" w:pos="4320"/>
          <w:tab w:val="clear" w:pos="8640"/>
        </w:tabs>
        <w:rPr>
          <w:lang w:val="es-CR" w:eastAsia="es-MX"/>
        </w:rPr>
      </w:pPr>
    </w:p>
    <w:p w14:paraId="7EE6394B" w14:textId="6AE1057C" w:rsidR="00D237BA" w:rsidRDefault="00D237BA" w:rsidP="00D237BA">
      <w:pPr>
        <w:pStyle w:val="PrrafodeSentencia"/>
        <w:rPr>
          <w:b/>
        </w:rPr>
      </w:pPr>
      <w:r w:rsidRPr="00C919EE">
        <w:rPr>
          <w:i/>
        </w:rPr>
        <w:t>Erogaciones en aplicación del Fondo de Asistencia</w:t>
      </w:r>
      <w:r w:rsidR="005033F4">
        <w:rPr>
          <w:i/>
        </w:rPr>
        <w:t xml:space="preserve"> Legal</w:t>
      </w:r>
      <w:r w:rsidRPr="00C919EE">
        <w:t xml:space="preserve">. – El 22 de junio de 2018 se trasmitió al Estado el </w:t>
      </w:r>
      <w:r w:rsidR="001F0E21">
        <w:t>i</w:t>
      </w:r>
      <w:r w:rsidRPr="00C919EE">
        <w:t>nforme</w:t>
      </w:r>
      <w:r w:rsidRPr="003633D2">
        <w:t xml:space="preserve"> sobre las erogaciones realizadas con cargo al Fondo de Asistencia Legal en el presente caso. </w:t>
      </w:r>
      <w:r>
        <w:t xml:space="preserve">El Estado </w:t>
      </w:r>
      <w:r w:rsidRPr="003633D2">
        <w:t>presentó observaciones al respecto en el plazo otorgado para ello.</w:t>
      </w:r>
      <w:r w:rsidRPr="003633D2">
        <w:rPr>
          <w:b/>
        </w:rPr>
        <w:t xml:space="preserve"> </w:t>
      </w:r>
    </w:p>
    <w:p w14:paraId="3A438E70" w14:textId="77777777" w:rsidR="00D237BA" w:rsidRPr="00D237BA" w:rsidRDefault="00D237BA" w:rsidP="00D237BA">
      <w:pPr>
        <w:rPr>
          <w:lang w:val="es-CR" w:eastAsia="es-MX"/>
        </w:rPr>
      </w:pPr>
    </w:p>
    <w:p w14:paraId="5EE37719" w14:textId="2F91EFD0" w:rsidR="00C919EE" w:rsidRPr="0007758F" w:rsidRDefault="003E5472" w:rsidP="0007758F">
      <w:pPr>
        <w:pStyle w:val="PrrafodeSentencia"/>
      </w:pPr>
      <w:r w:rsidRPr="00D237BA">
        <w:rPr>
          <w:i/>
        </w:rPr>
        <w:t>Alegatos y observaciones finales escritos</w:t>
      </w:r>
      <w:r w:rsidRPr="00C919EE">
        <w:t xml:space="preserve">. </w:t>
      </w:r>
      <w:bookmarkStart w:id="95" w:name="_Ref374884810"/>
      <w:bookmarkStart w:id="96" w:name="_Ref367791100"/>
      <w:bookmarkEnd w:id="89"/>
      <w:r w:rsidRPr="00C919EE">
        <w:t xml:space="preserve">-  </w:t>
      </w:r>
      <w:r w:rsidR="00C919EE" w:rsidRPr="00C919EE">
        <w:t>El 26 de junio de 2018 los representantes y el Estado remitieron, respectivamente, sus alegatos finales escritos, así como determinados anexos, y la Comisión presentó sus observaciones finales escritas</w:t>
      </w:r>
      <w:r w:rsidR="00C919EE">
        <w:t xml:space="preserve">. </w:t>
      </w:r>
    </w:p>
    <w:p w14:paraId="6DB028DB" w14:textId="35F3D1FA" w:rsidR="003E5472" w:rsidRPr="00D237BA" w:rsidRDefault="00DB0C6B" w:rsidP="00D237BA">
      <w:pPr>
        <w:tabs>
          <w:tab w:val="left" w:pos="567"/>
          <w:tab w:val="left" w:pos="3567"/>
        </w:tabs>
        <w:jc w:val="both"/>
        <w:rPr>
          <w:szCs w:val="20"/>
          <w:lang w:val="es-CR" w:eastAsia="es-MX"/>
        </w:rPr>
      </w:pPr>
      <w:r w:rsidRPr="003633D2">
        <w:rPr>
          <w:szCs w:val="20"/>
          <w:lang w:val="es-CR" w:eastAsia="es-MX"/>
        </w:rPr>
        <w:tab/>
      </w:r>
      <w:bookmarkEnd w:id="95"/>
      <w:bookmarkEnd w:id="96"/>
    </w:p>
    <w:p w14:paraId="1A1C4682" w14:textId="6AFD9923" w:rsidR="003E5472" w:rsidRPr="003633D2" w:rsidRDefault="003E5472" w:rsidP="009F7500">
      <w:pPr>
        <w:pStyle w:val="PrrafodeSentencia"/>
      </w:pPr>
      <w:r w:rsidRPr="003633D2">
        <w:rPr>
          <w:i/>
        </w:rPr>
        <w:t xml:space="preserve">Deliberación del presente caso. - </w:t>
      </w:r>
      <w:r w:rsidRPr="003633D2">
        <w:t xml:space="preserve">La Corte inició la deliberación de la presente Sentencia el </w:t>
      </w:r>
      <w:r w:rsidR="00A10C7E">
        <w:t>20</w:t>
      </w:r>
      <w:r w:rsidR="00605429" w:rsidRPr="00605429">
        <w:t xml:space="preserve"> </w:t>
      </w:r>
      <w:r w:rsidR="00605429">
        <w:t xml:space="preserve">de </w:t>
      </w:r>
      <w:r w:rsidR="00402DCB">
        <w:t>agosto</w:t>
      </w:r>
      <w:r w:rsidR="00605429">
        <w:t xml:space="preserve"> de 2018.</w:t>
      </w:r>
    </w:p>
    <w:p w14:paraId="49C9A0E6" w14:textId="77777777" w:rsidR="003E5472" w:rsidRDefault="003E5472" w:rsidP="00EE5E64">
      <w:pPr>
        <w:pStyle w:val="NoSpacing"/>
        <w:tabs>
          <w:tab w:val="left" w:pos="567"/>
        </w:tabs>
        <w:rPr>
          <w:rStyle w:val="CommentReference"/>
          <w:rFonts w:ascii="Verdana" w:hAnsi="Verdana"/>
          <w:sz w:val="20"/>
          <w:szCs w:val="20"/>
          <w:lang w:val="es-CR"/>
        </w:rPr>
      </w:pPr>
    </w:p>
    <w:p w14:paraId="7CEED98F" w14:textId="77777777" w:rsidR="003D30F6" w:rsidRPr="003633D2" w:rsidRDefault="003D30F6" w:rsidP="00EE5E64">
      <w:pPr>
        <w:pStyle w:val="NoSpacing"/>
        <w:tabs>
          <w:tab w:val="left" w:pos="567"/>
        </w:tabs>
        <w:rPr>
          <w:rStyle w:val="CommentReference"/>
          <w:rFonts w:ascii="Verdana" w:hAnsi="Verdana"/>
          <w:sz w:val="20"/>
          <w:szCs w:val="20"/>
          <w:lang w:val="es-CR"/>
        </w:rPr>
      </w:pPr>
    </w:p>
    <w:p w14:paraId="2B84A415" w14:textId="6CBC693E" w:rsidR="003E5472" w:rsidRPr="00B5160D" w:rsidRDefault="003E5472" w:rsidP="00B5160D">
      <w:pPr>
        <w:pStyle w:val="Title"/>
        <w:tabs>
          <w:tab w:val="left" w:pos="567"/>
        </w:tabs>
        <w:rPr>
          <w:snapToGrid w:val="0"/>
        </w:rPr>
      </w:pPr>
      <w:bookmarkStart w:id="97" w:name="_Toc424834682"/>
      <w:bookmarkStart w:id="98" w:name="_Toc427932788"/>
      <w:bookmarkStart w:id="99" w:name="_Toc431584605"/>
      <w:bookmarkStart w:id="100" w:name="_Toc434850393"/>
      <w:bookmarkStart w:id="101" w:name="_Toc469593450"/>
      <w:bookmarkStart w:id="102" w:name="_Toc469594433"/>
      <w:bookmarkStart w:id="103" w:name="_Toc469594535"/>
      <w:bookmarkStart w:id="104" w:name="_Toc469594798"/>
      <w:bookmarkStart w:id="105" w:name="_Toc469594901"/>
      <w:bookmarkStart w:id="106" w:name="_Toc469940917"/>
      <w:bookmarkStart w:id="107" w:name="_Toc526152685"/>
      <w:r w:rsidRPr="003633D2">
        <w:rPr>
          <w:snapToGrid w:val="0"/>
        </w:rPr>
        <w:t>III</w:t>
      </w:r>
      <w:bookmarkStart w:id="108" w:name="_Toc375062724"/>
      <w:bookmarkStart w:id="109" w:name="_Toc375140874"/>
      <w:bookmarkStart w:id="110" w:name="_Toc375504833"/>
      <w:bookmarkStart w:id="111" w:name="_Toc375560907"/>
      <w:bookmarkStart w:id="112" w:name="_Toc395213493"/>
      <w:bookmarkStart w:id="113" w:name="_Toc396514850"/>
      <w:bookmarkStart w:id="114" w:name="_Toc396515126"/>
      <w:bookmarkStart w:id="115" w:name="_Toc402039405"/>
      <w:bookmarkStart w:id="116" w:name="_Toc403670648"/>
      <w:bookmarkStart w:id="117" w:name="_Toc403671384"/>
      <w:bookmarkStart w:id="118" w:name="_Toc405774576"/>
      <w:bookmarkStart w:id="119" w:name="_Toc405857779"/>
      <w:bookmarkStart w:id="120" w:name="_Toc424833999"/>
      <w:bookmarkStart w:id="121" w:name="_Toc424834683"/>
      <w:bookmarkStart w:id="122" w:name="_Toc424834750"/>
      <w:bookmarkStart w:id="123" w:name="_Toc427234538"/>
      <w:bookmarkStart w:id="124" w:name="_Toc427342827"/>
      <w:bookmarkStart w:id="125" w:name="_Toc427663813"/>
      <w:bookmarkStart w:id="126" w:name="_Toc427932789"/>
      <w:bookmarkStart w:id="127" w:name="_Toc427943552"/>
      <w:bookmarkStart w:id="128" w:name="_Toc427943726"/>
      <w:bookmarkStart w:id="129" w:name="_Toc431584606"/>
      <w:bookmarkStart w:id="130" w:name="_Toc431584722"/>
      <w:bookmarkStart w:id="131" w:name="_Toc431585027"/>
      <w:bookmarkStart w:id="132" w:name="_Toc431646544"/>
      <w:bookmarkStart w:id="133" w:name="_Toc431834623"/>
      <w:bookmarkStart w:id="134" w:name="_Toc308537928"/>
      <w:bookmarkStart w:id="135" w:name="_Toc308538148"/>
      <w:bookmarkStart w:id="136" w:name="_Toc434849915"/>
      <w:bookmarkStart w:id="137" w:name="_Toc434850394"/>
      <w:bookmarkStart w:id="138" w:name="_Toc469594902"/>
      <w:bookmarkStart w:id="139" w:name="_Toc469664211"/>
      <w:bookmarkStart w:id="140" w:name="_Toc469664473"/>
      <w:bookmarkStart w:id="141" w:name="_Toc469940918"/>
      <w:bookmarkEnd w:id="97"/>
      <w:bookmarkEnd w:id="98"/>
      <w:bookmarkEnd w:id="99"/>
      <w:bookmarkEnd w:id="100"/>
      <w:bookmarkEnd w:id="101"/>
      <w:bookmarkEnd w:id="102"/>
      <w:bookmarkEnd w:id="103"/>
      <w:bookmarkEnd w:id="104"/>
      <w:bookmarkEnd w:id="105"/>
      <w:bookmarkEnd w:id="106"/>
      <w:r w:rsidR="00B5160D">
        <w:rPr>
          <w:snapToGrid w:val="0"/>
        </w:rPr>
        <w:br/>
      </w:r>
      <w:r w:rsidRPr="003633D2">
        <w:rPr>
          <w:snapToGrid w:val="0"/>
        </w:rPr>
        <w:t>COMPETENCIA</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07"/>
    </w:p>
    <w:p w14:paraId="1A977679" w14:textId="77777777" w:rsidR="003E5472" w:rsidRPr="003633D2" w:rsidRDefault="003E5472" w:rsidP="00EE5E64">
      <w:pPr>
        <w:pStyle w:val="NoSpacing"/>
        <w:tabs>
          <w:tab w:val="left" w:pos="567"/>
        </w:tabs>
        <w:rPr>
          <w:rFonts w:ascii="Verdana" w:hAnsi="Verdana"/>
          <w:sz w:val="20"/>
          <w:szCs w:val="20"/>
          <w:lang w:val="es-CR"/>
        </w:rPr>
      </w:pPr>
    </w:p>
    <w:p w14:paraId="48CCDA68" w14:textId="3A2D6A5E" w:rsidR="003E5472" w:rsidRDefault="003E5472" w:rsidP="00EE5E64">
      <w:pPr>
        <w:pStyle w:val="PrrafodeSentencia"/>
      </w:pPr>
      <w:r w:rsidRPr="003633D2">
        <w:t xml:space="preserve">La Corte es competente para conocer el presente caso, en los términos del artículo 62.3 de la Convención, en razón de que </w:t>
      </w:r>
      <w:r w:rsidR="009C27B1" w:rsidRPr="003633D2">
        <w:t>Perú</w:t>
      </w:r>
      <w:r w:rsidRPr="003633D2">
        <w:t xml:space="preserve"> es Estado Parte </w:t>
      </w:r>
      <w:r w:rsidR="004A481A">
        <w:t>de dicho instrumento desde e</w:t>
      </w:r>
      <w:r w:rsidRPr="003633D2">
        <w:t xml:space="preserve">l </w:t>
      </w:r>
      <w:r w:rsidR="004A481A">
        <w:t>28</w:t>
      </w:r>
      <w:r w:rsidR="009C27B1" w:rsidRPr="003633D2">
        <w:t xml:space="preserve"> de </w:t>
      </w:r>
      <w:r w:rsidR="00E301DE" w:rsidRPr="003633D2">
        <w:t>julio</w:t>
      </w:r>
      <w:r w:rsidR="009C27B1" w:rsidRPr="003633D2">
        <w:t xml:space="preserve"> de 19</w:t>
      </w:r>
      <w:r w:rsidR="00E301DE" w:rsidRPr="003633D2">
        <w:t>78</w:t>
      </w:r>
      <w:r w:rsidRPr="003633D2">
        <w:t xml:space="preserve"> y reconoció la competencia contenciosa de la Corte el </w:t>
      </w:r>
      <w:r w:rsidR="007C763B">
        <w:t>21 de enero de 1981.</w:t>
      </w:r>
    </w:p>
    <w:p w14:paraId="68B391E3" w14:textId="77777777" w:rsidR="007F5F2C" w:rsidRDefault="007F5F2C" w:rsidP="00FE608F">
      <w:pPr>
        <w:pStyle w:val="Footer"/>
        <w:tabs>
          <w:tab w:val="clear" w:pos="4320"/>
          <w:tab w:val="clear" w:pos="8640"/>
        </w:tabs>
        <w:rPr>
          <w:lang w:val="es-CR" w:eastAsia="es-MX"/>
        </w:rPr>
      </w:pPr>
    </w:p>
    <w:p w14:paraId="721D355D" w14:textId="77777777" w:rsidR="003D30F6" w:rsidRPr="00FE608F" w:rsidRDefault="003D30F6" w:rsidP="00FE608F">
      <w:pPr>
        <w:pStyle w:val="Footer"/>
        <w:tabs>
          <w:tab w:val="clear" w:pos="4320"/>
          <w:tab w:val="clear" w:pos="8640"/>
        </w:tabs>
        <w:rPr>
          <w:lang w:val="es-CR" w:eastAsia="es-MX"/>
        </w:rPr>
      </w:pPr>
    </w:p>
    <w:p w14:paraId="384367DE" w14:textId="0F84052F" w:rsidR="003E5472" w:rsidRDefault="003E5472" w:rsidP="00B5160D">
      <w:pPr>
        <w:pStyle w:val="Title"/>
        <w:tabs>
          <w:tab w:val="left" w:pos="567"/>
        </w:tabs>
      </w:pPr>
      <w:bookmarkStart w:id="142" w:name="_Toc424834684"/>
      <w:bookmarkStart w:id="143" w:name="_Toc427932790"/>
      <w:bookmarkStart w:id="144" w:name="_Toc431584607"/>
      <w:bookmarkStart w:id="145" w:name="_Toc434850395"/>
      <w:bookmarkStart w:id="146" w:name="_Toc469593452"/>
      <w:bookmarkStart w:id="147" w:name="_Toc469594435"/>
      <w:bookmarkStart w:id="148" w:name="_Toc469594537"/>
      <w:bookmarkStart w:id="149" w:name="_Toc469594800"/>
      <w:bookmarkStart w:id="150" w:name="_Toc469594903"/>
      <w:bookmarkStart w:id="151" w:name="_Toc469940919"/>
      <w:bookmarkStart w:id="152" w:name="_Toc526152686"/>
      <w:r w:rsidRPr="003633D2">
        <w:t>IV</w:t>
      </w:r>
      <w:bookmarkStart w:id="153" w:name="_Toc424834001"/>
      <w:bookmarkStart w:id="154" w:name="_Toc424834685"/>
      <w:bookmarkStart w:id="155" w:name="_Toc424834752"/>
      <w:bookmarkStart w:id="156" w:name="_Toc427234540"/>
      <w:bookmarkStart w:id="157" w:name="_Toc427342829"/>
      <w:bookmarkStart w:id="158" w:name="_Toc427663815"/>
      <w:bookmarkStart w:id="159" w:name="_Toc427932791"/>
      <w:bookmarkStart w:id="160" w:name="_Toc427943554"/>
      <w:bookmarkStart w:id="161" w:name="_Toc427943728"/>
      <w:bookmarkStart w:id="162" w:name="_Toc431584608"/>
      <w:bookmarkStart w:id="163" w:name="_Toc431584724"/>
      <w:bookmarkStart w:id="164" w:name="_Toc431585029"/>
      <w:bookmarkStart w:id="165" w:name="_Toc431646546"/>
      <w:bookmarkStart w:id="166" w:name="_Toc431834625"/>
      <w:bookmarkStart w:id="167" w:name="_Toc308537930"/>
      <w:bookmarkStart w:id="168" w:name="_Toc308538150"/>
      <w:bookmarkStart w:id="169" w:name="_Toc434849917"/>
      <w:bookmarkStart w:id="170" w:name="_Toc434850396"/>
      <w:bookmarkStart w:id="171" w:name="_Toc469594904"/>
      <w:bookmarkStart w:id="172" w:name="_Toc469664213"/>
      <w:bookmarkStart w:id="173" w:name="_Toc469664475"/>
      <w:bookmarkStart w:id="174" w:name="_Toc469940920"/>
      <w:bookmarkEnd w:id="142"/>
      <w:bookmarkEnd w:id="143"/>
      <w:bookmarkEnd w:id="144"/>
      <w:bookmarkEnd w:id="145"/>
      <w:bookmarkEnd w:id="146"/>
      <w:bookmarkEnd w:id="147"/>
      <w:bookmarkEnd w:id="148"/>
      <w:bookmarkEnd w:id="149"/>
      <w:bookmarkEnd w:id="150"/>
      <w:bookmarkEnd w:id="151"/>
      <w:r w:rsidR="00B5160D">
        <w:br/>
      </w:r>
      <w:r w:rsidRPr="003633D2">
        <w:t>EXCEPCI</w:t>
      </w:r>
      <w:r w:rsidR="00546BDF">
        <w:t>ÓN</w:t>
      </w:r>
      <w:r w:rsidRPr="003633D2">
        <w:t xml:space="preserve"> PRELIMINAR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52"/>
    </w:p>
    <w:p w14:paraId="7E302356" w14:textId="77777777" w:rsidR="007E2805" w:rsidRPr="0041184E" w:rsidRDefault="007E2805" w:rsidP="00B5160D"/>
    <w:p w14:paraId="17C88611" w14:textId="27E28B05" w:rsidR="007E2805" w:rsidRPr="007E2805" w:rsidRDefault="007E2805" w:rsidP="001415AA">
      <w:pPr>
        <w:pStyle w:val="Heading2"/>
        <w:tabs>
          <w:tab w:val="left" w:pos="567"/>
        </w:tabs>
      </w:pPr>
      <w:bookmarkStart w:id="175" w:name="_Toc526152687"/>
      <w:r w:rsidRPr="007E2805">
        <w:t>Alegatos de las partes y la Comisión</w:t>
      </w:r>
      <w:bookmarkEnd w:id="175"/>
    </w:p>
    <w:p w14:paraId="02CBFC57" w14:textId="77777777" w:rsidR="007E2805" w:rsidRPr="0041184E" w:rsidRDefault="007E2805" w:rsidP="00B5160D"/>
    <w:p w14:paraId="51EBD2B5" w14:textId="6FED65F8" w:rsidR="007E2805" w:rsidRPr="0041184E" w:rsidRDefault="007E2805" w:rsidP="007F5F2C">
      <w:pPr>
        <w:pStyle w:val="PrrafodeSentencia"/>
      </w:pPr>
      <w:r w:rsidRPr="007E2805">
        <w:t xml:space="preserve">El </w:t>
      </w:r>
      <w:r w:rsidRPr="007E2805">
        <w:rPr>
          <w:b/>
          <w:i/>
        </w:rPr>
        <w:t>Estado</w:t>
      </w:r>
      <w:r w:rsidRPr="007E2805">
        <w:t xml:space="preserve"> alegó que la Convención Interamericana sobre Desaparición Forzada no es aplicable al presente caso, dado que los hechos alegados ocurrieron el 20 de marzo de 1999, es decir, antes que el Estado peruano ratificara la Convención en el 2002, e incluso antes de la fecha de aprobación de la misma por los Estados parte. </w:t>
      </w:r>
      <w:r w:rsidRPr="00475E9D">
        <w:rPr>
          <w:szCs w:val="20"/>
        </w:rPr>
        <w:t xml:space="preserve">La </w:t>
      </w:r>
      <w:r w:rsidRPr="00475E9D">
        <w:rPr>
          <w:b/>
          <w:i/>
          <w:szCs w:val="20"/>
        </w:rPr>
        <w:t>Comisión</w:t>
      </w:r>
      <w:r w:rsidRPr="00475E9D">
        <w:rPr>
          <w:szCs w:val="20"/>
        </w:rPr>
        <w:t xml:space="preserve"> indicó que la Corte tiene competencia respecto de la Convención Interamericana </w:t>
      </w:r>
      <w:r w:rsidR="007C763B">
        <w:rPr>
          <w:szCs w:val="20"/>
        </w:rPr>
        <w:t>s</w:t>
      </w:r>
      <w:r w:rsidRPr="00475E9D">
        <w:rPr>
          <w:szCs w:val="20"/>
        </w:rPr>
        <w:t>obre Desaparición Forzada “</w:t>
      </w:r>
      <w:proofErr w:type="spellStart"/>
      <w:r w:rsidRPr="00475E9D">
        <w:rPr>
          <w:szCs w:val="20"/>
        </w:rPr>
        <w:t>a</w:t>
      </w:r>
      <w:r w:rsidR="0011736B">
        <w:rPr>
          <w:szCs w:val="20"/>
        </w:rPr>
        <w:t>ú</w:t>
      </w:r>
      <w:r w:rsidRPr="00475E9D">
        <w:rPr>
          <w:szCs w:val="20"/>
        </w:rPr>
        <w:t>n</w:t>
      </w:r>
      <w:proofErr w:type="spellEnd"/>
      <w:r w:rsidRPr="00475E9D">
        <w:rPr>
          <w:szCs w:val="20"/>
        </w:rPr>
        <w:t xml:space="preserve"> cuando el inicio de [...] la desaparición hubiera tenido lugar antes de la entrada en vigencia del instrumen</w:t>
      </w:r>
      <w:r w:rsidR="00475E9D" w:rsidRPr="00475E9D">
        <w:rPr>
          <w:szCs w:val="20"/>
        </w:rPr>
        <w:t>to para el Estado respectivo”.</w:t>
      </w:r>
      <w:r w:rsidRPr="00475E9D">
        <w:rPr>
          <w:szCs w:val="20"/>
        </w:rPr>
        <w:t xml:space="preserve"> </w:t>
      </w:r>
      <w:r w:rsidRPr="0041184E">
        <w:t xml:space="preserve">Los </w:t>
      </w:r>
      <w:r w:rsidRPr="007F5F2C">
        <w:rPr>
          <w:b/>
          <w:i/>
        </w:rPr>
        <w:t>representantes</w:t>
      </w:r>
      <w:r w:rsidRPr="0041184E">
        <w:t xml:space="preserve"> indicaron que la desaparición forzada constituye una violación múlt</w:t>
      </w:r>
      <w:r w:rsidR="00475E9D">
        <w:t>iple y contin</w:t>
      </w:r>
      <w:r w:rsidR="007F5F2C">
        <w:t>u</w:t>
      </w:r>
      <w:r w:rsidR="00475E9D">
        <w:t>a, de modo que,</w:t>
      </w:r>
      <w:r w:rsidRPr="0041184E">
        <w:t xml:space="preserve"> una vez entrado en vigor el tratado, aquellos actos permanentes que persisten después de la fecha de entrada en vigencia, </w:t>
      </w:r>
      <w:r w:rsidRPr="0041184E">
        <w:lastRenderedPageBreak/>
        <w:t xml:space="preserve">pueden generar obligaciones internacionales respecto del Estado Parte, sin que ello implique una vulneración del principio de irretroactividad de los tratados. </w:t>
      </w:r>
    </w:p>
    <w:p w14:paraId="5EFF3A13" w14:textId="77777777" w:rsidR="007E2805" w:rsidRPr="0041184E" w:rsidRDefault="007E2805" w:rsidP="00B5160D"/>
    <w:p w14:paraId="0063E052" w14:textId="3731DFF6" w:rsidR="007E2805" w:rsidRPr="0041184E" w:rsidRDefault="007E2805" w:rsidP="001415AA">
      <w:pPr>
        <w:pStyle w:val="Heading2"/>
        <w:numPr>
          <w:ilvl w:val="1"/>
          <w:numId w:val="9"/>
        </w:numPr>
        <w:tabs>
          <w:tab w:val="left" w:pos="567"/>
        </w:tabs>
        <w:ind w:left="993" w:hanging="426"/>
      </w:pPr>
      <w:bookmarkStart w:id="176" w:name="_Toc526152688"/>
      <w:r w:rsidRPr="0041184E">
        <w:t>Consideraciones de la Corte</w:t>
      </w:r>
      <w:bookmarkEnd w:id="176"/>
    </w:p>
    <w:p w14:paraId="12A14F1B" w14:textId="77777777" w:rsidR="007E2805" w:rsidRPr="0041184E" w:rsidRDefault="007E2805" w:rsidP="00EE5E64">
      <w:pPr>
        <w:pStyle w:val="ListParagraph"/>
        <w:tabs>
          <w:tab w:val="left" w:pos="567"/>
        </w:tabs>
        <w:jc w:val="both"/>
        <w:rPr>
          <w:szCs w:val="20"/>
        </w:rPr>
      </w:pPr>
    </w:p>
    <w:p w14:paraId="516483D1" w14:textId="740343BB" w:rsidR="007E2805" w:rsidRDefault="007E2805" w:rsidP="009F7500">
      <w:pPr>
        <w:pStyle w:val="PrrafodeSentencia"/>
      </w:pPr>
      <w:bookmarkStart w:id="177" w:name="_Ref524880356"/>
      <w:r w:rsidRPr="00983DF6">
        <w:t>El Perú depositó el instrumento de ratificación de la Convención Interamericana sobre Desaparición Forzada el 13 de febrero de 2002</w:t>
      </w:r>
      <w:r w:rsidR="007C763B">
        <w:t>. Esta convención</w:t>
      </w:r>
      <w:r w:rsidRPr="00983DF6">
        <w:t xml:space="preserve"> entró en vigor para el Estado el 15 de marzo de 2002, de acuerdo con el artículo XX de dicho instrumento</w:t>
      </w:r>
      <w:r>
        <w:t>.</w:t>
      </w:r>
      <w:bookmarkEnd w:id="177"/>
    </w:p>
    <w:p w14:paraId="1821DC4D" w14:textId="77777777" w:rsidR="007E2805" w:rsidRPr="00983DF6" w:rsidRDefault="007E2805" w:rsidP="00EE5E64">
      <w:pPr>
        <w:pStyle w:val="ListParagraph"/>
        <w:tabs>
          <w:tab w:val="left" w:pos="567"/>
        </w:tabs>
        <w:ind w:left="0"/>
        <w:jc w:val="both"/>
        <w:rPr>
          <w:szCs w:val="20"/>
        </w:rPr>
      </w:pPr>
    </w:p>
    <w:p w14:paraId="45F084FE" w14:textId="5787D776" w:rsidR="007E2805" w:rsidRPr="00C934F4" w:rsidRDefault="00C934F4" w:rsidP="009F7500">
      <w:pPr>
        <w:pStyle w:val="PrrafodeSentencia"/>
      </w:pPr>
      <w:r>
        <w:t>L</w:t>
      </w:r>
      <w:r w:rsidR="007E2805" w:rsidRPr="008B5A89">
        <w:t xml:space="preserve">a Corte </w:t>
      </w:r>
      <w:r>
        <w:t xml:space="preserve">ha sostenido en reiteradas oportunidades, incluyendo los casos </w:t>
      </w:r>
      <w:r w:rsidRPr="00771EED">
        <w:rPr>
          <w:i/>
          <w:iCs/>
        </w:rPr>
        <w:t>Osorio Rivera y otros</w:t>
      </w:r>
      <w:r>
        <w:t xml:space="preserve"> </w:t>
      </w:r>
      <w:r w:rsidRPr="00771EED">
        <w:t xml:space="preserve">y </w:t>
      </w:r>
      <w:r w:rsidRPr="00771EED">
        <w:rPr>
          <w:i/>
        </w:rPr>
        <w:t>Tenorio Roca y otros</w:t>
      </w:r>
      <w:r w:rsidRPr="00771EED">
        <w:t>,</w:t>
      </w:r>
      <w:r>
        <w:t xml:space="preserve"> </w:t>
      </w:r>
      <w:r w:rsidR="00AC5E63">
        <w:t xml:space="preserve">ambos contra Perú, </w:t>
      </w:r>
      <w:r>
        <w:t>que la Convención</w:t>
      </w:r>
      <w:r w:rsidRPr="00983DF6">
        <w:t xml:space="preserve"> Interamericana sobre Desaparición Forzada </w:t>
      </w:r>
      <w:r w:rsidR="007E2805" w:rsidRPr="00C934F4">
        <w:t>es aplicable a aquellos hechos que constituyen violaciones de carácter continuo o permanente, como la de</w:t>
      </w:r>
      <w:r>
        <w:t xml:space="preserve">saparición forzada de personas, </w:t>
      </w:r>
      <w:r w:rsidR="007E2805" w:rsidRPr="00C934F4">
        <w:t>cuyo inicio de ejecución tuvo lugar antes de la entrada en vigor del tratado y que persisten aún después de esa fecha, puesto que se siguen cometiendo</w:t>
      </w:r>
      <w:r w:rsidR="007E2805" w:rsidRPr="0095340B">
        <w:rPr>
          <w:rStyle w:val="FootnoteReference"/>
          <w:sz w:val="20"/>
          <w:szCs w:val="20"/>
        </w:rPr>
        <w:footnoteReference w:id="8"/>
      </w:r>
      <w:r w:rsidR="007E2805" w:rsidRPr="00C934F4">
        <w:t>, de manera que no se infringe el principio de irretroactividad</w:t>
      </w:r>
      <w:r w:rsidR="007E2805" w:rsidRPr="0095340B">
        <w:rPr>
          <w:rStyle w:val="FootnoteReference"/>
          <w:sz w:val="20"/>
          <w:szCs w:val="20"/>
        </w:rPr>
        <w:footnoteReference w:id="9"/>
      </w:r>
      <w:r w:rsidR="007E2805" w:rsidRPr="00C934F4">
        <w:t>. Sostener lo contrario equivaldría a privar de su efecto útil al tratado mismo y a la garantía de protección que establece, con consecuencias negativas para las presuntas víctimas en el ejercicio de su derecho de acceso a la justicia</w:t>
      </w:r>
      <w:r w:rsidR="007E2805" w:rsidRPr="0095340B">
        <w:rPr>
          <w:rStyle w:val="FootnoteReference"/>
          <w:sz w:val="20"/>
          <w:szCs w:val="20"/>
        </w:rPr>
        <w:footnoteReference w:id="10"/>
      </w:r>
      <w:r w:rsidR="007E2805" w:rsidRPr="00C934F4">
        <w:t xml:space="preserve">. </w:t>
      </w:r>
    </w:p>
    <w:p w14:paraId="7B2AA2BE" w14:textId="77777777" w:rsidR="007E2805" w:rsidRPr="00DC0033" w:rsidRDefault="007E2805" w:rsidP="00EE5E64">
      <w:pPr>
        <w:pStyle w:val="ListParagraph"/>
        <w:tabs>
          <w:tab w:val="left" w:pos="567"/>
        </w:tabs>
        <w:ind w:left="0"/>
        <w:jc w:val="both"/>
        <w:rPr>
          <w:szCs w:val="20"/>
        </w:rPr>
      </w:pPr>
    </w:p>
    <w:p w14:paraId="2DB23F12" w14:textId="32D1578A" w:rsidR="007E2805" w:rsidRPr="00771EED" w:rsidRDefault="007E2805" w:rsidP="009F7500">
      <w:pPr>
        <w:pStyle w:val="PrrafodeSentencia"/>
      </w:pPr>
      <w:bookmarkStart w:id="178" w:name="_Ref524880357"/>
      <w:r w:rsidRPr="00771EED">
        <w:t xml:space="preserve">Con base en lo anterior, la Corte no encuentra elementos que justifiquen apartarse de su jurisprudencia y, por consiguiente, desestima la excepción preliminar </w:t>
      </w:r>
      <w:r w:rsidR="007C763B">
        <w:t>presentada</w:t>
      </w:r>
      <w:r w:rsidRPr="00771EED">
        <w:t xml:space="preserve"> por el Estado, por lo que es competente para examinar y pronunciarse respecto de las alegadas violaciones a la Convención Interamericana sobre Desaparición Forzada de Personas, a partir del 15 de marzo de 2002, fecha de su entrada en vigor para el Perú.</w:t>
      </w:r>
      <w:bookmarkEnd w:id="178"/>
    </w:p>
    <w:p w14:paraId="389272D3" w14:textId="77777777" w:rsidR="007E2805" w:rsidRDefault="007E2805" w:rsidP="00EE5E64">
      <w:pPr>
        <w:tabs>
          <w:tab w:val="left" w:pos="567"/>
        </w:tabs>
        <w:jc w:val="both"/>
      </w:pPr>
    </w:p>
    <w:p w14:paraId="659518B5" w14:textId="77777777" w:rsidR="003D30F6" w:rsidRDefault="003D30F6" w:rsidP="00EE5E64">
      <w:pPr>
        <w:tabs>
          <w:tab w:val="left" w:pos="567"/>
        </w:tabs>
        <w:jc w:val="both"/>
      </w:pPr>
    </w:p>
    <w:p w14:paraId="22397ECC" w14:textId="7D3FE2B3" w:rsidR="007E2805" w:rsidRDefault="007E2805" w:rsidP="00B5160D">
      <w:pPr>
        <w:pStyle w:val="Title"/>
        <w:tabs>
          <w:tab w:val="left" w:pos="567"/>
        </w:tabs>
      </w:pPr>
      <w:bookmarkStart w:id="179" w:name="_Toc526152689"/>
      <w:r w:rsidRPr="003633D2">
        <w:t>V</w:t>
      </w:r>
      <w:r w:rsidR="00B5160D">
        <w:br/>
      </w:r>
      <w:r>
        <w:t>CONSIDERACI</w:t>
      </w:r>
      <w:r w:rsidR="00E27A5C">
        <w:t>ÓN PREVIA</w:t>
      </w:r>
      <w:bookmarkEnd w:id="179"/>
    </w:p>
    <w:p w14:paraId="59B3A602" w14:textId="77777777" w:rsidR="00E27A5C" w:rsidRPr="007E2805" w:rsidRDefault="00E27A5C" w:rsidP="00E27A5C">
      <w:pPr>
        <w:tabs>
          <w:tab w:val="left" w:pos="567"/>
        </w:tabs>
        <w:autoSpaceDE w:val="0"/>
        <w:autoSpaceDN w:val="0"/>
        <w:adjustRightInd w:val="0"/>
        <w:jc w:val="both"/>
        <w:rPr>
          <w:rFonts w:cs="Arial"/>
          <w:szCs w:val="20"/>
        </w:rPr>
      </w:pPr>
    </w:p>
    <w:p w14:paraId="5BF476E3" w14:textId="3940FBD8" w:rsidR="00E27A5C" w:rsidRDefault="00E27A5C" w:rsidP="00E27A5C">
      <w:pPr>
        <w:pStyle w:val="Heading2"/>
        <w:numPr>
          <w:ilvl w:val="0"/>
          <w:numId w:val="8"/>
        </w:numPr>
        <w:tabs>
          <w:tab w:val="left" w:pos="567"/>
        </w:tabs>
        <w:ind w:left="993" w:hanging="426"/>
        <w:contextualSpacing/>
        <w:jc w:val="both"/>
      </w:pPr>
      <w:bookmarkStart w:id="180" w:name="_Toc526152690"/>
      <w:r>
        <w:t>Alegado reconocimiento de</w:t>
      </w:r>
      <w:r w:rsidR="000C5050">
        <w:t>l</w:t>
      </w:r>
      <w:r>
        <w:t xml:space="preserve"> Estado</w:t>
      </w:r>
      <w:r w:rsidRPr="00760ACF">
        <w:t xml:space="preserve"> </w:t>
      </w:r>
      <w:r>
        <w:t>durante el procedimiento ante la Comisión</w:t>
      </w:r>
      <w:bookmarkEnd w:id="180"/>
      <w:r>
        <w:t xml:space="preserve"> </w:t>
      </w:r>
    </w:p>
    <w:p w14:paraId="4C81CC57" w14:textId="77777777" w:rsidR="00E27A5C" w:rsidRPr="00760ACF" w:rsidRDefault="00E27A5C" w:rsidP="00E27A5C">
      <w:pPr>
        <w:pStyle w:val="Footer"/>
        <w:tabs>
          <w:tab w:val="clear" w:pos="4320"/>
          <w:tab w:val="clear" w:pos="8640"/>
          <w:tab w:val="left" w:pos="567"/>
        </w:tabs>
        <w:rPr>
          <w:lang w:val="es-CR" w:eastAsia="es-MX"/>
        </w:rPr>
      </w:pPr>
    </w:p>
    <w:p w14:paraId="2A88F255" w14:textId="5EB685FE" w:rsidR="00E27A5C" w:rsidRPr="00466B67" w:rsidRDefault="00E27A5C" w:rsidP="00E27A5C">
      <w:pPr>
        <w:pStyle w:val="PrrafodeSentencia"/>
      </w:pPr>
      <w:r>
        <w:t xml:space="preserve">Los </w:t>
      </w:r>
      <w:r w:rsidRPr="00760ACF">
        <w:rPr>
          <w:b/>
          <w:i/>
        </w:rPr>
        <w:t>representantes</w:t>
      </w:r>
      <w:r>
        <w:t xml:space="preserve"> alegaron que el Estado había reconocido la participación estatal en la </w:t>
      </w:r>
      <w:r w:rsidRPr="00A77B36">
        <w:t xml:space="preserve">desaparición forzada de Walter </w:t>
      </w:r>
      <w:proofErr w:type="spellStart"/>
      <w:r w:rsidRPr="00A77B36">
        <w:t>Munárriz</w:t>
      </w:r>
      <w:proofErr w:type="spellEnd"/>
      <w:r w:rsidRPr="00A77B36">
        <w:t xml:space="preserve"> Escobar en el procedimiento ante la Comisión en varias oportunidades. </w:t>
      </w:r>
      <w:r>
        <w:t xml:space="preserve">El </w:t>
      </w:r>
      <w:r w:rsidRPr="00760ACF">
        <w:rPr>
          <w:b/>
          <w:i/>
        </w:rPr>
        <w:t>Estado</w:t>
      </w:r>
      <w:r>
        <w:rPr>
          <w:b/>
          <w:i/>
        </w:rPr>
        <w:t xml:space="preserve"> </w:t>
      </w:r>
      <w:r w:rsidRPr="00E81B74">
        <w:t xml:space="preserve">indicó que </w:t>
      </w:r>
      <w:r>
        <w:t>e</w:t>
      </w:r>
      <w:r w:rsidRPr="00E81B74">
        <w:t>n</w:t>
      </w:r>
      <w:r w:rsidR="00BE29A5">
        <w:t xml:space="preserve"> “</w:t>
      </w:r>
      <w:r w:rsidRPr="00E81B74">
        <w:t>ningún escrito presentado por esta parte se ha señalado que se asume la responsabilidad por la desaparición forzada o la alegada desaparición forzada del señor</w:t>
      </w:r>
      <w:r>
        <w:t xml:space="preserve"> Walter </w:t>
      </w:r>
      <w:proofErr w:type="spellStart"/>
      <w:r>
        <w:t>Munárriz</w:t>
      </w:r>
      <w:proofErr w:type="spellEnd"/>
      <w:r>
        <w:t>”. Enfatizó que “</w:t>
      </w:r>
      <w:r w:rsidRPr="00E81B74">
        <w:t xml:space="preserve">no hay ningún tipo de reconocimiento de responsabilidad y así también lo entendió la Comisión, tanto así, que en su recomendación contenida en el informe de fondo, solicita que el Estado Peruano reconozca </w:t>
      </w:r>
      <w:r>
        <w:t>la alegada desaparición forzada</w:t>
      </w:r>
      <w:r>
        <w:rPr>
          <w:lang w:val="es-MX"/>
        </w:rPr>
        <w:t>”</w:t>
      </w:r>
      <w:r w:rsidRPr="00E81B74">
        <w:t>.</w:t>
      </w:r>
      <w:r>
        <w:t xml:space="preserve"> Al respecto, indicó que para que un “reconocimiento de responsabilidad […] tenga validez […] debe de haber una clara y expresa manifestación de dicha posición que no ofrezca lugar a dudas o a diferentes </w:t>
      </w:r>
      <w:r w:rsidRPr="00605429">
        <w:t xml:space="preserve">interpretaciones”. La </w:t>
      </w:r>
      <w:r w:rsidRPr="00605429">
        <w:rPr>
          <w:b/>
          <w:i/>
        </w:rPr>
        <w:t>Comisión</w:t>
      </w:r>
      <w:r w:rsidRPr="00466B67">
        <w:rPr>
          <w:b/>
          <w:i/>
        </w:rPr>
        <w:t xml:space="preserve"> </w:t>
      </w:r>
      <w:r>
        <w:t>no se pronunció sobre este punto.</w:t>
      </w:r>
    </w:p>
    <w:p w14:paraId="62C580B7" w14:textId="77777777" w:rsidR="00E27A5C" w:rsidRPr="00760ACF" w:rsidRDefault="00E27A5C" w:rsidP="00E27A5C">
      <w:pPr>
        <w:tabs>
          <w:tab w:val="left" w:pos="567"/>
        </w:tabs>
        <w:rPr>
          <w:lang w:val="es-CR" w:eastAsia="es-MX"/>
        </w:rPr>
      </w:pPr>
    </w:p>
    <w:p w14:paraId="4DE7E484" w14:textId="5C99A9D9" w:rsidR="00E27A5C" w:rsidRPr="007D0D86" w:rsidRDefault="00E27A5C" w:rsidP="00E27A5C">
      <w:pPr>
        <w:pStyle w:val="PrrafodeSentencia"/>
      </w:pPr>
      <w:bookmarkStart w:id="181" w:name="_Ref524710215"/>
      <w:r>
        <w:t>D</w:t>
      </w:r>
      <w:r w:rsidRPr="00DE161F">
        <w:t>urante la etapa de admisibilidad ante la Comisión el Estado señaló que “en el presente caso, existen indicios razonables de que estamos ante un caso de desaparición forzada, independientemente de quienes sean los implicados de la comisión de este delito. Lo que sí es presumible que éste haya sido cometido por agentes del Estado”</w:t>
      </w:r>
      <w:r w:rsidRPr="00DE161F">
        <w:rPr>
          <w:rStyle w:val="FootnoteReference"/>
          <w:sz w:val="20"/>
          <w:szCs w:val="20"/>
        </w:rPr>
        <w:footnoteReference w:id="11"/>
      </w:r>
      <w:r w:rsidRPr="00DE161F">
        <w:t xml:space="preserve">. Esta </w:t>
      </w:r>
      <w:r>
        <w:t>afirmación realizada</w:t>
      </w:r>
      <w:r w:rsidRPr="00DE161F">
        <w:t xml:space="preserve"> por el Estado fue tomad</w:t>
      </w:r>
      <w:r>
        <w:t>a</w:t>
      </w:r>
      <w:r w:rsidRPr="00DE161F">
        <w:t xml:space="preserve"> en cuenta por la Comisión en el Informe de Admisibilidad, </w:t>
      </w:r>
      <w:r w:rsidR="001F0E21">
        <w:t>donde</w:t>
      </w:r>
      <w:r w:rsidRPr="00DE161F">
        <w:t xml:space="preserve"> l</w:t>
      </w:r>
      <w:r>
        <w:t>o</w:t>
      </w:r>
      <w:r w:rsidRPr="00DE161F">
        <w:t xml:space="preserve"> consideró un “reconocimiento del Estado en cuanto a la desaparición del joven Walter </w:t>
      </w:r>
      <w:proofErr w:type="spellStart"/>
      <w:r w:rsidRPr="00DE161F">
        <w:t>Munárriz</w:t>
      </w:r>
      <w:proofErr w:type="spellEnd"/>
      <w:r w:rsidRPr="00DE161F">
        <w:t>”</w:t>
      </w:r>
      <w:r w:rsidRPr="00DE161F">
        <w:rPr>
          <w:rStyle w:val="FootnoteReference"/>
          <w:sz w:val="20"/>
          <w:szCs w:val="20"/>
        </w:rPr>
        <w:footnoteReference w:id="12"/>
      </w:r>
      <w:r>
        <w:t xml:space="preserve">. </w:t>
      </w:r>
      <w:r w:rsidRPr="0025379F">
        <w:t xml:space="preserve">En la etapa de fondo el Estado </w:t>
      </w:r>
      <w:r>
        <w:t xml:space="preserve">inicialmente </w:t>
      </w:r>
      <w:r w:rsidRPr="0025379F">
        <w:t>reiteró esta posición</w:t>
      </w:r>
      <w:r w:rsidRPr="00BB2CB4">
        <w:rPr>
          <w:rStyle w:val="FootnoteReference"/>
          <w:sz w:val="20"/>
          <w:szCs w:val="20"/>
        </w:rPr>
        <w:footnoteReference w:id="13"/>
      </w:r>
      <w:r>
        <w:t xml:space="preserve"> y posteriormente la modificó negando la </w:t>
      </w:r>
      <w:r w:rsidRPr="007D0D86">
        <w:t>ocurrencia de la desaparición forzada</w:t>
      </w:r>
      <w:r w:rsidRPr="00800B1D">
        <w:rPr>
          <w:rStyle w:val="FootnoteReference"/>
          <w:sz w:val="20"/>
          <w:szCs w:val="20"/>
        </w:rPr>
        <w:footnoteReference w:id="14"/>
      </w:r>
      <w:r w:rsidRPr="007D0D86">
        <w:t>. En el</w:t>
      </w:r>
      <w:r w:rsidR="0011736B">
        <w:t xml:space="preserve"> I</w:t>
      </w:r>
      <w:r w:rsidRPr="007D0D86">
        <w:t xml:space="preserve">nforme de </w:t>
      </w:r>
      <w:r w:rsidR="0011736B">
        <w:t>F</w:t>
      </w:r>
      <w:r w:rsidRPr="007D0D86">
        <w:t>ondo la Comisión no analizó las expresiones del Estado como un reconocimiento de responsabilidad.</w:t>
      </w:r>
      <w:bookmarkEnd w:id="181"/>
    </w:p>
    <w:p w14:paraId="54367557" w14:textId="77777777" w:rsidR="00E27A5C" w:rsidRPr="00D24BCF" w:rsidRDefault="00E27A5C" w:rsidP="00E27A5C">
      <w:pPr>
        <w:tabs>
          <w:tab w:val="left" w:pos="567"/>
        </w:tabs>
        <w:rPr>
          <w:lang w:val="es-CR" w:eastAsia="es-MX"/>
        </w:rPr>
      </w:pPr>
    </w:p>
    <w:p w14:paraId="48407F32" w14:textId="77777777" w:rsidR="00E27A5C" w:rsidRPr="0012781B" w:rsidRDefault="00E27A5C" w:rsidP="00E27A5C">
      <w:pPr>
        <w:pStyle w:val="PrrafodeSentencia"/>
      </w:pPr>
      <w:r>
        <w:t xml:space="preserve">Este Tribunal recuerda que el artículo 62 de su </w:t>
      </w:r>
      <w:r w:rsidRPr="00842F43">
        <w:rPr>
          <w:szCs w:val="20"/>
        </w:rPr>
        <w:t>Reglamento regula la “aceptación de los hechos o el allanamiento total o parcial” realizados ante la propia Corte</w:t>
      </w:r>
      <w:r w:rsidRPr="00842F43">
        <w:rPr>
          <w:rStyle w:val="FootnoteReference"/>
          <w:sz w:val="20"/>
          <w:szCs w:val="20"/>
        </w:rPr>
        <w:footnoteReference w:id="15"/>
      </w:r>
      <w:r w:rsidRPr="00842F43">
        <w:rPr>
          <w:szCs w:val="20"/>
        </w:rPr>
        <w:t xml:space="preserve">. </w:t>
      </w:r>
      <w:r>
        <w:rPr>
          <w:rFonts w:eastAsia="Times New Roman"/>
          <w:spacing w:val="0"/>
        </w:rPr>
        <w:t>Sin embargo</w:t>
      </w:r>
      <w:r w:rsidRPr="00D24BCF">
        <w:rPr>
          <w:rFonts w:eastAsia="Times New Roman"/>
          <w:spacing w:val="0"/>
        </w:rPr>
        <w:t xml:space="preserve">, ha considerado que </w:t>
      </w:r>
      <w:r w:rsidRPr="00D24BCF">
        <w:rPr>
          <w:spacing w:val="0"/>
          <w:lang w:val="es-ES"/>
        </w:rPr>
        <w:t xml:space="preserve">los actos de reconocimiento realizados durante el trámite ante la Comisión resultan necesariamente relevantes para la determinación de la aplicación del </w:t>
      </w:r>
      <w:r w:rsidRPr="00D24BCF">
        <w:rPr>
          <w:i/>
          <w:spacing w:val="0"/>
          <w:lang w:val="es-ES"/>
        </w:rPr>
        <w:t xml:space="preserve">principio de </w:t>
      </w:r>
      <w:proofErr w:type="spellStart"/>
      <w:r w:rsidRPr="00D24BCF">
        <w:rPr>
          <w:i/>
          <w:spacing w:val="0"/>
          <w:lang w:val="es-ES"/>
        </w:rPr>
        <w:t>estoppel</w:t>
      </w:r>
      <w:proofErr w:type="spellEnd"/>
      <w:r w:rsidRPr="00D24BCF">
        <w:rPr>
          <w:spacing w:val="0"/>
          <w:lang w:val="es-ES"/>
        </w:rPr>
        <w:t xml:space="preserve"> respecto de posiciones contrarias alegadas durante el procedimiento del caso ante </w:t>
      </w:r>
      <w:r w:rsidRPr="00171323">
        <w:rPr>
          <w:spacing w:val="0"/>
          <w:szCs w:val="20"/>
          <w:lang w:val="es-ES"/>
        </w:rPr>
        <w:t>la Corte</w:t>
      </w:r>
      <w:r w:rsidRPr="00171323">
        <w:rPr>
          <w:spacing w:val="0"/>
          <w:szCs w:val="20"/>
          <w:vertAlign w:val="superscript"/>
          <w:lang w:val="es-ES"/>
        </w:rPr>
        <w:footnoteReference w:id="16"/>
      </w:r>
      <w:r w:rsidRPr="00171323">
        <w:rPr>
          <w:spacing w:val="0"/>
          <w:szCs w:val="20"/>
          <w:lang w:val="es-ES"/>
        </w:rPr>
        <w:t>.</w:t>
      </w:r>
      <w:r w:rsidRPr="0012781B">
        <w:rPr>
          <w:spacing w:val="0"/>
          <w:szCs w:val="20"/>
          <w:lang w:val="es-ES"/>
        </w:rPr>
        <w:t xml:space="preserve"> </w:t>
      </w:r>
    </w:p>
    <w:p w14:paraId="6D5C6CEA" w14:textId="77777777" w:rsidR="00E27A5C" w:rsidRPr="00171323" w:rsidRDefault="00E27A5C" w:rsidP="00E27A5C">
      <w:pPr>
        <w:tabs>
          <w:tab w:val="left" w:pos="567"/>
        </w:tabs>
        <w:rPr>
          <w:szCs w:val="20"/>
          <w:lang w:val="es-ES" w:eastAsia="es-MX"/>
        </w:rPr>
      </w:pPr>
    </w:p>
    <w:p w14:paraId="0DCB3F5A" w14:textId="77777777" w:rsidR="00E27A5C" w:rsidRPr="0012781B" w:rsidRDefault="00E27A5C" w:rsidP="00E27A5C">
      <w:pPr>
        <w:pStyle w:val="PrrafodeSentencia"/>
      </w:pPr>
      <w:r w:rsidRPr="00171323">
        <w:rPr>
          <w:lang w:val="es-ES"/>
        </w:rPr>
        <w:t xml:space="preserve">Por otra parte, </w:t>
      </w:r>
      <w:r w:rsidRPr="00171323">
        <w:t>de la jurisprudencia de la Corte se desprende que para considerar un acto del Estado como un allanamiento o reconocimiento de responsabilidad su intención en este sentido debe ser clara</w:t>
      </w:r>
      <w:r w:rsidRPr="00171323">
        <w:rPr>
          <w:rStyle w:val="FootnoteReference"/>
          <w:spacing w:val="0"/>
          <w:sz w:val="20"/>
          <w:szCs w:val="20"/>
        </w:rPr>
        <w:footnoteReference w:id="17"/>
      </w:r>
      <w:r w:rsidRPr="00171323">
        <w:t xml:space="preserve">. </w:t>
      </w:r>
      <w:r>
        <w:rPr>
          <w:lang w:val="es-ES"/>
        </w:rPr>
        <w:t>E</w:t>
      </w:r>
      <w:r w:rsidRPr="00171323">
        <w:rPr>
          <w:lang w:val="es-ES"/>
        </w:rPr>
        <w:t>l análisis de los actos de reconocimiento de responsabilidad se realiza en cada caso concreto</w:t>
      </w:r>
      <w:r w:rsidRPr="00171323">
        <w:rPr>
          <w:vertAlign w:val="superscript"/>
          <w:lang w:val="es-ES_tradnl"/>
        </w:rPr>
        <w:footnoteReference w:id="18"/>
      </w:r>
      <w:r w:rsidRPr="00171323">
        <w:rPr>
          <w:lang w:val="es-ES"/>
        </w:rPr>
        <w:t>.</w:t>
      </w:r>
    </w:p>
    <w:p w14:paraId="494A1A37" w14:textId="77777777" w:rsidR="00E27A5C" w:rsidRPr="0012781B" w:rsidRDefault="00E27A5C" w:rsidP="00E27A5C">
      <w:pPr>
        <w:pStyle w:val="PrrafodeSentencia"/>
        <w:numPr>
          <w:ilvl w:val="0"/>
          <w:numId w:val="0"/>
        </w:numPr>
      </w:pPr>
    </w:p>
    <w:p w14:paraId="3ADC8480" w14:textId="56C58F1D" w:rsidR="00E27A5C" w:rsidRDefault="00E27A5C" w:rsidP="00C37E99">
      <w:pPr>
        <w:pStyle w:val="PrrafodeSentencia"/>
      </w:pPr>
      <w:r>
        <w:t xml:space="preserve">Este Tribunal advierte que los pronunciamientos realizados </w:t>
      </w:r>
      <w:r w:rsidRPr="00987121">
        <w:t xml:space="preserve">por el Estado ante la Comisión se refieren a que existen indicios razonables sobre la posible ocurrencia de una desaparición forzada, donde se pudiera presumir la participación de agentes estatales. </w:t>
      </w:r>
      <w:r w:rsidR="00C37E99" w:rsidRPr="00987121">
        <w:t xml:space="preserve">Al margen del valor </w:t>
      </w:r>
      <w:r w:rsidR="00C37E99" w:rsidRPr="00987121">
        <w:lastRenderedPageBreak/>
        <w:t>probatorio que pueda darle esta Corte a las referidas manifestaciones, este Tribunal considera que estas no demuestra</w:t>
      </w:r>
      <w:r w:rsidR="0011736B">
        <w:t>n</w:t>
      </w:r>
      <w:r w:rsidR="00C37E99" w:rsidRPr="00987121">
        <w:t xml:space="preserve"> una intención clara de reconocer responsabilidad estatal. </w:t>
      </w:r>
      <w:r w:rsidRPr="00987121">
        <w:t xml:space="preserve">Por tanto, este Tribunal estima que persiste la controversia relativa a la ocurrencia de la desaparición forzada de Walter </w:t>
      </w:r>
      <w:proofErr w:type="spellStart"/>
      <w:r w:rsidRPr="00987121">
        <w:t>Munárriz</w:t>
      </w:r>
      <w:proofErr w:type="spellEnd"/>
      <w:r w:rsidRPr="00987121">
        <w:t xml:space="preserve"> Escobar.</w:t>
      </w:r>
      <w:r w:rsidR="00402DCB">
        <w:t xml:space="preserve"> </w:t>
      </w:r>
    </w:p>
    <w:p w14:paraId="68DAB64F" w14:textId="77777777" w:rsidR="001100EA" w:rsidRDefault="001100EA" w:rsidP="00EE5E64">
      <w:pPr>
        <w:tabs>
          <w:tab w:val="left" w:pos="567"/>
        </w:tabs>
        <w:rPr>
          <w:lang w:val="es-ES" w:eastAsia="es-MX"/>
        </w:rPr>
      </w:pPr>
    </w:p>
    <w:p w14:paraId="23E1D58F" w14:textId="77777777" w:rsidR="003D30F6" w:rsidRDefault="003D30F6" w:rsidP="00EE5E64">
      <w:pPr>
        <w:tabs>
          <w:tab w:val="left" w:pos="567"/>
        </w:tabs>
        <w:rPr>
          <w:lang w:val="es-ES" w:eastAsia="es-MX"/>
        </w:rPr>
      </w:pPr>
    </w:p>
    <w:p w14:paraId="4699121F" w14:textId="48CEC0EE" w:rsidR="001100EA" w:rsidRPr="0000396E" w:rsidRDefault="001100EA" w:rsidP="00B5160D">
      <w:pPr>
        <w:pStyle w:val="Title"/>
        <w:tabs>
          <w:tab w:val="left" w:pos="567"/>
        </w:tabs>
      </w:pPr>
      <w:bookmarkStart w:id="182" w:name="_Toc526152691"/>
      <w:r w:rsidRPr="0000396E">
        <w:t>VI</w:t>
      </w:r>
      <w:r w:rsidR="00B5160D">
        <w:br/>
      </w:r>
      <w:r>
        <w:t>PRUEBA</w:t>
      </w:r>
      <w:bookmarkEnd w:id="182"/>
    </w:p>
    <w:p w14:paraId="2990F44E" w14:textId="77777777" w:rsidR="001100EA" w:rsidRPr="001100EA" w:rsidRDefault="001100EA" w:rsidP="00EE5E64">
      <w:pPr>
        <w:tabs>
          <w:tab w:val="left" w:pos="567"/>
        </w:tabs>
        <w:rPr>
          <w:lang w:val="es-ES" w:eastAsia="es-MX"/>
        </w:rPr>
      </w:pPr>
    </w:p>
    <w:p w14:paraId="389AF357" w14:textId="4215E045" w:rsidR="004108C8" w:rsidRDefault="00B90C83" w:rsidP="00866702">
      <w:pPr>
        <w:pStyle w:val="Heading2"/>
      </w:pPr>
      <w:bookmarkStart w:id="183" w:name="_Toc486693358"/>
      <w:bookmarkStart w:id="184" w:name="_Toc486842774"/>
      <w:bookmarkStart w:id="185" w:name="_Toc486842912"/>
      <w:bookmarkStart w:id="186" w:name="_Toc516046338"/>
      <w:bookmarkStart w:id="187" w:name="_Toc526152692"/>
      <w:r>
        <w:t xml:space="preserve">Admisibilidad </w:t>
      </w:r>
      <w:r w:rsidR="004F34DB">
        <w:t>de la p</w:t>
      </w:r>
      <w:r w:rsidR="004108C8" w:rsidRPr="0043341E">
        <w:t>rueba documental</w:t>
      </w:r>
      <w:bookmarkEnd w:id="183"/>
      <w:bookmarkEnd w:id="184"/>
      <w:bookmarkEnd w:id="185"/>
      <w:bookmarkEnd w:id="186"/>
      <w:bookmarkEnd w:id="187"/>
    </w:p>
    <w:p w14:paraId="7B22B5B5" w14:textId="77777777" w:rsidR="004108C8" w:rsidRPr="0043341E" w:rsidRDefault="004108C8" w:rsidP="00B5160D">
      <w:pPr>
        <w:pStyle w:val="ListParagraph"/>
        <w:tabs>
          <w:tab w:val="left" w:pos="567"/>
        </w:tabs>
        <w:autoSpaceDE w:val="0"/>
        <w:autoSpaceDN w:val="0"/>
        <w:adjustRightInd w:val="0"/>
        <w:ind w:left="900"/>
        <w:jc w:val="both"/>
        <w:rPr>
          <w:b/>
          <w:i/>
          <w:szCs w:val="20"/>
        </w:rPr>
      </w:pPr>
    </w:p>
    <w:p w14:paraId="0C0EE80D" w14:textId="7036DCC0" w:rsidR="004F34DB" w:rsidRDefault="004F34DB" w:rsidP="004F34DB">
      <w:pPr>
        <w:pStyle w:val="PrrafodeSentencia"/>
      </w:pPr>
      <w:r>
        <w:t>El Tribunal recibió diversos documentos presentados como prueba por la Comisión, los representantes y el Estado</w:t>
      </w:r>
      <w:r w:rsidR="003879A4">
        <w:t xml:space="preserve"> o solicitados como </w:t>
      </w:r>
      <w:r w:rsidR="003879A4" w:rsidRPr="00043075">
        <w:rPr>
          <w:szCs w:val="20"/>
        </w:rPr>
        <w:t>prueba para mejor resolver por la Corte o su Presidencia</w:t>
      </w:r>
      <w:r>
        <w:t xml:space="preserve">, los </w:t>
      </w:r>
      <w:r w:rsidRPr="004F34DB">
        <w:rPr>
          <w:szCs w:val="20"/>
        </w:rPr>
        <w:t>cuales, como en otros casos, admite en el entendido que fueron presentados en la debida oportunidad procesal (artículo 57 del Reglamento)</w:t>
      </w:r>
      <w:r w:rsidRPr="004F34DB">
        <w:rPr>
          <w:rStyle w:val="FootnoteReference"/>
          <w:sz w:val="20"/>
          <w:szCs w:val="20"/>
        </w:rPr>
        <w:footnoteReference w:id="19"/>
      </w:r>
      <w:r w:rsidRPr="004F34DB">
        <w:rPr>
          <w:szCs w:val="20"/>
        </w:rPr>
        <w:t xml:space="preserve"> y su admisibilidad no fue controvertida ni objetada</w:t>
      </w:r>
      <w:r w:rsidRPr="004F34DB">
        <w:rPr>
          <w:rStyle w:val="FootnoteReference"/>
          <w:sz w:val="20"/>
          <w:szCs w:val="20"/>
        </w:rPr>
        <w:footnoteReference w:id="20"/>
      </w:r>
      <w:r w:rsidRPr="004F34DB">
        <w:rPr>
          <w:szCs w:val="20"/>
        </w:rPr>
        <w:t>.</w:t>
      </w:r>
      <w:r>
        <w:t xml:space="preserve"> </w:t>
      </w:r>
    </w:p>
    <w:p w14:paraId="0CC53B56" w14:textId="77777777" w:rsidR="003879A4" w:rsidRPr="003879A4" w:rsidRDefault="003879A4" w:rsidP="003879A4">
      <w:pPr>
        <w:rPr>
          <w:lang w:val="es-CR" w:eastAsia="es-MX"/>
        </w:rPr>
      </w:pPr>
    </w:p>
    <w:p w14:paraId="0AFD2773" w14:textId="702C93CD" w:rsidR="003879A4" w:rsidRPr="007764F9" w:rsidRDefault="003879A4" w:rsidP="003879A4">
      <w:pPr>
        <w:pStyle w:val="PrrafodeSentencia"/>
        <w:rPr>
          <w:b/>
        </w:rPr>
      </w:pPr>
      <w:r>
        <w:t xml:space="preserve">Los representantes solicitaron que los </w:t>
      </w:r>
      <w:r w:rsidRPr="009F4BD9">
        <w:t>anexos 1, 2</w:t>
      </w:r>
      <w:r>
        <w:t xml:space="preserve"> y 4 a los escritos de alegatos finales </w:t>
      </w:r>
      <w:r w:rsidR="005F2B69">
        <w:t>d</w:t>
      </w:r>
      <w:r>
        <w:t>el Estado fueran declarados inadmisibles al ser presentados sin ningún motivo con posterioridad a la presentación de la contestació</w:t>
      </w:r>
      <w:r w:rsidRPr="00EB4D74">
        <w:rPr>
          <w:szCs w:val="20"/>
        </w:rPr>
        <w:t>n</w:t>
      </w:r>
      <w:r w:rsidRPr="00EB4D74">
        <w:rPr>
          <w:rStyle w:val="FootnoteReference"/>
          <w:sz w:val="20"/>
          <w:szCs w:val="20"/>
        </w:rPr>
        <w:footnoteReference w:id="21"/>
      </w:r>
      <w:r w:rsidRPr="00EB4D74">
        <w:rPr>
          <w:szCs w:val="20"/>
        </w:rPr>
        <w:t>.</w:t>
      </w:r>
      <w:r>
        <w:t xml:space="preserve"> </w:t>
      </w:r>
      <w:r w:rsidRPr="007764F9">
        <w:t>Al respecto, este Tribunal estima que el Estado no ha justificado su presentación posterior al momento procesal oportuno, es decir, el escrito de contestación. En consecuencia, dicha prueba es extemporánea y de conformidad con el artículo 57.2 del Reglamento, no procede su admisión al acervo probatorio del presente caso.</w:t>
      </w:r>
    </w:p>
    <w:p w14:paraId="24D6BE90" w14:textId="77777777" w:rsidR="00043075" w:rsidRDefault="00043075" w:rsidP="00B5160D">
      <w:pPr>
        <w:rPr>
          <w:lang w:val="es-CR"/>
        </w:rPr>
      </w:pPr>
    </w:p>
    <w:p w14:paraId="5D596C5C" w14:textId="247A2DC2" w:rsidR="00043075" w:rsidRPr="00C6630B" w:rsidRDefault="00043075" w:rsidP="001415AA">
      <w:pPr>
        <w:pStyle w:val="Heading2"/>
        <w:numPr>
          <w:ilvl w:val="0"/>
          <w:numId w:val="0"/>
        </w:numPr>
        <w:tabs>
          <w:tab w:val="left" w:pos="567"/>
        </w:tabs>
        <w:ind w:left="567"/>
        <w:rPr>
          <w:b w:val="0"/>
          <w:i w:val="0"/>
          <w:lang w:val="es-CR"/>
        </w:rPr>
      </w:pPr>
      <w:bookmarkStart w:id="188" w:name="_Toc526152693"/>
      <w:r w:rsidRPr="00C6630B">
        <w:rPr>
          <w:lang w:val="es-CR"/>
        </w:rPr>
        <w:t xml:space="preserve">B. </w:t>
      </w:r>
      <w:r w:rsidR="001415AA">
        <w:rPr>
          <w:lang w:val="es-CR"/>
        </w:rPr>
        <w:t xml:space="preserve">  </w:t>
      </w:r>
      <w:r w:rsidR="00B90C83" w:rsidRPr="00B90C83">
        <w:rPr>
          <w:lang w:val="es-MX"/>
        </w:rPr>
        <w:t>Admisibilidad</w:t>
      </w:r>
      <w:r w:rsidR="004F34DB">
        <w:rPr>
          <w:lang w:val="es-CR"/>
        </w:rPr>
        <w:t xml:space="preserve"> de la prueba</w:t>
      </w:r>
      <w:r w:rsidR="004F34DB" w:rsidRPr="004F34DB">
        <w:rPr>
          <w:lang w:val="es-MX"/>
        </w:rPr>
        <w:t xml:space="preserve"> testimonial y pericial</w:t>
      </w:r>
      <w:bookmarkEnd w:id="188"/>
    </w:p>
    <w:p w14:paraId="0436D6A8" w14:textId="57922386" w:rsidR="00B90C83" w:rsidRPr="00B90C83" w:rsidRDefault="00043075" w:rsidP="00B90C83">
      <w:pPr>
        <w:pStyle w:val="NoSpacing"/>
        <w:tabs>
          <w:tab w:val="left" w:pos="567"/>
        </w:tabs>
        <w:rPr>
          <w:rFonts w:ascii="Verdana" w:hAnsi="Verdana"/>
          <w:i/>
          <w:sz w:val="20"/>
          <w:szCs w:val="20"/>
          <w:lang w:val="es-CR"/>
        </w:rPr>
      </w:pPr>
      <w:r w:rsidRPr="00C6630B">
        <w:rPr>
          <w:rFonts w:ascii="Verdana" w:hAnsi="Verdana"/>
          <w:i/>
          <w:sz w:val="20"/>
          <w:szCs w:val="20"/>
          <w:lang w:val="es-CR"/>
        </w:rPr>
        <w:t xml:space="preserve"> </w:t>
      </w:r>
    </w:p>
    <w:p w14:paraId="6AB4BEC8" w14:textId="7B530AA3" w:rsidR="00D9331B" w:rsidRDefault="00B90C83" w:rsidP="00B90C83">
      <w:pPr>
        <w:pStyle w:val="PrrafodeSentencia"/>
      </w:pPr>
      <w:r>
        <w:t>L</w:t>
      </w:r>
      <w:r w:rsidRPr="00D9331B">
        <w:t xml:space="preserve">a Corte recibió las declaraciones rendidas ante fedatario público (afidávit) por la presunta víctima, Gladys </w:t>
      </w:r>
      <w:proofErr w:type="spellStart"/>
      <w:r w:rsidRPr="00D9331B">
        <w:t>Munárriz</w:t>
      </w:r>
      <w:proofErr w:type="spellEnd"/>
      <w:r w:rsidRPr="00D9331B">
        <w:t xml:space="preserve"> Escobar, así como el dictamen pericial de Juan Pablo Albán </w:t>
      </w:r>
      <w:proofErr w:type="spellStart"/>
      <w:r w:rsidRPr="00D9331B">
        <w:t>Alencastro</w:t>
      </w:r>
      <w:proofErr w:type="spellEnd"/>
      <w:r w:rsidRPr="00C6630B">
        <w:rPr>
          <w:rStyle w:val="FootnoteReference"/>
          <w:sz w:val="20"/>
        </w:rPr>
        <w:footnoteReference w:id="22"/>
      </w:r>
      <w:r w:rsidRPr="00D9331B">
        <w:t>.</w:t>
      </w:r>
      <w:r>
        <w:t xml:space="preserve"> Asimismo</w:t>
      </w:r>
      <w:r w:rsidR="00CB43BC">
        <w:t>,</w:t>
      </w:r>
      <w:r w:rsidRPr="00D9331B">
        <w:t xml:space="preserve"> la Corte escuchó la declaración de la presunta víc</w:t>
      </w:r>
      <w:r>
        <w:t xml:space="preserve">tima, Gladys Escobar </w:t>
      </w:r>
      <w:proofErr w:type="spellStart"/>
      <w:r>
        <w:t>Candiotti</w:t>
      </w:r>
      <w:proofErr w:type="spellEnd"/>
      <w:r w:rsidR="003D30F6">
        <w:t>,</w:t>
      </w:r>
      <w:r w:rsidRPr="00B90C83">
        <w:t xml:space="preserve"> </w:t>
      </w:r>
      <w:r w:rsidRPr="00D9331B">
        <w:t>rendida en audiencia pública</w:t>
      </w:r>
      <w:r>
        <w:t>.</w:t>
      </w:r>
      <w:r w:rsidRPr="00D9331B">
        <w:t xml:space="preserve"> </w:t>
      </w:r>
      <w:r>
        <w:t>Este Tribunal</w:t>
      </w:r>
      <w:r w:rsidR="00D9331B" w:rsidRPr="00043075">
        <w:t xml:space="preserve"> estima pertinente admitir las declaraciones de las presuntas víctimas y el dictamen pericial, rendidos en la audiencia pública y ante fedatario público, en lo que se ajusten al objeto que fue definido por la Presidencia en la Resolución mediante la cual se ordenó recibirlos</w:t>
      </w:r>
      <w:r w:rsidR="001F42BD">
        <w:t xml:space="preserve"> y al objeto del presente caso.</w:t>
      </w:r>
    </w:p>
    <w:p w14:paraId="5894777F" w14:textId="77777777" w:rsidR="001F42BD" w:rsidRPr="001F42BD" w:rsidRDefault="001F42BD" w:rsidP="001F42BD">
      <w:pPr>
        <w:rPr>
          <w:lang w:val="es-CR" w:eastAsia="es-MX"/>
        </w:rPr>
      </w:pPr>
    </w:p>
    <w:p w14:paraId="735BF5D7" w14:textId="64952052" w:rsidR="001F42BD" w:rsidRDefault="00C5743E" w:rsidP="001F42BD">
      <w:pPr>
        <w:pStyle w:val="PrrafodeSentencia"/>
        <w:rPr>
          <w:b/>
        </w:rPr>
      </w:pPr>
      <w:r>
        <w:t>Respecto al peritaje de Juan Pablo Albán</w:t>
      </w:r>
      <w:r w:rsidR="00CB43BC">
        <w:t xml:space="preserve"> </w:t>
      </w:r>
      <w:proofErr w:type="spellStart"/>
      <w:r w:rsidR="00CB43BC" w:rsidRPr="00D9331B">
        <w:t>Alencastro</w:t>
      </w:r>
      <w:proofErr w:type="spellEnd"/>
      <w:r w:rsidR="003D30F6">
        <w:t>,</w:t>
      </w:r>
      <w:r w:rsidR="000D6AEB">
        <w:t xml:space="preserve"> el Estado indicó que </w:t>
      </w:r>
      <w:r w:rsidR="003D30F6">
        <w:t>é</w:t>
      </w:r>
      <w:r w:rsidR="000D6AEB">
        <w:t>ste no tomó en cuenta “(i) el objeto del peritaje ni las pregu</w:t>
      </w:r>
      <w:r w:rsidR="00975915">
        <w:t>ntas formuladas por el Estado peru</w:t>
      </w:r>
      <w:r w:rsidR="004B4490">
        <w:t xml:space="preserve">ano;(ii) que </w:t>
      </w:r>
      <w:r w:rsidR="004B4490">
        <w:lastRenderedPageBreak/>
        <w:t>existen referencias</w:t>
      </w:r>
      <w:r w:rsidR="00975915">
        <w:t xml:space="preserve"> a normas e instrumentos que no son vinculantes para el Estado peruano en la presente controversia</w:t>
      </w:r>
      <w:r w:rsidR="004B4490">
        <w:t>;</w:t>
      </w:r>
      <w:r w:rsidR="00975915">
        <w:t xml:space="preserve"> (iii) no queda claro el sustento normativo vinculante de los parámetros que propone el perito, [y] (iv) no hay un análisis debido de los presuntos hechos alegados por las partes”. </w:t>
      </w:r>
    </w:p>
    <w:p w14:paraId="2E133152" w14:textId="77777777" w:rsidR="00F373F2" w:rsidRDefault="00F373F2" w:rsidP="00F373F2">
      <w:pPr>
        <w:rPr>
          <w:lang w:val="es-CR" w:eastAsia="es-MX"/>
        </w:rPr>
      </w:pPr>
    </w:p>
    <w:p w14:paraId="6E27ED77" w14:textId="0681D31E" w:rsidR="00F373F2" w:rsidRDefault="00290AD3" w:rsidP="00F373F2">
      <w:pPr>
        <w:pStyle w:val="PrrafodeSentencia"/>
        <w:rPr>
          <w:szCs w:val="20"/>
        </w:rPr>
      </w:pPr>
      <w:r>
        <w:t xml:space="preserve">La Corte solo tomará en cuenta el peritaje en las partes que se </w:t>
      </w:r>
      <w:r w:rsidRPr="00043075">
        <w:t>ajusten al objeto</w:t>
      </w:r>
      <w:r>
        <w:t xml:space="preserve"> </w:t>
      </w:r>
      <w:r w:rsidR="00FE71AD">
        <w:t xml:space="preserve">establecido en la resolución de convocatoria de audiencia. </w:t>
      </w:r>
      <w:r w:rsidRPr="00290AD3">
        <w:rPr>
          <w:szCs w:val="20"/>
        </w:rPr>
        <w:t>Las demás observaciones del Estado versan sobre el contenido de</w:t>
      </w:r>
      <w:r w:rsidR="00FE71AD">
        <w:rPr>
          <w:szCs w:val="20"/>
        </w:rPr>
        <w:t>l mismo</w:t>
      </w:r>
      <w:r w:rsidRPr="00290AD3">
        <w:rPr>
          <w:szCs w:val="20"/>
        </w:rPr>
        <w:t xml:space="preserve"> y, por ende, pueden impactar en la valoración de su peso probatorio, pero </w:t>
      </w:r>
      <w:r w:rsidR="00730E98">
        <w:rPr>
          <w:szCs w:val="20"/>
        </w:rPr>
        <w:t>que no afectan su admisibilidad</w:t>
      </w:r>
      <w:r w:rsidRPr="00290AD3">
        <w:rPr>
          <w:rStyle w:val="FootnoteReference"/>
          <w:sz w:val="20"/>
          <w:szCs w:val="20"/>
        </w:rPr>
        <w:footnoteReference w:id="23"/>
      </w:r>
      <w:r w:rsidRPr="00290AD3">
        <w:rPr>
          <w:szCs w:val="20"/>
        </w:rPr>
        <w:t>.</w:t>
      </w:r>
    </w:p>
    <w:p w14:paraId="6BB7D46F" w14:textId="77777777" w:rsidR="00A2442A" w:rsidRDefault="00A2442A" w:rsidP="00A2442A">
      <w:pPr>
        <w:rPr>
          <w:lang w:val="es-CR" w:eastAsia="es-MX"/>
        </w:rPr>
      </w:pPr>
    </w:p>
    <w:p w14:paraId="29CAA7D1" w14:textId="77777777" w:rsidR="003D30F6" w:rsidRPr="00A2442A" w:rsidRDefault="003D30F6" w:rsidP="00A2442A">
      <w:pPr>
        <w:rPr>
          <w:lang w:val="es-CR" w:eastAsia="es-MX"/>
        </w:rPr>
      </w:pPr>
    </w:p>
    <w:p w14:paraId="4550632E" w14:textId="3F451A0C" w:rsidR="0000396E" w:rsidRPr="0000396E" w:rsidRDefault="0000396E" w:rsidP="00B5160D">
      <w:pPr>
        <w:pStyle w:val="Title"/>
        <w:tabs>
          <w:tab w:val="left" w:pos="567"/>
        </w:tabs>
      </w:pPr>
      <w:bookmarkStart w:id="189" w:name="_Toc526152694"/>
      <w:r w:rsidRPr="0000396E">
        <w:t>VI</w:t>
      </w:r>
      <w:r w:rsidR="001100EA">
        <w:t>I</w:t>
      </w:r>
      <w:r w:rsidR="00B5160D">
        <w:br/>
      </w:r>
      <w:r w:rsidRPr="0000396E">
        <w:t>HECHOS PROBADOS</w:t>
      </w:r>
      <w:bookmarkEnd w:id="189"/>
    </w:p>
    <w:p w14:paraId="735CA5FA" w14:textId="77777777" w:rsidR="00E53C75" w:rsidRDefault="00E53C75" w:rsidP="00EE5E64">
      <w:pPr>
        <w:tabs>
          <w:tab w:val="left" w:pos="567"/>
        </w:tabs>
        <w:rPr>
          <w:b/>
          <w:lang w:val="es-CR"/>
        </w:rPr>
      </w:pPr>
    </w:p>
    <w:p w14:paraId="44585F55" w14:textId="219C8044" w:rsidR="00E53C75" w:rsidRPr="001868AC" w:rsidRDefault="00E53C75" w:rsidP="001415AA">
      <w:pPr>
        <w:pStyle w:val="Heading2"/>
        <w:numPr>
          <w:ilvl w:val="0"/>
          <w:numId w:val="10"/>
        </w:numPr>
        <w:tabs>
          <w:tab w:val="left" w:pos="567"/>
        </w:tabs>
        <w:ind w:left="567" w:firstLine="0"/>
        <w:contextualSpacing/>
      </w:pPr>
      <w:bookmarkStart w:id="190" w:name="_Toc526152695"/>
      <w:r w:rsidRPr="001868AC">
        <w:t xml:space="preserve">Detención y desaparición de Walter </w:t>
      </w:r>
      <w:proofErr w:type="spellStart"/>
      <w:r w:rsidRPr="001868AC">
        <w:t>Munárriz</w:t>
      </w:r>
      <w:proofErr w:type="spellEnd"/>
      <w:r w:rsidRPr="001868AC">
        <w:t xml:space="preserve"> Escobar</w:t>
      </w:r>
      <w:bookmarkEnd w:id="190"/>
      <w:r w:rsidRPr="001868AC">
        <w:t xml:space="preserve"> </w:t>
      </w:r>
    </w:p>
    <w:p w14:paraId="0917DBEC" w14:textId="77777777" w:rsidR="00E53C75" w:rsidRPr="00E53C75" w:rsidRDefault="00E53C75" w:rsidP="00EE5E64">
      <w:pPr>
        <w:tabs>
          <w:tab w:val="left" w:pos="567"/>
        </w:tabs>
        <w:rPr>
          <w:lang w:val="es-ES_tradnl" w:eastAsia="es-MX"/>
        </w:rPr>
      </w:pPr>
    </w:p>
    <w:p w14:paraId="214C5242" w14:textId="792F0440" w:rsidR="00E53C75" w:rsidRDefault="00690161" w:rsidP="009F7500">
      <w:pPr>
        <w:pStyle w:val="PrrafodeSentencia"/>
      </w:pPr>
      <w:r w:rsidRPr="00E53C75">
        <w:t xml:space="preserve">Walter </w:t>
      </w:r>
      <w:proofErr w:type="spellStart"/>
      <w:r w:rsidRPr="00E53C75">
        <w:t>Munárriz</w:t>
      </w:r>
      <w:proofErr w:type="spellEnd"/>
      <w:r w:rsidRPr="00E53C75">
        <w:t xml:space="preserve"> </w:t>
      </w:r>
      <w:r w:rsidR="00833A54">
        <w:t xml:space="preserve">Escobar </w:t>
      </w:r>
      <w:r w:rsidRPr="00E53C75">
        <w:t>tenía 19 años de edad al inicio de su desaparición</w:t>
      </w:r>
      <w:r w:rsidRPr="001868AC">
        <w:rPr>
          <w:rStyle w:val="FootnoteReference"/>
          <w:sz w:val="20"/>
          <w:szCs w:val="20"/>
        </w:rPr>
        <w:footnoteReference w:id="24"/>
      </w:r>
      <w:r w:rsidRPr="00E53C75">
        <w:t xml:space="preserve">. Vivía en el distrito de </w:t>
      </w:r>
      <w:proofErr w:type="spellStart"/>
      <w:r w:rsidRPr="00E53C75">
        <w:t>Lircay</w:t>
      </w:r>
      <w:proofErr w:type="spellEnd"/>
      <w:r w:rsidR="005F2B69">
        <w:t>,</w:t>
      </w:r>
      <w:r w:rsidRPr="00E53C75">
        <w:t xml:space="preserve"> provincia de </w:t>
      </w:r>
      <w:proofErr w:type="spellStart"/>
      <w:r w:rsidRPr="00E53C75">
        <w:t>Angaraes</w:t>
      </w:r>
      <w:proofErr w:type="spellEnd"/>
      <w:r w:rsidRPr="00E53C75">
        <w:t>, departamento de Huancavelica</w:t>
      </w:r>
      <w:r w:rsidRPr="00AD152D">
        <w:rPr>
          <w:rStyle w:val="FootnoteReference"/>
          <w:sz w:val="20"/>
          <w:szCs w:val="20"/>
        </w:rPr>
        <w:footnoteReference w:id="25"/>
      </w:r>
      <w:r w:rsidRPr="00E53C75">
        <w:t xml:space="preserve"> con su madre, Gladys Justina Escobar </w:t>
      </w:r>
      <w:proofErr w:type="spellStart"/>
      <w:r w:rsidRPr="00E53C75">
        <w:t>Candiotti</w:t>
      </w:r>
      <w:proofErr w:type="spellEnd"/>
      <w:r w:rsidRPr="00E53C75">
        <w:t xml:space="preserve"> y sus cinco hermanos: Eric, Gladys, Amparo, Junior y </w:t>
      </w:r>
      <w:r w:rsidR="000D146B">
        <w:t>Alain</w:t>
      </w:r>
      <w:r w:rsidRPr="00E53C75">
        <w:t xml:space="preserve"> </w:t>
      </w:r>
      <w:proofErr w:type="spellStart"/>
      <w:r w:rsidRPr="00E53C75">
        <w:t>Munárriz</w:t>
      </w:r>
      <w:proofErr w:type="spellEnd"/>
      <w:r w:rsidRPr="00E53C75">
        <w:t xml:space="preserve"> Escobar</w:t>
      </w:r>
      <w:r w:rsidRPr="001868AC">
        <w:rPr>
          <w:rStyle w:val="FootnoteReference"/>
          <w:sz w:val="20"/>
          <w:szCs w:val="20"/>
        </w:rPr>
        <w:footnoteReference w:id="26"/>
      </w:r>
      <w:r w:rsidRPr="00E53C75">
        <w:t>. Era estudiante de segundo ciclo de la Facultad de Ingeniería de Minas en la Universidad de Huancavelica</w:t>
      </w:r>
      <w:r w:rsidR="004B4490">
        <w:t xml:space="preserve"> y trabajaba en una emisora de radio</w:t>
      </w:r>
      <w:r w:rsidRPr="001868AC">
        <w:rPr>
          <w:rStyle w:val="FootnoteReference"/>
          <w:sz w:val="20"/>
          <w:szCs w:val="20"/>
        </w:rPr>
        <w:footnoteReference w:id="27"/>
      </w:r>
      <w:r w:rsidRPr="00E53C75">
        <w:t xml:space="preserve">. </w:t>
      </w:r>
    </w:p>
    <w:p w14:paraId="7BCB476D" w14:textId="77777777" w:rsidR="00E53C75" w:rsidRPr="00E53C75" w:rsidRDefault="00E53C75" w:rsidP="00EE5E64">
      <w:pPr>
        <w:tabs>
          <w:tab w:val="left" w:pos="567"/>
        </w:tabs>
        <w:rPr>
          <w:lang w:val="es-CR" w:eastAsia="es-MX"/>
        </w:rPr>
      </w:pPr>
    </w:p>
    <w:p w14:paraId="450851AD" w14:textId="4EB8CE96" w:rsidR="00690161" w:rsidRPr="00E53C75" w:rsidRDefault="00690161" w:rsidP="009F7500">
      <w:pPr>
        <w:pStyle w:val="PrrafodeSentencia"/>
      </w:pPr>
      <w:r w:rsidRPr="00E53C75">
        <w:t>El 20 de marzo de 1999, aproximadamente a las 4:00 a.m.</w:t>
      </w:r>
      <w:r w:rsidRPr="001868AC">
        <w:rPr>
          <w:rStyle w:val="FootnoteReference"/>
          <w:sz w:val="20"/>
          <w:szCs w:val="20"/>
        </w:rPr>
        <w:footnoteReference w:id="28"/>
      </w:r>
      <w:r w:rsidRPr="00E53C75">
        <w:t xml:space="preserve">, Walter </w:t>
      </w:r>
      <w:proofErr w:type="spellStart"/>
      <w:r w:rsidRPr="00E53C75">
        <w:t>Munárriz</w:t>
      </w:r>
      <w:proofErr w:type="spellEnd"/>
      <w:r w:rsidRPr="00E53C75">
        <w:t xml:space="preserve"> Escobar se encontraba en estado de ebriedad</w:t>
      </w:r>
      <w:r w:rsidRPr="001868AC">
        <w:rPr>
          <w:rStyle w:val="FootnoteReference"/>
          <w:sz w:val="20"/>
          <w:szCs w:val="20"/>
        </w:rPr>
        <w:footnoteReference w:id="29"/>
      </w:r>
      <w:r w:rsidRPr="00E53C75">
        <w:t xml:space="preserve"> y se dirigió al Hospedaje “Los Manolos”, para visitar a </w:t>
      </w:r>
      <w:r w:rsidR="00EB7712">
        <w:t>un</w:t>
      </w:r>
      <w:r w:rsidRPr="00E53C75">
        <w:t xml:space="preserve"> inquilino del lugar. </w:t>
      </w:r>
      <w:r w:rsidR="00253BD2">
        <w:t>E</w:t>
      </w:r>
      <w:r w:rsidRPr="00E53C75">
        <w:t xml:space="preserve">ntró a </w:t>
      </w:r>
      <w:r w:rsidR="00253BD2">
        <w:t xml:space="preserve">una habitación de </w:t>
      </w:r>
      <w:r w:rsidR="003573EF">
        <w:t>unos huéspedes</w:t>
      </w:r>
      <w:r w:rsidR="00253BD2">
        <w:t xml:space="preserve"> e intentó entrar a otra habitación, </w:t>
      </w:r>
      <w:r w:rsidR="00253BD2">
        <w:lastRenderedPageBreak/>
        <w:t xml:space="preserve">donde </w:t>
      </w:r>
      <w:r w:rsidRPr="00E53C75">
        <w:t xml:space="preserve">se hospedaba la esposa del Alférez </w:t>
      </w:r>
      <w:r w:rsidR="00AA029F">
        <w:t>de la Policía Nacional del Perú</w:t>
      </w:r>
      <w:r w:rsidRPr="00862742">
        <w:rPr>
          <w:rStyle w:val="FootnoteReference"/>
          <w:sz w:val="20"/>
          <w:szCs w:val="20"/>
        </w:rPr>
        <w:footnoteReference w:id="30"/>
      </w:r>
      <w:r w:rsidRPr="00E53C75">
        <w:t>. La señora denunció lo sucedido ante la Policía Nacional</w:t>
      </w:r>
      <w:r w:rsidRPr="00862742">
        <w:rPr>
          <w:rStyle w:val="FootnoteReference"/>
          <w:sz w:val="20"/>
          <w:szCs w:val="20"/>
        </w:rPr>
        <w:footnoteReference w:id="31"/>
      </w:r>
      <w:r w:rsidRPr="00E53C75">
        <w:t>. Seguidament</w:t>
      </w:r>
      <w:r w:rsidR="00AA029F">
        <w:t xml:space="preserve">e, un suboficial de la Policía </w:t>
      </w:r>
      <w:r w:rsidRPr="00E53C75">
        <w:t xml:space="preserve">se presentó al hospedaje, y encontró al señor </w:t>
      </w:r>
      <w:proofErr w:type="spellStart"/>
      <w:r w:rsidRPr="00E53C75">
        <w:t>Munárriz</w:t>
      </w:r>
      <w:proofErr w:type="spellEnd"/>
      <w:r w:rsidRPr="00E53C75">
        <w:t xml:space="preserve"> Escobar a las afueras del inmueble retenido por dos inquilinos del hospedaje</w:t>
      </w:r>
      <w:r w:rsidRPr="00862742">
        <w:rPr>
          <w:rStyle w:val="FootnoteReference"/>
          <w:sz w:val="20"/>
          <w:szCs w:val="20"/>
        </w:rPr>
        <w:footnoteReference w:id="32"/>
      </w:r>
      <w:r w:rsidRPr="00E53C75">
        <w:t>.</w:t>
      </w:r>
    </w:p>
    <w:p w14:paraId="6B322453" w14:textId="77777777" w:rsidR="00690161" w:rsidRDefault="00690161" w:rsidP="00EE5E64">
      <w:pPr>
        <w:pStyle w:val="ListParagraph"/>
        <w:tabs>
          <w:tab w:val="left" w:pos="567"/>
        </w:tabs>
        <w:rPr>
          <w:szCs w:val="20"/>
          <w:lang w:val="es-CR"/>
        </w:rPr>
      </w:pPr>
    </w:p>
    <w:p w14:paraId="7DA8731E" w14:textId="15AE2616" w:rsidR="00690161" w:rsidRDefault="00690161" w:rsidP="009F7500">
      <w:pPr>
        <w:pStyle w:val="PrrafodeSentencia"/>
      </w:pPr>
      <w:r>
        <w:t xml:space="preserve">El </w:t>
      </w:r>
      <w:r w:rsidRPr="001868AC">
        <w:t xml:space="preserve">señor </w:t>
      </w:r>
      <w:proofErr w:type="spellStart"/>
      <w:r w:rsidRPr="001868AC">
        <w:t>Munárriz</w:t>
      </w:r>
      <w:proofErr w:type="spellEnd"/>
      <w:r w:rsidRPr="001868AC">
        <w:t xml:space="preserve"> Escobar fue </w:t>
      </w:r>
      <w:r>
        <w:t xml:space="preserve">trasladado a la </w:t>
      </w:r>
      <w:r w:rsidRPr="001868AC">
        <w:t xml:space="preserve">Comisaría de </w:t>
      </w:r>
      <w:proofErr w:type="spellStart"/>
      <w:r w:rsidRPr="001868AC">
        <w:t>Lircay</w:t>
      </w:r>
      <w:proofErr w:type="spellEnd"/>
      <w:r>
        <w:t xml:space="preserve"> sin que se registrara su detención</w:t>
      </w:r>
      <w:r w:rsidRPr="00862742">
        <w:rPr>
          <w:rStyle w:val="FootnoteReference"/>
          <w:sz w:val="20"/>
          <w:szCs w:val="20"/>
        </w:rPr>
        <w:footnoteReference w:id="33"/>
      </w:r>
      <w:r>
        <w:t>.</w:t>
      </w:r>
      <w:r w:rsidRPr="00755892">
        <w:t xml:space="preserve"> </w:t>
      </w:r>
      <w:r>
        <w:t>E</w:t>
      </w:r>
      <w:r w:rsidRPr="00755892">
        <w:t xml:space="preserve">l Estado reconoció que </w:t>
      </w:r>
      <w:r>
        <w:t xml:space="preserve">la documentación de la detención </w:t>
      </w:r>
      <w:r w:rsidRPr="00755892">
        <w:t xml:space="preserve">no se emitió </w:t>
      </w:r>
      <w:r>
        <w:t xml:space="preserve">al momento de </w:t>
      </w:r>
      <w:r w:rsidR="003D30F6">
        <w:t xml:space="preserve">ser privado de su libertad, </w:t>
      </w:r>
      <w:r>
        <w:t xml:space="preserve">sino con posterioridad. </w:t>
      </w:r>
    </w:p>
    <w:p w14:paraId="4255468D" w14:textId="77777777" w:rsidR="00690161" w:rsidRDefault="00690161" w:rsidP="00EE5E64">
      <w:pPr>
        <w:pStyle w:val="ListParagraph"/>
        <w:tabs>
          <w:tab w:val="left" w:pos="567"/>
        </w:tabs>
        <w:rPr>
          <w:szCs w:val="20"/>
          <w:lang w:val="es-CR"/>
        </w:rPr>
      </w:pPr>
    </w:p>
    <w:p w14:paraId="5C80646A" w14:textId="269FE8E2" w:rsidR="00690161" w:rsidRPr="00E53C75" w:rsidRDefault="00690161" w:rsidP="009F7500">
      <w:pPr>
        <w:pStyle w:val="PrrafodeSentencia"/>
      </w:pPr>
      <w:r w:rsidRPr="00E53C75">
        <w:t>La dueña del Hospedaje “Los Manolos”</w:t>
      </w:r>
      <w:r w:rsidRPr="003573EF">
        <w:t xml:space="preserve"> </w:t>
      </w:r>
      <w:r w:rsidRPr="00E53C75">
        <w:t>se apersonó junto con su hermano en la Comisaría</w:t>
      </w:r>
      <w:r w:rsidRPr="00987121">
        <w:rPr>
          <w:rStyle w:val="FootnoteReference"/>
          <w:sz w:val="20"/>
          <w:szCs w:val="20"/>
        </w:rPr>
        <w:footnoteReference w:id="34"/>
      </w:r>
      <w:r w:rsidRPr="00987121">
        <w:t xml:space="preserve">. Al darse cuenta de que se trataba de Walter </w:t>
      </w:r>
      <w:proofErr w:type="spellStart"/>
      <w:r w:rsidRPr="00987121">
        <w:t>Munárriz</w:t>
      </w:r>
      <w:proofErr w:type="spellEnd"/>
      <w:r w:rsidRPr="00987121">
        <w:t xml:space="preserve"> Escobar, a quien conocía </w:t>
      </w:r>
      <w:r w:rsidR="00402DCB" w:rsidRPr="00987121">
        <w:t>como un “muchacho sano”</w:t>
      </w:r>
      <w:r w:rsidRPr="00987121">
        <w:t>, indicó que no formularía denuncia en su contra</w:t>
      </w:r>
      <w:r w:rsidRPr="00987121">
        <w:rPr>
          <w:rStyle w:val="FootnoteReference"/>
          <w:sz w:val="20"/>
          <w:szCs w:val="20"/>
        </w:rPr>
        <w:footnoteReference w:id="35"/>
      </w:r>
      <w:r w:rsidRPr="00987121">
        <w:t>. A solicitud del oficial a cargo, la dueña del hospedaje</w:t>
      </w:r>
      <w:r w:rsidRPr="00E53C75">
        <w:t xml:space="preserve"> ofreció al señor </w:t>
      </w:r>
      <w:proofErr w:type="spellStart"/>
      <w:r w:rsidRPr="00E53C75">
        <w:t>Munárriz</w:t>
      </w:r>
      <w:proofErr w:type="spellEnd"/>
      <w:r w:rsidRPr="00E53C75">
        <w:t xml:space="preserve"> Escobar llevarlo a su casa, sin embargo este se negó</w:t>
      </w:r>
      <w:r w:rsidRPr="00E53C75">
        <w:rPr>
          <w:rStyle w:val="FootnoteReference"/>
          <w:sz w:val="20"/>
          <w:szCs w:val="20"/>
        </w:rPr>
        <w:footnoteReference w:id="36"/>
      </w:r>
      <w:r w:rsidRPr="00E53C75">
        <w:t xml:space="preserve">. Al retirarse la dueña del hospedaje, aproximadamente a las 4:30 a.m. del mismo 20 de marzo de 1999, Walter </w:t>
      </w:r>
      <w:proofErr w:type="spellStart"/>
      <w:r w:rsidRPr="00E53C75">
        <w:t>Munárriz</w:t>
      </w:r>
      <w:proofErr w:type="spellEnd"/>
      <w:r w:rsidRPr="00E53C75">
        <w:t xml:space="preserve"> </w:t>
      </w:r>
      <w:r w:rsidR="0004233D">
        <w:t xml:space="preserve">Escobar </w:t>
      </w:r>
      <w:r w:rsidRPr="00E53C75">
        <w:t>permanecía en la dependencia policial y no tenía “evidencias de haber sido golpeado o agredido”</w:t>
      </w:r>
      <w:r w:rsidRPr="00E53C75">
        <w:rPr>
          <w:rStyle w:val="FootnoteReference"/>
          <w:sz w:val="20"/>
          <w:szCs w:val="20"/>
        </w:rPr>
        <w:footnoteReference w:id="37"/>
      </w:r>
      <w:r w:rsidRPr="00E53C75">
        <w:t>.</w:t>
      </w:r>
    </w:p>
    <w:p w14:paraId="44992481" w14:textId="77777777" w:rsidR="00690161" w:rsidRPr="00E53C75" w:rsidRDefault="00690161" w:rsidP="00B5160D">
      <w:pPr>
        <w:pStyle w:val="Title"/>
        <w:tabs>
          <w:tab w:val="left" w:pos="567"/>
        </w:tabs>
        <w:jc w:val="left"/>
        <w:outlineLvl w:val="9"/>
      </w:pPr>
    </w:p>
    <w:p w14:paraId="5F035B64" w14:textId="20A1A0AC" w:rsidR="00380422" w:rsidRPr="00F24F69" w:rsidRDefault="00690161" w:rsidP="00380422">
      <w:pPr>
        <w:pStyle w:val="PrrafodeSentencia"/>
      </w:pPr>
      <w:r w:rsidRPr="00E53C75">
        <w:t xml:space="preserve">La Corte advierte que existe controversia sobre lo ocurrido al señor </w:t>
      </w:r>
      <w:proofErr w:type="spellStart"/>
      <w:r w:rsidRPr="00E53C75">
        <w:t>Munárriz</w:t>
      </w:r>
      <w:proofErr w:type="spellEnd"/>
      <w:r w:rsidRPr="00E53C75">
        <w:t xml:space="preserve"> Escobar después de que la dueña del hospedaje se retir</w:t>
      </w:r>
      <w:r w:rsidR="005F2B69">
        <w:t>ó</w:t>
      </w:r>
      <w:r w:rsidRPr="00E53C75">
        <w:t xml:space="preserve"> de la </w:t>
      </w:r>
      <w:r w:rsidRPr="00F24F69">
        <w:t xml:space="preserve">Comisaría. </w:t>
      </w:r>
      <w:r w:rsidR="00380422" w:rsidRPr="00F24F69">
        <w:t xml:space="preserve">Por un lado </w:t>
      </w:r>
      <w:r w:rsidR="00E77188" w:rsidRPr="00F24F69">
        <w:t xml:space="preserve">el Estado alegó que </w:t>
      </w:r>
      <w:r w:rsidR="00380422" w:rsidRPr="00F24F69">
        <w:t xml:space="preserve">Walter </w:t>
      </w:r>
      <w:proofErr w:type="spellStart"/>
      <w:r w:rsidR="00380422" w:rsidRPr="00F24F69">
        <w:t>Munárriz</w:t>
      </w:r>
      <w:proofErr w:type="spellEnd"/>
      <w:r w:rsidR="00380422" w:rsidRPr="00F24F69">
        <w:t xml:space="preserve"> Escobar</w:t>
      </w:r>
      <w:r w:rsidR="00E77188" w:rsidRPr="00F24F69">
        <w:t xml:space="preserve"> fue liberado esa madrugada, por lo que su desaparición no habría ocurrido mientras se encontraba bajo su custodia. Por otro lado, los representantes y la Comisión alegaron</w:t>
      </w:r>
      <w:r w:rsidR="00380422" w:rsidRPr="00F24F69">
        <w:t xml:space="preserve"> </w:t>
      </w:r>
      <w:r w:rsidR="00E77188" w:rsidRPr="00F24F69">
        <w:t xml:space="preserve">que Walter </w:t>
      </w:r>
      <w:proofErr w:type="spellStart"/>
      <w:r w:rsidR="00E77188" w:rsidRPr="00F24F69">
        <w:t>Munárriz</w:t>
      </w:r>
      <w:proofErr w:type="spellEnd"/>
      <w:r w:rsidR="00E77188" w:rsidRPr="00F24F69">
        <w:t xml:space="preserve"> Escobar no fue liberado y habría sido víctima de una desaparición forzada. </w:t>
      </w:r>
      <w:r w:rsidR="00380422" w:rsidRPr="00F24F69">
        <w:t>La Corte resolverá dicha controversia en el capítulo de fondo respectivo de esta Sentencia (</w:t>
      </w:r>
      <w:r w:rsidR="00380422" w:rsidRPr="00F24F69">
        <w:rPr>
          <w:i/>
        </w:rPr>
        <w:t>infra</w:t>
      </w:r>
      <w:r w:rsidR="00380422" w:rsidRPr="00F24F69">
        <w:t xml:space="preserve"> Capítulo VIII.1).</w:t>
      </w:r>
    </w:p>
    <w:p w14:paraId="02785C58" w14:textId="77777777" w:rsidR="00690161" w:rsidRDefault="00690161" w:rsidP="00111CC9">
      <w:pPr>
        <w:pStyle w:val="ListParagraph"/>
        <w:tabs>
          <w:tab w:val="left" w:pos="567"/>
        </w:tabs>
        <w:rPr>
          <w:szCs w:val="20"/>
          <w:lang w:val="es-CR"/>
        </w:rPr>
      </w:pPr>
    </w:p>
    <w:p w14:paraId="5E94C0BC" w14:textId="77777777" w:rsidR="003D30F6" w:rsidRPr="00E53C75" w:rsidRDefault="003D30F6" w:rsidP="00111CC9">
      <w:pPr>
        <w:pStyle w:val="ListParagraph"/>
        <w:tabs>
          <w:tab w:val="left" w:pos="567"/>
        </w:tabs>
        <w:rPr>
          <w:szCs w:val="20"/>
          <w:lang w:val="es-CR"/>
        </w:rPr>
      </w:pPr>
    </w:p>
    <w:p w14:paraId="5E7B5BE2" w14:textId="072F255B" w:rsidR="00690161" w:rsidRPr="00E53C75" w:rsidRDefault="00690161" w:rsidP="001415AA">
      <w:pPr>
        <w:pStyle w:val="Heading2"/>
        <w:numPr>
          <w:ilvl w:val="0"/>
          <w:numId w:val="10"/>
        </w:numPr>
        <w:ind w:left="993" w:hanging="426"/>
        <w:contextualSpacing/>
        <w:jc w:val="both"/>
        <w:rPr>
          <w:lang w:val="es-CR"/>
        </w:rPr>
      </w:pPr>
      <w:bookmarkStart w:id="191" w:name="_Toc526152696"/>
      <w:r w:rsidRPr="00E53C75">
        <w:lastRenderedPageBreak/>
        <w:t xml:space="preserve">Diligencias y gestiones iniciadas </w:t>
      </w:r>
      <w:r w:rsidR="00100230">
        <w:t>por la desaparición de</w:t>
      </w:r>
      <w:r w:rsidRPr="00E53C75">
        <w:t xml:space="preserve"> Walter </w:t>
      </w:r>
      <w:proofErr w:type="spellStart"/>
      <w:r w:rsidRPr="00E53C75">
        <w:t>Munárriz</w:t>
      </w:r>
      <w:proofErr w:type="spellEnd"/>
      <w:r w:rsidRPr="00E53C75">
        <w:t xml:space="preserve"> Escobar</w:t>
      </w:r>
      <w:bookmarkEnd w:id="191"/>
    </w:p>
    <w:p w14:paraId="3D80C49F" w14:textId="77777777" w:rsidR="00690161" w:rsidRPr="00E53C75" w:rsidRDefault="00690161" w:rsidP="00111CC9">
      <w:pPr>
        <w:pStyle w:val="ListParagraph"/>
        <w:tabs>
          <w:tab w:val="left" w:pos="567"/>
        </w:tabs>
        <w:rPr>
          <w:szCs w:val="20"/>
          <w:lang w:val="es-CR"/>
        </w:rPr>
      </w:pPr>
    </w:p>
    <w:p w14:paraId="1003D83D" w14:textId="3F9ECC1F" w:rsidR="00690161" w:rsidRPr="0068327B" w:rsidRDefault="00353A35" w:rsidP="00AF2328">
      <w:pPr>
        <w:pStyle w:val="Heading3"/>
        <w:tabs>
          <w:tab w:val="clear" w:pos="426"/>
          <w:tab w:val="left" w:pos="567"/>
        </w:tabs>
        <w:spacing w:after="0" w:line="240" w:lineRule="auto"/>
        <w:ind w:left="993"/>
      </w:pPr>
      <w:bookmarkStart w:id="192" w:name="_Toc526152697"/>
      <w:r>
        <w:t>B</w:t>
      </w:r>
      <w:r w:rsidR="00690161" w:rsidRPr="0068327B">
        <w:t>.1 Gestiones realizadas a instancia de los familiares y amigos</w:t>
      </w:r>
      <w:bookmarkEnd w:id="192"/>
    </w:p>
    <w:p w14:paraId="7E8B52C8" w14:textId="77777777" w:rsidR="00690161" w:rsidRPr="0068327B" w:rsidRDefault="00690161" w:rsidP="00111CC9">
      <w:pPr>
        <w:pStyle w:val="ListParagraph"/>
        <w:tabs>
          <w:tab w:val="left" w:pos="567"/>
        </w:tabs>
        <w:ind w:left="0"/>
        <w:jc w:val="both"/>
        <w:rPr>
          <w:szCs w:val="20"/>
          <w:lang w:val="es-ES_tradnl" w:eastAsia="es-ES"/>
        </w:rPr>
      </w:pPr>
    </w:p>
    <w:p w14:paraId="588B4138" w14:textId="0CE08E9A" w:rsidR="00483A77" w:rsidRPr="0068327B" w:rsidRDefault="00AA029F" w:rsidP="009F7500">
      <w:pPr>
        <w:pStyle w:val="PrrafodeSentencia"/>
      </w:pPr>
      <w:bookmarkStart w:id="193" w:name="_Ref524604044"/>
      <w:r w:rsidRPr="0068327B">
        <w:rPr>
          <w:lang w:val="es-ES_tradnl"/>
        </w:rPr>
        <w:t>L</w:t>
      </w:r>
      <w:r w:rsidR="00FA74CD" w:rsidRPr="0068327B">
        <w:t xml:space="preserve">a señora Gladys Escobar </w:t>
      </w:r>
      <w:proofErr w:type="spellStart"/>
      <w:r w:rsidR="00FA74CD" w:rsidRPr="0068327B">
        <w:t>Candiotti</w:t>
      </w:r>
      <w:proofErr w:type="spellEnd"/>
      <w:r w:rsidR="00FA74CD" w:rsidRPr="0068327B">
        <w:t xml:space="preserve">, </w:t>
      </w:r>
      <w:r w:rsidR="00690161" w:rsidRPr="0068327B">
        <w:t xml:space="preserve">madre de Walter </w:t>
      </w:r>
      <w:proofErr w:type="spellStart"/>
      <w:r w:rsidR="00690161" w:rsidRPr="0068327B">
        <w:t>Munárriz</w:t>
      </w:r>
      <w:proofErr w:type="spellEnd"/>
      <w:r w:rsidR="00690161" w:rsidRPr="0068327B">
        <w:t xml:space="preserve"> Escobar, </w:t>
      </w:r>
      <w:r w:rsidR="00FA74CD" w:rsidRPr="0068327B">
        <w:t>acudió</w:t>
      </w:r>
      <w:r w:rsidR="00690161" w:rsidRPr="0068327B">
        <w:t xml:space="preserve"> </w:t>
      </w:r>
      <w:r w:rsidR="00483A77" w:rsidRPr="0068327B">
        <w:t xml:space="preserve">a la comisaría de </w:t>
      </w:r>
      <w:proofErr w:type="spellStart"/>
      <w:r w:rsidR="00483A77" w:rsidRPr="0068327B">
        <w:t>Lircay</w:t>
      </w:r>
      <w:proofErr w:type="spellEnd"/>
      <w:r w:rsidR="00483A77" w:rsidRPr="0068327B">
        <w:t xml:space="preserve"> donde le dijeron que lo habían soltado a las cinco de la mañana</w:t>
      </w:r>
      <w:r w:rsidRPr="0068327B">
        <w:t xml:space="preserve"> del 20 de marzo</w:t>
      </w:r>
      <w:r w:rsidR="00483A77" w:rsidRPr="0068327B">
        <w:rPr>
          <w:rStyle w:val="FootnoteReference"/>
          <w:sz w:val="20"/>
          <w:szCs w:val="20"/>
        </w:rPr>
        <w:footnoteReference w:id="38"/>
      </w:r>
      <w:r w:rsidR="00FA7A40" w:rsidRPr="0068327B">
        <w:t>.</w:t>
      </w:r>
      <w:r w:rsidR="00757CA9" w:rsidRPr="0068327B">
        <w:t xml:space="preserve"> </w:t>
      </w:r>
      <w:r w:rsidR="00690161" w:rsidRPr="0068327B">
        <w:t xml:space="preserve">El </w:t>
      </w:r>
      <w:r w:rsidR="00FA7A40" w:rsidRPr="0068327B">
        <w:t>22</w:t>
      </w:r>
      <w:r w:rsidR="00690161" w:rsidRPr="0068327B">
        <w:t xml:space="preserve"> de marzo la señora Escobar </w:t>
      </w:r>
      <w:proofErr w:type="spellStart"/>
      <w:r w:rsidR="00690161" w:rsidRPr="0068327B">
        <w:t>Candiotti</w:t>
      </w:r>
      <w:proofErr w:type="spellEnd"/>
      <w:r w:rsidR="00690161" w:rsidRPr="0068327B">
        <w:t xml:space="preserve"> presentó la denuncia por la desaparición de su hijo en la Comisaría de </w:t>
      </w:r>
      <w:proofErr w:type="spellStart"/>
      <w:r w:rsidR="00690161" w:rsidRPr="0068327B">
        <w:t>Lircay</w:t>
      </w:r>
      <w:proofErr w:type="spellEnd"/>
      <w:r w:rsidR="00690161" w:rsidRPr="0068327B">
        <w:rPr>
          <w:rStyle w:val="FootnoteReference"/>
          <w:sz w:val="20"/>
          <w:szCs w:val="20"/>
        </w:rPr>
        <w:footnoteReference w:id="39"/>
      </w:r>
      <w:r w:rsidR="00690161" w:rsidRPr="0068327B">
        <w:t>.</w:t>
      </w:r>
      <w:bookmarkEnd w:id="193"/>
      <w:r w:rsidR="00690161" w:rsidRPr="0068327B">
        <w:t xml:space="preserve"> </w:t>
      </w:r>
    </w:p>
    <w:p w14:paraId="6BC871F4" w14:textId="77777777" w:rsidR="00483A77" w:rsidRPr="0068327B" w:rsidRDefault="00483A77" w:rsidP="009F7500">
      <w:pPr>
        <w:pStyle w:val="PrrafodeSentencia"/>
        <w:numPr>
          <w:ilvl w:val="0"/>
          <w:numId w:val="0"/>
        </w:numPr>
      </w:pPr>
    </w:p>
    <w:p w14:paraId="76FB4A4C" w14:textId="42C3A449" w:rsidR="00690161" w:rsidRPr="00E53C75" w:rsidRDefault="00690161" w:rsidP="009F7500">
      <w:pPr>
        <w:pStyle w:val="PrrafodeSentencia"/>
        <w:rPr>
          <w:lang w:val="es-ES_tradnl"/>
        </w:rPr>
      </w:pPr>
      <w:bookmarkStart w:id="194" w:name="_Ref524530943"/>
      <w:r w:rsidRPr="0068327B">
        <w:rPr>
          <w:rFonts w:cs="Cambria"/>
        </w:rPr>
        <w:t xml:space="preserve">El 23 de marzo denunció la desaparición ante </w:t>
      </w:r>
      <w:r w:rsidRPr="0068327B">
        <w:t xml:space="preserve">la Fiscalía Provincial de </w:t>
      </w:r>
      <w:proofErr w:type="spellStart"/>
      <w:r w:rsidRPr="0068327B">
        <w:t>Lircay</w:t>
      </w:r>
      <w:proofErr w:type="spellEnd"/>
      <w:r w:rsidRPr="0068327B">
        <w:t>, señalando como</w:t>
      </w:r>
      <w:r w:rsidRPr="00E53C75">
        <w:t xml:space="preserve"> responsables al personal que se encontraba de turno en </w:t>
      </w:r>
      <w:r w:rsidRPr="00E53C75">
        <w:rPr>
          <w:rFonts w:cs="Cambria"/>
        </w:rPr>
        <w:t>la Comisaría</w:t>
      </w:r>
      <w:r w:rsidRPr="00E53C75">
        <w:t xml:space="preserve"> </w:t>
      </w:r>
      <w:proofErr w:type="spellStart"/>
      <w:r w:rsidRPr="00E53C75">
        <w:t>Lircay</w:t>
      </w:r>
      <w:proofErr w:type="spellEnd"/>
      <w:r w:rsidRPr="00E53C75">
        <w:rPr>
          <w:rStyle w:val="FootnoteReference"/>
          <w:sz w:val="20"/>
          <w:szCs w:val="20"/>
          <w:lang w:eastAsia="es-ES"/>
        </w:rPr>
        <w:footnoteReference w:id="40"/>
      </w:r>
      <w:r w:rsidRPr="00E53C75">
        <w:t>. El 24 de marzo el capitán de la policía solicitó a la fiscal</w:t>
      </w:r>
      <w:r w:rsidR="00981EF0">
        <w:t>ía</w:t>
      </w:r>
      <w:r w:rsidRPr="00E53C75">
        <w:t xml:space="preserve"> investigar lo sucedido</w:t>
      </w:r>
      <w:r w:rsidRPr="00E53C75">
        <w:rPr>
          <w:rStyle w:val="FootnoteReference"/>
          <w:sz w:val="20"/>
          <w:szCs w:val="20"/>
          <w:lang w:eastAsia="es-ES"/>
        </w:rPr>
        <w:footnoteReference w:id="41"/>
      </w:r>
      <w:r w:rsidRPr="00E53C75">
        <w:t xml:space="preserve">. Asimismo, se presentaron denuncias ante la Defensoría del Pueblo de Huancavelica sobre la desaparición de </w:t>
      </w:r>
      <w:r w:rsidR="00736973">
        <w:t xml:space="preserve">Walter </w:t>
      </w:r>
      <w:proofErr w:type="spellStart"/>
      <w:r w:rsidR="00736973">
        <w:t>Munárriz</w:t>
      </w:r>
      <w:proofErr w:type="spellEnd"/>
      <w:r w:rsidR="00736973">
        <w:t xml:space="preserve"> Escobar</w:t>
      </w:r>
      <w:r w:rsidRPr="00E53C75">
        <w:rPr>
          <w:rStyle w:val="FootnoteReference"/>
          <w:sz w:val="20"/>
          <w:szCs w:val="20"/>
          <w:lang w:eastAsia="es-ES"/>
        </w:rPr>
        <w:footnoteReference w:id="42"/>
      </w:r>
      <w:r w:rsidRPr="00E53C75">
        <w:t>.</w:t>
      </w:r>
      <w:bookmarkEnd w:id="194"/>
    </w:p>
    <w:p w14:paraId="215E3D46" w14:textId="77777777" w:rsidR="00690161" w:rsidRPr="00E53C75" w:rsidRDefault="00690161" w:rsidP="00EE5E64">
      <w:pPr>
        <w:tabs>
          <w:tab w:val="left" w:pos="567"/>
        </w:tabs>
        <w:rPr>
          <w:szCs w:val="20"/>
          <w:lang w:val="es-CR" w:eastAsia="es-ES"/>
        </w:rPr>
      </w:pPr>
    </w:p>
    <w:p w14:paraId="76DEB582" w14:textId="19DF8CF0" w:rsidR="00E53C75" w:rsidRDefault="00690161" w:rsidP="009F7500">
      <w:pPr>
        <w:pStyle w:val="PrrafodeSentencia"/>
      </w:pPr>
      <w:r w:rsidRPr="00E53C75">
        <w:t xml:space="preserve">En abril de 1999 la señora Escobar </w:t>
      </w:r>
      <w:proofErr w:type="spellStart"/>
      <w:r w:rsidRPr="00E53C75">
        <w:t>Candiotti</w:t>
      </w:r>
      <w:proofErr w:type="spellEnd"/>
      <w:r w:rsidRPr="00E53C75">
        <w:t xml:space="preserve"> solicitó apoyo en la investigación al Defensor del Pueblo</w:t>
      </w:r>
      <w:r w:rsidRPr="00E53C75">
        <w:rPr>
          <w:rStyle w:val="FootnoteReference"/>
          <w:sz w:val="20"/>
          <w:szCs w:val="20"/>
          <w:lang w:val="es-ES_tradnl" w:eastAsia="es-ES"/>
        </w:rPr>
        <w:footnoteReference w:id="43"/>
      </w:r>
      <w:r w:rsidRPr="00E53C75">
        <w:t xml:space="preserve"> y al Ministro del Interior</w:t>
      </w:r>
      <w:r w:rsidRPr="00E53C75">
        <w:rPr>
          <w:rStyle w:val="FootnoteReference"/>
          <w:sz w:val="20"/>
          <w:szCs w:val="20"/>
          <w:lang w:val="es-ES_tradnl" w:eastAsia="es-ES"/>
        </w:rPr>
        <w:footnoteReference w:id="44"/>
      </w:r>
      <w:r w:rsidR="001D47C6">
        <w:t xml:space="preserve">. Asimismo, el Alcalde de la </w:t>
      </w:r>
      <w:r w:rsidRPr="00E53C75">
        <w:t xml:space="preserve">Provincia de </w:t>
      </w:r>
      <w:proofErr w:type="spellStart"/>
      <w:r w:rsidRPr="00E53C75">
        <w:t>Angaraes</w:t>
      </w:r>
      <w:proofErr w:type="spellEnd"/>
      <w:r w:rsidRPr="00E53C75">
        <w:t xml:space="preserve"> envió un oficio al Presidente de la Comisión de los Derechos Humanos del Congreso de la República con la misma solicitud</w:t>
      </w:r>
      <w:r w:rsidRPr="00E53C75">
        <w:rPr>
          <w:rStyle w:val="FootnoteReference"/>
          <w:sz w:val="20"/>
          <w:szCs w:val="20"/>
          <w:lang w:val="es-ES_tradnl" w:eastAsia="es-ES"/>
        </w:rPr>
        <w:footnoteReference w:id="45"/>
      </w:r>
      <w:r w:rsidRPr="00E53C75">
        <w:t>.</w:t>
      </w:r>
    </w:p>
    <w:p w14:paraId="03BA4BF2" w14:textId="77777777" w:rsidR="00E53C75" w:rsidRPr="00111CC9" w:rsidRDefault="00E53C75" w:rsidP="00111CC9">
      <w:pPr>
        <w:pStyle w:val="Footer"/>
        <w:tabs>
          <w:tab w:val="clear" w:pos="4320"/>
          <w:tab w:val="clear" w:pos="8640"/>
          <w:tab w:val="left" w:pos="567"/>
        </w:tabs>
        <w:rPr>
          <w:szCs w:val="20"/>
          <w:lang w:val="es-ES_tradnl" w:eastAsia="es-ES"/>
        </w:rPr>
      </w:pPr>
    </w:p>
    <w:p w14:paraId="1D003B43" w14:textId="57161CEA" w:rsidR="00E53C75" w:rsidRPr="000B0480" w:rsidRDefault="008F7660" w:rsidP="00AF2328">
      <w:pPr>
        <w:pStyle w:val="Heading3"/>
        <w:tabs>
          <w:tab w:val="clear" w:pos="426"/>
          <w:tab w:val="left" w:pos="567"/>
        </w:tabs>
        <w:spacing w:after="0" w:line="240" w:lineRule="auto"/>
        <w:ind w:left="993"/>
      </w:pPr>
      <w:bookmarkStart w:id="195" w:name="_Toc526152698"/>
      <w:r>
        <w:t>B</w:t>
      </w:r>
      <w:r w:rsidR="00E53C75" w:rsidRPr="00E53C75">
        <w:t>.2 Investigación Penal</w:t>
      </w:r>
      <w:bookmarkEnd w:id="195"/>
    </w:p>
    <w:p w14:paraId="06DA6751" w14:textId="77777777" w:rsidR="00E53C75" w:rsidRPr="000B0480" w:rsidRDefault="00E53C75" w:rsidP="00111CC9">
      <w:pPr>
        <w:tabs>
          <w:tab w:val="left" w:pos="567"/>
        </w:tabs>
        <w:rPr>
          <w:szCs w:val="20"/>
          <w:lang w:val="es-ES_tradnl" w:eastAsia="es-ES"/>
        </w:rPr>
      </w:pPr>
    </w:p>
    <w:p w14:paraId="5CE72988" w14:textId="0EC2346B" w:rsidR="000B0480" w:rsidRDefault="000B0480" w:rsidP="009F7500">
      <w:pPr>
        <w:pStyle w:val="PrrafodeSentencia"/>
      </w:pPr>
      <w:r w:rsidRPr="000B0480">
        <w:rPr>
          <w:rFonts w:cs="Cambria"/>
        </w:rPr>
        <w:t xml:space="preserve">El 22 de </w:t>
      </w:r>
      <w:r w:rsidRPr="00082963">
        <w:rPr>
          <w:rFonts w:cs="Cambria"/>
        </w:rPr>
        <w:t xml:space="preserve">marzo de 1999 </w:t>
      </w:r>
      <w:r w:rsidRPr="00082963">
        <w:rPr>
          <w:lang w:eastAsia="es-CR"/>
        </w:rPr>
        <w:t xml:space="preserve">la </w:t>
      </w:r>
      <w:r w:rsidR="00DA6526">
        <w:rPr>
          <w:lang w:eastAsia="es-CR"/>
        </w:rPr>
        <w:t xml:space="preserve">Policía, en presencia de la fiscal, recibió manifestaciones </w:t>
      </w:r>
      <w:r w:rsidRPr="00082963">
        <w:rPr>
          <w:lang w:eastAsia="es-CR"/>
        </w:rPr>
        <w:t xml:space="preserve">de </w:t>
      </w:r>
      <w:r w:rsidR="003C3DAC">
        <w:rPr>
          <w:lang w:eastAsia="es-CR"/>
        </w:rPr>
        <w:t>al menos cuatro</w:t>
      </w:r>
      <w:r w:rsidRPr="00082963">
        <w:rPr>
          <w:lang w:eastAsia="es-CR"/>
        </w:rPr>
        <w:t xml:space="preserve"> personas que podrían tener información de </w:t>
      </w:r>
      <w:r w:rsidRPr="00082963">
        <w:t xml:space="preserve">Walter </w:t>
      </w:r>
      <w:proofErr w:type="spellStart"/>
      <w:r w:rsidRPr="00082963">
        <w:t>Munárriz</w:t>
      </w:r>
      <w:proofErr w:type="spellEnd"/>
      <w:r w:rsidRPr="00082963">
        <w:t xml:space="preserve"> Escobar</w:t>
      </w:r>
      <w:r w:rsidRPr="00082963">
        <w:rPr>
          <w:rStyle w:val="FootnoteReference"/>
          <w:sz w:val="20"/>
          <w:szCs w:val="20"/>
          <w:lang w:eastAsia="es-CR"/>
        </w:rPr>
        <w:footnoteReference w:id="46"/>
      </w:r>
      <w:r w:rsidRPr="00082963">
        <w:rPr>
          <w:lang w:eastAsia="es-CR"/>
        </w:rPr>
        <w:t xml:space="preserve">. </w:t>
      </w:r>
      <w:r w:rsidRPr="00082963">
        <w:t xml:space="preserve">El 23 de marzo se solicitó la búsqueda de Walter </w:t>
      </w:r>
      <w:proofErr w:type="spellStart"/>
      <w:r w:rsidRPr="00082963">
        <w:t>Munárriz</w:t>
      </w:r>
      <w:proofErr w:type="spellEnd"/>
      <w:r w:rsidRPr="00082963">
        <w:t xml:space="preserve"> Escobar a la División de Búsqueda de Personas Desaparecidas</w:t>
      </w:r>
      <w:r w:rsidRPr="00082963">
        <w:rPr>
          <w:rStyle w:val="FootnoteReference"/>
          <w:sz w:val="20"/>
          <w:szCs w:val="20"/>
        </w:rPr>
        <w:footnoteReference w:id="47"/>
      </w:r>
      <w:r w:rsidRPr="00082963">
        <w:t>. Ese mismo día se recibieron varias declaraciones</w:t>
      </w:r>
      <w:r w:rsidRPr="00082963">
        <w:rPr>
          <w:rStyle w:val="FootnoteReference"/>
          <w:sz w:val="20"/>
          <w:szCs w:val="20"/>
        </w:rPr>
        <w:footnoteReference w:id="48"/>
      </w:r>
      <w:r w:rsidRPr="00082963">
        <w:t xml:space="preserve">. </w:t>
      </w:r>
    </w:p>
    <w:p w14:paraId="6B38A2D6" w14:textId="77777777" w:rsidR="00082963" w:rsidRPr="00082963" w:rsidRDefault="00082963" w:rsidP="00082963">
      <w:pPr>
        <w:rPr>
          <w:lang w:val="es-CR" w:eastAsia="es-MX"/>
        </w:rPr>
      </w:pPr>
    </w:p>
    <w:p w14:paraId="6B16ABA1" w14:textId="410C6104" w:rsidR="00E53C75" w:rsidRDefault="00690161" w:rsidP="00EE5E64">
      <w:pPr>
        <w:pStyle w:val="PrrafodeSentencia"/>
        <w:rPr>
          <w:rFonts w:cs="Cambria,Italic"/>
          <w:iCs/>
        </w:rPr>
      </w:pPr>
      <w:bookmarkStart w:id="196" w:name="_Ref524531871"/>
      <w:r w:rsidRPr="00082963">
        <w:t xml:space="preserve">El 24 de marzo de 1999, la Fiscalía Provincial de </w:t>
      </w:r>
      <w:proofErr w:type="spellStart"/>
      <w:r w:rsidRPr="00082963">
        <w:t>Lircay</w:t>
      </w:r>
      <w:proofErr w:type="spellEnd"/>
      <w:r w:rsidRPr="00082963">
        <w:t xml:space="preserve"> solicitó apoyo de la División de Investigación Criminal de la Policía Nacional de Huancavelica, indicando que los testimonios que responsabilizaban a la policía eran “</w:t>
      </w:r>
      <w:r w:rsidRPr="00CF7631">
        <w:rPr>
          <w:rFonts w:cs="Cambria,Italic"/>
          <w:iCs/>
        </w:rPr>
        <w:t xml:space="preserve">totalmente </w:t>
      </w:r>
      <w:proofErr w:type="spellStart"/>
      <w:r w:rsidRPr="00CF7631">
        <w:rPr>
          <w:rFonts w:cs="Cambria,Italic"/>
          <w:iCs/>
        </w:rPr>
        <w:t>fals</w:t>
      </w:r>
      <w:proofErr w:type="spellEnd"/>
      <w:r w:rsidR="00C40039">
        <w:rPr>
          <w:rFonts w:cs="Cambria,Italic"/>
          <w:iCs/>
        </w:rPr>
        <w:t>[</w:t>
      </w:r>
      <w:r w:rsidRPr="00CF7631">
        <w:rPr>
          <w:rFonts w:cs="Cambria,Italic"/>
          <w:iCs/>
        </w:rPr>
        <w:t>o</w:t>
      </w:r>
      <w:r w:rsidR="00C40039">
        <w:rPr>
          <w:rFonts w:cs="Cambria,Italic"/>
          <w:iCs/>
        </w:rPr>
        <w:t>]</w:t>
      </w:r>
      <w:r w:rsidRPr="00CF7631">
        <w:rPr>
          <w:rFonts w:cs="Cambria,Italic"/>
          <w:iCs/>
        </w:rPr>
        <w:t>s ya que actualmente se vive una época</w:t>
      </w:r>
      <w:r w:rsidRPr="00082963">
        <w:t xml:space="preserve"> </w:t>
      </w:r>
      <w:r w:rsidRPr="00CF7631">
        <w:rPr>
          <w:rFonts w:cs="Cambria,Italic"/>
          <w:iCs/>
        </w:rPr>
        <w:t xml:space="preserve">de paz y no hay atentados contra los derechos humanos, como </w:t>
      </w:r>
      <w:r w:rsidR="001D47C6">
        <w:rPr>
          <w:rFonts w:cs="Cambria,Italic"/>
          <w:iCs/>
        </w:rPr>
        <w:t xml:space="preserve">[…] </w:t>
      </w:r>
      <w:r w:rsidRPr="00CF7631">
        <w:rPr>
          <w:rFonts w:cs="Cambria,Italic"/>
          <w:iCs/>
        </w:rPr>
        <w:t>se le</w:t>
      </w:r>
      <w:r w:rsidRPr="00082963">
        <w:t xml:space="preserve"> </w:t>
      </w:r>
      <w:r w:rsidRPr="00CF7631">
        <w:rPr>
          <w:rFonts w:cs="Cambria,Italic"/>
          <w:iCs/>
        </w:rPr>
        <w:t>quiere atribuir a la Policía, más aun si está a cargo [el Capitán de la Policía Nacional], quien hasta la fecha ha demostrado honestidad en sus</w:t>
      </w:r>
      <w:r w:rsidRPr="00E53C75">
        <w:t xml:space="preserve"> </w:t>
      </w:r>
      <w:r w:rsidRPr="00CF7631">
        <w:rPr>
          <w:rFonts w:cs="Cambria,Italic"/>
          <w:iCs/>
        </w:rPr>
        <w:t>funciones”</w:t>
      </w:r>
      <w:r w:rsidRPr="008924DC">
        <w:rPr>
          <w:rStyle w:val="FootnoteReference"/>
          <w:iCs/>
          <w:sz w:val="20"/>
          <w:szCs w:val="20"/>
        </w:rPr>
        <w:footnoteReference w:id="49"/>
      </w:r>
      <w:r w:rsidRPr="00CF7631">
        <w:rPr>
          <w:rFonts w:cs="Cambria,Italic"/>
          <w:iCs/>
        </w:rPr>
        <w:t>.</w:t>
      </w:r>
      <w:bookmarkEnd w:id="196"/>
      <w:r w:rsidR="00E07126" w:rsidRPr="00CF7631">
        <w:rPr>
          <w:rFonts w:cs="Cambria,Italic"/>
          <w:iCs/>
        </w:rPr>
        <w:t xml:space="preserve"> </w:t>
      </w:r>
    </w:p>
    <w:p w14:paraId="501BD817" w14:textId="77777777" w:rsidR="00CF7631" w:rsidRPr="00E042C3" w:rsidRDefault="00CF7631" w:rsidP="00CF7631">
      <w:pPr>
        <w:rPr>
          <w:szCs w:val="20"/>
          <w:lang w:val="es-CR" w:eastAsia="es-MX"/>
        </w:rPr>
      </w:pPr>
    </w:p>
    <w:p w14:paraId="0E4FFA76" w14:textId="38BBF50D" w:rsidR="00F45C16" w:rsidRDefault="00CF7631" w:rsidP="00F45C16">
      <w:pPr>
        <w:pStyle w:val="PrrafodeSentencia"/>
        <w:rPr>
          <w:szCs w:val="20"/>
          <w:lang w:val="es-ES"/>
        </w:rPr>
      </w:pPr>
      <w:r w:rsidRPr="00E042C3">
        <w:rPr>
          <w:rFonts w:cs="Cambria"/>
          <w:szCs w:val="20"/>
        </w:rPr>
        <w:t xml:space="preserve">Dentro de la investigación </w:t>
      </w:r>
      <w:r w:rsidR="00F45C16" w:rsidRPr="00E042C3">
        <w:rPr>
          <w:rFonts w:cs="Cambria"/>
          <w:szCs w:val="20"/>
        </w:rPr>
        <w:t xml:space="preserve">se </w:t>
      </w:r>
      <w:r w:rsidR="00902597" w:rsidRPr="00E042C3">
        <w:rPr>
          <w:szCs w:val="20"/>
        </w:rPr>
        <w:t>r</w:t>
      </w:r>
      <w:r w:rsidRPr="00E042C3">
        <w:rPr>
          <w:szCs w:val="20"/>
        </w:rPr>
        <w:t>ecibieron</w:t>
      </w:r>
      <w:r w:rsidR="00902597" w:rsidRPr="00E042C3">
        <w:rPr>
          <w:szCs w:val="20"/>
        </w:rPr>
        <w:t xml:space="preserve"> declaraciones</w:t>
      </w:r>
      <w:r w:rsidR="00F45C16" w:rsidRPr="00E042C3">
        <w:rPr>
          <w:szCs w:val="20"/>
        </w:rPr>
        <w:t xml:space="preserve"> de familiares de Walter </w:t>
      </w:r>
      <w:proofErr w:type="spellStart"/>
      <w:r w:rsidR="00F45C16" w:rsidRPr="00E042C3">
        <w:rPr>
          <w:szCs w:val="20"/>
        </w:rPr>
        <w:t>Munárriz</w:t>
      </w:r>
      <w:proofErr w:type="spellEnd"/>
      <w:r w:rsidR="00F45C16" w:rsidRPr="00E042C3">
        <w:rPr>
          <w:szCs w:val="20"/>
        </w:rPr>
        <w:t xml:space="preserve"> Escobar</w:t>
      </w:r>
      <w:r w:rsidR="00902597" w:rsidRPr="00E042C3">
        <w:rPr>
          <w:rStyle w:val="FootnoteReference"/>
          <w:sz w:val="20"/>
          <w:szCs w:val="20"/>
          <w:lang w:val="es-ES"/>
        </w:rPr>
        <w:footnoteReference w:id="50"/>
      </w:r>
      <w:r w:rsidR="00E042C3" w:rsidRPr="00E042C3">
        <w:rPr>
          <w:szCs w:val="20"/>
        </w:rPr>
        <w:t xml:space="preserve">, una de las personas que se encontraba detenido en la </w:t>
      </w:r>
      <w:r w:rsidR="006D1784">
        <w:rPr>
          <w:szCs w:val="20"/>
        </w:rPr>
        <w:t>c</w:t>
      </w:r>
      <w:r w:rsidR="00E042C3" w:rsidRPr="00E042C3">
        <w:rPr>
          <w:szCs w:val="20"/>
        </w:rPr>
        <w:t>omisaría ese día</w:t>
      </w:r>
      <w:r w:rsidR="00E042C3" w:rsidRPr="00E042C3">
        <w:rPr>
          <w:rStyle w:val="FootnoteReference"/>
          <w:sz w:val="20"/>
          <w:szCs w:val="20"/>
          <w:lang w:val="es-ES"/>
        </w:rPr>
        <w:footnoteReference w:id="51"/>
      </w:r>
      <w:r w:rsidR="00E042C3" w:rsidRPr="00E042C3">
        <w:rPr>
          <w:szCs w:val="20"/>
        </w:rPr>
        <w:t>,</w:t>
      </w:r>
      <w:r w:rsidR="00F45C16" w:rsidRPr="00E042C3">
        <w:rPr>
          <w:szCs w:val="20"/>
        </w:rPr>
        <w:t xml:space="preserve"> </w:t>
      </w:r>
      <w:r w:rsidR="00E042C3" w:rsidRPr="00E042C3">
        <w:rPr>
          <w:szCs w:val="20"/>
        </w:rPr>
        <w:t xml:space="preserve">los dos testigos que aseguran haber visto a Walter </w:t>
      </w:r>
      <w:proofErr w:type="spellStart"/>
      <w:r w:rsidR="00E042C3" w:rsidRPr="00E042C3">
        <w:rPr>
          <w:szCs w:val="20"/>
        </w:rPr>
        <w:t>Munárriz</w:t>
      </w:r>
      <w:proofErr w:type="spellEnd"/>
      <w:r w:rsidR="00E042C3" w:rsidRPr="00E042C3">
        <w:rPr>
          <w:szCs w:val="20"/>
        </w:rPr>
        <w:t xml:space="preserve"> Escobar</w:t>
      </w:r>
      <w:r w:rsidR="00E042C3" w:rsidRPr="00E042C3">
        <w:rPr>
          <w:rStyle w:val="FootnoteReference"/>
          <w:sz w:val="20"/>
          <w:szCs w:val="20"/>
        </w:rPr>
        <w:footnoteReference w:id="52"/>
      </w:r>
      <w:r w:rsidR="00E042C3" w:rsidRPr="00E042C3">
        <w:rPr>
          <w:szCs w:val="20"/>
        </w:rPr>
        <w:t xml:space="preserve">, policías </w:t>
      </w:r>
      <w:r w:rsidR="00E042C3">
        <w:rPr>
          <w:szCs w:val="20"/>
        </w:rPr>
        <w:t>que resultaron inculpados</w:t>
      </w:r>
      <w:r w:rsidR="00E042C3" w:rsidRPr="00E042C3">
        <w:rPr>
          <w:rStyle w:val="FootnoteReference"/>
          <w:sz w:val="20"/>
          <w:szCs w:val="20"/>
          <w:lang w:val="es-ES"/>
        </w:rPr>
        <w:footnoteReference w:id="53"/>
      </w:r>
      <w:r w:rsidR="00E042C3" w:rsidRPr="00E042C3">
        <w:rPr>
          <w:szCs w:val="20"/>
        </w:rPr>
        <w:t xml:space="preserve"> </w:t>
      </w:r>
      <w:r w:rsidRPr="00E042C3">
        <w:rPr>
          <w:szCs w:val="20"/>
        </w:rPr>
        <w:t>y de</w:t>
      </w:r>
      <w:r>
        <w:t xml:space="preserve"> otras personas que podrían tener información sobre lo sucedido</w:t>
      </w:r>
      <w:r w:rsidR="00F45C16" w:rsidRPr="00F45C16">
        <w:rPr>
          <w:rStyle w:val="FootnoteReference"/>
          <w:sz w:val="20"/>
          <w:szCs w:val="20"/>
          <w:lang w:val="es-ES"/>
        </w:rPr>
        <w:footnoteReference w:id="54"/>
      </w:r>
      <w:r w:rsidR="005E42DE">
        <w:rPr>
          <w:szCs w:val="20"/>
          <w:lang w:val="es-ES"/>
        </w:rPr>
        <w:t>.</w:t>
      </w:r>
    </w:p>
    <w:p w14:paraId="104CF3A3" w14:textId="77777777" w:rsidR="001C44EE" w:rsidRPr="001C44EE" w:rsidRDefault="001C44EE" w:rsidP="00EE5E64">
      <w:pPr>
        <w:tabs>
          <w:tab w:val="left" w:pos="567"/>
        </w:tabs>
        <w:rPr>
          <w:lang w:val="es-CR" w:eastAsia="es-MX"/>
        </w:rPr>
      </w:pPr>
    </w:p>
    <w:p w14:paraId="1EF54E46" w14:textId="339FC90F" w:rsidR="00E53C75" w:rsidRDefault="00690161" w:rsidP="009F7500">
      <w:pPr>
        <w:pStyle w:val="PrrafodeSentencia"/>
      </w:pPr>
      <w:r w:rsidRPr="00E53C75">
        <w:t xml:space="preserve">El 23 de abril de 1999 la fiscalía formalizó denuncia penal contra el capitán, el alférez y un suboficial de segunda, todos de la Policía Nacional del Perú, por el delito contra la humanidad, en la modalidad de desaparición forzada, en agravio de Walter </w:t>
      </w:r>
      <w:proofErr w:type="spellStart"/>
      <w:r w:rsidRPr="00E53C75">
        <w:t>Mun</w:t>
      </w:r>
      <w:r w:rsidR="00C22E55">
        <w:t>á</w:t>
      </w:r>
      <w:r w:rsidRPr="00E53C75">
        <w:t>rriz</w:t>
      </w:r>
      <w:proofErr w:type="spellEnd"/>
      <w:r w:rsidRPr="00E53C75">
        <w:t xml:space="preserve"> Escobar</w:t>
      </w:r>
      <w:r w:rsidRPr="00512124">
        <w:rPr>
          <w:rStyle w:val="FootnoteReference"/>
          <w:sz w:val="20"/>
          <w:szCs w:val="20"/>
        </w:rPr>
        <w:footnoteReference w:id="55"/>
      </w:r>
      <w:r w:rsidRPr="00E53C75">
        <w:t>.</w:t>
      </w:r>
      <w:r w:rsidRPr="00E53C75">
        <w:rPr>
          <w:lang w:val="es-ES_tradnl"/>
        </w:rPr>
        <w:t xml:space="preserve"> </w:t>
      </w:r>
      <w:r w:rsidRPr="00E53C75">
        <w:t xml:space="preserve">El 26 de abril de 1999 el Juzgado Mixto de </w:t>
      </w:r>
      <w:proofErr w:type="spellStart"/>
      <w:r w:rsidRPr="00E53C75">
        <w:t>Angaraes</w:t>
      </w:r>
      <w:proofErr w:type="spellEnd"/>
      <w:r w:rsidRPr="00E53C75">
        <w:t xml:space="preserve"> dictó auto de apertura de instrucción y ordenó la detención de estos tres oficiales</w:t>
      </w:r>
      <w:r w:rsidRPr="00512124">
        <w:rPr>
          <w:rStyle w:val="FootnoteReference"/>
          <w:sz w:val="20"/>
          <w:szCs w:val="20"/>
        </w:rPr>
        <w:footnoteReference w:id="56"/>
      </w:r>
      <w:r w:rsidRPr="00E53C75">
        <w:t>.</w:t>
      </w:r>
    </w:p>
    <w:p w14:paraId="02647BFF" w14:textId="77777777" w:rsidR="00E53C75" w:rsidRPr="00E53C75" w:rsidRDefault="00E53C75" w:rsidP="00EE5E64">
      <w:pPr>
        <w:tabs>
          <w:tab w:val="left" w:pos="567"/>
        </w:tabs>
        <w:rPr>
          <w:lang w:val="es-CR" w:eastAsia="es-MX"/>
        </w:rPr>
      </w:pPr>
    </w:p>
    <w:p w14:paraId="707F7BCD" w14:textId="77777777" w:rsidR="00E53C75" w:rsidRDefault="00690161" w:rsidP="009F7500">
      <w:pPr>
        <w:pStyle w:val="PrrafodeSentencia"/>
      </w:pPr>
      <w:r w:rsidRPr="00E53C75">
        <w:lastRenderedPageBreak/>
        <w:t xml:space="preserve">El 3 de mayo de 1999, la Fiscalía Superior de Gestión de Gobierno del Distrito Judicial de Huancavelica designó a otro Fiscal para llevar el caso y apartó del mismo a </w:t>
      </w:r>
      <w:r w:rsidRPr="00E53C75">
        <w:rPr>
          <w:rFonts w:cs="Cambria,Italic"/>
          <w:iCs/>
        </w:rPr>
        <w:t>la Fiscal anteriormente encargada de la investigación</w:t>
      </w:r>
      <w:r w:rsidRPr="00E53C75">
        <w:rPr>
          <w:rFonts w:cs="Cambria,Italic"/>
          <w:i/>
          <w:iCs/>
        </w:rPr>
        <w:t xml:space="preserve"> “</w:t>
      </w:r>
      <w:r w:rsidRPr="00E53C75">
        <w:rPr>
          <w:rFonts w:cs="Cambria,Italic"/>
          <w:iCs/>
        </w:rPr>
        <w:t xml:space="preserve">por su manifiesta negligencia, retardo en las investigaciones </w:t>
      </w:r>
      <w:proofErr w:type="spellStart"/>
      <w:r w:rsidRPr="00E53C75">
        <w:rPr>
          <w:rFonts w:cs="Cambria,Italic"/>
          <w:iCs/>
        </w:rPr>
        <w:t>prejurisdiccionales</w:t>
      </w:r>
      <w:proofErr w:type="spellEnd"/>
      <w:r w:rsidRPr="00E53C75">
        <w:rPr>
          <w:rFonts w:cs="Cambria,Italic"/>
          <w:iCs/>
        </w:rPr>
        <w:t xml:space="preserve"> practicadas al respecto y la desconfianza que le tiene la población de </w:t>
      </w:r>
      <w:proofErr w:type="spellStart"/>
      <w:r w:rsidRPr="00E53C75">
        <w:rPr>
          <w:rFonts w:cs="Cambria,Italic"/>
          <w:iCs/>
        </w:rPr>
        <w:t>Lircay-Angaraes</w:t>
      </w:r>
      <w:proofErr w:type="spellEnd"/>
      <w:r w:rsidRPr="00E53C75">
        <w:rPr>
          <w:rFonts w:cs="Cambria,Italic"/>
          <w:iCs/>
        </w:rPr>
        <w:t xml:space="preserve"> y los familiares del […] estudiante desaparecido”</w:t>
      </w:r>
      <w:r w:rsidRPr="005C6480">
        <w:rPr>
          <w:rStyle w:val="FootnoteReference"/>
          <w:iCs/>
          <w:sz w:val="20"/>
          <w:szCs w:val="20"/>
        </w:rPr>
        <w:footnoteReference w:id="57"/>
      </w:r>
      <w:r w:rsidRPr="00E53C75">
        <w:rPr>
          <w:rFonts w:cs="Cambria,Italic"/>
          <w:iCs/>
        </w:rPr>
        <w:t>.</w:t>
      </w:r>
      <w:r w:rsidRPr="00E53C75">
        <w:t xml:space="preserve"> </w:t>
      </w:r>
    </w:p>
    <w:p w14:paraId="2CACBBB4" w14:textId="77777777" w:rsidR="00E53C75" w:rsidRPr="00E53C75" w:rsidRDefault="00E53C75" w:rsidP="00EE5E64">
      <w:pPr>
        <w:tabs>
          <w:tab w:val="left" w:pos="567"/>
        </w:tabs>
        <w:rPr>
          <w:lang w:val="es-CR" w:eastAsia="es-MX"/>
        </w:rPr>
      </w:pPr>
    </w:p>
    <w:p w14:paraId="21D4D588" w14:textId="0B01B1A5" w:rsidR="00E53C75" w:rsidRDefault="00690161" w:rsidP="009F7500">
      <w:pPr>
        <w:pStyle w:val="PrrafodeSentencia"/>
      </w:pPr>
      <w:r w:rsidRPr="00E53C75">
        <w:t>El 17 de junio de 1999 la fiscalía amplió la denuncia penal contra dos suboficiales de segunda y un suboficial técnico de la Policía Nacional</w:t>
      </w:r>
      <w:r w:rsidRPr="00C02EDB">
        <w:rPr>
          <w:rStyle w:val="FootnoteReference"/>
          <w:sz w:val="20"/>
          <w:szCs w:val="20"/>
        </w:rPr>
        <w:footnoteReference w:id="58"/>
      </w:r>
      <w:r w:rsidRPr="00E53C75">
        <w:t>.</w:t>
      </w:r>
      <w:r w:rsidRPr="00E53C75">
        <w:rPr>
          <w:lang w:val="es-ES_tradnl" w:eastAsia="es-ES"/>
        </w:rPr>
        <w:t xml:space="preserve"> </w:t>
      </w:r>
      <w:r w:rsidRPr="00E53C75">
        <w:t xml:space="preserve">El 24 de junio de 1999, el Juzgado Mixto de </w:t>
      </w:r>
      <w:proofErr w:type="spellStart"/>
      <w:r w:rsidRPr="00E53C75">
        <w:t>Angaraes</w:t>
      </w:r>
      <w:proofErr w:type="spellEnd"/>
      <w:r w:rsidRPr="00E53C75">
        <w:t xml:space="preserve"> amplió la instrucción contra los tres policías antes mencionados y orden</w:t>
      </w:r>
      <w:r w:rsidR="001D47C6">
        <w:t>ó</w:t>
      </w:r>
      <w:r w:rsidRPr="00E53C75">
        <w:t xml:space="preserve"> su detención</w:t>
      </w:r>
      <w:r w:rsidRPr="00C02EDB">
        <w:rPr>
          <w:rStyle w:val="FootnoteReference"/>
          <w:sz w:val="20"/>
          <w:szCs w:val="20"/>
        </w:rPr>
        <w:footnoteReference w:id="59"/>
      </w:r>
      <w:r w:rsidRPr="00E53C75">
        <w:t>. Entre mayo y julio de 1999 la Sala Mixta de la Corte Superior de Justicia de Huancavelica revocó el mandato de detención de cuatro de los inculpados, cambiándolo por comparecencia restringida</w:t>
      </w:r>
      <w:r w:rsidRPr="00C02EDB">
        <w:rPr>
          <w:rStyle w:val="FootnoteReference"/>
          <w:iCs/>
          <w:sz w:val="20"/>
          <w:szCs w:val="20"/>
        </w:rPr>
        <w:footnoteReference w:id="60"/>
      </w:r>
      <w:r w:rsidRPr="00E53C75">
        <w:t>.</w:t>
      </w:r>
    </w:p>
    <w:p w14:paraId="3A28C013" w14:textId="77777777" w:rsidR="00A2065C" w:rsidRPr="00A2065C" w:rsidRDefault="00A2065C" w:rsidP="00EE5E64">
      <w:pPr>
        <w:tabs>
          <w:tab w:val="left" w:pos="567"/>
        </w:tabs>
        <w:rPr>
          <w:lang w:val="es-CR" w:eastAsia="es-MX"/>
        </w:rPr>
      </w:pPr>
    </w:p>
    <w:p w14:paraId="6153838A" w14:textId="704678CD" w:rsidR="00E53C75" w:rsidRDefault="00690161" w:rsidP="009F7500">
      <w:pPr>
        <w:pStyle w:val="PrrafodeSentencia"/>
        <w:rPr>
          <w:lang w:val="es-ES_tradnl" w:eastAsia="es-ES"/>
        </w:rPr>
      </w:pPr>
      <w:r w:rsidRPr="00E53C75">
        <w:t xml:space="preserve">Posteriormente, entre junio y agosto de 2000 la Fiscalía Superior Mixta de Huancavelica formuló acusación sustancial contra los seis oficiales, solicitando 15 años de pena privativa de la libertad por el delito de desaparición forzada en agravio de Walter </w:t>
      </w:r>
      <w:proofErr w:type="spellStart"/>
      <w:r w:rsidR="00993E87" w:rsidRPr="00E53C75">
        <w:t>Munárriz</w:t>
      </w:r>
      <w:proofErr w:type="spellEnd"/>
      <w:r w:rsidRPr="00E53C75">
        <w:t xml:space="preserve"> Escobar y el pago de una reparación</w:t>
      </w:r>
      <w:r w:rsidRPr="00C02EDB">
        <w:rPr>
          <w:rStyle w:val="FootnoteReference"/>
          <w:sz w:val="20"/>
          <w:szCs w:val="20"/>
        </w:rPr>
        <w:footnoteReference w:id="61"/>
      </w:r>
      <w:r w:rsidRPr="00E53C75">
        <w:t>.</w:t>
      </w:r>
      <w:r w:rsidRPr="00E53C75">
        <w:rPr>
          <w:lang w:val="es-ES_tradnl" w:eastAsia="es-ES"/>
        </w:rPr>
        <w:t xml:space="preserve"> El 14 de agosto de 2000 la Corte Superior de Justicia de Huancavelica emitió auto de enjuiciamiento en contra de los seis oficiales señalados</w:t>
      </w:r>
      <w:r w:rsidRPr="00C02EDB">
        <w:rPr>
          <w:rStyle w:val="FootnoteReference"/>
          <w:sz w:val="20"/>
          <w:szCs w:val="20"/>
          <w:lang w:val="es-ES_tradnl" w:eastAsia="es-ES"/>
        </w:rPr>
        <w:footnoteReference w:id="62"/>
      </w:r>
      <w:r w:rsidRPr="00E53C75">
        <w:rPr>
          <w:lang w:val="es-ES_tradnl" w:eastAsia="es-ES"/>
        </w:rPr>
        <w:t>.</w:t>
      </w:r>
    </w:p>
    <w:p w14:paraId="42A4263F" w14:textId="77777777" w:rsidR="00E53C75" w:rsidRPr="00E53C75" w:rsidRDefault="00E53C75" w:rsidP="00EE5E64">
      <w:pPr>
        <w:tabs>
          <w:tab w:val="left" w:pos="567"/>
        </w:tabs>
        <w:rPr>
          <w:lang w:val="es-ES_tradnl" w:eastAsia="es-ES"/>
        </w:rPr>
      </w:pPr>
    </w:p>
    <w:p w14:paraId="2DEE0777" w14:textId="77777777" w:rsidR="00E53C75" w:rsidRDefault="00690161" w:rsidP="009F7500">
      <w:pPr>
        <w:pStyle w:val="PrrafodeSentencia"/>
      </w:pPr>
      <w:r w:rsidRPr="00E53C75">
        <w:t>Durante la instrucción penal se recabaron las declaraciones instructivas de los inculpados, declaraciones testimoniales, se realizaron dictámenes periciales, diligencias de confrontación e inspecciones judiciales</w:t>
      </w:r>
      <w:r w:rsidRPr="00A44959">
        <w:rPr>
          <w:rStyle w:val="FootnoteReference"/>
          <w:sz w:val="20"/>
          <w:szCs w:val="20"/>
          <w:lang w:val="es-ES_tradnl" w:eastAsia="es-ES"/>
        </w:rPr>
        <w:footnoteReference w:id="63"/>
      </w:r>
      <w:r w:rsidRPr="00E53C75">
        <w:t xml:space="preserve">. </w:t>
      </w:r>
    </w:p>
    <w:p w14:paraId="065A806E" w14:textId="77777777" w:rsidR="00E53C75" w:rsidRPr="00E53C75" w:rsidRDefault="00E53C75" w:rsidP="00EE5E64">
      <w:pPr>
        <w:tabs>
          <w:tab w:val="left" w:pos="567"/>
        </w:tabs>
        <w:rPr>
          <w:lang w:val="es-ES_tradnl" w:eastAsia="es-ES"/>
        </w:rPr>
      </w:pPr>
    </w:p>
    <w:p w14:paraId="3AA8A3F9" w14:textId="01FDE90A" w:rsidR="00E53C75" w:rsidRDefault="00690161" w:rsidP="009F7500">
      <w:pPr>
        <w:pStyle w:val="PrrafodeSentencia"/>
      </w:pPr>
      <w:bookmarkStart w:id="197" w:name="_Ref520988880"/>
      <w:r w:rsidRPr="00E53C75">
        <w:t>El 15 de febrero de 2001 la Sala Mixta de la Corte Superior de Justicia de Huancavelica emitió sentencia condenatoria contra el capitán de la Policía Nacional del Perú</w:t>
      </w:r>
      <w:r w:rsidR="005674A9" w:rsidRPr="005674A9">
        <w:t>, RGN</w:t>
      </w:r>
      <w:r w:rsidR="005674A9" w:rsidRPr="00993E87">
        <w:t>,</w:t>
      </w:r>
      <w:r w:rsidR="00D243C7">
        <w:t xml:space="preserve"> y el s</w:t>
      </w:r>
      <w:r w:rsidRPr="00E53C75">
        <w:t xml:space="preserve">uboficial de segunda, </w:t>
      </w:r>
      <w:r w:rsidR="005674A9" w:rsidRPr="005674A9">
        <w:t>AAR</w:t>
      </w:r>
      <w:r w:rsidRPr="00721009">
        <w:rPr>
          <w:rStyle w:val="FootnoteReference"/>
          <w:sz w:val="20"/>
          <w:szCs w:val="20"/>
        </w:rPr>
        <w:footnoteReference w:id="64"/>
      </w:r>
      <w:r w:rsidRPr="00E53C75">
        <w:t xml:space="preserve">. La Sala los condenó a 18 años de pena privativa de libertad por la </w:t>
      </w:r>
      <w:r w:rsidRPr="00E53C75">
        <w:lastRenderedPageBreak/>
        <w:t xml:space="preserve">desaparición forzada de Walter </w:t>
      </w:r>
      <w:proofErr w:type="spellStart"/>
      <w:r w:rsidRPr="00E53C75">
        <w:t>Mun</w:t>
      </w:r>
      <w:r w:rsidR="0088348D">
        <w:t>á</w:t>
      </w:r>
      <w:r w:rsidRPr="00E53C75">
        <w:t>rriz</w:t>
      </w:r>
      <w:proofErr w:type="spellEnd"/>
      <w:r w:rsidRPr="00E53C75">
        <w:t xml:space="preserve"> Escobar y al pago de una reparación civil</w:t>
      </w:r>
      <w:r w:rsidRPr="00721009">
        <w:rPr>
          <w:rStyle w:val="FootnoteReference"/>
          <w:sz w:val="20"/>
          <w:szCs w:val="20"/>
        </w:rPr>
        <w:footnoteReference w:id="65"/>
      </w:r>
      <w:r w:rsidRPr="00E53C75">
        <w:t>. La Sala absolvió a los otros cuatro acusados</w:t>
      </w:r>
      <w:r w:rsidRPr="00721009">
        <w:rPr>
          <w:rStyle w:val="FootnoteReference"/>
          <w:sz w:val="20"/>
          <w:szCs w:val="20"/>
        </w:rPr>
        <w:footnoteReference w:id="66"/>
      </w:r>
      <w:r w:rsidRPr="00E53C75">
        <w:t>.</w:t>
      </w:r>
      <w:bookmarkEnd w:id="197"/>
    </w:p>
    <w:p w14:paraId="1705180C" w14:textId="77777777" w:rsidR="00E53C75" w:rsidRPr="00E53C75" w:rsidRDefault="00E53C75" w:rsidP="00EE5E64">
      <w:pPr>
        <w:tabs>
          <w:tab w:val="left" w:pos="567"/>
        </w:tabs>
        <w:rPr>
          <w:lang w:val="es-CR" w:eastAsia="es-MX"/>
        </w:rPr>
      </w:pPr>
    </w:p>
    <w:p w14:paraId="484F831C" w14:textId="70142778" w:rsidR="00E53C75" w:rsidRPr="00A2065C" w:rsidRDefault="00690161" w:rsidP="009F7500">
      <w:pPr>
        <w:pStyle w:val="PrrafodeSentencia"/>
        <w:rPr>
          <w:rFonts w:cs="Cambria"/>
        </w:rPr>
      </w:pPr>
      <w:r w:rsidRPr="00E53C75">
        <w:t xml:space="preserve">El Fiscal </w:t>
      </w:r>
      <w:r w:rsidR="000A3DBD">
        <w:t xml:space="preserve">Superior interpuso </w:t>
      </w:r>
      <w:r w:rsidRPr="00A2065C">
        <w:t>un recurso de nulidad contra dicha sentencia</w:t>
      </w:r>
      <w:r w:rsidR="00E53C75" w:rsidRPr="00A2065C">
        <w:rPr>
          <w:rStyle w:val="FootnoteReference"/>
          <w:sz w:val="20"/>
          <w:szCs w:val="20"/>
          <w:lang w:val="es-ES_tradnl" w:eastAsia="es-ES"/>
        </w:rPr>
        <w:footnoteReference w:id="67"/>
      </w:r>
      <w:r w:rsidR="00E53C75" w:rsidRPr="00A2065C">
        <w:rPr>
          <w:rFonts w:cs="Cambria"/>
        </w:rPr>
        <w:t>.</w:t>
      </w:r>
    </w:p>
    <w:p w14:paraId="3213FA44" w14:textId="77777777" w:rsidR="00E53C75" w:rsidRPr="00E53C75" w:rsidRDefault="00E53C75" w:rsidP="00EE5E64">
      <w:pPr>
        <w:tabs>
          <w:tab w:val="left" w:pos="567"/>
        </w:tabs>
        <w:rPr>
          <w:lang w:val="es-CR" w:eastAsia="es-MX"/>
        </w:rPr>
      </w:pPr>
    </w:p>
    <w:p w14:paraId="133F187C" w14:textId="60DD83B6" w:rsidR="004D2E4F" w:rsidRDefault="00690161" w:rsidP="009F7500">
      <w:pPr>
        <w:pStyle w:val="PrrafodeSentencia"/>
      </w:pPr>
      <w:r w:rsidRPr="00E53C75">
        <w:t>El 13 de diciembre de 2001 la Sala Penal de la Corte Suprema de Justicia declaró la nulidad de la sentencia de 15 de febrero de 2001 (</w:t>
      </w:r>
      <w:r w:rsidRPr="00E53C75">
        <w:rPr>
          <w:i/>
        </w:rPr>
        <w:t xml:space="preserve">supra </w:t>
      </w:r>
      <w:r w:rsidRPr="00E53C75">
        <w:t>párr.</w:t>
      </w:r>
      <w:r w:rsidR="00993E87">
        <w:t xml:space="preserve"> </w:t>
      </w:r>
      <w:r w:rsidR="00993E87">
        <w:fldChar w:fldCharType="begin"/>
      </w:r>
      <w:r w:rsidR="00993E87">
        <w:instrText xml:space="preserve"> REF _Ref520988880 \r \h </w:instrText>
      </w:r>
      <w:r w:rsidR="00993E87">
        <w:fldChar w:fldCharType="separate"/>
      </w:r>
      <w:r w:rsidR="00087178">
        <w:t>47</w:t>
      </w:r>
      <w:r w:rsidR="00993E87">
        <w:fldChar w:fldCharType="end"/>
      </w:r>
      <w:r w:rsidRPr="00E53C75">
        <w:t>) y ordenó la realización de un nuevo juicio oral</w:t>
      </w:r>
      <w:r w:rsidRPr="006E7CEF">
        <w:rPr>
          <w:rStyle w:val="FootnoteReference"/>
          <w:sz w:val="20"/>
          <w:szCs w:val="20"/>
        </w:rPr>
        <w:footnoteReference w:id="68"/>
      </w:r>
      <w:r w:rsidR="00E93B34">
        <w:t>. Dicha decisión se basó en que</w:t>
      </w:r>
      <w:r w:rsidRPr="00E53C75">
        <w:t>:</w:t>
      </w:r>
    </w:p>
    <w:p w14:paraId="6D6D4D4B" w14:textId="77777777" w:rsidR="004D2E4F" w:rsidRPr="004D2E4F" w:rsidRDefault="004D2E4F" w:rsidP="00EE5E64">
      <w:pPr>
        <w:tabs>
          <w:tab w:val="left" w:pos="567"/>
        </w:tabs>
        <w:rPr>
          <w:rFonts w:cs="Cambria"/>
          <w:szCs w:val="20"/>
          <w:lang w:val="es-CR"/>
        </w:rPr>
      </w:pPr>
    </w:p>
    <w:p w14:paraId="153B28AA" w14:textId="739DA186" w:rsidR="004D2E4F" w:rsidRPr="006E7CEF" w:rsidRDefault="00E93B34" w:rsidP="00223993">
      <w:pPr>
        <w:pStyle w:val="ListParagraph"/>
        <w:tabs>
          <w:tab w:val="left" w:pos="567"/>
        </w:tabs>
        <w:ind w:left="567" w:right="615"/>
        <w:jc w:val="both"/>
        <w:rPr>
          <w:rFonts w:cs="Cambria"/>
          <w:sz w:val="18"/>
          <w:szCs w:val="18"/>
          <w:lang w:val="es-CR"/>
        </w:rPr>
      </w:pPr>
      <w:r>
        <w:rPr>
          <w:rFonts w:cs="Cambria"/>
          <w:sz w:val="18"/>
          <w:szCs w:val="18"/>
          <w:lang w:val="es-CR"/>
        </w:rPr>
        <w:t xml:space="preserve">El Colegiado </w:t>
      </w:r>
      <w:r w:rsidR="000A3DBD">
        <w:rPr>
          <w:rFonts w:cs="Cambria"/>
          <w:sz w:val="18"/>
          <w:szCs w:val="18"/>
          <w:lang w:val="es-CR"/>
        </w:rPr>
        <w:t xml:space="preserve">[…] </w:t>
      </w:r>
      <w:r w:rsidR="004D2E4F" w:rsidRPr="006E7CEF">
        <w:rPr>
          <w:rFonts w:cs="Cambria"/>
          <w:sz w:val="18"/>
          <w:szCs w:val="18"/>
          <w:lang w:val="es-CR"/>
        </w:rPr>
        <w:t xml:space="preserve">omitió disponer se diera lectura a la acusación fiscal, conforme lo dispone el artículo [243] del Código de Procedimientos Penales, modificado por el Decreto Legislativo [126]; asimismo dispuso el examen </w:t>
      </w:r>
      <w:r w:rsidR="001D259E">
        <w:rPr>
          <w:rFonts w:cs="Cambria"/>
          <w:sz w:val="18"/>
          <w:szCs w:val="18"/>
          <w:lang w:val="es-CR"/>
        </w:rPr>
        <w:t xml:space="preserve">por </w:t>
      </w:r>
      <w:r w:rsidR="004D2E4F" w:rsidRPr="006E7CEF">
        <w:rPr>
          <w:rFonts w:cs="Cambria"/>
          <w:sz w:val="18"/>
          <w:szCs w:val="18"/>
          <w:lang w:val="es-CR"/>
        </w:rPr>
        <w:t>separado de los acusados, sin embargo no cumplió con dar lectura a las declaraciones de los mismos antes de la requisitoria oral, como lo prevé el artículo [246</w:t>
      </w:r>
      <w:r w:rsidR="005F2B69">
        <w:rPr>
          <w:rFonts w:cs="Cambria"/>
          <w:sz w:val="18"/>
          <w:szCs w:val="18"/>
          <w:lang w:val="es-CR"/>
        </w:rPr>
        <w:t>]</w:t>
      </w:r>
      <w:r w:rsidR="004D2E4F" w:rsidRPr="006E7CEF">
        <w:rPr>
          <w:rFonts w:cs="Cambria"/>
          <w:sz w:val="18"/>
          <w:szCs w:val="18"/>
          <w:lang w:val="es-CR"/>
        </w:rPr>
        <w:t xml:space="preserve"> del mencionado Código; el dictamen acusatorio ampliatorio fue] emitido y presentado después de los alegatos de la defensa, […], advirtiéndose al respecto que no obra mandato alguno para emitir dicha ampliación; de[l] acta de audiencia, también se advierte que no se dio lectura a las [c]</w:t>
      </w:r>
      <w:proofErr w:type="spellStart"/>
      <w:r w:rsidR="004D2E4F" w:rsidRPr="006E7CEF">
        <w:rPr>
          <w:rFonts w:cs="Cambria"/>
          <w:sz w:val="18"/>
          <w:szCs w:val="18"/>
          <w:lang w:val="es-CR"/>
        </w:rPr>
        <w:t>uestiones</w:t>
      </w:r>
      <w:proofErr w:type="spellEnd"/>
      <w:r w:rsidR="004D2E4F" w:rsidRPr="006E7CEF">
        <w:rPr>
          <w:rFonts w:cs="Cambria"/>
          <w:sz w:val="18"/>
          <w:szCs w:val="18"/>
          <w:lang w:val="es-CR"/>
        </w:rPr>
        <w:t xml:space="preserve"> de [h]echo, pese a que la pena a imponerse era efectiva; a lo que se agrega que tanto las [c]</w:t>
      </w:r>
      <w:proofErr w:type="spellStart"/>
      <w:r w:rsidR="004D2E4F" w:rsidRPr="006E7CEF">
        <w:rPr>
          <w:rFonts w:cs="Cambria"/>
          <w:sz w:val="18"/>
          <w:szCs w:val="18"/>
          <w:lang w:val="es-CR"/>
        </w:rPr>
        <w:t>uestiones</w:t>
      </w:r>
      <w:proofErr w:type="spellEnd"/>
      <w:r w:rsidR="004D2E4F" w:rsidRPr="006E7CEF">
        <w:rPr>
          <w:rFonts w:cs="Cambria"/>
          <w:sz w:val="18"/>
          <w:szCs w:val="18"/>
          <w:lang w:val="es-CR"/>
        </w:rPr>
        <w:t xml:space="preserve"> de [h]echo y la Sentencia materia de grado no fueron certificadas por el Secretario de la Sala Penal Superior</w:t>
      </w:r>
      <w:r w:rsidR="004D2E4F" w:rsidRPr="006E7CEF">
        <w:rPr>
          <w:rStyle w:val="FootnoteReference"/>
          <w:sz w:val="18"/>
          <w:szCs w:val="18"/>
          <w:lang w:val="es-CR"/>
        </w:rPr>
        <w:footnoteReference w:id="69"/>
      </w:r>
      <w:r w:rsidR="004D2E4F" w:rsidRPr="006E7CEF">
        <w:rPr>
          <w:rFonts w:cs="Cambria"/>
          <w:sz w:val="18"/>
          <w:szCs w:val="18"/>
          <w:lang w:val="es-CR"/>
        </w:rPr>
        <w:t xml:space="preserve">.  </w:t>
      </w:r>
    </w:p>
    <w:p w14:paraId="3585E9F6" w14:textId="77777777" w:rsidR="004D2E4F" w:rsidRPr="004D2E4F" w:rsidRDefault="004D2E4F" w:rsidP="00EE5E64">
      <w:pPr>
        <w:tabs>
          <w:tab w:val="left" w:pos="567"/>
        </w:tabs>
        <w:rPr>
          <w:lang w:val="es-CR" w:eastAsia="es-MX"/>
        </w:rPr>
      </w:pPr>
    </w:p>
    <w:p w14:paraId="7E6E1939" w14:textId="426C6832" w:rsidR="004D2E4F" w:rsidRDefault="00E67D91" w:rsidP="009F7500">
      <w:pPr>
        <w:pStyle w:val="PrrafodeSentencia"/>
      </w:pPr>
      <w:bookmarkStart w:id="198" w:name="_Ref518558209"/>
      <w:r>
        <w:t xml:space="preserve">Se reinició </w:t>
      </w:r>
      <w:r w:rsidR="005F2B69">
        <w:t>de</w:t>
      </w:r>
      <w:r>
        <w:t xml:space="preserve"> </w:t>
      </w:r>
      <w:r w:rsidR="00690161" w:rsidRPr="004D2E4F">
        <w:t>nuevo</w:t>
      </w:r>
      <w:r w:rsidR="005F2B69">
        <w:t xml:space="preserve"> el</w:t>
      </w:r>
      <w:r w:rsidR="00690161" w:rsidRPr="004D2E4F">
        <w:t xml:space="preserve"> juicio oral </w:t>
      </w:r>
      <w:r>
        <w:t xml:space="preserve">y </w:t>
      </w:r>
      <w:r w:rsidR="00312F01">
        <w:t xml:space="preserve">el </w:t>
      </w:r>
      <w:r w:rsidR="006D1784" w:rsidRPr="004D2E4F">
        <w:t xml:space="preserve">25 de mayo de 2004 </w:t>
      </w:r>
      <w:r w:rsidR="00690161" w:rsidRPr="004D2E4F">
        <w:t xml:space="preserve">la Sala Mixta de la Corte Superior de Justicia de Huancavelica emitió sentencia absolviendo a todos los procesados del delito de desaparición forzada en agravio de Walter </w:t>
      </w:r>
      <w:proofErr w:type="spellStart"/>
      <w:r w:rsidR="00690161" w:rsidRPr="004D2E4F">
        <w:t>Mun</w:t>
      </w:r>
      <w:r w:rsidR="00F01812">
        <w:t>á</w:t>
      </w:r>
      <w:r w:rsidR="00690161" w:rsidRPr="004D2E4F">
        <w:t>rriz</w:t>
      </w:r>
      <w:proofErr w:type="spellEnd"/>
      <w:r w:rsidR="00690161" w:rsidRPr="004D2E4F">
        <w:t xml:space="preserve"> Escobar</w:t>
      </w:r>
      <w:r w:rsidR="00690161" w:rsidRPr="006E7CEF">
        <w:rPr>
          <w:rStyle w:val="FootnoteReference"/>
          <w:sz w:val="20"/>
          <w:szCs w:val="20"/>
        </w:rPr>
        <w:footnoteReference w:id="70"/>
      </w:r>
      <w:r w:rsidR="00690161" w:rsidRPr="004D2E4F">
        <w:t xml:space="preserve">. Entre otros puntos, la sentencia destacó que </w:t>
      </w:r>
      <w:r w:rsidR="001D47C6">
        <w:t>un testigo</w:t>
      </w:r>
      <w:r w:rsidR="00690161" w:rsidRPr="004D2E4F">
        <w:t xml:space="preserve"> que había declarado haber escuchado gritos y golpes la madrugada de</w:t>
      </w:r>
      <w:r>
        <w:t>l</w:t>
      </w:r>
      <w:r w:rsidR="00690161" w:rsidRPr="004D2E4F">
        <w:t xml:space="preserve"> 20 de marzo en la </w:t>
      </w:r>
      <w:r w:rsidR="00D16772">
        <w:t>c</w:t>
      </w:r>
      <w:r w:rsidR="00690161" w:rsidRPr="004D2E4F">
        <w:t>omisar</w:t>
      </w:r>
      <w:r w:rsidR="00D16772">
        <w:t>í</w:t>
      </w:r>
      <w:r w:rsidR="00690161" w:rsidRPr="004D2E4F">
        <w:t>a, posteriormente desmint</w:t>
      </w:r>
      <w:r w:rsidR="001D47C6">
        <w:t>ió</w:t>
      </w:r>
      <w:r w:rsidR="00690161" w:rsidRPr="004D2E4F">
        <w:t xml:space="preserve"> dicha declaración</w:t>
      </w:r>
      <w:r w:rsidR="00690161" w:rsidRPr="006E7CEF">
        <w:rPr>
          <w:rStyle w:val="FootnoteReference"/>
          <w:sz w:val="20"/>
          <w:szCs w:val="20"/>
        </w:rPr>
        <w:footnoteReference w:id="71"/>
      </w:r>
      <w:r w:rsidR="000D1A0F">
        <w:t>. La Sala Mixta concluyó que</w:t>
      </w:r>
      <w:r w:rsidR="00690161" w:rsidRPr="004D2E4F">
        <w:t xml:space="preserve"> “las pruebas no permiten al colegiado establecer la convicción necesaria para fallar en condena o absolución, […] por lo que se tiene que recurrir al principio constitucional de que la duda favorece al encausado”</w:t>
      </w:r>
      <w:r w:rsidR="00690161" w:rsidRPr="00FF3822">
        <w:rPr>
          <w:rStyle w:val="FootnoteReference"/>
          <w:sz w:val="20"/>
          <w:szCs w:val="20"/>
        </w:rPr>
        <w:footnoteReference w:id="72"/>
      </w:r>
      <w:r w:rsidR="00690161" w:rsidRPr="004D2E4F">
        <w:t>. Destacó que estaba comprobad</w:t>
      </w:r>
      <w:r>
        <w:t>a</w:t>
      </w:r>
      <w:r w:rsidR="00690161" w:rsidRPr="004D2E4F">
        <w:t xml:space="preserve"> la desaparición de Walter </w:t>
      </w:r>
      <w:proofErr w:type="spellStart"/>
      <w:r w:rsidR="00690161" w:rsidRPr="004D2E4F">
        <w:t>Munárriz</w:t>
      </w:r>
      <w:proofErr w:type="spellEnd"/>
      <w:r w:rsidR="00690161" w:rsidRPr="004D2E4F">
        <w:t xml:space="preserve"> </w:t>
      </w:r>
      <w:r w:rsidR="001D47C6">
        <w:t>Escobar</w:t>
      </w:r>
      <w:r w:rsidR="00981EF0">
        <w:t xml:space="preserve"> </w:t>
      </w:r>
      <w:r w:rsidR="00690161" w:rsidRPr="004D2E4F">
        <w:t xml:space="preserve">“pero no la responsabilidad penal de los procesados” y que “no se </w:t>
      </w:r>
      <w:proofErr w:type="gramStart"/>
      <w:r w:rsidR="00690161" w:rsidRPr="004D2E4F">
        <w:t>p[</w:t>
      </w:r>
      <w:proofErr w:type="spellStart"/>
      <w:proofErr w:type="gramEnd"/>
      <w:r w:rsidR="00690161" w:rsidRPr="004D2E4F">
        <w:t>odía</w:t>
      </w:r>
      <w:proofErr w:type="spellEnd"/>
      <w:r w:rsidR="00690161" w:rsidRPr="004D2E4F">
        <w:t>] descartar que la desaparición puede haberse producido fuera del local policial, donde pudieron haber mediado otras circunstancias”</w:t>
      </w:r>
      <w:r w:rsidR="00690161" w:rsidRPr="006E7CEF">
        <w:rPr>
          <w:rStyle w:val="FootnoteReference"/>
          <w:sz w:val="20"/>
          <w:szCs w:val="20"/>
        </w:rPr>
        <w:footnoteReference w:id="73"/>
      </w:r>
      <w:r w:rsidR="00690161" w:rsidRPr="004D2E4F">
        <w:t>. Asimismo, dispuso archivar provisionalmente la causa, debiendo continuarse con las investigaciones del caso</w:t>
      </w:r>
      <w:r w:rsidR="00690161" w:rsidRPr="00FF3822">
        <w:rPr>
          <w:rStyle w:val="FootnoteReference"/>
          <w:sz w:val="20"/>
          <w:szCs w:val="20"/>
        </w:rPr>
        <w:footnoteReference w:id="74"/>
      </w:r>
      <w:r w:rsidR="00690161" w:rsidRPr="004D2E4F">
        <w:t xml:space="preserve">. Para tal </w:t>
      </w:r>
      <w:r w:rsidR="00690161" w:rsidRPr="004D2E4F">
        <w:lastRenderedPageBreak/>
        <w:t xml:space="preserve">efecto se </w:t>
      </w:r>
      <w:r>
        <w:t>“</w:t>
      </w:r>
      <w:r w:rsidR="00690161" w:rsidRPr="004D2E4F">
        <w:t>orden[</w:t>
      </w:r>
      <w:proofErr w:type="spellStart"/>
      <w:r w:rsidR="00690161" w:rsidRPr="004D2E4F">
        <w:t>ó</w:t>
      </w:r>
      <w:proofErr w:type="spellEnd"/>
      <w:r w:rsidR="00690161" w:rsidRPr="004D2E4F">
        <w:t xml:space="preserve">] cursar oficios a </w:t>
      </w:r>
      <w:r>
        <w:t>[</w:t>
      </w:r>
      <w:r w:rsidR="00690161" w:rsidRPr="004D2E4F">
        <w:t>la</w:t>
      </w:r>
      <w:r>
        <w:t>]</w:t>
      </w:r>
      <w:r w:rsidR="00690161" w:rsidRPr="004D2E4F">
        <w:t xml:space="preserve"> Fiscalía Provincial de </w:t>
      </w:r>
      <w:proofErr w:type="spellStart"/>
      <w:r w:rsidR="00690161" w:rsidRPr="004D2E4F">
        <w:t>Angaraes</w:t>
      </w:r>
      <w:proofErr w:type="spellEnd"/>
      <w:r w:rsidR="00690161" w:rsidRPr="004D2E4F">
        <w:t xml:space="preserve">, así como a la Comisaría de </w:t>
      </w:r>
      <w:proofErr w:type="spellStart"/>
      <w:r w:rsidR="00690161" w:rsidRPr="004D2E4F">
        <w:t>Lircay</w:t>
      </w:r>
      <w:proofErr w:type="spellEnd"/>
      <w:r w:rsidR="00690161" w:rsidRPr="004D2E4F">
        <w:t xml:space="preserve"> a fin de [continuar] las investigaciones sobre el paradero del agraviado, así como de los presuntos responsables de la desaparición forzada</w:t>
      </w:r>
      <w:r>
        <w:t>”</w:t>
      </w:r>
      <w:r w:rsidR="00690161" w:rsidRPr="00FF3822">
        <w:rPr>
          <w:rStyle w:val="FootnoteReference"/>
          <w:sz w:val="20"/>
          <w:szCs w:val="20"/>
        </w:rPr>
        <w:footnoteReference w:id="75"/>
      </w:r>
      <w:r w:rsidR="00690161" w:rsidRPr="004D2E4F">
        <w:t>.</w:t>
      </w:r>
      <w:bookmarkEnd w:id="198"/>
      <w:r w:rsidR="00690161" w:rsidRPr="004D2E4F">
        <w:t xml:space="preserve"> </w:t>
      </w:r>
    </w:p>
    <w:p w14:paraId="59E98DDB" w14:textId="77777777" w:rsidR="004D2E4F" w:rsidRPr="004D2E4F" w:rsidRDefault="004D2E4F" w:rsidP="00EE5E64">
      <w:pPr>
        <w:tabs>
          <w:tab w:val="left" w:pos="567"/>
        </w:tabs>
        <w:rPr>
          <w:lang w:val="es-CR" w:eastAsia="es-MX"/>
        </w:rPr>
      </w:pPr>
    </w:p>
    <w:p w14:paraId="0B816231" w14:textId="77777777" w:rsidR="004D2E4F" w:rsidRDefault="00690161" w:rsidP="009F7500">
      <w:pPr>
        <w:pStyle w:val="PrrafodeSentencia"/>
        <w:rPr>
          <w:rFonts w:cs="Cambria,Italic"/>
          <w:iCs/>
        </w:rPr>
      </w:pPr>
      <w:r w:rsidRPr="004D2E4F">
        <w:t>El Fiscal Superior y la parte civil interpusieron recursos de nulidad contra esta sentencia</w:t>
      </w:r>
      <w:r w:rsidRPr="00FF3822">
        <w:rPr>
          <w:rStyle w:val="FootnoteReference"/>
          <w:iCs/>
          <w:sz w:val="20"/>
          <w:szCs w:val="20"/>
        </w:rPr>
        <w:footnoteReference w:id="76"/>
      </w:r>
      <w:r w:rsidRPr="004D2E4F">
        <w:rPr>
          <w:rFonts w:cs="Cambria,Italic"/>
          <w:iCs/>
        </w:rPr>
        <w:t>.</w:t>
      </w:r>
    </w:p>
    <w:p w14:paraId="17A67E52" w14:textId="77777777" w:rsidR="004D2E4F" w:rsidRPr="004D2E4F" w:rsidRDefault="004D2E4F" w:rsidP="00EE5E64">
      <w:pPr>
        <w:tabs>
          <w:tab w:val="left" w:pos="567"/>
        </w:tabs>
        <w:rPr>
          <w:lang w:val="es-CR" w:eastAsia="es-MX"/>
        </w:rPr>
      </w:pPr>
    </w:p>
    <w:p w14:paraId="168C40C8" w14:textId="77777777" w:rsidR="004D2E4F" w:rsidRDefault="00690161" w:rsidP="005033F4">
      <w:pPr>
        <w:pStyle w:val="PrrafodeSentencia"/>
        <w:rPr>
          <w:rFonts w:cs="Cambria,Italic"/>
          <w:iCs/>
        </w:rPr>
      </w:pPr>
      <w:bookmarkStart w:id="199" w:name="_Ref518558288"/>
      <w:r w:rsidRPr="004D2E4F">
        <w:t xml:space="preserve">El 20 de octubre de 2004 la Sala Penal Permanente de la Corte Suprema de Justicia de la República, declaró “no haber nulidad” en la sentencia de 25 de mayo de 2004, </w:t>
      </w:r>
      <w:r w:rsidR="00E53C75" w:rsidRPr="004D2E4F">
        <w:t>señalando que “se</w:t>
      </w:r>
      <w:r w:rsidRPr="004D2E4F">
        <w:rPr>
          <w:rFonts w:cs="Cambria,Italic"/>
          <w:iCs/>
        </w:rPr>
        <w:t xml:space="preserve"> presenta un estado de duda razonable sobre su participación en la comisión de los hechos investigados que beneficia a los encausados en estricta aplicación del Principio de </w:t>
      </w:r>
      <w:proofErr w:type="spellStart"/>
      <w:r w:rsidRPr="004D2E4F">
        <w:rPr>
          <w:rFonts w:cs="Cambria,Italic"/>
          <w:iCs/>
        </w:rPr>
        <w:t>indubio</w:t>
      </w:r>
      <w:proofErr w:type="spellEnd"/>
      <w:r w:rsidRPr="004D2E4F">
        <w:rPr>
          <w:rFonts w:cs="Cambria,Italic"/>
          <w:iCs/>
        </w:rPr>
        <w:t xml:space="preserve"> pro reo</w:t>
      </w:r>
      <w:r w:rsidR="00E53C75" w:rsidRPr="004D2E4F">
        <w:rPr>
          <w:rFonts w:cs="Cambria,Italic"/>
          <w:iCs/>
        </w:rPr>
        <w:t>”</w:t>
      </w:r>
      <w:r w:rsidRPr="00E53C75">
        <w:rPr>
          <w:rStyle w:val="FootnoteReference"/>
          <w:iCs/>
          <w:sz w:val="20"/>
          <w:szCs w:val="20"/>
        </w:rPr>
        <w:footnoteReference w:id="77"/>
      </w:r>
      <w:r w:rsidRPr="004D2E4F">
        <w:rPr>
          <w:rFonts w:cs="Cambria,Italic"/>
          <w:iCs/>
        </w:rPr>
        <w:t>.</w:t>
      </w:r>
      <w:bookmarkEnd w:id="199"/>
    </w:p>
    <w:p w14:paraId="7F512A66" w14:textId="77777777" w:rsidR="004D2E4F" w:rsidRPr="004D2E4F" w:rsidRDefault="004D2E4F" w:rsidP="005033F4">
      <w:pPr>
        <w:tabs>
          <w:tab w:val="left" w:pos="567"/>
        </w:tabs>
        <w:jc w:val="both"/>
        <w:rPr>
          <w:szCs w:val="20"/>
          <w:highlight w:val="yellow"/>
          <w:lang w:val="es-ES_tradnl" w:eastAsia="es-ES"/>
        </w:rPr>
      </w:pPr>
    </w:p>
    <w:p w14:paraId="26D41B83" w14:textId="0D4E3AE9" w:rsidR="004D2E4F" w:rsidRDefault="008F7660" w:rsidP="005033F4">
      <w:pPr>
        <w:pStyle w:val="Heading3"/>
        <w:tabs>
          <w:tab w:val="clear" w:pos="426"/>
          <w:tab w:val="left" w:pos="567"/>
        </w:tabs>
        <w:spacing w:after="0"/>
        <w:ind w:left="993"/>
      </w:pPr>
      <w:bookmarkStart w:id="200" w:name="_Toc526152699"/>
      <w:r>
        <w:t>B</w:t>
      </w:r>
      <w:r w:rsidR="004D2E4F" w:rsidRPr="00CD4FF9">
        <w:t>.3 Estado actual de la investigación penal</w:t>
      </w:r>
      <w:bookmarkEnd w:id="200"/>
    </w:p>
    <w:p w14:paraId="057EDFAF" w14:textId="77777777" w:rsidR="005033F4" w:rsidRPr="005033F4" w:rsidRDefault="005033F4" w:rsidP="005033F4">
      <w:pPr>
        <w:rPr>
          <w:lang w:val="es-ES_tradnl" w:eastAsia="es-ES"/>
        </w:rPr>
      </w:pPr>
    </w:p>
    <w:p w14:paraId="4BFACFFA" w14:textId="6479DFF3" w:rsidR="00781FEA" w:rsidRPr="00781FEA" w:rsidRDefault="00690161" w:rsidP="005033F4">
      <w:pPr>
        <w:pStyle w:val="PrrafodeSentencia"/>
        <w:rPr>
          <w:lang w:eastAsia="es-ES"/>
        </w:rPr>
      </w:pPr>
      <w:r w:rsidRPr="004D2E4F">
        <w:rPr>
          <w:rFonts w:cs="Cambria"/>
        </w:rPr>
        <w:t xml:space="preserve">El 10 de marzo de 2017 </w:t>
      </w:r>
      <w:r w:rsidRPr="004D2E4F">
        <w:t xml:space="preserve">la Fiscalía Provincial Penal </w:t>
      </w:r>
      <w:proofErr w:type="spellStart"/>
      <w:r w:rsidRPr="004D2E4F">
        <w:t>Supraprovincial</w:t>
      </w:r>
      <w:proofErr w:type="spellEnd"/>
      <w:r w:rsidRPr="004D2E4F">
        <w:t xml:space="preserve"> del Distrito Judicial de Huancavelica con sede Ayacucho abrió la investigación nuevamente y dispuso la recepción de varias declaraciones</w:t>
      </w:r>
      <w:r w:rsidRPr="00CD4FF9">
        <w:rPr>
          <w:rStyle w:val="FootnoteReference"/>
          <w:sz w:val="20"/>
          <w:szCs w:val="20"/>
        </w:rPr>
        <w:footnoteReference w:id="78"/>
      </w:r>
      <w:r w:rsidRPr="004D2E4F">
        <w:t xml:space="preserve">. </w:t>
      </w:r>
      <w:r w:rsidRPr="004D2E4F">
        <w:rPr>
          <w:lang w:eastAsia="es-ES"/>
        </w:rPr>
        <w:t>En julio de 2017 se realiz</w:t>
      </w:r>
      <w:r w:rsidR="00B96AA0">
        <w:rPr>
          <w:lang w:eastAsia="es-ES"/>
        </w:rPr>
        <w:t>aron</w:t>
      </w:r>
      <w:r w:rsidRPr="004D2E4F">
        <w:rPr>
          <w:lang w:eastAsia="es-ES"/>
        </w:rPr>
        <w:t xml:space="preserve"> dos recorridos desde </w:t>
      </w:r>
      <w:proofErr w:type="spellStart"/>
      <w:r w:rsidRPr="004D2E4F">
        <w:rPr>
          <w:lang w:eastAsia="es-ES"/>
        </w:rPr>
        <w:t>Lircay</w:t>
      </w:r>
      <w:proofErr w:type="spellEnd"/>
      <w:r w:rsidRPr="004D2E4F">
        <w:rPr>
          <w:lang w:eastAsia="es-ES"/>
        </w:rPr>
        <w:t xml:space="preserve"> hasta “la mina </w:t>
      </w:r>
      <w:proofErr w:type="spellStart"/>
      <w:r w:rsidRPr="004D2E4F">
        <w:rPr>
          <w:lang w:eastAsia="es-ES"/>
        </w:rPr>
        <w:t>Julcani</w:t>
      </w:r>
      <w:proofErr w:type="spellEnd"/>
      <w:r w:rsidRPr="004D2E4F">
        <w:rPr>
          <w:lang w:eastAsia="es-ES"/>
        </w:rPr>
        <w:t xml:space="preserve"> – </w:t>
      </w:r>
      <w:proofErr w:type="spellStart"/>
      <w:r w:rsidRPr="004D2E4F">
        <w:rPr>
          <w:lang w:eastAsia="es-ES"/>
        </w:rPr>
        <w:t>Ccochaccasa</w:t>
      </w:r>
      <w:proofErr w:type="spellEnd"/>
      <w:r w:rsidRPr="004D2E4F">
        <w:rPr>
          <w:lang w:eastAsia="es-ES"/>
        </w:rPr>
        <w:t xml:space="preserve"> – </w:t>
      </w:r>
      <w:proofErr w:type="spellStart"/>
      <w:r w:rsidRPr="004D2E4F">
        <w:rPr>
          <w:lang w:eastAsia="es-ES"/>
        </w:rPr>
        <w:t>Angares</w:t>
      </w:r>
      <w:proofErr w:type="spellEnd"/>
      <w:r w:rsidRPr="004D2E4F">
        <w:rPr>
          <w:lang w:eastAsia="es-ES"/>
        </w:rPr>
        <w:t xml:space="preserve"> - Huancavelica a fin de obtener algún tipo de información sobre el paradero de Walter </w:t>
      </w:r>
      <w:proofErr w:type="spellStart"/>
      <w:r w:rsidRPr="004D2E4F">
        <w:rPr>
          <w:lang w:eastAsia="es-ES"/>
        </w:rPr>
        <w:t>Munárriz</w:t>
      </w:r>
      <w:proofErr w:type="spellEnd"/>
      <w:r w:rsidRPr="004D2E4F">
        <w:rPr>
          <w:lang w:eastAsia="es-ES"/>
        </w:rPr>
        <w:t xml:space="preserve"> Escobar”</w:t>
      </w:r>
      <w:r w:rsidRPr="00CD4FF9">
        <w:rPr>
          <w:rStyle w:val="FootnoteReference"/>
          <w:sz w:val="20"/>
          <w:szCs w:val="20"/>
          <w:lang w:eastAsia="es-ES"/>
        </w:rPr>
        <w:footnoteReference w:id="79"/>
      </w:r>
      <w:r w:rsidR="00B96AA0">
        <w:rPr>
          <w:lang w:eastAsia="es-ES"/>
        </w:rPr>
        <w:t xml:space="preserve">. </w:t>
      </w:r>
      <w:r w:rsidRPr="004D2E4F">
        <w:rPr>
          <w:lang w:eastAsia="es-ES"/>
        </w:rPr>
        <w:t>Además se recibieron declaraciones testimoniales</w:t>
      </w:r>
      <w:r w:rsidRPr="00CD4FF9">
        <w:rPr>
          <w:rStyle w:val="FootnoteReference"/>
          <w:sz w:val="20"/>
          <w:szCs w:val="20"/>
          <w:lang w:eastAsia="es-ES"/>
        </w:rPr>
        <w:footnoteReference w:id="80"/>
      </w:r>
      <w:r w:rsidRPr="004D2E4F">
        <w:rPr>
          <w:lang w:eastAsia="es-ES"/>
        </w:rPr>
        <w:t xml:space="preserve"> y se realizó una entrevista a Gladys Escobar </w:t>
      </w:r>
      <w:proofErr w:type="spellStart"/>
      <w:r w:rsidRPr="004D2E4F">
        <w:rPr>
          <w:lang w:val="es-ES_tradnl" w:eastAsia="es-ES"/>
        </w:rPr>
        <w:t>Candiotti</w:t>
      </w:r>
      <w:proofErr w:type="spellEnd"/>
      <w:r w:rsidRPr="00CD4FF9">
        <w:rPr>
          <w:rStyle w:val="FootnoteReference"/>
          <w:sz w:val="20"/>
          <w:szCs w:val="20"/>
          <w:lang w:val="es-ES_tradnl" w:eastAsia="es-ES"/>
        </w:rPr>
        <w:footnoteReference w:id="81"/>
      </w:r>
      <w:r w:rsidRPr="004D2E4F">
        <w:rPr>
          <w:lang w:val="es-ES_tradnl" w:eastAsia="es-ES"/>
        </w:rPr>
        <w:t xml:space="preserve">. El </w:t>
      </w:r>
      <w:r w:rsidR="008F379A">
        <w:rPr>
          <w:lang w:val="es-ES_tradnl" w:eastAsia="es-ES"/>
        </w:rPr>
        <w:t>25</w:t>
      </w:r>
      <w:r w:rsidRPr="004D2E4F">
        <w:rPr>
          <w:lang w:val="es-ES_tradnl" w:eastAsia="es-ES"/>
        </w:rPr>
        <w:t xml:space="preserve"> de enero de 2018 la fiscalía </w:t>
      </w:r>
      <w:r w:rsidR="008F379A">
        <w:rPr>
          <w:lang w:val="es-ES_tradnl" w:eastAsia="es-ES"/>
        </w:rPr>
        <w:t>dispuso el archivo provisional del caso</w:t>
      </w:r>
      <w:r w:rsidR="00781FEA">
        <w:rPr>
          <w:lang w:val="es-ES_tradnl" w:eastAsia="es-ES"/>
        </w:rPr>
        <w:t xml:space="preserve"> indicando que:</w:t>
      </w:r>
    </w:p>
    <w:p w14:paraId="2E1F140A" w14:textId="77777777" w:rsidR="00781FEA" w:rsidRPr="00023CE0" w:rsidRDefault="00781FEA" w:rsidP="009F7500">
      <w:pPr>
        <w:pStyle w:val="PrrafodeSentencia"/>
        <w:numPr>
          <w:ilvl w:val="0"/>
          <w:numId w:val="0"/>
        </w:numPr>
        <w:rPr>
          <w:sz w:val="18"/>
          <w:szCs w:val="18"/>
        </w:rPr>
      </w:pPr>
    </w:p>
    <w:p w14:paraId="0F33A5A6" w14:textId="2E0F62FD" w:rsidR="004D2E4F" w:rsidRPr="00023CE0" w:rsidRDefault="00781FEA" w:rsidP="004341BD">
      <w:pPr>
        <w:pStyle w:val="PrrafodeSentencia"/>
        <w:numPr>
          <w:ilvl w:val="0"/>
          <w:numId w:val="0"/>
        </w:numPr>
        <w:ind w:left="567" w:right="615"/>
        <w:rPr>
          <w:sz w:val="18"/>
          <w:szCs w:val="18"/>
        </w:rPr>
      </w:pPr>
      <w:r w:rsidRPr="00023CE0">
        <w:rPr>
          <w:sz w:val="18"/>
          <w:szCs w:val="18"/>
        </w:rPr>
        <w:t>[S]e ha</w:t>
      </w:r>
      <w:r w:rsidR="00B96AA0">
        <w:rPr>
          <w:sz w:val="18"/>
          <w:szCs w:val="18"/>
        </w:rPr>
        <w:t>[n]</w:t>
      </w:r>
      <w:r w:rsidRPr="00023CE0">
        <w:rPr>
          <w:sz w:val="18"/>
          <w:szCs w:val="18"/>
        </w:rPr>
        <w:t xml:space="preserve"> agotado las diligencias que se solicitaron practicar a fin de esclarecer los hechos materia de investigación, y al ser contrastados entre sí, no pueden otorgarnos indicios algunos de donde se pudiera ubicar la persona de Walter </w:t>
      </w:r>
      <w:proofErr w:type="spellStart"/>
      <w:r w:rsidRPr="00023CE0">
        <w:rPr>
          <w:sz w:val="18"/>
          <w:szCs w:val="18"/>
        </w:rPr>
        <w:t>Munárriz</w:t>
      </w:r>
      <w:proofErr w:type="spellEnd"/>
      <w:r w:rsidRPr="00023CE0">
        <w:rPr>
          <w:sz w:val="18"/>
          <w:szCs w:val="18"/>
        </w:rPr>
        <w:t xml:space="preserve"> Escobar, máxime si los hechos se suscitaron 18 años atrás y por el transcurso del tiempo algunos indicios pudieron haberse perdido</w:t>
      </w:r>
      <w:r w:rsidR="00690161" w:rsidRPr="00023CE0">
        <w:rPr>
          <w:rStyle w:val="FootnoteReference"/>
          <w:sz w:val="18"/>
          <w:szCs w:val="18"/>
          <w:lang w:val="es-ES_tradnl" w:eastAsia="es-ES"/>
        </w:rPr>
        <w:footnoteReference w:id="82"/>
      </w:r>
      <w:r w:rsidR="00690161" w:rsidRPr="00023CE0">
        <w:rPr>
          <w:sz w:val="18"/>
          <w:szCs w:val="18"/>
        </w:rPr>
        <w:t>.</w:t>
      </w:r>
    </w:p>
    <w:p w14:paraId="780BAB9D" w14:textId="77777777" w:rsidR="004D2E4F" w:rsidRPr="00CD4FF9" w:rsidRDefault="004D2E4F" w:rsidP="00EE5E64">
      <w:pPr>
        <w:pStyle w:val="ListParagraph"/>
        <w:tabs>
          <w:tab w:val="left" w:pos="567"/>
        </w:tabs>
        <w:ind w:left="0"/>
        <w:jc w:val="both"/>
        <w:rPr>
          <w:szCs w:val="20"/>
          <w:lang w:val="es-ES_tradnl" w:eastAsia="es-ES"/>
        </w:rPr>
      </w:pPr>
    </w:p>
    <w:p w14:paraId="49EEE2D2" w14:textId="2AB239F3" w:rsidR="008B186A" w:rsidRPr="004D6480" w:rsidRDefault="008F7660" w:rsidP="004D6480">
      <w:pPr>
        <w:pStyle w:val="Heading3"/>
        <w:tabs>
          <w:tab w:val="clear" w:pos="426"/>
          <w:tab w:val="left" w:pos="567"/>
        </w:tabs>
        <w:ind w:left="993"/>
      </w:pPr>
      <w:bookmarkStart w:id="201" w:name="_Toc526152700"/>
      <w:r>
        <w:t>B</w:t>
      </w:r>
      <w:r w:rsidR="004D2E4F" w:rsidRPr="00CD4FF9">
        <w:t xml:space="preserve">.4 Investigación realizada </w:t>
      </w:r>
      <w:r w:rsidR="008B186A">
        <w:t>en</w:t>
      </w:r>
      <w:r w:rsidR="004D2E4F" w:rsidRPr="00CD4FF9">
        <w:t xml:space="preserve"> la Defensoría del Pueblo</w:t>
      </w:r>
      <w:r w:rsidR="00231CFC">
        <w:t xml:space="preserve"> de Huancavelica</w:t>
      </w:r>
      <w:bookmarkEnd w:id="201"/>
    </w:p>
    <w:p w14:paraId="7DC126CE" w14:textId="4312D34E" w:rsidR="00690161" w:rsidRPr="0088348D" w:rsidRDefault="00690161" w:rsidP="0088348D">
      <w:pPr>
        <w:pStyle w:val="PrrafodeSentencia"/>
        <w:rPr>
          <w:lang w:val="es-ES_tradnl" w:eastAsia="es-ES"/>
        </w:rPr>
      </w:pPr>
      <w:r w:rsidRPr="004D2E4F">
        <w:t>Tras las denuncias realizadas (</w:t>
      </w:r>
      <w:r w:rsidRPr="004D2E4F">
        <w:rPr>
          <w:i/>
        </w:rPr>
        <w:t xml:space="preserve">supra </w:t>
      </w:r>
      <w:r w:rsidR="00D61FAB">
        <w:t>párr</w:t>
      </w:r>
      <w:r w:rsidRPr="004D2E4F">
        <w:t>.</w:t>
      </w:r>
      <w:r w:rsidR="00D61FAB">
        <w:t xml:space="preserve"> </w:t>
      </w:r>
      <w:r w:rsidR="00D61FAB">
        <w:fldChar w:fldCharType="begin"/>
      </w:r>
      <w:r w:rsidR="00D61FAB">
        <w:instrText xml:space="preserve"> REF _Ref524530943 \r \h </w:instrText>
      </w:r>
      <w:r w:rsidR="00D61FAB">
        <w:fldChar w:fldCharType="separate"/>
      </w:r>
      <w:r w:rsidR="00087178">
        <w:t>37</w:t>
      </w:r>
      <w:r w:rsidR="00D61FAB">
        <w:fldChar w:fldCharType="end"/>
      </w:r>
      <w:r w:rsidRPr="004D2E4F">
        <w:t xml:space="preserve">), el 24 de marzo de 1999 </w:t>
      </w:r>
      <w:r w:rsidR="008B186A">
        <w:t xml:space="preserve">se </w:t>
      </w:r>
      <w:r w:rsidRPr="004D2E4F">
        <w:t>inicia</w:t>
      </w:r>
      <w:r w:rsidR="008B186A">
        <w:t>ron</w:t>
      </w:r>
      <w:r w:rsidRPr="004D2E4F">
        <w:t xml:space="preserve"> las</w:t>
      </w:r>
      <w:r w:rsidRPr="004D2E4F">
        <w:rPr>
          <w:lang w:val="es-ES_tradnl" w:eastAsia="es-ES"/>
        </w:rPr>
        <w:t xml:space="preserve"> </w:t>
      </w:r>
      <w:r w:rsidRPr="004D2E4F">
        <w:t xml:space="preserve">investigaciones por la desaparición de Walter </w:t>
      </w:r>
      <w:proofErr w:type="spellStart"/>
      <w:r w:rsidRPr="004D2E4F">
        <w:t>Mun</w:t>
      </w:r>
      <w:r w:rsidR="0088348D">
        <w:t>á</w:t>
      </w:r>
      <w:r w:rsidRPr="004D2E4F">
        <w:t>rr</w:t>
      </w:r>
      <w:r w:rsidR="001D47C6">
        <w:t>iz</w:t>
      </w:r>
      <w:proofErr w:type="spellEnd"/>
      <w:r w:rsidR="001D47C6">
        <w:t xml:space="preserve"> Escobar</w:t>
      </w:r>
      <w:r w:rsidR="005F2B69" w:rsidRPr="005F2B69">
        <w:t xml:space="preserve"> </w:t>
      </w:r>
      <w:r w:rsidR="005F2B69">
        <w:t xml:space="preserve">dentro de </w:t>
      </w:r>
      <w:r w:rsidR="005F2B69" w:rsidRPr="004D2E4F">
        <w:t>la Defensoría del Pueblo de Huancavelica</w:t>
      </w:r>
      <w:r w:rsidR="001D47C6">
        <w:t>, realizando diversas</w:t>
      </w:r>
      <w:r w:rsidRPr="004D2E4F">
        <w:t xml:space="preserve"> diligencias</w:t>
      </w:r>
      <w:r w:rsidR="0084698D">
        <w:t>, incluyendo</w:t>
      </w:r>
      <w:r w:rsidRPr="004D2E4F">
        <w:t xml:space="preserve"> entrevistas a la madre del </w:t>
      </w:r>
      <w:r w:rsidRPr="004D2E4F">
        <w:lastRenderedPageBreak/>
        <w:t xml:space="preserve">desaparecido, a la dueña del Hotel “Los Manolos”, a efectivos policiales de la Comisaría de </w:t>
      </w:r>
      <w:proofErr w:type="spellStart"/>
      <w:r w:rsidRPr="004D2E4F">
        <w:t>Lircay</w:t>
      </w:r>
      <w:proofErr w:type="spellEnd"/>
      <w:r w:rsidRPr="004D2E4F">
        <w:t>, y otros; así como también la revisión del libro de ocurrencias</w:t>
      </w:r>
      <w:r w:rsidR="0084698D">
        <w:t xml:space="preserve"> de calle común</w:t>
      </w:r>
      <w:r w:rsidRPr="004D2E4F">
        <w:t xml:space="preserve"> y de registro y</w:t>
      </w:r>
      <w:r w:rsidRPr="0088348D">
        <w:rPr>
          <w:lang w:val="es-ES_tradnl" w:eastAsia="es-ES"/>
        </w:rPr>
        <w:t xml:space="preserve"> </w:t>
      </w:r>
      <w:r w:rsidRPr="004D2E4F">
        <w:t>control de detenidos</w:t>
      </w:r>
      <w:r w:rsidRPr="00C950D3">
        <w:rPr>
          <w:rStyle w:val="FootnoteReference"/>
          <w:sz w:val="20"/>
          <w:szCs w:val="20"/>
        </w:rPr>
        <w:footnoteReference w:id="83"/>
      </w:r>
      <w:r w:rsidRPr="004D2E4F">
        <w:t xml:space="preserve">. Dentro de la investigación </w:t>
      </w:r>
      <w:r w:rsidR="001F0E21">
        <w:t>en</w:t>
      </w:r>
      <w:r w:rsidRPr="004D2E4F">
        <w:t xml:space="preserve"> la Defensoría del Pueblo </w:t>
      </w:r>
      <w:r w:rsidR="008B186A">
        <w:t>se presentaron</w:t>
      </w:r>
      <w:r w:rsidRPr="004D2E4F">
        <w:t xml:space="preserve"> </w:t>
      </w:r>
      <w:r w:rsidR="00920A66">
        <w:t>seis</w:t>
      </w:r>
      <w:r w:rsidRPr="004D2E4F">
        <w:t xml:space="preserve"> informes</w:t>
      </w:r>
      <w:r w:rsidRPr="00C950D3">
        <w:rPr>
          <w:rStyle w:val="FootnoteReference"/>
          <w:sz w:val="20"/>
          <w:szCs w:val="20"/>
        </w:rPr>
        <w:footnoteReference w:id="84"/>
      </w:r>
      <w:r w:rsidR="008B186A">
        <w:t xml:space="preserve">. En el </w:t>
      </w:r>
      <w:r w:rsidRPr="004D2E4F">
        <w:t xml:space="preserve">informe </w:t>
      </w:r>
      <w:r w:rsidR="008B186A">
        <w:t xml:space="preserve">de 22 de abril de 1999 </w:t>
      </w:r>
      <w:r w:rsidRPr="004D2E4F">
        <w:t>se concluyó que:</w:t>
      </w:r>
    </w:p>
    <w:p w14:paraId="75FA99B4" w14:textId="77777777" w:rsidR="00690161" w:rsidRPr="005149F6" w:rsidRDefault="00690161" w:rsidP="00EE5E64">
      <w:pPr>
        <w:tabs>
          <w:tab w:val="left" w:pos="567"/>
        </w:tabs>
        <w:rPr>
          <w:rFonts w:cs="Cambria,Italic"/>
          <w:iCs/>
          <w:szCs w:val="20"/>
          <w:lang w:val="es-CR"/>
        </w:rPr>
      </w:pPr>
    </w:p>
    <w:p w14:paraId="29E78BBF" w14:textId="6939B226" w:rsidR="00690161" w:rsidRPr="00F8446F" w:rsidRDefault="00690161" w:rsidP="004341BD">
      <w:pPr>
        <w:pStyle w:val="ListParagraph"/>
        <w:numPr>
          <w:ilvl w:val="0"/>
          <w:numId w:val="11"/>
        </w:numPr>
        <w:tabs>
          <w:tab w:val="left" w:pos="993"/>
        </w:tabs>
        <w:ind w:left="567" w:right="616" w:firstLine="0"/>
        <w:contextualSpacing/>
        <w:jc w:val="both"/>
        <w:rPr>
          <w:rFonts w:cs="Cambria"/>
          <w:sz w:val="18"/>
          <w:szCs w:val="18"/>
          <w:lang w:val="es-CR"/>
        </w:rPr>
      </w:pPr>
      <w:r w:rsidRPr="00F8446F">
        <w:rPr>
          <w:rFonts w:cs="Cambria,Italic"/>
          <w:iCs/>
          <w:sz w:val="18"/>
          <w:szCs w:val="18"/>
          <w:lang w:val="es-CR"/>
        </w:rPr>
        <w:t xml:space="preserve">[…] Walter </w:t>
      </w:r>
      <w:proofErr w:type="spellStart"/>
      <w:r w:rsidRPr="00F8446F">
        <w:rPr>
          <w:rFonts w:cs="Cambria,Italic"/>
          <w:iCs/>
          <w:sz w:val="18"/>
          <w:szCs w:val="18"/>
          <w:lang w:val="es-CR"/>
        </w:rPr>
        <w:t>Munárriz</w:t>
      </w:r>
      <w:proofErr w:type="spellEnd"/>
      <w:r w:rsidRPr="00F8446F">
        <w:rPr>
          <w:rFonts w:cs="Cambria,Italic"/>
          <w:iCs/>
          <w:sz w:val="18"/>
          <w:szCs w:val="18"/>
          <w:lang w:val="es-CR"/>
        </w:rPr>
        <w:t xml:space="preserve"> Escobar, fue detenido arbitrariamente en la Comisaría [...] de </w:t>
      </w:r>
      <w:proofErr w:type="spellStart"/>
      <w:r w:rsidRPr="00F8446F">
        <w:rPr>
          <w:rFonts w:cs="Cambria,Italic"/>
          <w:iCs/>
          <w:sz w:val="18"/>
          <w:szCs w:val="18"/>
          <w:lang w:val="es-CR"/>
        </w:rPr>
        <w:t>Lircay</w:t>
      </w:r>
      <w:proofErr w:type="spellEnd"/>
      <w:r w:rsidRPr="00F8446F">
        <w:rPr>
          <w:rFonts w:cs="Cambria,Italic"/>
          <w:iCs/>
          <w:sz w:val="18"/>
          <w:szCs w:val="18"/>
          <w:lang w:val="es-CR"/>
        </w:rPr>
        <w:t xml:space="preserve"> - </w:t>
      </w:r>
      <w:proofErr w:type="spellStart"/>
      <w:r w:rsidRPr="00F8446F">
        <w:rPr>
          <w:rFonts w:cs="Cambria,Italic"/>
          <w:iCs/>
          <w:sz w:val="18"/>
          <w:szCs w:val="18"/>
          <w:lang w:val="es-CR"/>
        </w:rPr>
        <w:t>Angaraes</w:t>
      </w:r>
      <w:proofErr w:type="spellEnd"/>
      <w:r w:rsidRPr="00F8446F">
        <w:rPr>
          <w:rFonts w:cs="Cambria,Italic"/>
          <w:iCs/>
          <w:sz w:val="18"/>
          <w:szCs w:val="18"/>
          <w:lang w:val="es-CR"/>
        </w:rPr>
        <w:t>, el día 20/03/99; detención que no fue registrada en los libros de Ocurrencia de calle Común y en el Registro d</w:t>
      </w:r>
      <w:r w:rsidR="008F0271">
        <w:rPr>
          <w:rFonts w:cs="Cambria,Italic"/>
          <w:iCs/>
          <w:sz w:val="18"/>
          <w:szCs w:val="18"/>
          <w:lang w:val="es-CR"/>
        </w:rPr>
        <w:t>e</w:t>
      </w:r>
      <w:r w:rsidRPr="00F8446F">
        <w:rPr>
          <w:rFonts w:cs="Cambria,Italic"/>
          <w:iCs/>
          <w:sz w:val="18"/>
          <w:szCs w:val="18"/>
          <w:lang w:val="es-CR"/>
        </w:rPr>
        <w:t xml:space="preserve"> detenidos de dicha dependencia policial. </w:t>
      </w:r>
    </w:p>
    <w:p w14:paraId="32E8F3E2" w14:textId="2D57A6FA" w:rsidR="00690161" w:rsidRPr="00F8446F" w:rsidRDefault="00690161" w:rsidP="004341BD">
      <w:pPr>
        <w:pStyle w:val="ListParagraph"/>
        <w:numPr>
          <w:ilvl w:val="0"/>
          <w:numId w:val="11"/>
        </w:numPr>
        <w:tabs>
          <w:tab w:val="left" w:pos="993"/>
        </w:tabs>
        <w:ind w:left="567" w:right="616" w:firstLine="0"/>
        <w:contextualSpacing/>
        <w:jc w:val="both"/>
        <w:rPr>
          <w:rFonts w:cs="Cambria"/>
          <w:sz w:val="18"/>
          <w:szCs w:val="18"/>
          <w:lang w:val="es-CR"/>
        </w:rPr>
      </w:pPr>
      <w:r w:rsidRPr="00F8446F">
        <w:rPr>
          <w:rFonts w:cs="Cambria,Italic"/>
          <w:iCs/>
          <w:sz w:val="18"/>
          <w:szCs w:val="18"/>
          <w:lang w:val="es-CR"/>
        </w:rPr>
        <w:t xml:space="preserve">Durante su detención Walter </w:t>
      </w:r>
      <w:proofErr w:type="spellStart"/>
      <w:r w:rsidRPr="00F8446F">
        <w:rPr>
          <w:rFonts w:cs="Cambria,Italic"/>
          <w:iCs/>
          <w:sz w:val="18"/>
          <w:szCs w:val="18"/>
          <w:lang w:val="es-CR"/>
        </w:rPr>
        <w:t>Munárriz</w:t>
      </w:r>
      <w:proofErr w:type="spellEnd"/>
      <w:r w:rsidRPr="00F8446F">
        <w:rPr>
          <w:rFonts w:cs="Cambria,Italic"/>
          <w:iCs/>
          <w:sz w:val="18"/>
          <w:szCs w:val="18"/>
          <w:lang w:val="es-CR"/>
        </w:rPr>
        <w:t xml:space="preserve"> Escobar fue sometido a maltratos físicos y verbales por personal policial, estando identificados hasta el momento como sus presuntos </w:t>
      </w:r>
      <w:proofErr w:type="gramStart"/>
      <w:r w:rsidRPr="00F8446F">
        <w:rPr>
          <w:rFonts w:cs="Cambria,Italic"/>
          <w:iCs/>
          <w:sz w:val="18"/>
          <w:szCs w:val="18"/>
          <w:lang w:val="es-CR"/>
        </w:rPr>
        <w:t>agresores</w:t>
      </w:r>
      <w:r>
        <w:rPr>
          <w:rFonts w:cs="Cambria,Italic"/>
          <w:iCs/>
          <w:sz w:val="18"/>
          <w:szCs w:val="18"/>
          <w:lang w:val="es-CR"/>
        </w:rPr>
        <w:t>[</w:t>
      </w:r>
      <w:proofErr w:type="gramEnd"/>
      <w:r>
        <w:rPr>
          <w:rFonts w:cs="Cambria,Italic"/>
          <w:iCs/>
          <w:sz w:val="18"/>
          <w:szCs w:val="18"/>
          <w:lang w:val="es-CR"/>
        </w:rPr>
        <w:t xml:space="preserve">, el </w:t>
      </w:r>
      <w:r w:rsidRPr="00F8446F">
        <w:rPr>
          <w:rFonts w:cs="Cambria,Italic"/>
          <w:iCs/>
          <w:sz w:val="18"/>
          <w:szCs w:val="18"/>
          <w:lang w:val="es-CR"/>
        </w:rPr>
        <w:t>Alf</w:t>
      </w:r>
      <w:r w:rsidR="005A3EFB">
        <w:rPr>
          <w:rFonts w:cs="Cambria,Italic"/>
          <w:iCs/>
          <w:sz w:val="18"/>
          <w:szCs w:val="18"/>
          <w:lang w:val="es-CR"/>
        </w:rPr>
        <w:t>érez</w:t>
      </w:r>
      <w:r w:rsidRPr="00F8446F">
        <w:rPr>
          <w:rFonts w:cs="Cambria,Italic"/>
          <w:iCs/>
          <w:sz w:val="18"/>
          <w:szCs w:val="18"/>
          <w:lang w:val="es-CR"/>
        </w:rPr>
        <w:t xml:space="preserve"> d</w:t>
      </w:r>
      <w:r>
        <w:rPr>
          <w:rFonts w:cs="Cambria,Italic"/>
          <w:iCs/>
          <w:sz w:val="18"/>
          <w:szCs w:val="18"/>
          <w:lang w:val="es-CR"/>
        </w:rPr>
        <w:t>e</w:t>
      </w:r>
      <w:r w:rsidR="005A3EFB">
        <w:rPr>
          <w:rFonts w:cs="Cambria,Italic"/>
          <w:iCs/>
          <w:sz w:val="18"/>
          <w:szCs w:val="18"/>
          <w:lang w:val="es-CR"/>
        </w:rPr>
        <w:t xml:space="preserve"> la Policía Nacional del Perú y</w:t>
      </w:r>
      <w:r w:rsidR="00981EF0">
        <w:rPr>
          <w:rFonts w:cs="Cambria,Italic"/>
          <w:iCs/>
          <w:sz w:val="18"/>
          <w:szCs w:val="18"/>
          <w:lang w:val="es-CR"/>
        </w:rPr>
        <w:t xml:space="preserve"> </w:t>
      </w:r>
      <w:r w:rsidRPr="00F8446F">
        <w:rPr>
          <w:rFonts w:cs="Cambria,Italic"/>
          <w:iCs/>
          <w:sz w:val="18"/>
          <w:szCs w:val="18"/>
          <w:lang w:val="es-CR"/>
        </w:rPr>
        <w:t xml:space="preserve">dos </w:t>
      </w:r>
      <w:r>
        <w:rPr>
          <w:rFonts w:cs="Cambria,Italic"/>
          <w:iCs/>
          <w:sz w:val="18"/>
          <w:szCs w:val="18"/>
          <w:lang w:val="es-CR"/>
        </w:rPr>
        <w:t>suboficiales segundos]</w:t>
      </w:r>
      <w:r w:rsidRPr="00F8446F">
        <w:rPr>
          <w:rFonts w:cs="Cambria,Italic"/>
          <w:iCs/>
          <w:sz w:val="18"/>
          <w:szCs w:val="18"/>
          <w:lang w:val="es-CR"/>
        </w:rPr>
        <w:t>.</w:t>
      </w:r>
    </w:p>
    <w:p w14:paraId="2DE0E23F" w14:textId="77777777" w:rsidR="00690161" w:rsidRPr="00F8446F" w:rsidRDefault="00690161" w:rsidP="004341BD">
      <w:pPr>
        <w:pStyle w:val="ListParagraph"/>
        <w:numPr>
          <w:ilvl w:val="0"/>
          <w:numId w:val="11"/>
        </w:numPr>
        <w:tabs>
          <w:tab w:val="left" w:pos="993"/>
        </w:tabs>
        <w:ind w:left="567" w:right="616" w:firstLine="0"/>
        <w:contextualSpacing/>
        <w:jc w:val="both"/>
        <w:rPr>
          <w:rFonts w:cs="Cambria"/>
          <w:sz w:val="18"/>
          <w:szCs w:val="18"/>
          <w:lang w:val="es-CR"/>
        </w:rPr>
      </w:pPr>
      <w:r w:rsidRPr="00F8446F">
        <w:rPr>
          <w:rFonts w:cs="Cambria,Italic"/>
          <w:iCs/>
          <w:sz w:val="18"/>
          <w:szCs w:val="18"/>
          <w:lang w:val="es-CR"/>
        </w:rPr>
        <w:t xml:space="preserve">No está acreditado que el joven Walter </w:t>
      </w:r>
      <w:proofErr w:type="spellStart"/>
      <w:r w:rsidRPr="00F8446F">
        <w:rPr>
          <w:rFonts w:cs="Cambria,Italic"/>
          <w:iCs/>
          <w:sz w:val="18"/>
          <w:szCs w:val="18"/>
          <w:lang w:val="es-CR"/>
        </w:rPr>
        <w:t>Munárriz</w:t>
      </w:r>
      <w:proofErr w:type="spellEnd"/>
      <w:r w:rsidRPr="00F8446F">
        <w:rPr>
          <w:rFonts w:cs="Cambria,Italic"/>
          <w:iCs/>
          <w:sz w:val="18"/>
          <w:szCs w:val="18"/>
          <w:lang w:val="es-CR"/>
        </w:rPr>
        <w:t xml:space="preserve"> Escobar, luego de haber sido detenido haya sido puesto en libertad […].</w:t>
      </w:r>
    </w:p>
    <w:p w14:paraId="275446C2" w14:textId="3D104643" w:rsidR="00690161" w:rsidRPr="00F8446F" w:rsidRDefault="00690161" w:rsidP="004341BD">
      <w:pPr>
        <w:pStyle w:val="ListParagraph"/>
        <w:numPr>
          <w:ilvl w:val="0"/>
          <w:numId w:val="11"/>
        </w:numPr>
        <w:tabs>
          <w:tab w:val="left" w:pos="993"/>
        </w:tabs>
        <w:ind w:left="567" w:right="616" w:firstLine="0"/>
        <w:contextualSpacing/>
        <w:jc w:val="both"/>
        <w:rPr>
          <w:rFonts w:cs="Cambria"/>
          <w:sz w:val="18"/>
          <w:szCs w:val="18"/>
          <w:lang w:val="es-CR"/>
        </w:rPr>
      </w:pPr>
      <w:r w:rsidRPr="00F8446F">
        <w:rPr>
          <w:rFonts w:cs="Cambria,Italic"/>
          <w:iCs/>
          <w:sz w:val="18"/>
          <w:szCs w:val="18"/>
          <w:lang w:val="es-CR"/>
        </w:rPr>
        <w:t xml:space="preserve">Está probado que [una camioneta de la Policía Nacional], arribó al Puesto de Vigilancia del Campamento Minero de </w:t>
      </w:r>
      <w:proofErr w:type="spellStart"/>
      <w:r w:rsidRPr="00F8446F">
        <w:rPr>
          <w:rFonts w:cs="Cambria,Italic"/>
          <w:iCs/>
          <w:sz w:val="18"/>
          <w:szCs w:val="18"/>
          <w:lang w:val="es-CR"/>
        </w:rPr>
        <w:t>Julcani</w:t>
      </w:r>
      <w:proofErr w:type="spellEnd"/>
      <w:r w:rsidRPr="00F8446F">
        <w:rPr>
          <w:rFonts w:cs="Cambria,Italic"/>
          <w:iCs/>
          <w:sz w:val="18"/>
          <w:szCs w:val="18"/>
          <w:lang w:val="es-CR"/>
        </w:rPr>
        <w:t xml:space="preserve"> a las 7.25 a.m. del día 20/03/99, siendo atendidos en el comedor de dicha Mina cuatro efectivos policiales y no tres; conforme sostiene</w:t>
      </w:r>
      <w:r w:rsidR="00F74940">
        <w:rPr>
          <w:rFonts w:cs="Cambria,Italic"/>
          <w:iCs/>
          <w:sz w:val="18"/>
          <w:szCs w:val="18"/>
          <w:lang w:val="es-CR"/>
        </w:rPr>
        <w:t>n</w:t>
      </w:r>
      <w:r w:rsidRPr="00F8446F">
        <w:rPr>
          <w:rFonts w:cs="Cambria,Italic"/>
          <w:iCs/>
          <w:sz w:val="18"/>
          <w:szCs w:val="18"/>
          <w:lang w:val="es-CR"/>
        </w:rPr>
        <w:t xml:space="preserve"> [los oficiales, siendo el cuarto oficial presente, el Alf</w:t>
      </w:r>
      <w:r w:rsidR="005A3EFB">
        <w:rPr>
          <w:rFonts w:cs="Cambria,Italic"/>
          <w:iCs/>
          <w:sz w:val="18"/>
          <w:szCs w:val="18"/>
          <w:lang w:val="es-CR"/>
        </w:rPr>
        <w:t>é</w:t>
      </w:r>
      <w:r w:rsidRPr="00F8446F">
        <w:rPr>
          <w:rFonts w:cs="Cambria,Italic"/>
          <w:iCs/>
          <w:sz w:val="18"/>
          <w:szCs w:val="18"/>
          <w:lang w:val="es-CR"/>
        </w:rPr>
        <w:t>re</w:t>
      </w:r>
      <w:r w:rsidR="005A3EFB">
        <w:rPr>
          <w:rFonts w:cs="Cambria,Italic"/>
          <w:iCs/>
          <w:sz w:val="18"/>
          <w:szCs w:val="18"/>
          <w:lang w:val="es-CR"/>
        </w:rPr>
        <w:t xml:space="preserve">z </w:t>
      </w:r>
      <w:r w:rsidRPr="00F8446F">
        <w:rPr>
          <w:rFonts w:cs="Cambria,Italic"/>
          <w:iCs/>
          <w:sz w:val="18"/>
          <w:szCs w:val="18"/>
          <w:lang w:val="es-CR"/>
        </w:rPr>
        <w:t xml:space="preserve">de la Policía Nacional. Asimismo, en su trayecto al campamento] evitaron transitar por los puestos de vigilancia de las rutas de </w:t>
      </w:r>
      <w:proofErr w:type="spellStart"/>
      <w:r w:rsidRPr="00F8446F">
        <w:rPr>
          <w:rFonts w:cs="Cambria,Italic"/>
          <w:iCs/>
          <w:sz w:val="18"/>
          <w:szCs w:val="18"/>
          <w:lang w:val="es-CR"/>
        </w:rPr>
        <w:t>Julcani</w:t>
      </w:r>
      <w:proofErr w:type="spellEnd"/>
      <w:r w:rsidRPr="00F8446F">
        <w:rPr>
          <w:rFonts w:cs="Cambria,Italic"/>
          <w:iCs/>
          <w:sz w:val="18"/>
          <w:szCs w:val="18"/>
          <w:lang w:val="es-CR"/>
        </w:rPr>
        <w:t xml:space="preserve"> y Mimosa, para no registrar su salida; optando por viajar por una tercera vía poco transitable, que no cuenta con puesto de vigilancia; pero aún la más larga. […] </w:t>
      </w:r>
    </w:p>
    <w:p w14:paraId="672B38F8" w14:textId="77777777" w:rsidR="00690161" w:rsidRPr="00F8446F" w:rsidRDefault="00690161" w:rsidP="004341BD">
      <w:pPr>
        <w:pStyle w:val="ListParagraph"/>
        <w:numPr>
          <w:ilvl w:val="0"/>
          <w:numId w:val="11"/>
        </w:numPr>
        <w:tabs>
          <w:tab w:val="left" w:pos="993"/>
        </w:tabs>
        <w:ind w:left="567" w:right="616" w:firstLine="0"/>
        <w:contextualSpacing/>
        <w:jc w:val="both"/>
        <w:rPr>
          <w:rFonts w:cs="Cambria"/>
          <w:sz w:val="18"/>
          <w:szCs w:val="18"/>
          <w:lang w:val="es-CR"/>
        </w:rPr>
      </w:pPr>
      <w:r w:rsidRPr="00F8446F">
        <w:rPr>
          <w:rFonts w:cs="Cambria,Italic"/>
          <w:iCs/>
          <w:sz w:val="18"/>
          <w:szCs w:val="18"/>
          <w:lang w:val="es-CR"/>
        </w:rPr>
        <w:t xml:space="preserve">[S]e han vulnerado los derechos constitucionales a la Libertad y a la Seguridad Personal del estudiante Walter </w:t>
      </w:r>
      <w:proofErr w:type="spellStart"/>
      <w:r w:rsidRPr="00F8446F">
        <w:rPr>
          <w:rFonts w:cs="Cambria,Italic"/>
          <w:iCs/>
          <w:sz w:val="18"/>
          <w:szCs w:val="18"/>
          <w:lang w:val="es-CR"/>
        </w:rPr>
        <w:t>Munárriz</w:t>
      </w:r>
      <w:proofErr w:type="spellEnd"/>
      <w:r w:rsidRPr="00F8446F">
        <w:rPr>
          <w:rFonts w:cs="Cambria,Italic"/>
          <w:iCs/>
          <w:sz w:val="18"/>
          <w:szCs w:val="18"/>
          <w:lang w:val="es-CR"/>
        </w:rPr>
        <w:t xml:space="preserve"> Escobar, siendo los presuntos responsables [seis oficiales de policía] </w:t>
      </w:r>
    </w:p>
    <w:p w14:paraId="003580A7" w14:textId="77777777" w:rsidR="00690161" w:rsidRPr="00F8446F" w:rsidRDefault="00690161" w:rsidP="004341BD">
      <w:pPr>
        <w:pStyle w:val="ListParagraph"/>
        <w:numPr>
          <w:ilvl w:val="0"/>
          <w:numId w:val="12"/>
        </w:numPr>
        <w:tabs>
          <w:tab w:val="left" w:pos="993"/>
        </w:tabs>
        <w:ind w:left="567" w:right="616" w:firstLine="0"/>
        <w:contextualSpacing/>
        <w:jc w:val="both"/>
        <w:rPr>
          <w:rFonts w:cs="Cambria"/>
          <w:sz w:val="18"/>
          <w:szCs w:val="18"/>
          <w:lang w:val="es-CR"/>
        </w:rPr>
      </w:pPr>
      <w:r w:rsidRPr="00F8446F">
        <w:rPr>
          <w:rFonts w:cs="Cambria,Italic"/>
          <w:iCs/>
          <w:sz w:val="18"/>
          <w:szCs w:val="18"/>
          <w:lang w:val="es-CR"/>
        </w:rPr>
        <w:t>[E]n la investigación pre jurisdiccional de los hechos, la Fiscal [inicialmente a cargo] ha actuado con manifiesta negligencia en el ejercicio de sus funciones, en efecto no ha practicado diligencias como inspecciones oculares, recogimiento de huellas, vestigios en el local de la dependencia policial, no bien se conocieron los hechos; por el contrario ha adelantado juicio sobre sus investigaciones mostrando abierta parcialización con los implicados</w:t>
      </w:r>
      <w:r w:rsidRPr="00F8446F">
        <w:rPr>
          <w:rStyle w:val="FootnoteReference"/>
          <w:sz w:val="18"/>
          <w:szCs w:val="18"/>
          <w:lang w:val="es-CR"/>
        </w:rPr>
        <w:footnoteReference w:id="85"/>
      </w:r>
      <w:r w:rsidRPr="00F8446F">
        <w:rPr>
          <w:rFonts w:cs="Cambria"/>
          <w:sz w:val="18"/>
          <w:szCs w:val="18"/>
          <w:lang w:val="es-CR"/>
        </w:rPr>
        <w:t>.</w:t>
      </w:r>
    </w:p>
    <w:p w14:paraId="5B6391C2" w14:textId="77777777" w:rsidR="004D2E4F" w:rsidRDefault="004D2E4F" w:rsidP="00EE5E64">
      <w:pPr>
        <w:tabs>
          <w:tab w:val="left" w:pos="567"/>
        </w:tabs>
        <w:contextualSpacing/>
        <w:jc w:val="both"/>
        <w:rPr>
          <w:rFonts w:cs="Cambria"/>
          <w:szCs w:val="20"/>
          <w:lang w:val="es-CR"/>
        </w:rPr>
      </w:pPr>
    </w:p>
    <w:p w14:paraId="39B0DCF4" w14:textId="1F04FA7F" w:rsidR="00690161" w:rsidRPr="004D2E4F" w:rsidRDefault="00920A66" w:rsidP="009F7500">
      <w:pPr>
        <w:pStyle w:val="PrrafodeSentencia"/>
      </w:pPr>
      <w:r>
        <w:t xml:space="preserve">En el último informe, de </w:t>
      </w:r>
      <w:r w:rsidR="00690161" w:rsidRPr="004D2E4F">
        <w:t xml:space="preserve">8 de octubre de 1999 </w:t>
      </w:r>
      <w:r>
        <w:t>se</w:t>
      </w:r>
      <w:r w:rsidR="00690161" w:rsidRPr="004D2E4F">
        <w:t xml:space="preserve"> señala una serie de deficie</w:t>
      </w:r>
      <w:r>
        <w:t>ncias de la investigación penal, d</w:t>
      </w:r>
      <w:r w:rsidR="00690161" w:rsidRPr="004D2E4F">
        <w:t>estaca</w:t>
      </w:r>
      <w:r>
        <w:t xml:space="preserve">ndo </w:t>
      </w:r>
      <w:r w:rsidR="00690161" w:rsidRPr="004D2E4F">
        <w:t>que:</w:t>
      </w:r>
    </w:p>
    <w:p w14:paraId="51195102" w14:textId="77777777" w:rsidR="00690161" w:rsidRPr="00FD7AEC" w:rsidRDefault="00690161" w:rsidP="00EE5E64">
      <w:pPr>
        <w:pStyle w:val="ListParagraph"/>
        <w:tabs>
          <w:tab w:val="left" w:pos="567"/>
        </w:tabs>
        <w:ind w:left="0"/>
        <w:jc w:val="both"/>
        <w:rPr>
          <w:rFonts w:cs="Cambria"/>
          <w:szCs w:val="20"/>
          <w:lang w:val="es-CR"/>
        </w:rPr>
      </w:pPr>
    </w:p>
    <w:p w14:paraId="5345A7CC" w14:textId="77777777" w:rsidR="00690161" w:rsidRPr="00FD7AEC" w:rsidRDefault="00690161" w:rsidP="004341BD">
      <w:pPr>
        <w:tabs>
          <w:tab w:val="left" w:pos="993"/>
        </w:tabs>
        <w:autoSpaceDE w:val="0"/>
        <w:autoSpaceDN w:val="0"/>
        <w:adjustRightInd w:val="0"/>
        <w:ind w:left="567" w:right="616"/>
        <w:jc w:val="both"/>
        <w:rPr>
          <w:rFonts w:cs="Cambria,Italic"/>
          <w:iCs/>
          <w:sz w:val="18"/>
          <w:szCs w:val="18"/>
          <w:lang w:val="es-CR"/>
        </w:rPr>
      </w:pPr>
      <w:r w:rsidRPr="00FD7AEC">
        <w:rPr>
          <w:rFonts w:cs="Cambria,Italic"/>
          <w:iCs/>
          <w:sz w:val="18"/>
          <w:szCs w:val="18"/>
          <w:lang w:val="es-CR"/>
        </w:rPr>
        <w:t xml:space="preserve">Es indudable que como consecuencia de la actuación negligente y parcializada de la [Fiscal inicialmente encargada], los encausados han tenido acceso a las investigaciones </w:t>
      </w:r>
      <w:proofErr w:type="spellStart"/>
      <w:r w:rsidRPr="00FD7AEC">
        <w:rPr>
          <w:rFonts w:cs="Cambria,Italic"/>
          <w:iCs/>
          <w:sz w:val="18"/>
          <w:szCs w:val="18"/>
          <w:lang w:val="es-CR"/>
        </w:rPr>
        <w:t>prejurisdiccionales</w:t>
      </w:r>
      <w:proofErr w:type="spellEnd"/>
      <w:r w:rsidRPr="00FD7AEC">
        <w:rPr>
          <w:rFonts w:cs="Cambria,Italic"/>
          <w:iCs/>
          <w:sz w:val="18"/>
          <w:szCs w:val="18"/>
          <w:lang w:val="es-CR"/>
        </w:rPr>
        <w:t xml:space="preserve">, al </w:t>
      </w:r>
      <w:proofErr w:type="spellStart"/>
      <w:r w:rsidRPr="00FD7AEC">
        <w:rPr>
          <w:rFonts w:cs="Cambria,Italic"/>
          <w:iCs/>
          <w:sz w:val="18"/>
          <w:szCs w:val="18"/>
          <w:lang w:val="es-CR"/>
        </w:rPr>
        <w:t>recepcionarse</w:t>
      </w:r>
      <w:proofErr w:type="spellEnd"/>
      <w:r w:rsidRPr="00FD7AEC">
        <w:rPr>
          <w:rFonts w:cs="Cambria,Italic"/>
          <w:iCs/>
          <w:sz w:val="18"/>
          <w:szCs w:val="18"/>
          <w:lang w:val="es-CR"/>
        </w:rPr>
        <w:t xml:space="preserve"> las manifestaciones iniciales en la Jefatura Provincial </w:t>
      </w:r>
      <w:r w:rsidRPr="00FD7AEC">
        <w:rPr>
          <w:rFonts w:cs="Cambria,Italic"/>
          <w:iCs/>
          <w:sz w:val="18"/>
          <w:szCs w:val="18"/>
          <w:lang w:val="es-CR"/>
        </w:rPr>
        <w:lastRenderedPageBreak/>
        <w:t xml:space="preserve">[de la Policía], motivo por el cual al </w:t>
      </w:r>
      <w:r w:rsidRPr="00D8224F">
        <w:rPr>
          <w:rFonts w:cs="Cambria,Italic"/>
          <w:iCs/>
          <w:sz w:val="18"/>
          <w:szCs w:val="18"/>
          <w:lang w:val="es-CR"/>
        </w:rPr>
        <w:t>presentar sus instructivas, tratan de desvirtuar uniformemente los cargos formulados en su contra</w:t>
      </w:r>
      <w:r w:rsidRPr="00D8224F">
        <w:rPr>
          <w:rStyle w:val="FootnoteReference"/>
          <w:iCs/>
          <w:sz w:val="18"/>
          <w:szCs w:val="18"/>
          <w:lang w:val="es-CR"/>
        </w:rPr>
        <w:footnoteReference w:id="86"/>
      </w:r>
      <w:r w:rsidRPr="00D8224F">
        <w:rPr>
          <w:rFonts w:cs="Cambria,Italic"/>
          <w:iCs/>
          <w:sz w:val="18"/>
          <w:szCs w:val="18"/>
          <w:lang w:val="es-CR"/>
        </w:rPr>
        <w:t>.</w:t>
      </w:r>
    </w:p>
    <w:p w14:paraId="3243106E" w14:textId="77777777" w:rsidR="00690161" w:rsidRPr="00FD7AEC" w:rsidRDefault="00690161" w:rsidP="00EE5E64">
      <w:pPr>
        <w:tabs>
          <w:tab w:val="left" w:pos="567"/>
        </w:tabs>
        <w:autoSpaceDE w:val="0"/>
        <w:autoSpaceDN w:val="0"/>
        <w:adjustRightInd w:val="0"/>
        <w:ind w:right="616"/>
        <w:jc w:val="both"/>
        <w:rPr>
          <w:rFonts w:cs="Cambria,Italic"/>
          <w:iCs/>
          <w:sz w:val="18"/>
          <w:szCs w:val="18"/>
          <w:lang w:val="es-CR"/>
        </w:rPr>
      </w:pPr>
    </w:p>
    <w:p w14:paraId="51DA2533" w14:textId="2FA7C548" w:rsidR="00690161" w:rsidRPr="00E53C75" w:rsidRDefault="00690161" w:rsidP="009F7500">
      <w:pPr>
        <w:pStyle w:val="PrrafodeSentencia"/>
      </w:pPr>
      <w:r w:rsidRPr="00E2031F">
        <w:t xml:space="preserve">Señalaron además que no se habían </w:t>
      </w:r>
      <w:r w:rsidR="005A3EFB">
        <w:t>realizado diligencias</w:t>
      </w:r>
      <w:r w:rsidRPr="00E2031F">
        <w:t xml:space="preserve"> importantes</w:t>
      </w:r>
      <w:r w:rsidR="00023CE0">
        <w:t>, incluyendo</w:t>
      </w:r>
      <w:r w:rsidRPr="00E2031F">
        <w:t>: a)</w:t>
      </w:r>
      <w:r w:rsidR="00046794">
        <w:t xml:space="preserve"> </w:t>
      </w:r>
      <w:r w:rsidR="00046794" w:rsidRPr="00E2031F">
        <w:t>corrobora</w:t>
      </w:r>
      <w:r w:rsidR="00046794">
        <w:t>r</w:t>
      </w:r>
      <w:r w:rsidR="00046794" w:rsidRPr="00E2031F">
        <w:t xml:space="preserve"> la declaración de</w:t>
      </w:r>
      <w:r w:rsidR="00046794">
        <w:t xml:space="preserve"> un</w:t>
      </w:r>
      <w:r w:rsidR="00046794" w:rsidRPr="00E2031F">
        <w:t xml:space="preserve"> </w:t>
      </w:r>
      <w:r w:rsidR="00046794" w:rsidRPr="00C02EDB">
        <w:t xml:space="preserve">detenido que aseguró haber escuchado gritos en la </w:t>
      </w:r>
      <w:r w:rsidR="00046794">
        <w:t>comisaría;</w:t>
      </w:r>
      <w:r w:rsidR="00046794" w:rsidRPr="00E2031F">
        <w:t xml:space="preserve"> </w:t>
      </w:r>
      <w:r w:rsidRPr="00E2031F">
        <w:t xml:space="preserve">b) </w:t>
      </w:r>
      <w:r w:rsidR="00046794">
        <w:t xml:space="preserve">recabar </w:t>
      </w:r>
      <w:r w:rsidR="00046794" w:rsidRPr="00E2031F">
        <w:t>el testimonio de otra persona que se encontraba detenido la noche de la deten</w:t>
      </w:r>
      <w:r w:rsidR="00046794">
        <w:t xml:space="preserve">ción de Walter </w:t>
      </w:r>
      <w:proofErr w:type="spellStart"/>
      <w:r w:rsidR="00046794">
        <w:t>Munárriz</w:t>
      </w:r>
      <w:proofErr w:type="spellEnd"/>
      <w:r w:rsidR="00046794">
        <w:t xml:space="preserve"> Escobar</w:t>
      </w:r>
      <w:r w:rsidRPr="00C02EDB">
        <w:t>; c) realiza</w:t>
      </w:r>
      <w:r w:rsidR="00452C41">
        <w:t>r</w:t>
      </w:r>
      <w:r w:rsidRPr="00C02EDB">
        <w:t xml:space="preserve"> pericia mecánica ni recabado testimonio para corroborar el recorrido del vehículo policial que llegó a la </w:t>
      </w:r>
      <w:r w:rsidR="00B93505">
        <w:t>m</w:t>
      </w:r>
      <w:r w:rsidRPr="00C02EDB">
        <w:t xml:space="preserve">ina, ni realizado inspección judicial de </w:t>
      </w:r>
      <w:r w:rsidRPr="00E53C75">
        <w:t>los</w:t>
      </w:r>
      <w:r w:rsidR="00023CE0">
        <w:t xml:space="preserve"> </w:t>
      </w:r>
      <w:r w:rsidR="00452C41">
        <w:t>c</w:t>
      </w:r>
      <w:r w:rsidR="00023CE0">
        <w:t xml:space="preserve">ampamentos </w:t>
      </w:r>
      <w:r w:rsidR="00452C41">
        <w:t>m</w:t>
      </w:r>
      <w:r w:rsidR="00023CE0">
        <w:t>ineros</w:t>
      </w:r>
      <w:r w:rsidRPr="00E53C75">
        <w:rPr>
          <w:rStyle w:val="FootnoteReference"/>
          <w:iCs/>
          <w:sz w:val="20"/>
          <w:szCs w:val="20"/>
        </w:rPr>
        <w:footnoteReference w:id="87"/>
      </w:r>
      <w:r w:rsidRPr="00E53C75">
        <w:t>.</w:t>
      </w:r>
    </w:p>
    <w:p w14:paraId="38D1FC2E" w14:textId="77777777" w:rsidR="00690161" w:rsidRPr="00E53C75" w:rsidRDefault="00690161" w:rsidP="00EE5E64">
      <w:pPr>
        <w:pStyle w:val="ListParagraph"/>
        <w:tabs>
          <w:tab w:val="left" w:pos="567"/>
        </w:tabs>
        <w:ind w:left="0"/>
        <w:jc w:val="both"/>
        <w:rPr>
          <w:szCs w:val="20"/>
          <w:lang w:val="es-ES_tradnl" w:eastAsia="es-ES"/>
        </w:rPr>
      </w:pPr>
    </w:p>
    <w:p w14:paraId="068C9EFC" w14:textId="70392F5A" w:rsidR="00690161" w:rsidRPr="00E53C75" w:rsidRDefault="008F7660" w:rsidP="00016941">
      <w:pPr>
        <w:pStyle w:val="Heading3"/>
        <w:tabs>
          <w:tab w:val="clear" w:pos="426"/>
          <w:tab w:val="left" w:pos="567"/>
        </w:tabs>
        <w:ind w:left="993"/>
      </w:pPr>
      <w:bookmarkStart w:id="202" w:name="_Toc526152701"/>
      <w:r>
        <w:t>B</w:t>
      </w:r>
      <w:r w:rsidR="00690161" w:rsidRPr="00E53C75">
        <w:t>.5 Proceso Disciplinario</w:t>
      </w:r>
      <w:bookmarkEnd w:id="202"/>
    </w:p>
    <w:p w14:paraId="5BBBEB1C" w14:textId="4E2A9573" w:rsidR="00690161" w:rsidRDefault="00690161" w:rsidP="009F7500">
      <w:pPr>
        <w:pStyle w:val="PrrafodeSentencia"/>
      </w:pPr>
      <w:bookmarkStart w:id="203" w:name="_Ref517431698"/>
      <w:r w:rsidRPr="00E53C75">
        <w:t xml:space="preserve">Tras las investigaciones realizadas por la Policía Nacional, a solicitud de la Fiscal Provincial de </w:t>
      </w:r>
      <w:proofErr w:type="spellStart"/>
      <w:r w:rsidRPr="00E53C75">
        <w:t>Lircay</w:t>
      </w:r>
      <w:proofErr w:type="spellEnd"/>
      <w:r w:rsidRPr="00E53C75">
        <w:t xml:space="preserve"> (</w:t>
      </w:r>
      <w:r w:rsidRPr="00E53C75">
        <w:rPr>
          <w:i/>
        </w:rPr>
        <w:t xml:space="preserve">supra </w:t>
      </w:r>
      <w:r w:rsidRPr="00E53C75">
        <w:t xml:space="preserve">párr. </w:t>
      </w:r>
      <w:r w:rsidR="00F74940">
        <w:fldChar w:fldCharType="begin"/>
      </w:r>
      <w:r w:rsidR="00F74940">
        <w:instrText xml:space="preserve"> REF _Ref524531871 \r \h </w:instrText>
      </w:r>
      <w:r w:rsidR="00F74940">
        <w:fldChar w:fldCharType="separate"/>
      </w:r>
      <w:r w:rsidR="00087178">
        <w:t>40</w:t>
      </w:r>
      <w:r w:rsidR="00F74940">
        <w:fldChar w:fldCharType="end"/>
      </w:r>
      <w:r w:rsidRPr="00E53C75">
        <w:t xml:space="preserve">), </w:t>
      </w:r>
      <w:r w:rsidR="00F74940">
        <w:t>se</w:t>
      </w:r>
      <w:r>
        <w:t xml:space="preserve"> concluyó que: i) el Capitán de la Policía Nacional había incurri</w:t>
      </w:r>
      <w:r w:rsidR="005A3EFB">
        <w:t>do</w:t>
      </w:r>
      <w:r>
        <w:t xml:space="preserve"> en falta por negligencia al no exigirle a los oficiales a cargo a realizar el parte respectivo y cumplir con los procedimientos establecidos por la ley al momento de detener a Walter </w:t>
      </w:r>
      <w:proofErr w:type="spellStart"/>
      <w:r>
        <w:t>Munárriz</w:t>
      </w:r>
      <w:proofErr w:type="spellEnd"/>
      <w:r>
        <w:t xml:space="preserve"> Escobar; ii) dos suboficiales segundos incurrieron en falta contra la obediencia, uno por no realizar el parte respectivo y el otro por no exigir dicho parte al recibir a Walter </w:t>
      </w:r>
      <w:proofErr w:type="spellStart"/>
      <w:r>
        <w:t>Munárriz</w:t>
      </w:r>
      <w:proofErr w:type="spellEnd"/>
      <w:r>
        <w:t xml:space="preserve"> Escobar, y iii) el Alférez de la Policía Nacional incurrió en </w:t>
      </w:r>
      <w:r w:rsidRPr="00EA6FB2">
        <w:t xml:space="preserve">falta por abandono de servicio, al haberse ausentado sin causa justificada </w:t>
      </w:r>
      <w:r>
        <w:t xml:space="preserve">de su destacamento y haberse dirigido a </w:t>
      </w:r>
      <w:proofErr w:type="spellStart"/>
      <w:r>
        <w:t>Lircay</w:t>
      </w:r>
      <w:proofErr w:type="spellEnd"/>
      <w:r w:rsidRPr="00EA6FB2">
        <w:rPr>
          <w:rStyle w:val="FootnoteReference"/>
          <w:sz w:val="20"/>
          <w:szCs w:val="20"/>
          <w:lang w:val="es-ES_tradnl" w:eastAsia="es-ES"/>
        </w:rPr>
        <w:footnoteReference w:id="88"/>
      </w:r>
      <w:r w:rsidRPr="00EA6FB2">
        <w:t>.</w:t>
      </w:r>
      <w:r>
        <w:t xml:space="preserve"> Por dichos hechos se sancionó al </w:t>
      </w:r>
      <w:r w:rsidRPr="00286275">
        <w:t xml:space="preserve">Capitán y al Alférez </w:t>
      </w:r>
      <w:r>
        <w:t>a</w:t>
      </w:r>
      <w:r w:rsidRPr="00286275">
        <w:t xml:space="preserve"> seis días de arresto simple, </w:t>
      </w:r>
      <w:r>
        <w:t xml:space="preserve">y </w:t>
      </w:r>
      <w:r w:rsidRPr="00286275">
        <w:t xml:space="preserve">a los suboficiales segundos </w:t>
      </w:r>
      <w:r>
        <w:t>a</w:t>
      </w:r>
      <w:r w:rsidRPr="00286275">
        <w:t xml:space="preserve"> diez días de arresto simple</w:t>
      </w:r>
      <w:r w:rsidRPr="00EA6FB2">
        <w:rPr>
          <w:rStyle w:val="FootnoteReference"/>
          <w:sz w:val="20"/>
          <w:szCs w:val="20"/>
          <w:lang w:val="es-ES_tradnl" w:eastAsia="es-ES"/>
        </w:rPr>
        <w:footnoteReference w:id="89"/>
      </w:r>
      <w:r w:rsidRPr="00286275">
        <w:t>.</w:t>
      </w:r>
      <w:bookmarkEnd w:id="203"/>
    </w:p>
    <w:p w14:paraId="350DE5C9" w14:textId="77777777" w:rsidR="001100EA" w:rsidRDefault="001100EA" w:rsidP="00EE5E64">
      <w:pPr>
        <w:tabs>
          <w:tab w:val="left" w:pos="567"/>
        </w:tabs>
        <w:rPr>
          <w:lang w:val="es-CR" w:eastAsia="es-MX"/>
        </w:rPr>
      </w:pPr>
    </w:p>
    <w:p w14:paraId="54F7D0FD" w14:textId="77777777" w:rsidR="003D30F6" w:rsidRDefault="003D30F6" w:rsidP="00EE5E64">
      <w:pPr>
        <w:tabs>
          <w:tab w:val="left" w:pos="567"/>
        </w:tabs>
        <w:rPr>
          <w:lang w:val="es-CR" w:eastAsia="es-MX"/>
        </w:rPr>
      </w:pPr>
    </w:p>
    <w:p w14:paraId="464B22D3" w14:textId="33C60AF8" w:rsidR="001100EA" w:rsidRPr="00B5160D" w:rsidRDefault="001100EA" w:rsidP="00B5160D">
      <w:pPr>
        <w:pStyle w:val="Heading1"/>
        <w:tabs>
          <w:tab w:val="left" w:pos="567"/>
        </w:tabs>
        <w:spacing w:before="0"/>
        <w:jc w:val="center"/>
        <w:rPr>
          <w:szCs w:val="20"/>
        </w:rPr>
      </w:pPr>
      <w:bookmarkStart w:id="204" w:name="_Toc526152702"/>
      <w:r>
        <w:rPr>
          <w:szCs w:val="20"/>
        </w:rPr>
        <w:t>VIII</w:t>
      </w:r>
      <w:r w:rsidR="00B5160D">
        <w:rPr>
          <w:szCs w:val="20"/>
        </w:rPr>
        <w:br/>
      </w:r>
      <w:r>
        <w:t>FONDO</w:t>
      </w:r>
      <w:bookmarkEnd w:id="204"/>
    </w:p>
    <w:p w14:paraId="22C08F76" w14:textId="77777777" w:rsidR="001100EA" w:rsidRDefault="001100EA" w:rsidP="00EE5E64">
      <w:pPr>
        <w:tabs>
          <w:tab w:val="left" w:pos="567"/>
        </w:tabs>
        <w:rPr>
          <w:lang w:eastAsia="es-MX"/>
        </w:rPr>
      </w:pPr>
    </w:p>
    <w:p w14:paraId="42196030" w14:textId="77777777" w:rsidR="003D30F6" w:rsidRPr="001100EA" w:rsidRDefault="003D30F6" w:rsidP="00EE5E64">
      <w:pPr>
        <w:tabs>
          <w:tab w:val="left" w:pos="567"/>
        </w:tabs>
        <w:rPr>
          <w:lang w:eastAsia="es-MX"/>
        </w:rPr>
      </w:pPr>
    </w:p>
    <w:p w14:paraId="6273BCD3" w14:textId="730987EA" w:rsidR="00DA7299" w:rsidRPr="00EE6C61" w:rsidRDefault="00DA7299" w:rsidP="00DA7299">
      <w:pPr>
        <w:pStyle w:val="PrrafodeSentencia"/>
      </w:pPr>
      <w:r w:rsidRPr="00EE6C61">
        <w:t xml:space="preserve">En el presente caso, la Comisión y los representantes sostienen que la desaparición del señor </w:t>
      </w:r>
      <w:r>
        <w:t xml:space="preserve">Walter </w:t>
      </w:r>
      <w:proofErr w:type="spellStart"/>
      <w:r>
        <w:t>Munárriz</w:t>
      </w:r>
      <w:proofErr w:type="spellEnd"/>
      <w:r>
        <w:t xml:space="preserve"> Escobar</w:t>
      </w:r>
      <w:r w:rsidRPr="00EE6C61">
        <w:t xml:space="preserve"> </w:t>
      </w:r>
      <w:r w:rsidR="00395F27">
        <w:rPr>
          <w:rFonts w:eastAsia="Cambria" w:cs="Cambria"/>
          <w:spacing w:val="2"/>
        </w:rPr>
        <w:t>constituye</w:t>
      </w:r>
      <w:r w:rsidRPr="00EE6C61">
        <w:rPr>
          <w:rFonts w:eastAsia="Cambria" w:cs="Cambria"/>
          <w:spacing w:val="2"/>
        </w:rPr>
        <w:t xml:space="preserve"> una </w:t>
      </w:r>
      <w:r w:rsidRPr="00EE6C61">
        <w:t xml:space="preserve">desaparición forzada cometida por agentes estatales. </w:t>
      </w:r>
      <w:r>
        <w:t>E</w:t>
      </w:r>
      <w:r w:rsidRPr="00EE6C61">
        <w:t xml:space="preserve">l Estado enfatizó que no </w:t>
      </w:r>
      <w:r>
        <w:t xml:space="preserve">ocurrió una desaparición forzada, por lo que no es responsable internacionalmente. </w:t>
      </w:r>
      <w:r w:rsidRPr="00EE6C61">
        <w:t xml:space="preserve">Además, se </w:t>
      </w:r>
      <w:r w:rsidR="001D47C6">
        <w:t>encue</w:t>
      </w:r>
      <w:r w:rsidR="005A3EFB">
        <w:t>n</w:t>
      </w:r>
      <w:r w:rsidR="001D47C6">
        <w:t>tra</w:t>
      </w:r>
      <w:r w:rsidRPr="00EE6C61">
        <w:t xml:space="preserve"> en controversia si el Estado realizó una investigación completa y diligente y si es responsable por violaciones de derechos alegadas respecto de los familiares.</w:t>
      </w:r>
    </w:p>
    <w:p w14:paraId="3710FE19" w14:textId="77777777" w:rsidR="00DA7299" w:rsidRDefault="00DA7299" w:rsidP="00DA7299">
      <w:pPr>
        <w:pStyle w:val="PrrafodeSentencia"/>
        <w:numPr>
          <w:ilvl w:val="0"/>
          <w:numId w:val="0"/>
        </w:numPr>
      </w:pPr>
    </w:p>
    <w:p w14:paraId="516FBF87" w14:textId="6B171549" w:rsidR="00AF5FEB" w:rsidRPr="00375D66" w:rsidRDefault="00DD0E99" w:rsidP="009F7500">
      <w:pPr>
        <w:pStyle w:val="PrrafodeSentencia"/>
      </w:pPr>
      <w:r w:rsidRPr="008A002A">
        <w:t xml:space="preserve">De acuerdo a los alegatos de las partes y la Comisión, en el presente caso la Corte examinará, (1) la alegada desaparición forzada de </w:t>
      </w:r>
      <w:r>
        <w:t xml:space="preserve">Walter </w:t>
      </w:r>
      <w:proofErr w:type="spellStart"/>
      <w:r>
        <w:t>Munárriz</w:t>
      </w:r>
      <w:proofErr w:type="spellEnd"/>
      <w:r>
        <w:t xml:space="preserve"> Escobar</w:t>
      </w:r>
      <w:r w:rsidRPr="008A002A">
        <w:t>, (2) las alegadas violaciones a las garantías judiciales y a la protección judicial, y (3) la</w:t>
      </w:r>
      <w:r w:rsidR="00EE2E5F">
        <w:t xml:space="preserve"> alegada violación a la </w:t>
      </w:r>
      <w:r w:rsidRPr="008A002A">
        <w:t xml:space="preserve"> integridad personal de</w:t>
      </w:r>
      <w:r w:rsidR="00395F27">
        <w:t xml:space="preserve"> los</w:t>
      </w:r>
      <w:r w:rsidRPr="008A002A">
        <w:t xml:space="preserve"> familiares</w:t>
      </w:r>
      <w:r w:rsidR="00395F27">
        <w:t xml:space="preserve"> de Walter </w:t>
      </w:r>
      <w:proofErr w:type="spellStart"/>
      <w:r w:rsidR="00395F27">
        <w:t>Munárriz</w:t>
      </w:r>
      <w:proofErr w:type="spellEnd"/>
      <w:r w:rsidR="00395F27">
        <w:t xml:space="preserve"> Escobar</w:t>
      </w:r>
      <w:r w:rsidRPr="008A002A">
        <w:t>.</w:t>
      </w:r>
    </w:p>
    <w:p w14:paraId="70513379" w14:textId="77777777" w:rsidR="002E4A26" w:rsidRDefault="002E4A26" w:rsidP="00B5160D">
      <w:pPr>
        <w:pStyle w:val="Title"/>
        <w:tabs>
          <w:tab w:val="left" w:pos="567"/>
        </w:tabs>
        <w:outlineLvl w:val="9"/>
      </w:pPr>
    </w:p>
    <w:p w14:paraId="0BB2D4E6" w14:textId="77777777" w:rsidR="003D30F6" w:rsidRDefault="003D30F6" w:rsidP="003D30F6">
      <w:pPr>
        <w:rPr>
          <w:lang w:val="es-CR" w:eastAsia="es-ES"/>
        </w:rPr>
      </w:pPr>
    </w:p>
    <w:p w14:paraId="669E44E8" w14:textId="77777777" w:rsidR="003D30F6" w:rsidRDefault="003D30F6" w:rsidP="003D30F6">
      <w:pPr>
        <w:rPr>
          <w:lang w:val="es-CR" w:eastAsia="es-ES"/>
        </w:rPr>
      </w:pPr>
    </w:p>
    <w:p w14:paraId="60C671D0" w14:textId="77777777" w:rsidR="003D30F6" w:rsidRDefault="003D30F6" w:rsidP="003D30F6">
      <w:pPr>
        <w:rPr>
          <w:lang w:val="es-CR" w:eastAsia="es-ES"/>
        </w:rPr>
      </w:pPr>
    </w:p>
    <w:p w14:paraId="38092A3B" w14:textId="77777777" w:rsidR="003D30F6" w:rsidRPr="003D30F6" w:rsidRDefault="003D30F6" w:rsidP="003D30F6">
      <w:pPr>
        <w:rPr>
          <w:lang w:val="es-CR" w:eastAsia="es-ES"/>
        </w:rPr>
      </w:pPr>
    </w:p>
    <w:p w14:paraId="365BDB0A" w14:textId="77777777" w:rsidR="003D30F6" w:rsidRPr="003D30F6" w:rsidRDefault="003D30F6" w:rsidP="003D30F6">
      <w:pPr>
        <w:rPr>
          <w:lang w:val="es-CR" w:eastAsia="es-ES"/>
        </w:rPr>
      </w:pPr>
    </w:p>
    <w:p w14:paraId="78F3D410" w14:textId="204B292B" w:rsidR="007B43BB" w:rsidRPr="00B5160D" w:rsidRDefault="001100EA" w:rsidP="00B5160D">
      <w:pPr>
        <w:pStyle w:val="Title"/>
        <w:tabs>
          <w:tab w:val="left" w:pos="567"/>
        </w:tabs>
      </w:pPr>
      <w:bookmarkStart w:id="205" w:name="_Toc526152703"/>
      <w:r>
        <w:lastRenderedPageBreak/>
        <w:t>V</w:t>
      </w:r>
      <w:r w:rsidR="007B43BB" w:rsidRPr="007B43BB">
        <w:t>II</w:t>
      </w:r>
      <w:r>
        <w:t>I</w:t>
      </w:r>
      <w:r w:rsidR="007B43BB" w:rsidRPr="007B43BB">
        <w:t>.1</w:t>
      </w:r>
      <w:bookmarkStart w:id="206" w:name="_Toc469664507"/>
      <w:bookmarkStart w:id="207" w:name="_Toc469594935"/>
      <w:bookmarkStart w:id="208" w:name="_Toc469594569"/>
      <w:bookmarkStart w:id="209" w:name="_Toc469593482"/>
      <w:bookmarkStart w:id="210" w:name="_Toc469940952"/>
      <w:bookmarkStart w:id="211" w:name="_Toc479618051"/>
      <w:bookmarkStart w:id="212" w:name="_Toc480194693"/>
      <w:r w:rsidR="00B5160D">
        <w:br/>
      </w:r>
      <w:r w:rsidR="007B43BB" w:rsidRPr="007B43BB">
        <w:t xml:space="preserve">DESAPARICIÓN FORZADA DE </w:t>
      </w:r>
      <w:bookmarkEnd w:id="206"/>
      <w:bookmarkEnd w:id="207"/>
      <w:bookmarkEnd w:id="208"/>
      <w:bookmarkEnd w:id="209"/>
      <w:bookmarkEnd w:id="210"/>
      <w:bookmarkEnd w:id="211"/>
      <w:bookmarkEnd w:id="212"/>
      <w:r w:rsidR="007B43BB" w:rsidRPr="007B43BB">
        <w:t>WALTER MUNÁRRIZ ESCOBAR</w:t>
      </w:r>
      <w:bookmarkStart w:id="213" w:name="_Toc469664508"/>
      <w:bookmarkStart w:id="214" w:name="_Toc469594936"/>
      <w:bookmarkStart w:id="215" w:name="_Toc469940953"/>
      <w:bookmarkStart w:id="216" w:name="_Toc479618052"/>
      <w:bookmarkStart w:id="217" w:name="_Toc480194694"/>
      <w:r w:rsidR="00B5160D">
        <w:br/>
      </w:r>
      <w:r w:rsidR="007B43BB" w:rsidRPr="007B43BB">
        <w:t>DERECHOS A LA LIBERTAD PERSONAL</w:t>
      </w:r>
      <w:r w:rsidR="007B43BB" w:rsidRPr="007B43BB">
        <w:rPr>
          <w:rStyle w:val="FootnoteReference"/>
          <w:sz w:val="20"/>
        </w:rPr>
        <w:footnoteReference w:id="90"/>
      </w:r>
      <w:r w:rsidR="007B43BB" w:rsidRPr="007B43BB">
        <w:t>, INTEGRIDAD PERSONAL</w:t>
      </w:r>
      <w:r w:rsidR="007B43BB" w:rsidRPr="007B43BB">
        <w:rPr>
          <w:rStyle w:val="FootnoteReference"/>
          <w:sz w:val="20"/>
        </w:rPr>
        <w:footnoteReference w:id="91"/>
      </w:r>
      <w:r w:rsidR="007B43BB" w:rsidRPr="007B43BB">
        <w:t>, VIDA</w:t>
      </w:r>
      <w:r w:rsidR="007B43BB" w:rsidRPr="007B43BB">
        <w:rPr>
          <w:rStyle w:val="FootnoteReference"/>
          <w:sz w:val="20"/>
        </w:rPr>
        <w:footnoteReference w:id="92"/>
      </w:r>
      <w:r w:rsidR="007B43BB" w:rsidRPr="007B43BB">
        <w:t xml:space="preserve"> Y RECONOCIMIENTO DE LA PERSONALIDAD JURÍDICA</w:t>
      </w:r>
      <w:r w:rsidR="007B43BB" w:rsidRPr="007B43BB">
        <w:rPr>
          <w:rStyle w:val="FootnoteReference"/>
          <w:sz w:val="20"/>
        </w:rPr>
        <w:footnoteReference w:id="93"/>
      </w:r>
      <w:r w:rsidR="007B43BB" w:rsidRPr="007B43BB">
        <w:t>, EN RELACIÓN CON LA OBLIGACIÓN DE RESPETAR LOS DERECHOS</w:t>
      </w:r>
      <w:bookmarkEnd w:id="213"/>
      <w:bookmarkEnd w:id="214"/>
      <w:r w:rsidR="007B43BB" w:rsidRPr="007B43BB">
        <w:rPr>
          <w:rStyle w:val="FootnoteReference"/>
          <w:sz w:val="20"/>
        </w:rPr>
        <w:footnoteReference w:id="94"/>
      </w:r>
      <w:bookmarkEnd w:id="215"/>
      <w:bookmarkEnd w:id="216"/>
      <w:bookmarkEnd w:id="217"/>
      <w:bookmarkEnd w:id="205"/>
    </w:p>
    <w:p w14:paraId="3D1B5F3A" w14:textId="77777777" w:rsidR="007B43BB" w:rsidRPr="004075BC" w:rsidRDefault="007B43BB" w:rsidP="00EE5E64">
      <w:pPr>
        <w:tabs>
          <w:tab w:val="left" w:pos="567"/>
        </w:tabs>
        <w:rPr>
          <w:szCs w:val="20"/>
        </w:rPr>
      </w:pPr>
    </w:p>
    <w:p w14:paraId="5E20FFD2" w14:textId="77777777" w:rsidR="007B43BB" w:rsidRPr="004075BC" w:rsidRDefault="007B43BB" w:rsidP="001415AA">
      <w:pPr>
        <w:pStyle w:val="Heading2"/>
        <w:tabs>
          <w:tab w:val="left" w:pos="567"/>
        </w:tabs>
      </w:pPr>
      <w:bookmarkStart w:id="218" w:name="_Toc526152704"/>
      <w:r w:rsidRPr="004075BC">
        <w:t>Argumentos de la Comisión y las partes</w:t>
      </w:r>
      <w:bookmarkEnd w:id="218"/>
    </w:p>
    <w:p w14:paraId="04E7DA35" w14:textId="77777777" w:rsidR="007B43BB" w:rsidRPr="007B43BB" w:rsidRDefault="007B43BB" w:rsidP="00EE5E64">
      <w:pPr>
        <w:pStyle w:val="Footer"/>
        <w:tabs>
          <w:tab w:val="clear" w:pos="4320"/>
          <w:tab w:val="clear" w:pos="8640"/>
          <w:tab w:val="left" w:pos="567"/>
        </w:tabs>
        <w:rPr>
          <w:lang w:val="es-CR" w:eastAsia="es-MX"/>
        </w:rPr>
      </w:pPr>
    </w:p>
    <w:p w14:paraId="3CEFFAAD" w14:textId="710ABBD6" w:rsidR="00F60F74" w:rsidRPr="007B43BB" w:rsidRDefault="00F60F74" w:rsidP="009F7500">
      <w:pPr>
        <w:pStyle w:val="PrrafodeSentencia"/>
        <w:rPr>
          <w:lang w:val="es-ES_tradnl" w:eastAsia="es-ES"/>
        </w:rPr>
      </w:pPr>
      <w:r w:rsidRPr="007B43BB">
        <w:t xml:space="preserve"> La </w:t>
      </w:r>
      <w:r w:rsidRPr="007B43BB">
        <w:rPr>
          <w:b/>
          <w:i/>
        </w:rPr>
        <w:t>Comisión</w:t>
      </w:r>
      <w:r w:rsidRPr="007B43BB">
        <w:rPr>
          <w:rStyle w:val="CommentReference"/>
          <w:color w:val="000000" w:themeColor="text1"/>
          <w:sz w:val="20"/>
          <w:szCs w:val="20"/>
        </w:rPr>
        <w:t xml:space="preserve"> se</w:t>
      </w:r>
      <w:r w:rsidRPr="007B43BB">
        <w:t xml:space="preserve">ñaló que “no existe controversia sobre el hecho de que el 20 de marzo de 1999 Walter </w:t>
      </w:r>
      <w:proofErr w:type="spellStart"/>
      <w:r w:rsidRPr="007B43BB">
        <w:t>Munárriz</w:t>
      </w:r>
      <w:proofErr w:type="spellEnd"/>
      <w:r w:rsidRPr="007B43BB">
        <w:t xml:space="preserve"> Escobar fue detenido en el Hospedaje Los Manolos por personal policial y llevado a la Comisaría de </w:t>
      </w:r>
      <w:proofErr w:type="spellStart"/>
      <w:r w:rsidRPr="007B43BB">
        <w:t>Lircay</w:t>
      </w:r>
      <w:proofErr w:type="spellEnd"/>
      <w:r w:rsidRPr="007B43BB">
        <w:t>, donde estuvo privado de libertad”, por lo que el primer elemento constitutivo de la desaparición forzada, que es la privación de la libertad</w:t>
      </w:r>
      <w:r w:rsidR="00F166F4">
        <w:t>,</w:t>
      </w:r>
      <w:r w:rsidRPr="007B43BB">
        <w:t xml:space="preserve"> se encuentra satisfecho. La Comisión, sostuvo además, que le “corresponde al Estado demostrar su afirmación sobre la alegada liberación</w:t>
      </w:r>
      <w:r w:rsidR="007C491B">
        <w:t xml:space="preserve"> a</w:t>
      </w:r>
      <w:r w:rsidRPr="007B43BB">
        <w:t xml:space="preserve"> través de medios probatorios suficientes para desvirtuar la participación de agentes estatales en la desaparición y su correspondiente responsabilidad”. Asimismo, la Comisión consideró “que existen múltiples elementos circunstanciales que result</w:t>
      </w:r>
      <w:r w:rsidR="007C491B">
        <w:t>a</w:t>
      </w:r>
      <w:r w:rsidRPr="007B43BB">
        <w:t xml:space="preserve">n </w:t>
      </w:r>
      <w:r w:rsidRPr="007B43BB">
        <w:lastRenderedPageBreak/>
        <w:t>consistentes con la participación de agentes estatales e</w:t>
      </w:r>
      <w:r w:rsidR="00785857">
        <w:t>n</w:t>
      </w:r>
      <w:r w:rsidRPr="007B43BB">
        <w:t xml:space="preserve"> la desaparición de Walter </w:t>
      </w:r>
      <w:proofErr w:type="spellStart"/>
      <w:r w:rsidRPr="007B43BB">
        <w:t>Munárriz</w:t>
      </w:r>
      <w:proofErr w:type="spellEnd"/>
      <w:r w:rsidRPr="007B43BB">
        <w:t xml:space="preserve">”. Resaltó que la detención no fue registrada “en los libros de ocurrencia de calle común ni en el registro de detenidos de esa dependencia la detención de Walter </w:t>
      </w:r>
      <w:proofErr w:type="spellStart"/>
      <w:r w:rsidRPr="007B43BB">
        <w:t>Munárriz</w:t>
      </w:r>
      <w:proofErr w:type="spellEnd"/>
      <w:r w:rsidRPr="007B43BB">
        <w:t xml:space="preserve"> Escobar”. Además advirtió que la fiscalía se negó a investigar los hechos y que existen indicios sobre diversas formas de amenazas a algunos declarantes.</w:t>
      </w:r>
      <w:r w:rsidRPr="007B43BB">
        <w:rPr>
          <w:b/>
        </w:rPr>
        <w:t xml:space="preserve"> </w:t>
      </w:r>
    </w:p>
    <w:p w14:paraId="5D70A366" w14:textId="77777777" w:rsidR="00F60F74" w:rsidRPr="004075BC" w:rsidRDefault="00F60F74" w:rsidP="00EE5E64">
      <w:pPr>
        <w:pStyle w:val="ListParagraph"/>
        <w:tabs>
          <w:tab w:val="left" w:pos="567"/>
        </w:tabs>
        <w:ind w:left="0"/>
        <w:jc w:val="both"/>
        <w:rPr>
          <w:color w:val="000000" w:themeColor="text1"/>
          <w:szCs w:val="20"/>
        </w:rPr>
      </w:pPr>
    </w:p>
    <w:p w14:paraId="4539771E" w14:textId="0765DE85" w:rsidR="00F60F74" w:rsidRPr="001D47C6" w:rsidRDefault="00F60F74" w:rsidP="009F7500">
      <w:pPr>
        <w:pStyle w:val="PrrafodeSentencia"/>
      </w:pPr>
      <w:r w:rsidRPr="004075BC">
        <w:t xml:space="preserve">Los </w:t>
      </w:r>
      <w:r w:rsidRPr="004075BC">
        <w:rPr>
          <w:b/>
          <w:i/>
        </w:rPr>
        <w:t xml:space="preserve">representantes </w:t>
      </w:r>
      <w:r w:rsidRPr="004075BC">
        <w:t xml:space="preserve">señalaron que “existen indicios razonables de que </w:t>
      </w:r>
      <w:r w:rsidR="00C9195A">
        <w:t xml:space="preserve">en el presente caso [ocurrió] </w:t>
      </w:r>
      <w:r w:rsidRPr="004075BC">
        <w:t>una desaparición forzada de personas cometida por agentes</w:t>
      </w:r>
      <w:r w:rsidRPr="004075BC">
        <w:rPr>
          <w:color w:val="000000" w:themeColor="text1"/>
        </w:rPr>
        <w:t xml:space="preserve"> </w:t>
      </w:r>
      <w:r w:rsidRPr="004075BC">
        <w:t xml:space="preserve">estatales”. Resaltaron que “resulta indiferente a efectos de caracterizar la desaparición forzada de personas si la detención de </w:t>
      </w:r>
      <w:r w:rsidR="007C491B">
        <w:t xml:space="preserve">la </w:t>
      </w:r>
      <w:r w:rsidRPr="004075BC">
        <w:t xml:space="preserve">víctima fue legal o ilegal”, y en todo caso, al momento de la detención no existiría flagrancia ya que el señor </w:t>
      </w:r>
      <w:proofErr w:type="spellStart"/>
      <w:r w:rsidRPr="004075BC">
        <w:t>Munárriz</w:t>
      </w:r>
      <w:proofErr w:type="spellEnd"/>
      <w:r w:rsidRPr="004075BC">
        <w:t xml:space="preserve"> Escobar se encontraba fuera del </w:t>
      </w:r>
      <w:r w:rsidR="00DF1F3A">
        <w:t>hospedaje</w:t>
      </w:r>
      <w:r w:rsidR="00DD2A34">
        <w:t>.</w:t>
      </w:r>
      <w:r w:rsidRPr="004075BC">
        <w:t xml:space="preserve"> Asimismo, </w:t>
      </w:r>
      <w:r w:rsidRPr="001D47C6">
        <w:t xml:space="preserve">indicaron que “existen manifestaciones en el sentido de que Walter </w:t>
      </w:r>
      <w:proofErr w:type="spellStart"/>
      <w:r w:rsidRPr="001D47C6">
        <w:t>Mun</w:t>
      </w:r>
      <w:r w:rsidR="0088348D" w:rsidRPr="001D47C6">
        <w:t>á</w:t>
      </w:r>
      <w:r w:rsidRPr="001D47C6">
        <w:t>rriz</w:t>
      </w:r>
      <w:proofErr w:type="spellEnd"/>
      <w:r w:rsidRPr="001D47C6">
        <w:t xml:space="preserve"> Escobar fue sometido a malos tratos físicos y verbales mientras se encontraba detenido en la Comisaría de </w:t>
      </w:r>
      <w:proofErr w:type="spellStart"/>
      <w:r w:rsidRPr="001D47C6">
        <w:t>Lircay</w:t>
      </w:r>
      <w:proofErr w:type="spellEnd"/>
      <w:r w:rsidRPr="001D47C6">
        <w:t>”. Por tanto, solicitaron que se declare la</w:t>
      </w:r>
      <w:r w:rsidR="00046794">
        <w:t xml:space="preserve"> violación de “los artículos 3</w:t>
      </w:r>
      <w:r w:rsidRPr="001D47C6">
        <w:t xml:space="preserve">, 4.1, 5.1, 5.2 y 7 de la Convención Americana, el artículo </w:t>
      </w:r>
      <w:proofErr w:type="spellStart"/>
      <w:r w:rsidRPr="001D47C6">
        <w:t>I.a</w:t>
      </w:r>
      <w:proofErr w:type="spellEnd"/>
      <w:r w:rsidRPr="001D47C6">
        <w:t xml:space="preserve">) de la Convención Interamericana sobre Desaparición Forzada de Personas y los artículos 1 y 6 de la Convención Interamericana para Prevenir y Sancionar la Tortura, en perjuicio de Walter </w:t>
      </w:r>
      <w:proofErr w:type="spellStart"/>
      <w:r w:rsidRPr="001D47C6">
        <w:t>Mun</w:t>
      </w:r>
      <w:r w:rsidR="0088348D" w:rsidRPr="001D47C6">
        <w:t>á</w:t>
      </w:r>
      <w:r w:rsidRPr="001D47C6">
        <w:t>rriz</w:t>
      </w:r>
      <w:proofErr w:type="spellEnd"/>
      <w:r w:rsidRPr="001D47C6">
        <w:t xml:space="preserve"> Escobar”. </w:t>
      </w:r>
    </w:p>
    <w:p w14:paraId="489B856D" w14:textId="77777777" w:rsidR="00F60F74" w:rsidRPr="001D47C6" w:rsidRDefault="00F60F74" w:rsidP="00EE5E64">
      <w:pPr>
        <w:pStyle w:val="ListParagraph"/>
        <w:tabs>
          <w:tab w:val="left" w:pos="567"/>
        </w:tabs>
        <w:ind w:left="0"/>
        <w:jc w:val="both"/>
        <w:rPr>
          <w:szCs w:val="20"/>
        </w:rPr>
      </w:pPr>
    </w:p>
    <w:p w14:paraId="31D6542B" w14:textId="7F4EBE9B" w:rsidR="007B43BB" w:rsidRPr="004F1606" w:rsidRDefault="00F60F74" w:rsidP="004F1606">
      <w:pPr>
        <w:pStyle w:val="PrrafodeSentencia"/>
        <w:rPr>
          <w:b/>
        </w:rPr>
      </w:pPr>
      <w:r w:rsidRPr="001D47C6">
        <w:t xml:space="preserve">El </w:t>
      </w:r>
      <w:r w:rsidRPr="001D47C6">
        <w:rPr>
          <w:b/>
          <w:i/>
        </w:rPr>
        <w:t xml:space="preserve">Estado </w:t>
      </w:r>
      <w:r w:rsidR="00884F48" w:rsidRPr="001D47C6">
        <w:t>alegó que</w:t>
      </w:r>
      <w:r w:rsidR="006B6A4E">
        <w:t>,</w:t>
      </w:r>
      <w:r w:rsidR="00884F48" w:rsidRPr="001D47C6">
        <w:t xml:space="preserve"> “al no existir contexto aplicable, no se puede presumir que la alegación de liberación del señor </w:t>
      </w:r>
      <w:proofErr w:type="spellStart"/>
      <w:r w:rsidR="00884F48" w:rsidRPr="001D47C6">
        <w:t>Munárriz</w:t>
      </w:r>
      <w:proofErr w:type="spellEnd"/>
      <w:r w:rsidR="00884F48" w:rsidRPr="001D47C6">
        <w:t xml:space="preserve"> Escobar sea un patrón seguido por el Estado peruano para encubrir una </w:t>
      </w:r>
      <w:r w:rsidR="00884F48">
        <w:t>desaparición forzada</w:t>
      </w:r>
      <w:r w:rsidR="00884F48" w:rsidRPr="0068724F">
        <w:t xml:space="preserve">”. </w:t>
      </w:r>
      <w:r w:rsidR="00196562" w:rsidRPr="00196562">
        <w:t>El Estado</w:t>
      </w:r>
      <w:r w:rsidR="00196562">
        <w:rPr>
          <w:b/>
        </w:rPr>
        <w:t xml:space="preserve"> </w:t>
      </w:r>
      <w:r w:rsidR="00196562">
        <w:t>s</w:t>
      </w:r>
      <w:r w:rsidRPr="0068724F">
        <w:t>e remitió a los hechos probados por la sentencia de 25 de mayo de 2004 y solicitó a la Corte que</w:t>
      </w:r>
      <w:r w:rsidRPr="004075BC">
        <w:t xml:space="preserve"> “no se aparte de lo ya esclarecido y establecido por los órganos jurisdiccionales penales nacionales”.</w:t>
      </w:r>
      <w:r w:rsidRPr="004075BC">
        <w:rPr>
          <w:b/>
        </w:rPr>
        <w:t xml:space="preserve"> </w:t>
      </w:r>
      <w:r w:rsidRPr="004075BC">
        <w:t xml:space="preserve">Al respecto, el Estado destacó que Walter </w:t>
      </w:r>
      <w:proofErr w:type="spellStart"/>
      <w:r w:rsidRPr="004075BC">
        <w:t>Munárriz</w:t>
      </w:r>
      <w:proofErr w:type="spellEnd"/>
      <w:r w:rsidRPr="004075BC">
        <w:t xml:space="preserve"> Escobar fue detenido sin ningún tipo de violencia física o mental, “[n]o se siguió el procedimiento policial, [ya que] el parte se hizo con fecha posterior”, y que su </w:t>
      </w:r>
      <w:r w:rsidR="004F1606">
        <w:t>“</w:t>
      </w:r>
      <w:r w:rsidRPr="004075BC">
        <w:t xml:space="preserve">desaparición </w:t>
      </w:r>
      <w:r w:rsidR="004F1606">
        <w:t xml:space="preserve">[…] </w:t>
      </w:r>
      <w:r w:rsidRPr="004075BC">
        <w:t>no fue catalogada como desaparición forzada en sede interna”. Por lo que no existió una violación de los artículos 3, 4, 5 y 7 de la Convención Americana.</w:t>
      </w:r>
      <w:r w:rsidRPr="004075BC">
        <w:rPr>
          <w:b/>
        </w:rPr>
        <w:t xml:space="preserve"> </w:t>
      </w:r>
      <w:r w:rsidRPr="004075BC">
        <w:t>Respecto a la detención, destacó que “no fue arbitraria sino que fue a consecuencia de flagrante delito del cual hubo testigos y en el que intervino la autoridad policial”. Respecto a la integridad personal, indicó que</w:t>
      </w:r>
      <w:r w:rsidR="00785857">
        <w:t xml:space="preserve"> en el caso de</w:t>
      </w:r>
      <w:r w:rsidRPr="004075BC">
        <w:t xml:space="preserve"> Walter </w:t>
      </w:r>
      <w:proofErr w:type="spellStart"/>
      <w:r w:rsidRPr="004075BC">
        <w:t>Munárriz</w:t>
      </w:r>
      <w:proofErr w:type="spellEnd"/>
      <w:r w:rsidRPr="004075BC">
        <w:t xml:space="preserve"> Escobar no existió aislamiento y que no se ha “demostrado que la permanencia o el aislamiento del señor </w:t>
      </w:r>
      <w:proofErr w:type="spellStart"/>
      <w:r w:rsidRPr="004075BC">
        <w:t>Munárriz</w:t>
      </w:r>
      <w:proofErr w:type="spellEnd"/>
      <w:r w:rsidRPr="004075BC">
        <w:t xml:space="preserve"> en la comisaría citada haya sido prolongada”. Por último, respecto al derecho a la personalidad jurídica indicó que “no puede afirmarse que existe una suerte de limbo o situación de indeterminación jurídica en el presente caso, pues, efectivamente el señor </w:t>
      </w:r>
      <w:proofErr w:type="spellStart"/>
      <w:r w:rsidRPr="004075BC">
        <w:t>Munárriz</w:t>
      </w:r>
      <w:proofErr w:type="spellEnd"/>
      <w:r w:rsidRPr="004075BC">
        <w:t xml:space="preserve"> tiene la condición de </w:t>
      </w:r>
      <w:r w:rsidR="00473B31">
        <w:t>desaparecido y en base a ello</w:t>
      </w:r>
      <w:r w:rsidRPr="004075BC">
        <w:t xml:space="preserve"> puede</w:t>
      </w:r>
      <w:r w:rsidR="00C9195A">
        <w:t>[n]</w:t>
      </w:r>
      <w:r w:rsidRPr="004075BC">
        <w:t xml:space="preserve"> iniciarse acciones necesarias para la regulación de su situación jurídica”. </w:t>
      </w:r>
      <w:bookmarkStart w:id="219" w:name="_Ref469938481"/>
    </w:p>
    <w:p w14:paraId="54FC7CA8" w14:textId="77777777" w:rsidR="007B43BB" w:rsidRDefault="007B43BB" w:rsidP="00EE5E64">
      <w:pPr>
        <w:tabs>
          <w:tab w:val="left" w:pos="567"/>
        </w:tabs>
        <w:rPr>
          <w:lang w:val="es-CR" w:eastAsia="es-MX"/>
        </w:rPr>
      </w:pPr>
    </w:p>
    <w:p w14:paraId="4AF8C509" w14:textId="643BB5C6" w:rsidR="007B43BB" w:rsidRPr="007B43BB" w:rsidRDefault="007B43BB" w:rsidP="00EE5E64">
      <w:pPr>
        <w:pStyle w:val="Heading2"/>
        <w:numPr>
          <w:ilvl w:val="0"/>
          <w:numId w:val="0"/>
        </w:numPr>
        <w:tabs>
          <w:tab w:val="left" w:pos="567"/>
        </w:tabs>
        <w:ind w:left="567"/>
      </w:pPr>
      <w:bookmarkStart w:id="220" w:name="_Toc469594938"/>
      <w:bookmarkStart w:id="221" w:name="_Toc480194696"/>
      <w:bookmarkStart w:id="222" w:name="_Toc526152705"/>
      <w:r>
        <w:t xml:space="preserve">B.  </w:t>
      </w:r>
      <w:r w:rsidRPr="007B43BB">
        <w:t>Consideraciones de la Corte</w:t>
      </w:r>
      <w:bookmarkEnd w:id="220"/>
      <w:bookmarkEnd w:id="221"/>
      <w:bookmarkEnd w:id="222"/>
    </w:p>
    <w:p w14:paraId="1F564098" w14:textId="77777777" w:rsidR="007B43BB" w:rsidRPr="007B43BB" w:rsidRDefault="007B43BB" w:rsidP="00EE5E64">
      <w:pPr>
        <w:tabs>
          <w:tab w:val="left" w:pos="567"/>
        </w:tabs>
        <w:rPr>
          <w:lang w:val="es-CR" w:eastAsia="es-MX"/>
        </w:rPr>
      </w:pPr>
    </w:p>
    <w:p w14:paraId="390C9BD9" w14:textId="1188D265" w:rsidR="00F60F74" w:rsidRPr="0077409E" w:rsidRDefault="00F60F74" w:rsidP="009F7500">
      <w:pPr>
        <w:pStyle w:val="PrrafodeSentencia"/>
      </w:pPr>
      <w:bookmarkStart w:id="223" w:name="_Ref522527104"/>
      <w:r w:rsidRPr="007B43BB">
        <w:t xml:space="preserve">En el presente caso, no existe controversia sobre que el 20 de marzo de 1999 el señor </w:t>
      </w:r>
      <w:proofErr w:type="spellStart"/>
      <w:r w:rsidRPr="007B43BB">
        <w:t>Munárriz</w:t>
      </w:r>
      <w:proofErr w:type="spellEnd"/>
      <w:r w:rsidRPr="007B43BB">
        <w:t xml:space="preserve"> Escobar fue detenido </w:t>
      </w:r>
      <w:r w:rsidR="00FD237D">
        <w:t xml:space="preserve">y conducido a </w:t>
      </w:r>
      <w:r w:rsidRPr="007B43BB">
        <w:t xml:space="preserve">la Comisaría de </w:t>
      </w:r>
      <w:proofErr w:type="spellStart"/>
      <w:r w:rsidRPr="007B43BB">
        <w:t>Lircay</w:t>
      </w:r>
      <w:proofErr w:type="spellEnd"/>
      <w:r w:rsidRPr="007B43BB">
        <w:t xml:space="preserve"> y que desde esa fecha se desconoce su paradero. </w:t>
      </w:r>
      <w:bookmarkStart w:id="224" w:name="_Ref478631264"/>
      <w:bookmarkEnd w:id="219"/>
      <w:r w:rsidRPr="007B43BB">
        <w:rPr>
          <w:spacing w:val="-2"/>
        </w:rPr>
        <w:t xml:space="preserve">Al respecto, la Corte recuerda que la desaparición de una persona, porque no se conoce su paradero, </w:t>
      </w:r>
      <w:r w:rsidRPr="0077409E">
        <w:rPr>
          <w:spacing w:val="-2"/>
        </w:rPr>
        <w:t>no es lo mismo que una desaparición forzada</w:t>
      </w:r>
      <w:r w:rsidRPr="0077409E">
        <w:rPr>
          <w:rFonts w:eastAsia="Times New Roman"/>
          <w:vertAlign w:val="superscript"/>
          <w:lang w:eastAsia="es-CR"/>
        </w:rPr>
        <w:footnoteReference w:id="95"/>
      </w:r>
      <w:r w:rsidRPr="0077409E">
        <w:rPr>
          <w:spacing w:val="-2"/>
        </w:rPr>
        <w:t>.</w:t>
      </w:r>
      <w:r w:rsidRPr="0077409E">
        <w:t xml:space="preserve"> La desaparición forzada de personas es una violación de derechos humanos constituida por tres elementos concurrentes: a) la privación de la libertad; b) la intervención directa de agentes </w:t>
      </w:r>
      <w:r w:rsidRPr="0077409E">
        <w:lastRenderedPageBreak/>
        <w:t>estatales o la aquiescencia de estos, y c) la negativa de reconocer la detención y de revelar la suerte o el paradero de la persona interesada</w:t>
      </w:r>
      <w:r w:rsidRPr="0077409E">
        <w:rPr>
          <w:rStyle w:val="FootnoteReference"/>
          <w:spacing w:val="0"/>
          <w:sz w:val="20"/>
        </w:rPr>
        <w:footnoteReference w:id="96"/>
      </w:r>
      <w:r w:rsidRPr="0077409E">
        <w:t>.</w:t>
      </w:r>
      <w:bookmarkEnd w:id="223"/>
      <w:bookmarkEnd w:id="224"/>
      <w:r w:rsidRPr="0077409E">
        <w:t xml:space="preserve"> </w:t>
      </w:r>
    </w:p>
    <w:p w14:paraId="33C3A834" w14:textId="77777777" w:rsidR="00F60F74" w:rsidRPr="0077409E" w:rsidRDefault="00F60F74" w:rsidP="00111CC9">
      <w:pPr>
        <w:tabs>
          <w:tab w:val="left" w:pos="567"/>
        </w:tabs>
        <w:rPr>
          <w:szCs w:val="20"/>
          <w:lang w:eastAsia="es-MX"/>
        </w:rPr>
      </w:pPr>
    </w:p>
    <w:p w14:paraId="74189A98" w14:textId="6CFC07FE" w:rsidR="00F60F74" w:rsidRPr="004075BC" w:rsidRDefault="00F60F74" w:rsidP="009F7500">
      <w:pPr>
        <w:pStyle w:val="PrrafodeSentencia"/>
        <w:rPr>
          <w:lang w:eastAsia="es-CR"/>
        </w:rPr>
      </w:pPr>
      <w:r w:rsidRPr="0077409E">
        <w:rPr>
          <w:lang w:val="es-CO"/>
        </w:rPr>
        <w:t>En virtud de lo anterior,</w:t>
      </w:r>
      <w:r w:rsidRPr="0077409E">
        <w:rPr>
          <w:rFonts w:eastAsia="Calibri" w:cs="Times New Roman"/>
          <w:lang w:eastAsia="en-US"/>
        </w:rPr>
        <w:t xml:space="preserve"> </w:t>
      </w:r>
      <w:r w:rsidRPr="0077409E">
        <w:t>la C</w:t>
      </w:r>
      <w:r w:rsidR="00C9195A" w:rsidRPr="0077409E">
        <w:t>orte analizará si lo sucedido a</w:t>
      </w:r>
      <w:r w:rsidRPr="0077409E">
        <w:t xml:space="preserve"> </w:t>
      </w:r>
      <w:r w:rsidRPr="0077409E">
        <w:rPr>
          <w:lang w:val="es-CO"/>
        </w:rPr>
        <w:t xml:space="preserve">Walter </w:t>
      </w:r>
      <w:proofErr w:type="spellStart"/>
      <w:r w:rsidRPr="0077409E">
        <w:rPr>
          <w:lang w:val="es-CO"/>
        </w:rPr>
        <w:t>Munárriz</w:t>
      </w:r>
      <w:proofErr w:type="spellEnd"/>
      <w:r w:rsidRPr="0077409E">
        <w:rPr>
          <w:lang w:val="es-CO"/>
        </w:rPr>
        <w:t xml:space="preserve"> Escobar</w:t>
      </w:r>
      <w:r w:rsidRPr="0077409E">
        <w:t xml:space="preserve"> constituye una desaparición forzada. Una vez establecidos los hechos, se analizará en lo pertinente las alegadas violaciones </w:t>
      </w:r>
      <w:r w:rsidRPr="004075BC">
        <w:t xml:space="preserve">de los derechos al reconocimiento de la personalidad jurídica, a la vida, a la integridad personal y a la libertad personal, en relación con la obligación de respeto establecida en el artículo 1.1 de la Convención Americana, así como del artículo </w:t>
      </w:r>
      <w:proofErr w:type="spellStart"/>
      <w:r w:rsidRPr="004075BC">
        <w:t>I</w:t>
      </w:r>
      <w:r>
        <w:t>.a</w:t>
      </w:r>
      <w:proofErr w:type="spellEnd"/>
      <w:r w:rsidRPr="004075BC">
        <w:rPr>
          <w:rStyle w:val="FootnoteReference"/>
          <w:rFonts w:eastAsia="Calibri"/>
          <w:spacing w:val="0"/>
          <w:sz w:val="20"/>
        </w:rPr>
        <w:footnoteReference w:id="97"/>
      </w:r>
      <w:r w:rsidRPr="004075BC">
        <w:t xml:space="preserve"> de la Convención Interamericana sobre Desaparición Forzada, en perjuicio de</w:t>
      </w:r>
      <w:r w:rsidRPr="004075BC">
        <w:rPr>
          <w:lang w:eastAsia="es-CR"/>
        </w:rPr>
        <w:t xml:space="preserve">l señor </w:t>
      </w:r>
      <w:proofErr w:type="spellStart"/>
      <w:r w:rsidRPr="004075BC">
        <w:rPr>
          <w:lang w:eastAsia="es-CR"/>
        </w:rPr>
        <w:t>Munárriz</w:t>
      </w:r>
      <w:proofErr w:type="spellEnd"/>
      <w:r w:rsidRPr="004075BC">
        <w:rPr>
          <w:lang w:eastAsia="es-CR"/>
        </w:rPr>
        <w:t xml:space="preserve"> Escobar. </w:t>
      </w:r>
    </w:p>
    <w:p w14:paraId="6EEFB2E6" w14:textId="77777777" w:rsidR="00F60F74" w:rsidRPr="004075BC" w:rsidRDefault="00F60F74" w:rsidP="009F7500">
      <w:pPr>
        <w:pStyle w:val="PrrafodeSentencia"/>
        <w:numPr>
          <w:ilvl w:val="0"/>
          <w:numId w:val="0"/>
        </w:numPr>
      </w:pPr>
    </w:p>
    <w:p w14:paraId="1705705F" w14:textId="4DB2ED67" w:rsidR="007B43BB" w:rsidRDefault="00F60F74" w:rsidP="00016941">
      <w:pPr>
        <w:pStyle w:val="Heading3"/>
        <w:tabs>
          <w:tab w:val="clear" w:pos="426"/>
          <w:tab w:val="left" w:pos="567"/>
        </w:tabs>
        <w:spacing w:after="0" w:line="240" w:lineRule="auto"/>
        <w:ind w:left="993"/>
      </w:pPr>
      <w:bookmarkStart w:id="225" w:name="_Toc469594939"/>
      <w:bookmarkStart w:id="226" w:name="_Toc480194697"/>
      <w:bookmarkStart w:id="227" w:name="_Toc526152706"/>
      <w:r w:rsidRPr="004075BC">
        <w:t>B.1 Determinación de la ocurrencia de una desaparición forzada</w:t>
      </w:r>
      <w:bookmarkEnd w:id="225"/>
      <w:bookmarkEnd w:id="226"/>
      <w:bookmarkEnd w:id="227"/>
    </w:p>
    <w:p w14:paraId="4E637B45" w14:textId="77777777" w:rsidR="00111CC9" w:rsidRPr="00111CC9" w:rsidRDefault="00111CC9" w:rsidP="00111CC9">
      <w:pPr>
        <w:rPr>
          <w:lang w:val="es-ES_tradnl" w:eastAsia="es-ES"/>
        </w:rPr>
      </w:pPr>
    </w:p>
    <w:p w14:paraId="0ECFD905" w14:textId="77777777" w:rsidR="00F60F74" w:rsidRPr="004075BC" w:rsidRDefault="00F60F74" w:rsidP="009F7500">
      <w:pPr>
        <w:pStyle w:val="PrrafodeSentencia"/>
      </w:pPr>
      <w:bookmarkStart w:id="228" w:name="_Ref525052714"/>
      <w:r w:rsidRPr="004075BC">
        <w:t xml:space="preserve">La Corte ha desarrollado en su jurisprudencia el carácter </w:t>
      </w:r>
      <w:proofErr w:type="spellStart"/>
      <w:r w:rsidRPr="004075BC">
        <w:t>pluriofensivo</w:t>
      </w:r>
      <w:proofErr w:type="spellEnd"/>
      <w:r w:rsidRPr="004075BC">
        <w:t xml:space="preserve"> de la desaparición forzada, así como su naturaleza permanente o continua, la cual se prolonga mientras no se conozca el paradero de la persona desaparecida o se identifiquen con certeza sus restos</w:t>
      </w:r>
      <w:r w:rsidRPr="004075BC">
        <w:rPr>
          <w:rStyle w:val="FootnoteReference"/>
          <w:color w:val="000000" w:themeColor="text1"/>
          <w:spacing w:val="0"/>
          <w:sz w:val="20"/>
        </w:rPr>
        <w:footnoteReference w:id="98"/>
      </w:r>
      <w:r w:rsidRPr="004075BC">
        <w:t>.</w:t>
      </w:r>
      <w:bookmarkEnd w:id="228"/>
      <w:r w:rsidRPr="004075BC">
        <w:t xml:space="preserve"> </w:t>
      </w:r>
    </w:p>
    <w:p w14:paraId="56C53C87" w14:textId="77777777" w:rsidR="00F60F74" w:rsidRPr="004075BC" w:rsidRDefault="00F60F74" w:rsidP="00EE5E64">
      <w:pPr>
        <w:tabs>
          <w:tab w:val="left" w:pos="567"/>
        </w:tabs>
        <w:rPr>
          <w:color w:val="000000" w:themeColor="text1"/>
          <w:szCs w:val="20"/>
          <w:lang w:eastAsia="es-MX"/>
        </w:rPr>
      </w:pPr>
    </w:p>
    <w:p w14:paraId="67AFEB38" w14:textId="5C104264" w:rsidR="00F60F74" w:rsidRPr="00483D26" w:rsidRDefault="00F60F74" w:rsidP="009F7500">
      <w:pPr>
        <w:pStyle w:val="PrrafodeSentencia"/>
      </w:pPr>
      <w:r w:rsidRPr="004075BC">
        <w:t xml:space="preserve">En tal sentido, el análisis de la desaparición forzada debe abarcar la totalidad del conjunto de los hechos que se presentan a consideración del Tribunal. Solo de este modo el análisis legal de la desaparición forzada es consecuente con la compleja violación a derechos humanos que </w:t>
      </w:r>
      <w:r w:rsidRPr="00483D26">
        <w:t>esta conlleva</w:t>
      </w:r>
      <w:r w:rsidRPr="00483D26">
        <w:rPr>
          <w:rStyle w:val="FootnoteReference"/>
          <w:spacing w:val="0"/>
          <w:sz w:val="20"/>
        </w:rPr>
        <w:footnoteReference w:id="99"/>
      </w:r>
      <w:r w:rsidRPr="00483D26">
        <w:t xml:space="preserve">, con su carácter permanente y con la necesidad de considerar el contexto en que ocurrieron los hechos, a fin de analizar sus efectos prolongados en el tiempo y enfocar integralmente sus consecuencias, teniendo en cuenta el </w:t>
      </w:r>
      <w:r w:rsidRPr="00483D26">
        <w:rPr>
          <w:i/>
        </w:rPr>
        <w:t xml:space="preserve">corpus </w:t>
      </w:r>
      <w:proofErr w:type="spellStart"/>
      <w:r w:rsidRPr="00483D26">
        <w:rPr>
          <w:i/>
        </w:rPr>
        <w:t>juris</w:t>
      </w:r>
      <w:proofErr w:type="spellEnd"/>
      <w:r w:rsidRPr="00483D26">
        <w:t xml:space="preserve"> de protección tanto interamericano como internacional</w:t>
      </w:r>
      <w:r w:rsidR="00326F12" w:rsidRPr="00483D26">
        <w:rPr>
          <w:rStyle w:val="FootnoteReference"/>
          <w:spacing w:val="0"/>
          <w:sz w:val="20"/>
        </w:rPr>
        <w:footnoteReference w:id="100"/>
      </w:r>
      <w:r w:rsidRPr="00483D26">
        <w:t>.</w:t>
      </w:r>
      <w:bookmarkStart w:id="229" w:name="_Ref468462777"/>
    </w:p>
    <w:bookmarkEnd w:id="229"/>
    <w:p w14:paraId="62DFBDED" w14:textId="77777777" w:rsidR="00F60F74" w:rsidRPr="00483D26" w:rsidRDefault="00F60F74" w:rsidP="00EE5E64">
      <w:pPr>
        <w:tabs>
          <w:tab w:val="left" w:pos="567"/>
        </w:tabs>
        <w:rPr>
          <w:szCs w:val="20"/>
          <w:lang w:eastAsia="es-MX"/>
        </w:rPr>
      </w:pPr>
    </w:p>
    <w:p w14:paraId="3C860D3B" w14:textId="77777777" w:rsidR="00F60F74" w:rsidRPr="004075BC" w:rsidRDefault="00F60F74" w:rsidP="009F7500">
      <w:pPr>
        <w:pStyle w:val="PrrafodeSentencia"/>
      </w:pPr>
      <w:r w:rsidRPr="00483D26">
        <w:t>En casos como el presente donde no existe prueba directa de la desaparición, la Corte ha resaltado que es legítimo el uso de la prueba circunstancial, los indicios y las presunciones para fundar una sentencia, siempre que de ellos puedan inferirse conclusiones consistentes sobre los hechos</w:t>
      </w:r>
      <w:r w:rsidRPr="00483D26">
        <w:rPr>
          <w:vertAlign w:val="superscript"/>
        </w:rPr>
        <w:footnoteReference w:id="101"/>
      </w:r>
      <w:r w:rsidRPr="00483D26">
        <w:t xml:space="preserve">. Al </w:t>
      </w:r>
      <w:r w:rsidRPr="004075BC">
        <w:t xml:space="preserve">respecto, este Tribunal ha señalado que corresponde a la parte demandante, en principio, la carga de la prueba de los hechos en que se funda su alegato; no obstante, ha destacado que, a diferencia del derecho penal interno, en los procesos sobre violaciones de derechos humanos la defensa del Estado no puede descansar sobre la imposibilidad del demandante de allegar pruebas, cuando es el Estado quien tiene el control de los medios para </w:t>
      </w:r>
      <w:r w:rsidRPr="004075BC">
        <w:lastRenderedPageBreak/>
        <w:t>aclarar hechos ocurridos dentro de su territorio</w:t>
      </w:r>
      <w:r w:rsidRPr="004075BC">
        <w:rPr>
          <w:vertAlign w:val="superscript"/>
        </w:rPr>
        <w:footnoteReference w:id="102"/>
      </w:r>
      <w:r w:rsidRPr="004075BC">
        <w:t>. Adicionalmente, la prueba indiciaria o presuntiva resulta de especial importancia cuando se trata de denuncias sobre desaparición forzada, ya que esta forma de violación se caracteriza por procurar la supresión de todo elemento que permita comprobar la detención, el paradero y la suerte de las víctimas</w:t>
      </w:r>
      <w:r w:rsidRPr="004075BC">
        <w:rPr>
          <w:rStyle w:val="FootnoteReference"/>
          <w:color w:val="000000" w:themeColor="text1"/>
          <w:spacing w:val="0"/>
          <w:sz w:val="20"/>
        </w:rPr>
        <w:footnoteReference w:id="103"/>
      </w:r>
      <w:bookmarkStart w:id="230" w:name="_Ref405645758"/>
      <w:r w:rsidRPr="004075BC">
        <w:t>.</w:t>
      </w:r>
    </w:p>
    <w:p w14:paraId="7DB66BFE" w14:textId="77777777" w:rsidR="00F60F74" w:rsidRPr="004075BC" w:rsidRDefault="00F60F74" w:rsidP="00EE5E64">
      <w:pPr>
        <w:tabs>
          <w:tab w:val="left" w:pos="567"/>
        </w:tabs>
        <w:rPr>
          <w:szCs w:val="20"/>
          <w:lang w:eastAsia="es-MX"/>
        </w:rPr>
      </w:pPr>
    </w:p>
    <w:p w14:paraId="5A59EE20" w14:textId="707BD392" w:rsidR="00F60F74" w:rsidRPr="00483D26" w:rsidRDefault="00F60F74" w:rsidP="009F7500">
      <w:pPr>
        <w:pStyle w:val="PrrafodeSentencia"/>
        <w:rPr>
          <w:rFonts w:eastAsia="Calibri" w:cs="Times New Roman"/>
        </w:rPr>
      </w:pPr>
      <w:r w:rsidRPr="005E40BF">
        <w:t>Por otra parte, este Tribunal advierte que la posición del Estado se basó, en gran medida, en las conclusiones de l</w:t>
      </w:r>
      <w:r w:rsidRPr="005E40BF">
        <w:rPr>
          <w:rFonts w:cs="Cambria"/>
        </w:rPr>
        <w:t xml:space="preserve">a Sala </w:t>
      </w:r>
      <w:r>
        <w:rPr>
          <w:rFonts w:cs="Cambria"/>
        </w:rPr>
        <w:t>Mixta</w:t>
      </w:r>
      <w:r w:rsidRPr="005E40BF">
        <w:rPr>
          <w:rFonts w:cs="Cambria"/>
        </w:rPr>
        <w:t xml:space="preserve"> de la Corte Suprema de Justicia de </w:t>
      </w:r>
      <w:r>
        <w:rPr>
          <w:rFonts w:cs="Cambria"/>
        </w:rPr>
        <w:t>Huancavelica</w:t>
      </w:r>
      <w:r w:rsidRPr="005E40BF">
        <w:rPr>
          <w:rFonts w:cs="Cambria"/>
        </w:rPr>
        <w:t xml:space="preserve"> </w:t>
      </w:r>
      <w:r w:rsidR="00DF1F3A">
        <w:rPr>
          <w:rFonts w:cs="Cambria"/>
        </w:rPr>
        <w:t>de</w:t>
      </w:r>
      <w:r w:rsidRPr="005E40BF">
        <w:rPr>
          <w:rFonts w:cs="Cambria"/>
        </w:rPr>
        <w:t xml:space="preserve"> 2</w:t>
      </w:r>
      <w:r>
        <w:rPr>
          <w:rFonts w:cs="Cambria"/>
        </w:rPr>
        <w:t>5 de mayo</w:t>
      </w:r>
      <w:r w:rsidRPr="005E40BF">
        <w:rPr>
          <w:rFonts w:cs="Cambria"/>
        </w:rPr>
        <w:t xml:space="preserve"> de 2004 </w:t>
      </w:r>
      <w:r w:rsidRPr="005E40BF">
        <w:t xml:space="preserve">en </w:t>
      </w:r>
      <w:r w:rsidR="00046794">
        <w:t>el</w:t>
      </w:r>
      <w:r w:rsidRPr="005E40BF">
        <w:t xml:space="preserve"> proceso penal, donde la Sala Mixta señaló que “</w:t>
      </w:r>
      <w:r w:rsidRPr="005E40BF">
        <w:rPr>
          <w:rFonts w:cs="Cambria"/>
        </w:rPr>
        <w:t>las pruebas no permiten al colegiado establecer la convicción necesaria para fallar en condena o absolución, […] por lo que se tiene que recurrir al principio constitucional de que la duda favorece al encausado”</w:t>
      </w:r>
      <w:r w:rsidRPr="005E40BF">
        <w:rPr>
          <w:rStyle w:val="FootnoteReference"/>
          <w:sz w:val="20"/>
        </w:rPr>
        <w:footnoteReference w:id="104"/>
      </w:r>
      <w:r w:rsidRPr="005E40BF">
        <w:rPr>
          <w:rFonts w:cs="Cambria"/>
        </w:rPr>
        <w:t>.</w:t>
      </w:r>
      <w:r>
        <w:rPr>
          <w:rFonts w:eastAsia="Calibri" w:cs="Times New Roman"/>
        </w:rPr>
        <w:t xml:space="preserve"> </w:t>
      </w:r>
      <w:r w:rsidRPr="00A64ED1">
        <w:t xml:space="preserve">Al respecto, la Corte recuerda que, a diferencia de un tribunal penal, para establecer que se ha producido una violación de los derechos contemplados en la Convención no es necesario que se pruebe la responsabilidad del Estado más allá de toda duda razonable ni que se identifique individualmente a los agentes a los cuales se atribuyen los hechos violatorios. Para esta Corte es necesario adquirir la convicción de que se han verificado acciones u omisiones, atribuibles al Estado, que han permitido la perpetración de esas violaciones o que existe una obligación del Estado incumplida por éste. En este sentido, para un tribunal internacional los criterios de valoración de la prueba son </w:t>
      </w:r>
      <w:r w:rsidR="00B066B1" w:rsidRPr="003A4C04">
        <w:t xml:space="preserve">diferentes a </w:t>
      </w:r>
      <w:r w:rsidRPr="003A4C04">
        <w:t xml:space="preserve">los </w:t>
      </w:r>
      <w:r w:rsidR="003A4C04" w:rsidRPr="003A4C04">
        <w:t>utilizados en</w:t>
      </w:r>
      <w:r w:rsidR="003A4C04">
        <w:t xml:space="preserve"> </w:t>
      </w:r>
      <w:r w:rsidRPr="00A64ED1">
        <w:t>sistemas legales internos y le es posible evaluar libremente las pruebas</w:t>
      </w:r>
      <w:r w:rsidRPr="004075BC">
        <w:rPr>
          <w:vertAlign w:val="superscript"/>
        </w:rPr>
        <w:footnoteReference w:id="105"/>
      </w:r>
      <w:r w:rsidRPr="00A64ED1">
        <w:t xml:space="preserve">. </w:t>
      </w:r>
    </w:p>
    <w:bookmarkEnd w:id="230"/>
    <w:p w14:paraId="47112F65" w14:textId="77777777" w:rsidR="00F60F74" w:rsidRPr="00483D26" w:rsidRDefault="00F60F74" w:rsidP="00EE5E64">
      <w:pPr>
        <w:tabs>
          <w:tab w:val="left" w:pos="567"/>
        </w:tabs>
        <w:rPr>
          <w:szCs w:val="20"/>
          <w:lang w:eastAsia="es-MX"/>
        </w:rPr>
      </w:pPr>
    </w:p>
    <w:p w14:paraId="79541380" w14:textId="4E288D14" w:rsidR="00F60F74" w:rsidRPr="00483D26" w:rsidRDefault="00F60F74" w:rsidP="009F7500">
      <w:pPr>
        <w:pStyle w:val="PrrafodeSentencia"/>
      </w:pPr>
      <w:r w:rsidRPr="00483D26">
        <w:t xml:space="preserve">En virtud de lo anterior, corresponderá determinar, con base en la prueba aportada si el señor </w:t>
      </w:r>
      <w:proofErr w:type="spellStart"/>
      <w:r w:rsidRPr="00483D26">
        <w:t>Munárriz</w:t>
      </w:r>
      <w:proofErr w:type="spellEnd"/>
      <w:r w:rsidRPr="00483D26">
        <w:t xml:space="preserve"> Escobar fue efectivamente víctima de una desaparición forzada. A tal fin se valorará los distintos elementos de prueba obrantes a la luz de los aspectos controvertidos por las partes y la Comisión para determinar si se satisfacen los elementos constitutivos de la desaparición forzada (</w:t>
      </w:r>
      <w:r w:rsidRPr="00483D26">
        <w:rPr>
          <w:i/>
        </w:rPr>
        <w:t xml:space="preserve">supra </w:t>
      </w:r>
      <w:r w:rsidRPr="00483D26">
        <w:t>párr.</w:t>
      </w:r>
      <w:r w:rsidR="007C491B">
        <w:t xml:space="preserve"> </w:t>
      </w:r>
      <w:r w:rsidR="007C491B">
        <w:fldChar w:fldCharType="begin"/>
      </w:r>
      <w:r w:rsidR="007C491B">
        <w:instrText xml:space="preserve"> REF _Ref522527104 \r \h </w:instrText>
      </w:r>
      <w:r w:rsidR="007C491B">
        <w:fldChar w:fldCharType="separate"/>
      </w:r>
      <w:r w:rsidR="00087178">
        <w:t>63</w:t>
      </w:r>
      <w:r w:rsidR="007C491B">
        <w:fldChar w:fldCharType="end"/>
      </w:r>
      <w:r w:rsidRPr="00483D26">
        <w:t>).</w:t>
      </w:r>
      <w:bookmarkStart w:id="231" w:name="_Ref468466856"/>
    </w:p>
    <w:p w14:paraId="297CFF3A" w14:textId="77777777" w:rsidR="00F60F74" w:rsidRPr="00483D26" w:rsidRDefault="00F60F74" w:rsidP="00EE5E64">
      <w:pPr>
        <w:tabs>
          <w:tab w:val="left" w:pos="567"/>
        </w:tabs>
        <w:rPr>
          <w:szCs w:val="20"/>
          <w:lang w:eastAsia="es-MX"/>
        </w:rPr>
      </w:pPr>
    </w:p>
    <w:p w14:paraId="3B5812F0" w14:textId="77777777" w:rsidR="00F60F74" w:rsidRPr="00483D26" w:rsidRDefault="00F60F74" w:rsidP="00A01300">
      <w:pPr>
        <w:pStyle w:val="Heading4"/>
        <w:ind w:left="1418" w:firstLine="0"/>
      </w:pPr>
      <w:bookmarkStart w:id="232" w:name="_Toc480194698"/>
      <w:r w:rsidRPr="00483D26">
        <w:t xml:space="preserve">B.1.a La privación de libertad </w:t>
      </w:r>
      <w:bookmarkEnd w:id="232"/>
      <w:r w:rsidRPr="00483D26">
        <w:t>cualquiera fuere su forma</w:t>
      </w:r>
    </w:p>
    <w:p w14:paraId="3CDB43E0" w14:textId="77777777" w:rsidR="00F60F74" w:rsidRPr="00483D26" w:rsidRDefault="00F60F74" w:rsidP="00EE5E64">
      <w:pPr>
        <w:tabs>
          <w:tab w:val="left" w:pos="567"/>
        </w:tabs>
        <w:rPr>
          <w:szCs w:val="20"/>
          <w:lang w:eastAsia="es-MX"/>
        </w:rPr>
      </w:pPr>
    </w:p>
    <w:p w14:paraId="42C7B52D" w14:textId="2F55467A" w:rsidR="00F60F74" w:rsidRPr="004075BC" w:rsidRDefault="00F60F74" w:rsidP="009F7500">
      <w:pPr>
        <w:pStyle w:val="PrrafodeSentencia"/>
      </w:pPr>
      <w:bookmarkStart w:id="233" w:name="_Ref479615165"/>
      <w:r w:rsidRPr="00483D26">
        <w:t xml:space="preserve">Esta Corte recuerda que, al analizar un supuesto de desaparición forzada, se debe tener en cuenta que la privación de </w:t>
      </w:r>
      <w:r w:rsidRPr="004075BC">
        <w:t>la libertad del individuo s</w:t>
      </w:r>
      <w:r w:rsidR="006B6A4E">
        <w:t>ó</w:t>
      </w:r>
      <w:r w:rsidRPr="004075BC">
        <w:t>lo debe ser entendida como el inicio de la configuración de una violación compleja que se prolonga en el tiempo hasta que se conoce la suerte y el paradero de la víctima. Al respecto, es importante resaltar que resulta indistinta la manera que adquiere la privación de la libertad a los fines de la caracterización de una desaparición forzada</w:t>
      </w:r>
      <w:r w:rsidRPr="004075BC">
        <w:rPr>
          <w:rStyle w:val="FootnoteReference"/>
          <w:spacing w:val="0"/>
          <w:sz w:val="20"/>
        </w:rPr>
        <w:footnoteReference w:id="106"/>
      </w:r>
      <w:r w:rsidRPr="004075BC">
        <w:t>, es decir, cualquier forma de privación de libertad satisface este primer requisito.</w:t>
      </w:r>
      <w:bookmarkEnd w:id="231"/>
      <w:bookmarkEnd w:id="233"/>
      <w:r w:rsidRPr="004075BC">
        <w:t xml:space="preserve"> Sobre este punto, el Grupo de Trabajo sobre las Desapariciones Forzadas e Involuntarias de Personas ha aclarado que “la desaparición forzada puede iniciarse con una detención ilegal o con un arresto o detención inicialmente legal. Es decir que la protección de la víctima contra la desaparición forzada debe resultar efectiva contra la privación de libertad, </w:t>
      </w:r>
      <w:r w:rsidRPr="004075BC">
        <w:lastRenderedPageBreak/>
        <w:t>cualquiera que sea la forma que ésta revista, y no limitarse a los casos de privación ilegal de libertad”</w:t>
      </w:r>
      <w:r w:rsidRPr="004075BC">
        <w:rPr>
          <w:spacing w:val="-2"/>
          <w:vertAlign w:val="superscript"/>
        </w:rPr>
        <w:footnoteReference w:id="107"/>
      </w:r>
      <w:r w:rsidRPr="004075BC">
        <w:t>.</w:t>
      </w:r>
    </w:p>
    <w:p w14:paraId="027E6029" w14:textId="77777777" w:rsidR="00F60F74" w:rsidRPr="004075BC" w:rsidRDefault="00F60F74" w:rsidP="00EE5E64">
      <w:pPr>
        <w:tabs>
          <w:tab w:val="left" w:pos="567"/>
        </w:tabs>
        <w:rPr>
          <w:szCs w:val="20"/>
          <w:lang w:eastAsia="es-MX"/>
        </w:rPr>
      </w:pPr>
    </w:p>
    <w:p w14:paraId="453BAC15" w14:textId="641AFA12" w:rsidR="00F60F74" w:rsidRPr="00483D26" w:rsidRDefault="00F60F74" w:rsidP="009F7500">
      <w:pPr>
        <w:pStyle w:val="PrrafodeSentencia"/>
        <w:rPr>
          <w:spacing w:val="-2"/>
        </w:rPr>
      </w:pPr>
      <w:r w:rsidRPr="004075BC">
        <w:t xml:space="preserve">No existe controversia respecto a que el 20 de marzo de 1999 Walter </w:t>
      </w:r>
      <w:proofErr w:type="spellStart"/>
      <w:r w:rsidRPr="004075BC">
        <w:t>Munárriz</w:t>
      </w:r>
      <w:proofErr w:type="spellEnd"/>
      <w:r w:rsidRPr="004075BC">
        <w:t xml:space="preserve"> Escobar </w:t>
      </w:r>
      <w:r w:rsidRPr="00270E99">
        <w:t xml:space="preserve">fue conducido a la Comisaría de </w:t>
      </w:r>
      <w:proofErr w:type="spellStart"/>
      <w:r w:rsidRPr="00270E99">
        <w:t>Lircay</w:t>
      </w:r>
      <w:proofErr w:type="spellEnd"/>
      <w:r w:rsidRPr="00270E99">
        <w:t xml:space="preserve"> por presuntamente haber </w:t>
      </w:r>
      <w:r w:rsidR="00C9195A">
        <w:t xml:space="preserve">entrado a </w:t>
      </w:r>
      <w:r w:rsidR="00483D26">
        <w:t>una</w:t>
      </w:r>
      <w:r w:rsidR="00C9195A">
        <w:t xml:space="preserve"> habitaci</w:t>
      </w:r>
      <w:r w:rsidR="00483D26">
        <w:t>ón</w:t>
      </w:r>
      <w:r w:rsidR="00C9195A">
        <w:t xml:space="preserve"> de un hospedaje.</w:t>
      </w:r>
      <w:r w:rsidRPr="00270E99">
        <w:t xml:space="preserve"> También es aceptado por el Estado que esta detención fue realizada por agentes estatales y que el señor </w:t>
      </w:r>
      <w:proofErr w:type="spellStart"/>
      <w:r w:rsidRPr="00270E99">
        <w:t>Munárriz</w:t>
      </w:r>
      <w:proofErr w:type="spellEnd"/>
      <w:r w:rsidRPr="00270E99">
        <w:t xml:space="preserve"> Escobar permaneció en estado de privación de libertad y bajo custodia estatal hasta </w:t>
      </w:r>
      <w:r w:rsidR="00D20F4A" w:rsidRPr="00270E99">
        <w:t xml:space="preserve">al menos </w:t>
      </w:r>
      <w:r w:rsidRPr="00270E99">
        <w:t xml:space="preserve">aproximadamente las </w:t>
      </w:r>
      <w:r w:rsidR="002A601A">
        <w:t>4:30</w:t>
      </w:r>
      <w:r w:rsidRPr="00270E99">
        <w:t xml:space="preserve"> de la mañana del 20 de marzo</w:t>
      </w:r>
      <w:r w:rsidR="00483D26">
        <w:t xml:space="preserve"> de 1999</w:t>
      </w:r>
      <w:r w:rsidRPr="00270E99">
        <w:t xml:space="preserve">. La </w:t>
      </w:r>
      <w:r w:rsidRPr="00483D26">
        <w:t xml:space="preserve">Corte estima que esto </w:t>
      </w:r>
      <w:r w:rsidRPr="00483D26">
        <w:rPr>
          <w:spacing w:val="-2"/>
        </w:rPr>
        <w:t>satisface e</w:t>
      </w:r>
      <w:r w:rsidR="00785857">
        <w:rPr>
          <w:spacing w:val="-2"/>
        </w:rPr>
        <w:t>l</w:t>
      </w:r>
      <w:r w:rsidRPr="00483D26">
        <w:rPr>
          <w:spacing w:val="-2"/>
        </w:rPr>
        <w:t xml:space="preserve"> primer elemento de la privación de libertad en una desaparición forzada. </w:t>
      </w:r>
    </w:p>
    <w:p w14:paraId="293E2480" w14:textId="77777777" w:rsidR="00F60F74" w:rsidRPr="00483D26" w:rsidRDefault="00F60F74" w:rsidP="00EE5E64">
      <w:pPr>
        <w:tabs>
          <w:tab w:val="left" w:pos="567"/>
        </w:tabs>
        <w:rPr>
          <w:szCs w:val="20"/>
          <w:lang w:eastAsia="es-MX"/>
        </w:rPr>
      </w:pPr>
    </w:p>
    <w:p w14:paraId="500B112D" w14:textId="6D74E20A" w:rsidR="00F60F74" w:rsidRPr="00483D26" w:rsidRDefault="00F60F74" w:rsidP="00A01300">
      <w:pPr>
        <w:pStyle w:val="Heading4"/>
        <w:ind w:left="1418" w:firstLine="0"/>
      </w:pPr>
      <w:r w:rsidRPr="00483D26">
        <w:t xml:space="preserve">B.1.b La intervención directa de agentes estatales o la aquiescencia de </w:t>
      </w:r>
      <w:r w:rsidR="006B6A4E">
        <w:t>é</w:t>
      </w:r>
      <w:r w:rsidR="00A01300" w:rsidRPr="00483D26">
        <w:t>stos</w:t>
      </w:r>
    </w:p>
    <w:p w14:paraId="302BA5D6" w14:textId="77777777" w:rsidR="002620D2" w:rsidRPr="00483D26" w:rsidRDefault="002620D2" w:rsidP="00EE5E64">
      <w:pPr>
        <w:tabs>
          <w:tab w:val="left" w:pos="567"/>
        </w:tabs>
        <w:rPr>
          <w:szCs w:val="20"/>
          <w:lang w:eastAsia="es-MX"/>
        </w:rPr>
      </w:pPr>
    </w:p>
    <w:p w14:paraId="61CDE32F" w14:textId="2DBF1AEE" w:rsidR="00570AFB" w:rsidRPr="00483D26" w:rsidRDefault="002620D2" w:rsidP="00270E99">
      <w:pPr>
        <w:pStyle w:val="PrrafodeSentencia"/>
      </w:pPr>
      <w:bookmarkStart w:id="234" w:name="_Ref524601713"/>
      <w:r w:rsidRPr="00483D26">
        <w:t xml:space="preserve">El Estado alegó que </w:t>
      </w:r>
      <w:r w:rsidR="009E0BB4" w:rsidRPr="00483D26">
        <w:t xml:space="preserve">la desaparición </w:t>
      </w:r>
      <w:r w:rsidR="00270E99" w:rsidRPr="00483D26">
        <w:t xml:space="preserve">de Walter </w:t>
      </w:r>
      <w:proofErr w:type="spellStart"/>
      <w:r w:rsidR="00270E99" w:rsidRPr="00483D26">
        <w:t>Munárriz</w:t>
      </w:r>
      <w:proofErr w:type="spellEnd"/>
      <w:r w:rsidR="00270E99" w:rsidRPr="00483D26">
        <w:t xml:space="preserve"> Escobar </w:t>
      </w:r>
      <w:r w:rsidR="009E0BB4" w:rsidRPr="00483D26">
        <w:t>no fue cometida por agentes estatales, de modo tal que no se habría generado responsabilidad estatal. En este sentido</w:t>
      </w:r>
      <w:r w:rsidR="00270E99" w:rsidRPr="00483D26">
        <w:t xml:space="preserve"> afirmó que</w:t>
      </w:r>
      <w:r w:rsidR="009E0BB4" w:rsidRPr="00483D26">
        <w:t xml:space="preserve"> </w:t>
      </w:r>
      <w:r w:rsidR="00270E99" w:rsidRPr="00483D26">
        <w:t xml:space="preserve">la presunta víctima </w:t>
      </w:r>
      <w:r w:rsidR="00570AFB" w:rsidRPr="00483D26">
        <w:t>fue</w:t>
      </w:r>
      <w:r w:rsidR="00270E99" w:rsidRPr="00483D26">
        <w:t xml:space="preserve"> puesta en libertad </w:t>
      </w:r>
      <w:r w:rsidR="00570AFB" w:rsidRPr="00483D26">
        <w:t xml:space="preserve">el mismo 20 de marzo de 1999 y se retiró de la Comisaría. </w:t>
      </w:r>
      <w:r w:rsidR="00585A8D" w:rsidRPr="00483D26">
        <w:t>La</w:t>
      </w:r>
      <w:r w:rsidR="00570AFB" w:rsidRPr="00483D26">
        <w:t xml:space="preserve"> </w:t>
      </w:r>
      <w:r w:rsidR="00E4123A" w:rsidRPr="00483D26">
        <w:t xml:space="preserve">controversia en este punto se basa en si Walter </w:t>
      </w:r>
      <w:proofErr w:type="spellStart"/>
      <w:r w:rsidR="00E4123A" w:rsidRPr="00483D26">
        <w:t>Munárriz</w:t>
      </w:r>
      <w:proofErr w:type="spellEnd"/>
      <w:r w:rsidR="00E4123A" w:rsidRPr="00483D26">
        <w:t xml:space="preserve"> Escobar fue puesto en libertad, o si por el contrario seguía en custodia del Estado cuando desapareció.</w:t>
      </w:r>
      <w:bookmarkEnd w:id="234"/>
    </w:p>
    <w:p w14:paraId="1C849DFA" w14:textId="77777777" w:rsidR="00570AFB" w:rsidRPr="00483D26" w:rsidRDefault="00570AFB" w:rsidP="00570AFB">
      <w:pPr>
        <w:pStyle w:val="Header"/>
        <w:tabs>
          <w:tab w:val="left" w:pos="567"/>
        </w:tabs>
        <w:jc w:val="both"/>
        <w:rPr>
          <w:rFonts w:ascii="Verdana" w:hAnsi="Verdana"/>
        </w:rPr>
      </w:pPr>
    </w:p>
    <w:p w14:paraId="0A530E9F" w14:textId="33833038" w:rsidR="00E4123A" w:rsidRPr="00F24F69" w:rsidRDefault="00E4123A" w:rsidP="00E4123A">
      <w:pPr>
        <w:pStyle w:val="PrrafodeSentencia"/>
      </w:pPr>
      <w:r w:rsidRPr="00483D26">
        <w:t>La Corte ha establecido que el Estado es responsable, en su condición de garante de los derechos consagrados en la Convención, de la observancia del derecho a la integridad personal de todo individuo que se halla bajo su custodia</w:t>
      </w:r>
      <w:r w:rsidRPr="00483D26">
        <w:rPr>
          <w:rStyle w:val="FootnoteReference"/>
          <w:sz w:val="20"/>
        </w:rPr>
        <w:footnoteReference w:id="108"/>
      </w:r>
      <w:r w:rsidRPr="00483D26">
        <w:t xml:space="preserve">. En este sentido, existe una presunción por la cual el Estado es </w:t>
      </w:r>
      <w:r w:rsidRPr="00F24F69">
        <w:t>responsable por las lesiones que exhibe una persona que ha estado bajo la custodia de agentes estatales</w:t>
      </w:r>
      <w:r w:rsidRPr="00F24F69">
        <w:rPr>
          <w:rStyle w:val="FootnoteReference"/>
          <w:sz w:val="20"/>
        </w:rPr>
        <w:footnoteReference w:id="109"/>
      </w:r>
      <w:r w:rsidRPr="00F24F69">
        <w:t>. Est</w:t>
      </w:r>
      <w:r w:rsidR="003C4991" w:rsidRPr="00F24F69">
        <w:t>e mismo</w:t>
      </w:r>
      <w:r w:rsidRPr="00F24F69">
        <w:t xml:space="preserve"> pr</w:t>
      </w:r>
      <w:r w:rsidR="003C4991" w:rsidRPr="00F24F69">
        <w:t xml:space="preserve">incipio </w:t>
      </w:r>
      <w:r w:rsidRPr="00F24F69">
        <w:t>es aplicable a casos donde una persona se encuentra bajo custodia estatal y se desconoce su paradero posterior</w:t>
      </w:r>
      <w:r w:rsidRPr="00F24F69">
        <w:rPr>
          <w:rStyle w:val="FootnoteReference"/>
          <w:sz w:val="20"/>
        </w:rPr>
        <w:footnoteReference w:id="110"/>
      </w:r>
      <w:r w:rsidRPr="00F24F69">
        <w:t xml:space="preserve">. Recae en el Estado </w:t>
      </w:r>
      <w:r w:rsidR="00981EF0" w:rsidRPr="00F24F69">
        <w:t xml:space="preserve">la obligación de </w:t>
      </w:r>
      <w:r w:rsidRPr="00F24F69">
        <w:t>proveer una explicación satisfactoria y convincente de lo sucedido y desvirtuar las alegaciones sobre su responsabilidad, mediante elementos probatorios adecuados</w:t>
      </w:r>
      <w:r w:rsidRPr="00F24F69">
        <w:rPr>
          <w:rStyle w:val="FootnoteReference"/>
          <w:sz w:val="20"/>
        </w:rPr>
        <w:footnoteReference w:id="111"/>
      </w:r>
      <w:r w:rsidRPr="00F24F69">
        <w:t>.</w:t>
      </w:r>
    </w:p>
    <w:p w14:paraId="13177F2F" w14:textId="77777777" w:rsidR="00E4123A" w:rsidRPr="00BF302F" w:rsidRDefault="00E4123A" w:rsidP="00570AFB">
      <w:pPr>
        <w:pStyle w:val="Header"/>
        <w:tabs>
          <w:tab w:val="left" w:pos="567"/>
        </w:tabs>
        <w:jc w:val="both"/>
        <w:rPr>
          <w:rFonts w:ascii="Verdana" w:hAnsi="Verdana"/>
        </w:rPr>
      </w:pPr>
    </w:p>
    <w:p w14:paraId="69087D01" w14:textId="4605D17C" w:rsidR="00585A8D" w:rsidRPr="009C7778" w:rsidRDefault="00570AFB" w:rsidP="00570AFB">
      <w:pPr>
        <w:pStyle w:val="PrrafodeSentencia"/>
      </w:pPr>
      <w:r w:rsidRPr="00F62E32">
        <w:t xml:space="preserve">En el presente caso no existe prueba directa que el señor </w:t>
      </w:r>
      <w:proofErr w:type="spellStart"/>
      <w:r w:rsidRPr="00F62E32">
        <w:t>Munárriz</w:t>
      </w:r>
      <w:proofErr w:type="spellEnd"/>
      <w:r w:rsidRPr="00F62E32">
        <w:t xml:space="preserve"> Escobar fue puesto en libertad</w:t>
      </w:r>
      <w:r w:rsidR="00585A8D">
        <w:t>. E</w:t>
      </w:r>
      <w:r w:rsidRPr="009D100A">
        <w:t xml:space="preserve">l </w:t>
      </w:r>
      <w:r w:rsidRPr="009C7778">
        <w:t>Estado</w:t>
      </w:r>
      <w:r w:rsidR="00585A8D" w:rsidRPr="009C7778">
        <w:t xml:space="preserve"> </w:t>
      </w:r>
      <w:r w:rsidR="00CF5BCE" w:rsidRPr="009C7778">
        <w:t xml:space="preserve">sustentó su posición en las declaraciones de dos testigos que afirmaron haber visto a una persona, que se trataría de Walter </w:t>
      </w:r>
      <w:proofErr w:type="spellStart"/>
      <w:r w:rsidR="00CF5BCE" w:rsidRPr="009C7778">
        <w:t>Munárriz</w:t>
      </w:r>
      <w:proofErr w:type="spellEnd"/>
      <w:r w:rsidR="00CF5BCE" w:rsidRPr="009C7778">
        <w:t xml:space="preserve"> Escobar, salir de la Comisaría de </w:t>
      </w:r>
      <w:proofErr w:type="spellStart"/>
      <w:r w:rsidR="00CF5BCE" w:rsidRPr="009C7778">
        <w:t>Lircay</w:t>
      </w:r>
      <w:proofErr w:type="spellEnd"/>
      <w:r w:rsidR="00CF5BCE" w:rsidRPr="009C7778">
        <w:t xml:space="preserve"> el 20 de marzo de 1999 aproximadamente a las 5 de la mañana</w:t>
      </w:r>
      <w:r w:rsidR="00585A8D" w:rsidRPr="009C7778">
        <w:t xml:space="preserve">. La Corte procederá a examinar </w:t>
      </w:r>
      <w:r w:rsidR="00CF5BCE" w:rsidRPr="009C7778">
        <w:t xml:space="preserve">si </w:t>
      </w:r>
      <w:r w:rsidR="00585A8D" w:rsidRPr="009C7778">
        <w:t>dicha</w:t>
      </w:r>
      <w:r w:rsidR="009C7778">
        <w:t>s</w:t>
      </w:r>
      <w:r w:rsidR="00585A8D" w:rsidRPr="009C7778">
        <w:t xml:space="preserve"> </w:t>
      </w:r>
      <w:r w:rsidR="00CF5BCE" w:rsidRPr="009C7778">
        <w:t>declaraciones constituyen medios probatorios adecuados que muestren una explicación satisfactoria y convincente de lo sucedido.</w:t>
      </w:r>
    </w:p>
    <w:p w14:paraId="093A9476" w14:textId="77777777" w:rsidR="002620D2" w:rsidRPr="009C7778" w:rsidRDefault="002620D2" w:rsidP="00EE5E64">
      <w:pPr>
        <w:tabs>
          <w:tab w:val="left" w:pos="567"/>
        </w:tabs>
        <w:rPr>
          <w:szCs w:val="20"/>
          <w:lang w:eastAsia="es-MX"/>
        </w:rPr>
      </w:pPr>
    </w:p>
    <w:p w14:paraId="33F14C26" w14:textId="77777777" w:rsidR="00F60F74" w:rsidRPr="009C7778" w:rsidRDefault="00F60F74" w:rsidP="00EE5E64">
      <w:pPr>
        <w:pStyle w:val="ListParagraph"/>
        <w:numPr>
          <w:ilvl w:val="0"/>
          <w:numId w:val="15"/>
        </w:numPr>
        <w:tabs>
          <w:tab w:val="left" w:pos="567"/>
        </w:tabs>
        <w:ind w:hanging="371"/>
        <w:contextualSpacing/>
        <w:jc w:val="both"/>
        <w:rPr>
          <w:i/>
          <w:szCs w:val="20"/>
          <w:lang w:eastAsia="es-MX"/>
        </w:rPr>
      </w:pPr>
      <w:r w:rsidRPr="009C7778">
        <w:rPr>
          <w:i/>
          <w:szCs w:val="20"/>
          <w:lang w:eastAsia="es-MX"/>
        </w:rPr>
        <w:lastRenderedPageBreak/>
        <w:t xml:space="preserve">Declaraciones </w:t>
      </w:r>
      <w:r w:rsidRPr="009C7778">
        <w:rPr>
          <w:i/>
          <w:szCs w:val="20"/>
          <w:lang w:val="es-ES"/>
        </w:rPr>
        <w:t xml:space="preserve">de las dos personas que presenciaron la supuesta liberación del señor </w:t>
      </w:r>
      <w:proofErr w:type="spellStart"/>
      <w:r w:rsidRPr="009C7778">
        <w:rPr>
          <w:i/>
          <w:szCs w:val="20"/>
          <w:lang w:eastAsia="es-MX"/>
        </w:rPr>
        <w:t>Munárriz</w:t>
      </w:r>
      <w:proofErr w:type="spellEnd"/>
      <w:r w:rsidRPr="009C7778">
        <w:rPr>
          <w:i/>
          <w:szCs w:val="20"/>
          <w:lang w:eastAsia="es-MX"/>
        </w:rPr>
        <w:t xml:space="preserve"> Escobar</w:t>
      </w:r>
    </w:p>
    <w:p w14:paraId="4B030B3F" w14:textId="77777777" w:rsidR="00F60F74" w:rsidRPr="009C7778" w:rsidRDefault="00F60F74" w:rsidP="00EE5E64">
      <w:pPr>
        <w:tabs>
          <w:tab w:val="left" w:pos="567"/>
        </w:tabs>
        <w:rPr>
          <w:szCs w:val="20"/>
          <w:lang w:eastAsia="es-MX"/>
        </w:rPr>
      </w:pPr>
    </w:p>
    <w:p w14:paraId="7F53566C" w14:textId="561EC462" w:rsidR="006E1C8E" w:rsidRPr="009C7778" w:rsidRDefault="00CF5BCE" w:rsidP="009F7500">
      <w:pPr>
        <w:pStyle w:val="PrrafodeSentencia"/>
      </w:pPr>
      <w:r w:rsidRPr="009C7778">
        <w:t xml:space="preserve">Los dos testigos que declararon haber visto a Walter </w:t>
      </w:r>
      <w:proofErr w:type="spellStart"/>
      <w:r w:rsidRPr="009C7778">
        <w:t>Munárriz</w:t>
      </w:r>
      <w:proofErr w:type="spellEnd"/>
      <w:r w:rsidRPr="009C7778">
        <w:t xml:space="preserve"> Escobar son LPS y JMS. S</w:t>
      </w:r>
      <w:r w:rsidR="00F60F74" w:rsidRPr="009C7778">
        <w:t>on convivientes y vivían cerca de la comisaría</w:t>
      </w:r>
      <w:r w:rsidR="00F60F74" w:rsidRPr="009C7778">
        <w:rPr>
          <w:rStyle w:val="FootnoteReference"/>
          <w:sz w:val="20"/>
        </w:rPr>
        <w:footnoteReference w:id="112"/>
      </w:r>
      <w:r w:rsidR="006E1C8E" w:rsidRPr="009C7778">
        <w:t>.</w:t>
      </w:r>
    </w:p>
    <w:p w14:paraId="64817066" w14:textId="77777777" w:rsidR="006E1C8E" w:rsidRPr="009C7778" w:rsidRDefault="006E1C8E" w:rsidP="006E1C8E">
      <w:pPr>
        <w:rPr>
          <w:lang w:val="es-CR" w:eastAsia="es-MX"/>
        </w:rPr>
      </w:pPr>
    </w:p>
    <w:p w14:paraId="676DD8F1" w14:textId="00AE990D" w:rsidR="00CF5BCE" w:rsidRDefault="0055348C" w:rsidP="009F7500">
      <w:pPr>
        <w:pStyle w:val="PrrafodeSentencia"/>
      </w:pPr>
      <w:bookmarkStart w:id="235" w:name="_Ref519172005"/>
      <w:r w:rsidRPr="009C7778">
        <w:t>LPS</w:t>
      </w:r>
      <w:r w:rsidR="00CF5BCE" w:rsidRPr="009C7778">
        <w:t xml:space="preserve"> </w:t>
      </w:r>
      <w:r w:rsidR="006E1C8E" w:rsidRPr="009C7778">
        <w:t>indicó que</w:t>
      </w:r>
      <w:r w:rsidR="00F87E34" w:rsidRPr="009C7778">
        <w:t xml:space="preserve"> vio a Walter </w:t>
      </w:r>
      <w:proofErr w:type="spellStart"/>
      <w:r w:rsidR="00F87E34" w:rsidRPr="009C7778">
        <w:t>Munárriz</w:t>
      </w:r>
      <w:proofErr w:type="spellEnd"/>
      <w:r w:rsidR="00F87E34" w:rsidRPr="009C7778">
        <w:t xml:space="preserve"> Escobar por una ventana del segundo piso de su casa</w:t>
      </w:r>
      <w:r w:rsidR="00777C5D" w:rsidRPr="009C7778">
        <w:rPr>
          <w:rStyle w:val="FootnoteReference"/>
          <w:sz w:val="20"/>
        </w:rPr>
        <w:footnoteReference w:id="113"/>
      </w:r>
      <w:r w:rsidR="00777C5D" w:rsidRPr="009C7778">
        <w:t>.</w:t>
      </w:r>
      <w:r w:rsidR="00F87E34" w:rsidRPr="009C7778">
        <w:t xml:space="preserve"> Señaló </w:t>
      </w:r>
      <w:r w:rsidR="00816E15" w:rsidRPr="009C7778">
        <w:t xml:space="preserve">que </w:t>
      </w:r>
      <w:r w:rsidR="00F87E34" w:rsidRPr="009C7778">
        <w:t xml:space="preserve">lo reconoció por el cabello </w:t>
      </w:r>
      <w:r w:rsidR="00F87E34" w:rsidRPr="00105260">
        <w:t>largo</w:t>
      </w:r>
      <w:r w:rsidR="00F2356A" w:rsidRPr="00105260">
        <w:rPr>
          <w:rStyle w:val="FootnoteReference"/>
          <w:sz w:val="20"/>
          <w:szCs w:val="20"/>
        </w:rPr>
        <w:footnoteReference w:id="114"/>
      </w:r>
      <w:r w:rsidR="00F2356A" w:rsidRPr="00105260">
        <w:t>.</w:t>
      </w:r>
      <w:r w:rsidR="00105260" w:rsidRPr="00105260">
        <w:t xml:space="preserve"> </w:t>
      </w:r>
      <w:r w:rsidR="007E4798">
        <w:t xml:space="preserve">En dos oportunidades </w:t>
      </w:r>
      <w:r w:rsidR="00CF5BCE">
        <w:t>señal</w:t>
      </w:r>
      <w:r w:rsidR="007E4798" w:rsidRPr="00020F4D">
        <w:t>ó que lo vio de espaldas</w:t>
      </w:r>
      <w:r w:rsidR="007E4798" w:rsidRPr="00020F4D">
        <w:rPr>
          <w:rStyle w:val="FootnoteReference"/>
          <w:sz w:val="20"/>
          <w:szCs w:val="20"/>
        </w:rPr>
        <w:footnoteReference w:id="115"/>
      </w:r>
      <w:r w:rsidR="007E4798" w:rsidRPr="00020F4D">
        <w:t>, y una oportunidad indicó que lo vio “</w:t>
      </w:r>
      <w:r w:rsidR="007E4798" w:rsidRPr="00020F4D">
        <w:rPr>
          <w:lang w:val="es-MX"/>
        </w:rPr>
        <w:t xml:space="preserve">de </w:t>
      </w:r>
      <w:proofErr w:type="spellStart"/>
      <w:r w:rsidR="007E4798" w:rsidRPr="00020F4D">
        <w:rPr>
          <w:lang w:val="es-MX"/>
        </w:rPr>
        <w:t>perfi</w:t>
      </w:r>
      <w:proofErr w:type="spellEnd"/>
      <w:r w:rsidR="007E4798" w:rsidRPr="00020F4D">
        <w:rPr>
          <w:lang w:val="es-MX"/>
        </w:rPr>
        <w:t>[l] y la parte de espalda con el pelo suelto”</w:t>
      </w:r>
      <w:r w:rsidR="007E4798" w:rsidRPr="00020F4D">
        <w:rPr>
          <w:rStyle w:val="FootnoteReference"/>
          <w:sz w:val="20"/>
          <w:szCs w:val="20"/>
        </w:rPr>
        <w:footnoteReference w:id="116"/>
      </w:r>
      <w:r w:rsidR="007E4798" w:rsidRPr="00020F4D">
        <w:rPr>
          <w:lang w:val="es-MX"/>
        </w:rPr>
        <w:t>.</w:t>
      </w:r>
      <w:r w:rsidR="007E4798" w:rsidRPr="00020F4D">
        <w:t xml:space="preserve"> </w:t>
      </w:r>
      <w:r w:rsidR="00105260" w:rsidRPr="00020F4D">
        <w:t xml:space="preserve">Además aclaró que </w:t>
      </w:r>
      <w:r w:rsidR="00D85305">
        <w:t xml:space="preserve">a </w:t>
      </w:r>
      <w:r w:rsidR="00F60F74" w:rsidRPr="00020F4D">
        <w:t xml:space="preserve">Walter </w:t>
      </w:r>
      <w:proofErr w:type="spellStart"/>
      <w:r w:rsidR="00F60F74" w:rsidRPr="00020F4D">
        <w:t>Munárriz</w:t>
      </w:r>
      <w:proofErr w:type="spellEnd"/>
      <w:r w:rsidR="00F60F74" w:rsidRPr="00020F4D">
        <w:t xml:space="preserve"> Escobar lo conocía de vista</w:t>
      </w:r>
      <w:r w:rsidR="00F60F74" w:rsidRPr="00020F4D">
        <w:rPr>
          <w:rStyle w:val="FootnoteReference"/>
          <w:sz w:val="20"/>
          <w:szCs w:val="20"/>
        </w:rPr>
        <w:footnoteReference w:id="117"/>
      </w:r>
      <w:r w:rsidR="00F60F74" w:rsidRPr="00020F4D">
        <w:t xml:space="preserve">. </w:t>
      </w:r>
    </w:p>
    <w:p w14:paraId="05515E28" w14:textId="77777777" w:rsidR="00CF5BCE" w:rsidRPr="00CF5BCE" w:rsidRDefault="00CF5BCE" w:rsidP="00CF5BCE">
      <w:pPr>
        <w:rPr>
          <w:lang w:val="es-CR" w:eastAsia="es-MX"/>
        </w:rPr>
      </w:pPr>
    </w:p>
    <w:p w14:paraId="588DD4E3" w14:textId="4418366E" w:rsidR="00E7283C" w:rsidRPr="00020F4D" w:rsidRDefault="0055348C" w:rsidP="009F7500">
      <w:pPr>
        <w:pStyle w:val="PrrafodeSentencia"/>
        <w:rPr>
          <w:lang w:val="es-MX"/>
        </w:rPr>
      </w:pPr>
      <w:bookmarkStart w:id="236" w:name="_Ref524599416"/>
      <w:bookmarkStart w:id="237" w:name="_Ref521404153"/>
      <w:r>
        <w:t>JMS, l</w:t>
      </w:r>
      <w:r w:rsidR="00105260" w:rsidRPr="00020F4D">
        <w:t>a otra persona</w:t>
      </w:r>
      <w:r>
        <w:t xml:space="preserve"> que declaró,</w:t>
      </w:r>
      <w:r w:rsidR="00105260" w:rsidRPr="00020F4D">
        <w:t xml:space="preserve"> </w:t>
      </w:r>
      <w:r w:rsidR="00020F4D" w:rsidRPr="00020F4D">
        <w:t xml:space="preserve">igualmente indicó que solo conocía a Walter </w:t>
      </w:r>
      <w:proofErr w:type="spellStart"/>
      <w:r w:rsidR="00020F4D" w:rsidRPr="00020F4D">
        <w:t>Munárriz</w:t>
      </w:r>
      <w:proofErr w:type="spellEnd"/>
      <w:r w:rsidR="00020F4D" w:rsidRPr="00020F4D">
        <w:t xml:space="preserve"> Escobar de vista y que lo reconoció por su frondosa cabellera, ya que en el pueblo donde habitan “solo [había dos</w:t>
      </w:r>
      <w:r w:rsidR="005D15F5">
        <w:t>]</w:t>
      </w:r>
      <w:r w:rsidR="00020F4D" w:rsidRPr="00020F4D">
        <w:t xml:space="preserve"> personas que </w:t>
      </w:r>
      <w:proofErr w:type="gramStart"/>
      <w:r w:rsidR="00020F4D" w:rsidRPr="00020F4D">
        <w:t>t</w:t>
      </w:r>
      <w:r w:rsidR="005D15F5">
        <w:t>[</w:t>
      </w:r>
      <w:proofErr w:type="spellStart"/>
      <w:proofErr w:type="gramEnd"/>
      <w:r w:rsidR="005D15F5">
        <w:t>enían</w:t>
      </w:r>
      <w:proofErr w:type="spellEnd"/>
      <w:r w:rsidR="005D15F5">
        <w:t>]</w:t>
      </w:r>
      <w:r w:rsidR="00020F4D" w:rsidRPr="00020F4D">
        <w:t xml:space="preserve"> cabello largo”</w:t>
      </w:r>
      <w:r w:rsidR="00020F4D" w:rsidRPr="00020F4D">
        <w:rPr>
          <w:rStyle w:val="FootnoteReference"/>
          <w:sz w:val="20"/>
          <w:szCs w:val="20"/>
        </w:rPr>
        <w:footnoteReference w:id="118"/>
      </w:r>
      <w:r w:rsidR="00020F4D" w:rsidRPr="00020F4D">
        <w:t xml:space="preserve">. </w:t>
      </w:r>
      <w:r w:rsidR="00020F4D" w:rsidRPr="00020F4D">
        <w:rPr>
          <w:lang w:val="es-MX"/>
        </w:rPr>
        <w:t xml:space="preserve">Declaró </w:t>
      </w:r>
      <w:r w:rsidR="00105260" w:rsidRPr="00020F4D">
        <w:t xml:space="preserve">inicialmente que vio a Walter </w:t>
      </w:r>
      <w:proofErr w:type="spellStart"/>
      <w:r w:rsidR="00105260" w:rsidRPr="00020F4D">
        <w:t>Munárriz</w:t>
      </w:r>
      <w:proofErr w:type="spellEnd"/>
      <w:r w:rsidR="00105260" w:rsidRPr="00020F4D">
        <w:t xml:space="preserve"> Escobar desde una ventana</w:t>
      </w:r>
      <w:r w:rsidR="00105260" w:rsidRPr="00020F4D">
        <w:rPr>
          <w:rStyle w:val="FootnoteReference"/>
          <w:sz w:val="20"/>
          <w:szCs w:val="20"/>
        </w:rPr>
        <w:footnoteReference w:id="119"/>
      </w:r>
      <w:r w:rsidR="00105260" w:rsidRPr="00020F4D">
        <w:t>. Posteriormente señaló que no lo vio por una ventana, sino al salir de su casa</w:t>
      </w:r>
      <w:r w:rsidR="00A86DAF" w:rsidRPr="00020F4D">
        <w:t>,</w:t>
      </w:r>
      <w:r w:rsidR="00105260" w:rsidRPr="00020F4D">
        <w:t xml:space="preserve"> que lo vio de espaldas</w:t>
      </w:r>
      <w:r w:rsidR="006E1C8E" w:rsidRPr="00020F4D">
        <w:rPr>
          <w:rStyle w:val="FootnoteReference"/>
          <w:sz w:val="20"/>
          <w:szCs w:val="20"/>
          <w:lang w:val="es-MX"/>
        </w:rPr>
        <w:footnoteReference w:id="120"/>
      </w:r>
      <w:r w:rsidR="006E1C8E" w:rsidRPr="00020F4D">
        <w:rPr>
          <w:lang w:val="es-MX"/>
        </w:rPr>
        <w:t>.</w:t>
      </w:r>
      <w:bookmarkEnd w:id="236"/>
      <w:r w:rsidR="006E1C8E" w:rsidRPr="00020F4D">
        <w:rPr>
          <w:lang w:val="es-MX"/>
        </w:rPr>
        <w:t xml:space="preserve"> </w:t>
      </w:r>
      <w:bookmarkEnd w:id="235"/>
      <w:bookmarkEnd w:id="237"/>
    </w:p>
    <w:p w14:paraId="488E7C4D" w14:textId="77777777" w:rsidR="00E7283C" w:rsidRPr="00E7283C" w:rsidRDefault="00E7283C" w:rsidP="00E7283C">
      <w:pPr>
        <w:rPr>
          <w:lang w:eastAsia="es-MX"/>
        </w:rPr>
      </w:pPr>
    </w:p>
    <w:p w14:paraId="19B95716" w14:textId="71147431" w:rsidR="00F60F74" w:rsidRPr="009C7778" w:rsidRDefault="00F60F74" w:rsidP="00FD0E8A">
      <w:pPr>
        <w:pStyle w:val="PrrafodeSentencia"/>
      </w:pPr>
      <w:bookmarkStart w:id="238" w:name="_Ref521404308"/>
      <w:r w:rsidRPr="00FF1535">
        <w:t xml:space="preserve">La Corte </w:t>
      </w:r>
      <w:r w:rsidR="009C7778">
        <w:t>advierte</w:t>
      </w:r>
      <w:r w:rsidRPr="00FF1535">
        <w:t xml:space="preserve"> que uno de los detenidos en la </w:t>
      </w:r>
      <w:r w:rsidR="00D16772">
        <w:t>c</w:t>
      </w:r>
      <w:r w:rsidRPr="00FF1535">
        <w:t>omisar</w:t>
      </w:r>
      <w:r w:rsidR="00D16772">
        <w:t>í</w:t>
      </w:r>
      <w:r w:rsidRPr="00FF1535">
        <w:t>a declaró ante la Defensoría del Pueblo que</w:t>
      </w:r>
      <w:r w:rsidR="0055348C" w:rsidRPr="00FF1535">
        <w:t xml:space="preserve"> </w:t>
      </w:r>
      <w:r w:rsidRPr="00FF1535">
        <w:t>LPS le</w:t>
      </w:r>
      <w:r w:rsidR="00C43B82">
        <w:t xml:space="preserve"> da pensión y le manifestó que </w:t>
      </w:r>
      <w:r w:rsidRPr="00FF1535">
        <w:t xml:space="preserve">fue aleccionada a declarar que </w:t>
      </w:r>
      <w:r w:rsidR="00EB4C32">
        <w:t>había</w:t>
      </w:r>
      <w:r w:rsidRPr="00FF1535">
        <w:t xml:space="preserve"> vist</w:t>
      </w:r>
      <w:r w:rsidR="00C43B82">
        <w:t>o a un joven de cabellos largos</w:t>
      </w:r>
      <w:r w:rsidRPr="00FF1535">
        <w:t xml:space="preserve"> caminado fuera de la </w:t>
      </w:r>
      <w:r w:rsidR="00DF1F3A">
        <w:t>c</w:t>
      </w:r>
      <w:r w:rsidRPr="00FF1535">
        <w:t>omisaría</w:t>
      </w:r>
      <w:r>
        <w:rPr>
          <w:rStyle w:val="FootnoteReference"/>
          <w:sz w:val="20"/>
          <w:lang w:val="es-MX"/>
        </w:rPr>
        <w:footnoteReference w:id="121"/>
      </w:r>
      <w:r w:rsidRPr="00FF1535">
        <w:rPr>
          <w:lang w:val="es-MX"/>
        </w:rPr>
        <w:t xml:space="preserve">. </w:t>
      </w:r>
      <w:r w:rsidR="00E7283C" w:rsidRPr="00FF1535">
        <w:rPr>
          <w:lang w:val="es-MX"/>
        </w:rPr>
        <w:t>Asimismo,</w:t>
      </w:r>
      <w:r w:rsidR="00E7283C" w:rsidRPr="00E7283C">
        <w:t xml:space="preserve"> </w:t>
      </w:r>
      <w:r w:rsidR="00E7283C" w:rsidRPr="00FF1535">
        <w:t xml:space="preserve">la Corte </w:t>
      </w:r>
      <w:r w:rsidR="00E7283C">
        <w:t xml:space="preserve">destaca </w:t>
      </w:r>
      <w:r w:rsidR="00E7283C" w:rsidRPr="00FF1535">
        <w:t xml:space="preserve">que ambos declarantes conocían a Walter </w:t>
      </w:r>
      <w:proofErr w:type="spellStart"/>
      <w:r w:rsidR="00E7283C" w:rsidRPr="00FF1535">
        <w:t>Mun</w:t>
      </w:r>
      <w:r w:rsidR="00E7283C">
        <w:t>árriz</w:t>
      </w:r>
      <w:proofErr w:type="spellEnd"/>
      <w:r w:rsidR="00E7283C">
        <w:t xml:space="preserve"> Escobar</w:t>
      </w:r>
      <w:r w:rsidR="00E7283C" w:rsidRPr="00FF1535">
        <w:t xml:space="preserve"> solo de vist</w:t>
      </w:r>
      <w:r w:rsidR="00E7283C">
        <w:t>a</w:t>
      </w:r>
      <w:r w:rsidR="00E7283C" w:rsidRPr="00FF1535">
        <w:t xml:space="preserve">, y lo habrían reconocido </w:t>
      </w:r>
      <w:r w:rsidR="00E7283C">
        <w:t>sin verle la cara</w:t>
      </w:r>
      <w:r w:rsidR="00140E15">
        <w:t xml:space="preserve"> (</w:t>
      </w:r>
      <w:r w:rsidR="00140E15">
        <w:rPr>
          <w:i/>
        </w:rPr>
        <w:t xml:space="preserve">supra </w:t>
      </w:r>
      <w:proofErr w:type="spellStart"/>
      <w:r w:rsidR="00140E15">
        <w:t>párr</w:t>
      </w:r>
      <w:r w:rsidR="009C7778">
        <w:t>s</w:t>
      </w:r>
      <w:proofErr w:type="spellEnd"/>
      <w:r w:rsidR="00140E15">
        <w:t xml:space="preserve">. </w:t>
      </w:r>
      <w:r w:rsidR="00140E15">
        <w:fldChar w:fldCharType="begin"/>
      </w:r>
      <w:r w:rsidR="00140E15">
        <w:instrText xml:space="preserve"> REF _Ref519172005 \r \h </w:instrText>
      </w:r>
      <w:r w:rsidR="00140E15">
        <w:fldChar w:fldCharType="separate"/>
      </w:r>
      <w:r w:rsidR="00087178">
        <w:t>76</w:t>
      </w:r>
      <w:r w:rsidR="00140E15">
        <w:fldChar w:fldCharType="end"/>
      </w:r>
      <w:r w:rsidR="009C7778">
        <w:t xml:space="preserve"> y </w:t>
      </w:r>
      <w:r w:rsidR="009C7778">
        <w:fldChar w:fldCharType="begin"/>
      </w:r>
      <w:r w:rsidR="009C7778">
        <w:instrText xml:space="preserve"> REF _Ref521404153 \r \h </w:instrText>
      </w:r>
      <w:r w:rsidR="009C7778">
        <w:fldChar w:fldCharType="separate"/>
      </w:r>
      <w:r w:rsidR="00087178">
        <w:t>77</w:t>
      </w:r>
      <w:r w:rsidR="009C7778">
        <w:fldChar w:fldCharType="end"/>
      </w:r>
      <w:r w:rsidR="00140E15">
        <w:t>)</w:t>
      </w:r>
      <w:r w:rsidR="00E7283C">
        <w:t>.</w:t>
      </w:r>
      <w:r w:rsidR="00E7283C" w:rsidRPr="00FF1535">
        <w:t xml:space="preserve"> Por otra parte</w:t>
      </w:r>
      <w:r w:rsidR="00E7283C">
        <w:t>,</w:t>
      </w:r>
      <w:r w:rsidR="00E7283C" w:rsidRPr="00FF1535">
        <w:t xml:space="preserve"> </w:t>
      </w:r>
      <w:r w:rsidR="00145D6A" w:rsidRPr="00FF1535">
        <w:rPr>
          <w:lang w:val="es-MX"/>
        </w:rPr>
        <w:t xml:space="preserve">este Tribunal advierte que existen algunas contradicciones entre las declaraciones y el resto del acervo probatorio. En primer lugar, </w:t>
      </w:r>
      <w:r w:rsidR="00145D6A" w:rsidRPr="00FF1535">
        <w:t xml:space="preserve">en la inspección ocular realizada para comprobar la veracidad de estas declaraciones </w:t>
      </w:r>
      <w:r w:rsidR="00471C3C">
        <w:t>se</w:t>
      </w:r>
      <w:r w:rsidR="00694E16">
        <w:t xml:space="preserve"> </w:t>
      </w:r>
      <w:r w:rsidR="00471C3C">
        <w:t>estableció</w:t>
      </w:r>
      <w:r w:rsidR="00145D6A" w:rsidRPr="00FF1535">
        <w:t xml:space="preserve"> que lo señalado por JMS “no se ajusta a la verdad por cuanto </w:t>
      </w:r>
      <w:r w:rsidR="00EB4C32">
        <w:t>[</w:t>
      </w:r>
      <w:r w:rsidR="00145D6A" w:rsidRPr="00FF1535">
        <w:t>a</w:t>
      </w:r>
      <w:r w:rsidR="00EB4C32">
        <w:t>]</w:t>
      </w:r>
      <w:r w:rsidR="00145D6A" w:rsidRPr="00FF1535">
        <w:t xml:space="preserve"> esa distancia se pierde la visibilidad del físico-anatómico de la persona de Walter </w:t>
      </w:r>
      <w:proofErr w:type="spellStart"/>
      <w:r w:rsidR="00145D6A" w:rsidRPr="00FF1535">
        <w:t>Munárriz</w:t>
      </w:r>
      <w:proofErr w:type="spellEnd"/>
      <w:r w:rsidR="00145D6A" w:rsidRPr="00FF1535">
        <w:t>”</w:t>
      </w:r>
      <w:r w:rsidR="00145D6A">
        <w:rPr>
          <w:rStyle w:val="FootnoteReference"/>
          <w:sz w:val="20"/>
        </w:rPr>
        <w:footnoteReference w:id="122"/>
      </w:r>
      <w:r w:rsidR="00814B5D">
        <w:t>.</w:t>
      </w:r>
      <w:r w:rsidR="00FD0E8A">
        <w:t xml:space="preserve"> A</w:t>
      </w:r>
      <w:r w:rsidR="00046794">
        <w:t>demás</w:t>
      </w:r>
      <w:r w:rsidR="00FD0E8A">
        <w:t xml:space="preserve">, </w:t>
      </w:r>
      <w:r w:rsidR="00046794">
        <w:t xml:space="preserve">en dicha diligencia </w:t>
      </w:r>
      <w:r w:rsidR="00FD0E8A">
        <w:t xml:space="preserve">el fiscal observó </w:t>
      </w:r>
      <w:r w:rsidR="00FD0E8A" w:rsidRPr="007D20EF">
        <w:rPr>
          <w:szCs w:val="20"/>
        </w:rPr>
        <w:t xml:space="preserve">que de “lo vertido por [LPS], ella tenía buena visibilidad por tener luz </w:t>
      </w:r>
      <w:proofErr w:type="gramStart"/>
      <w:r w:rsidR="00FD0E8A" w:rsidRPr="007D20EF">
        <w:rPr>
          <w:szCs w:val="20"/>
        </w:rPr>
        <w:t>artificial[</w:t>
      </w:r>
      <w:proofErr w:type="gramEnd"/>
      <w:r w:rsidR="00FD0E8A" w:rsidRPr="007D20EF">
        <w:rPr>
          <w:szCs w:val="20"/>
        </w:rPr>
        <w:t>,] y mas no como manifiesta, tan solo [que lo] ha podido reconocer por su cabello y no por alguna otra seña o característica”</w:t>
      </w:r>
      <w:r w:rsidR="00FD0E8A">
        <w:rPr>
          <w:rStyle w:val="FootnoteReference"/>
          <w:sz w:val="20"/>
        </w:rPr>
        <w:footnoteReference w:id="123"/>
      </w:r>
      <w:r w:rsidR="00FD0E8A" w:rsidRPr="00FF1535">
        <w:t>.</w:t>
      </w:r>
      <w:r w:rsidR="00FD0E8A">
        <w:t xml:space="preserve"> </w:t>
      </w:r>
      <w:r w:rsidR="00145D6A" w:rsidRPr="00FF1535">
        <w:t xml:space="preserve">En segundo lugar, </w:t>
      </w:r>
      <w:r w:rsidR="00A86DAF" w:rsidRPr="00FF1535">
        <w:t xml:space="preserve">las declaraciones de JMS no son claras sobre </w:t>
      </w:r>
      <w:r w:rsidR="00A86DAF" w:rsidRPr="00FF1535">
        <w:lastRenderedPageBreak/>
        <w:t xml:space="preserve">desde dónde habría visto a Walter </w:t>
      </w:r>
      <w:proofErr w:type="spellStart"/>
      <w:r w:rsidR="00A86DAF" w:rsidRPr="00FF1535">
        <w:t>Munárriz</w:t>
      </w:r>
      <w:proofErr w:type="spellEnd"/>
      <w:r w:rsidR="00A86DAF" w:rsidRPr="00FF1535">
        <w:t xml:space="preserve"> E</w:t>
      </w:r>
      <w:r w:rsidR="00106B7D">
        <w:t>scobar.</w:t>
      </w:r>
      <w:r w:rsidR="00A86DAF" w:rsidRPr="00FF1535">
        <w:t xml:space="preserve"> </w:t>
      </w:r>
      <w:r w:rsidR="00106B7D">
        <w:t>I</w:t>
      </w:r>
      <w:r w:rsidR="00A86DAF" w:rsidRPr="00FF1535">
        <w:t>nicialmente señaló que lo vi</w:t>
      </w:r>
      <w:r w:rsidR="00E944F6" w:rsidRPr="00FF1535">
        <w:t>o</w:t>
      </w:r>
      <w:r w:rsidR="00A86DAF" w:rsidRPr="00FF1535">
        <w:t xml:space="preserve"> desde la ventana, luego indicó que lo vio estando en la calle</w:t>
      </w:r>
      <w:r w:rsidR="00EB4C32">
        <w:t xml:space="preserve"> (</w:t>
      </w:r>
      <w:r w:rsidR="00EB4C32">
        <w:rPr>
          <w:i/>
        </w:rPr>
        <w:t xml:space="preserve">supra </w:t>
      </w:r>
      <w:r w:rsidR="00EB4C32">
        <w:t xml:space="preserve">párr. </w:t>
      </w:r>
      <w:r w:rsidR="00EB4C32">
        <w:fldChar w:fldCharType="begin"/>
      </w:r>
      <w:r w:rsidR="00EB4C32">
        <w:instrText xml:space="preserve"> REF _Ref524599416 \r \h </w:instrText>
      </w:r>
      <w:r w:rsidR="00EB4C32">
        <w:fldChar w:fldCharType="separate"/>
      </w:r>
      <w:r w:rsidR="00087178">
        <w:t>77</w:t>
      </w:r>
      <w:r w:rsidR="00EB4C32">
        <w:fldChar w:fldCharType="end"/>
      </w:r>
      <w:r w:rsidR="00EB4C32">
        <w:t xml:space="preserve">). Además </w:t>
      </w:r>
      <w:r w:rsidR="00A86DAF" w:rsidRPr="00FF1535">
        <w:t xml:space="preserve">en una oportunidad </w:t>
      </w:r>
      <w:r w:rsidR="00EB4C32">
        <w:t xml:space="preserve">señaló </w:t>
      </w:r>
      <w:r w:rsidR="00A86DAF" w:rsidRPr="00FF1535">
        <w:t>que lo vio estando con su esposa</w:t>
      </w:r>
      <w:r w:rsidR="00EB4C32">
        <w:t xml:space="preserve"> mientras esperaban un trasporte</w:t>
      </w:r>
      <w:r w:rsidR="00A86DAF" w:rsidRPr="00816E15">
        <w:rPr>
          <w:rStyle w:val="FootnoteReference"/>
          <w:sz w:val="20"/>
          <w:szCs w:val="20"/>
        </w:rPr>
        <w:footnoteReference w:id="124"/>
      </w:r>
      <w:r w:rsidR="00EB4C32">
        <w:t xml:space="preserve">, lo cual </w:t>
      </w:r>
      <w:r w:rsidR="00A86DAF" w:rsidRPr="00FF1535">
        <w:t xml:space="preserve">contradice lo dicho por su esposa sobre que ella vio a Walter </w:t>
      </w:r>
      <w:proofErr w:type="spellStart"/>
      <w:r w:rsidR="00A86DAF" w:rsidRPr="00FF1535">
        <w:t>Munárriz</w:t>
      </w:r>
      <w:proofErr w:type="spellEnd"/>
      <w:r w:rsidR="00A86DAF" w:rsidRPr="00FF1535">
        <w:t xml:space="preserve"> Escobar desde la ventana. </w:t>
      </w:r>
      <w:r w:rsidRPr="00FF1535">
        <w:t>Por tanto,</w:t>
      </w:r>
      <w:r w:rsidR="00145D6A" w:rsidRPr="00FF1535">
        <w:t xml:space="preserve"> </w:t>
      </w:r>
      <w:r w:rsidR="00145D6A" w:rsidRPr="00034569">
        <w:t xml:space="preserve">la evidencia no resulta </w:t>
      </w:r>
      <w:r w:rsidR="00145D6A" w:rsidRPr="009C7778">
        <w:t xml:space="preserve">concluyente para afirmar que efectivamente </w:t>
      </w:r>
      <w:r w:rsidR="00034569" w:rsidRPr="009C7778">
        <w:t xml:space="preserve">Walter </w:t>
      </w:r>
      <w:proofErr w:type="spellStart"/>
      <w:r w:rsidR="00034569" w:rsidRPr="009C7778">
        <w:t>Munárriz</w:t>
      </w:r>
      <w:proofErr w:type="spellEnd"/>
      <w:r w:rsidR="00034569" w:rsidRPr="009C7778">
        <w:t xml:space="preserve"> Escobar salió de la Comisaría de </w:t>
      </w:r>
      <w:proofErr w:type="spellStart"/>
      <w:r w:rsidR="00034569" w:rsidRPr="009C7778">
        <w:t>Lircay</w:t>
      </w:r>
      <w:proofErr w:type="spellEnd"/>
      <w:r w:rsidR="00034569" w:rsidRPr="009C7778">
        <w:t>.</w:t>
      </w:r>
      <w:bookmarkEnd w:id="238"/>
    </w:p>
    <w:p w14:paraId="71C0D0C7" w14:textId="77777777" w:rsidR="00F60F74" w:rsidRPr="009C7778" w:rsidRDefault="00F60F74" w:rsidP="00EE5E64">
      <w:pPr>
        <w:tabs>
          <w:tab w:val="left" w:pos="567"/>
        </w:tabs>
        <w:rPr>
          <w:i/>
          <w:szCs w:val="20"/>
        </w:rPr>
      </w:pPr>
    </w:p>
    <w:p w14:paraId="0D166366" w14:textId="77777777" w:rsidR="00F60F74" w:rsidRPr="009C7778" w:rsidRDefault="00F60F74" w:rsidP="00EE5E64">
      <w:pPr>
        <w:pStyle w:val="ListParagraph"/>
        <w:numPr>
          <w:ilvl w:val="0"/>
          <w:numId w:val="15"/>
        </w:numPr>
        <w:tabs>
          <w:tab w:val="left" w:pos="567"/>
        </w:tabs>
        <w:ind w:hanging="371"/>
        <w:contextualSpacing/>
        <w:rPr>
          <w:i/>
          <w:szCs w:val="20"/>
        </w:rPr>
      </w:pPr>
      <w:r w:rsidRPr="009C7778">
        <w:rPr>
          <w:i/>
          <w:szCs w:val="20"/>
        </w:rPr>
        <w:t>Conclusión</w:t>
      </w:r>
    </w:p>
    <w:p w14:paraId="2EEFF255" w14:textId="77777777" w:rsidR="00F60F74" w:rsidRPr="009C7778" w:rsidRDefault="00F60F74" w:rsidP="00EE5E64">
      <w:pPr>
        <w:tabs>
          <w:tab w:val="left" w:pos="567"/>
        </w:tabs>
        <w:rPr>
          <w:szCs w:val="20"/>
          <w:lang w:eastAsia="es-MX"/>
        </w:rPr>
      </w:pPr>
    </w:p>
    <w:p w14:paraId="46307C26" w14:textId="01B12618" w:rsidR="00F60F74" w:rsidRPr="00F24F69" w:rsidRDefault="00F60F74" w:rsidP="005033F4">
      <w:pPr>
        <w:pStyle w:val="PrrafodeSentencia"/>
      </w:pPr>
      <w:bookmarkStart w:id="239" w:name="_Ref524601715"/>
      <w:r w:rsidRPr="00D03647">
        <w:t xml:space="preserve">Esta Corte reitera que en el presente caso la última noticia que se tuvo de Walter </w:t>
      </w:r>
      <w:proofErr w:type="spellStart"/>
      <w:r w:rsidRPr="00D03647">
        <w:t>Munárriz</w:t>
      </w:r>
      <w:proofErr w:type="spellEnd"/>
      <w:r w:rsidRPr="00D03647">
        <w:t xml:space="preserve"> Escobar es que se encontraba en custodia del Estado. En consecuencia</w:t>
      </w:r>
      <w:r w:rsidR="00106B7D">
        <w:t>,</w:t>
      </w:r>
      <w:r w:rsidRPr="00D03647">
        <w:t xml:space="preserve"> el Estado tenía </w:t>
      </w:r>
      <w:r w:rsidR="005E5616" w:rsidRPr="00D03647">
        <w:t xml:space="preserve">una posición de garante frente a Walter </w:t>
      </w:r>
      <w:proofErr w:type="spellStart"/>
      <w:r w:rsidR="005E5616" w:rsidRPr="00D03647">
        <w:t>Munárriz</w:t>
      </w:r>
      <w:proofErr w:type="spellEnd"/>
      <w:r w:rsidR="005E5616" w:rsidRPr="00D03647">
        <w:t xml:space="preserve"> Escobar</w:t>
      </w:r>
      <w:r w:rsidR="00106B7D">
        <w:t>,</w:t>
      </w:r>
      <w:r w:rsidR="005E5616" w:rsidRPr="00D03647">
        <w:t xml:space="preserve"> y por tanto </w:t>
      </w:r>
      <w:r w:rsidRPr="00D03647">
        <w:t xml:space="preserve">la carga de dar una explicación satisfactoria y convincente de lo </w:t>
      </w:r>
      <w:r w:rsidRPr="00F24F69">
        <w:t xml:space="preserve">sucedido a la presunta víctima y desvirtuar su presunción de responsabilidad. </w:t>
      </w:r>
      <w:r w:rsidR="00F50941" w:rsidRPr="00F24F69">
        <w:t xml:space="preserve">El Estado no registró el inicio ni el fin de su detención, por lo que no existe prueba directa que el señor </w:t>
      </w:r>
      <w:proofErr w:type="spellStart"/>
      <w:r w:rsidR="00F50941" w:rsidRPr="00F24F69">
        <w:t>Munárriz</w:t>
      </w:r>
      <w:proofErr w:type="spellEnd"/>
      <w:r w:rsidR="00F50941" w:rsidRPr="00F24F69">
        <w:t xml:space="preserve"> Escobar fue puesto en libertad. </w:t>
      </w:r>
      <w:r w:rsidRPr="00F24F69">
        <w:t xml:space="preserve">Las únicas pruebas referidas por el Estado de la posible salida de Walter </w:t>
      </w:r>
      <w:proofErr w:type="spellStart"/>
      <w:r w:rsidRPr="00F24F69">
        <w:t>Munárriz</w:t>
      </w:r>
      <w:proofErr w:type="spellEnd"/>
      <w:r w:rsidRPr="00F24F69">
        <w:t xml:space="preserve"> Escobar de la comisar</w:t>
      </w:r>
      <w:r w:rsidR="00D16772">
        <w:t>í</w:t>
      </w:r>
      <w:r w:rsidRPr="00F24F69">
        <w:t xml:space="preserve">a fueron las declaraciones de dos personas, </w:t>
      </w:r>
      <w:r w:rsidR="00016691" w:rsidRPr="00F24F69">
        <w:t xml:space="preserve">en las que </w:t>
      </w:r>
      <w:r w:rsidRPr="00F24F69">
        <w:t xml:space="preserve">existen </w:t>
      </w:r>
      <w:r w:rsidR="00016691" w:rsidRPr="00F24F69">
        <w:t>contradicciones e inconsistencias por lo que no son prueba concluyente</w:t>
      </w:r>
      <w:r w:rsidRPr="00F24F69">
        <w:t xml:space="preserve"> (</w:t>
      </w:r>
      <w:r w:rsidRPr="00F24F69">
        <w:rPr>
          <w:i/>
        </w:rPr>
        <w:t xml:space="preserve">supra </w:t>
      </w:r>
      <w:r w:rsidRPr="00F24F69">
        <w:t>párr.</w:t>
      </w:r>
      <w:r w:rsidR="009434EB" w:rsidRPr="00F24F69">
        <w:t xml:space="preserve"> </w:t>
      </w:r>
      <w:r w:rsidR="009434EB" w:rsidRPr="00F24F69">
        <w:fldChar w:fldCharType="begin"/>
      </w:r>
      <w:r w:rsidR="009434EB" w:rsidRPr="00F24F69">
        <w:instrText xml:space="preserve"> REF _Ref521404308 \r \h </w:instrText>
      </w:r>
      <w:r w:rsidR="00D03647" w:rsidRPr="00F24F69">
        <w:instrText xml:space="preserve"> \* MERGEFORMAT </w:instrText>
      </w:r>
      <w:r w:rsidR="009434EB" w:rsidRPr="00F24F69">
        <w:fldChar w:fldCharType="separate"/>
      </w:r>
      <w:r w:rsidR="00087178">
        <w:t>78</w:t>
      </w:r>
      <w:r w:rsidR="009434EB" w:rsidRPr="00F24F69">
        <w:fldChar w:fldCharType="end"/>
      </w:r>
      <w:r w:rsidRPr="00F24F69">
        <w:t>). Por otra parte,</w:t>
      </w:r>
      <w:r w:rsidR="00814B5D" w:rsidRPr="00F24F69">
        <w:t xml:space="preserve"> la</w:t>
      </w:r>
      <w:r w:rsidRPr="00F24F69">
        <w:t xml:space="preserve"> investigación realizada por el Estado tampoco ha podido ofrecer una versión definitiva y oficial de lo sucedido a la presunta víctima y no se ha descartado la posibilidad de que </w:t>
      </w:r>
      <w:r w:rsidR="00106B7D">
        <w:t>é</w:t>
      </w:r>
      <w:r w:rsidRPr="00F24F69">
        <w:t>sta haya sido desaparecida forzosamente. Por tanto, el Estado no ha brindado una explicación satisfactoria y convincente que desvirtúe la</w:t>
      </w:r>
      <w:r w:rsidR="003C4991" w:rsidRPr="00F24F69">
        <w:t xml:space="preserve"> participación de las</w:t>
      </w:r>
      <w:r w:rsidR="00106B7D">
        <w:t xml:space="preserve"> autoridades estatales</w:t>
      </w:r>
      <w:r w:rsidRPr="00F24F69">
        <w:t xml:space="preserve"> en la desaparición de Walter </w:t>
      </w:r>
      <w:proofErr w:type="spellStart"/>
      <w:r w:rsidRPr="00F24F69">
        <w:t>Munárriz</w:t>
      </w:r>
      <w:proofErr w:type="spellEnd"/>
      <w:r w:rsidRPr="00F24F69">
        <w:t xml:space="preserve"> Escobar.</w:t>
      </w:r>
      <w:bookmarkEnd w:id="239"/>
      <w:r w:rsidRPr="00F24F69">
        <w:t xml:space="preserve"> </w:t>
      </w:r>
    </w:p>
    <w:p w14:paraId="4D178C67" w14:textId="77777777" w:rsidR="00F60F74" w:rsidRPr="00F24F69" w:rsidRDefault="00F60F74" w:rsidP="005033F4">
      <w:pPr>
        <w:tabs>
          <w:tab w:val="left" w:pos="567"/>
        </w:tabs>
        <w:rPr>
          <w:szCs w:val="20"/>
          <w:lang w:eastAsia="es-MX"/>
        </w:rPr>
      </w:pPr>
    </w:p>
    <w:p w14:paraId="1B723A04" w14:textId="30BA98AC" w:rsidR="00F60F74" w:rsidRPr="00F24F69" w:rsidRDefault="00F60F74" w:rsidP="005033F4">
      <w:pPr>
        <w:pStyle w:val="Heading4"/>
        <w:ind w:left="1418" w:firstLine="0"/>
      </w:pPr>
      <w:bookmarkStart w:id="240" w:name="_Toc480194699"/>
      <w:r w:rsidRPr="00F24F69">
        <w:t>B.1.</w:t>
      </w:r>
      <w:r w:rsidR="00727BEC" w:rsidRPr="00F24F69">
        <w:t>c</w:t>
      </w:r>
      <w:r w:rsidRPr="00F24F69">
        <w:t xml:space="preserve"> La negativa de reconocer la detención </w:t>
      </w:r>
      <w:r w:rsidR="00F50941" w:rsidRPr="00F24F69">
        <w:t xml:space="preserve">o falta de proveer información </w:t>
      </w:r>
      <w:r w:rsidRPr="00F24F69">
        <w:t>y de revelar la suerte o el paradero de la persona interesada</w:t>
      </w:r>
      <w:bookmarkEnd w:id="240"/>
    </w:p>
    <w:p w14:paraId="082862D4" w14:textId="77777777" w:rsidR="00F60F74" w:rsidRPr="00F24F69" w:rsidRDefault="00F60F74" w:rsidP="005033F4">
      <w:pPr>
        <w:tabs>
          <w:tab w:val="left" w:pos="567"/>
        </w:tabs>
        <w:jc w:val="right"/>
        <w:rPr>
          <w:szCs w:val="20"/>
          <w:lang w:eastAsia="es-MX"/>
        </w:rPr>
      </w:pPr>
    </w:p>
    <w:p w14:paraId="7D23B1EF" w14:textId="53445823" w:rsidR="005A23F8" w:rsidRPr="00D03647" w:rsidRDefault="00F60F74" w:rsidP="005033F4">
      <w:pPr>
        <w:pStyle w:val="PrrafodeSentencia"/>
      </w:pPr>
      <w:r w:rsidRPr="00F24F69">
        <w:t>Según la definición contenida en la Convención Interamericana sobre Desaparición Forzada</w:t>
      </w:r>
      <w:r w:rsidRPr="00F24F69">
        <w:rPr>
          <w:rStyle w:val="FootnoteReference"/>
          <w:spacing w:val="0"/>
          <w:sz w:val="20"/>
        </w:rPr>
        <w:footnoteReference w:id="125"/>
      </w:r>
      <w:r w:rsidRPr="00F24F69">
        <w:t xml:space="preserve"> y la jurisprudencia de esta Corte, una de las características de la desaparición forzada, a diferencia de la ejecución extrajudicial, es que conlleva la negativa del Estado de reconocer que la víctima está bajo su control </w:t>
      </w:r>
      <w:r w:rsidR="005A23F8" w:rsidRPr="00F24F69">
        <w:t>o</w:t>
      </w:r>
      <w:r w:rsidRPr="00F24F69">
        <w:t xml:space="preserve"> de proporcionar información al respecto, con el propósito de generar incertidumbre acerca de su paradero, vida o muerte, de provocar intimidación y supresión de derechos</w:t>
      </w:r>
      <w:r w:rsidRPr="00F24F69">
        <w:rPr>
          <w:rStyle w:val="FootnoteReference"/>
          <w:spacing w:val="0"/>
          <w:sz w:val="20"/>
        </w:rPr>
        <w:footnoteReference w:id="126"/>
      </w:r>
      <w:r w:rsidRPr="00F24F69">
        <w:t>.</w:t>
      </w:r>
      <w:r w:rsidR="00F50941" w:rsidRPr="00F24F69">
        <w:t xml:space="preserve"> En </w:t>
      </w:r>
      <w:r w:rsidR="006A6B8D" w:rsidRPr="00F24F69">
        <w:t>casos donde la persona se encuentra bajo custodia estatal, el Estado</w:t>
      </w:r>
      <w:r w:rsidR="00106B7D">
        <w:t>,</w:t>
      </w:r>
      <w:r w:rsidR="006A6B8D" w:rsidRPr="00F24F69">
        <w:t xml:space="preserve"> en virtud de su condición</w:t>
      </w:r>
      <w:r w:rsidR="006A6B8D" w:rsidRPr="00D03647">
        <w:t xml:space="preserve"> de garante, </w:t>
      </w:r>
      <w:r w:rsidR="00F50941" w:rsidRPr="00D03647">
        <w:t>no solo está obligado a no negar su detención</w:t>
      </w:r>
      <w:r w:rsidR="00106B7D">
        <w:t>,</w:t>
      </w:r>
      <w:r w:rsidR="00F50941" w:rsidRPr="00D03647">
        <w:t xml:space="preserve"> sino que además tiene una obligación de proveer información sobre la persona detenida. </w:t>
      </w:r>
    </w:p>
    <w:p w14:paraId="1367DB5C" w14:textId="77777777" w:rsidR="000678D2" w:rsidRPr="00D03647" w:rsidRDefault="000678D2" w:rsidP="000678D2">
      <w:pPr>
        <w:pStyle w:val="PrrafodeSentencia"/>
        <w:numPr>
          <w:ilvl w:val="0"/>
          <w:numId w:val="0"/>
        </w:numPr>
      </w:pPr>
    </w:p>
    <w:p w14:paraId="16377C89" w14:textId="61DCF1BD" w:rsidR="008E3361" w:rsidRPr="00D03647" w:rsidRDefault="000678D2" w:rsidP="000678D2">
      <w:pPr>
        <w:pStyle w:val="PrrafodeSentencia"/>
      </w:pPr>
      <w:r w:rsidRPr="00D03647">
        <w:t xml:space="preserve">Como se estableció anteriormente, ante esta Corte el Estado no ha brindado una explicación satisfactoria y convincente sobre lo sucedido a Walter </w:t>
      </w:r>
      <w:proofErr w:type="spellStart"/>
      <w:r w:rsidRPr="00D03647">
        <w:t>Munárriz</w:t>
      </w:r>
      <w:proofErr w:type="spellEnd"/>
      <w:r w:rsidRPr="00D03647">
        <w:t xml:space="preserve"> Escobar desde su detención en la comisaría de </w:t>
      </w:r>
      <w:proofErr w:type="spellStart"/>
      <w:r w:rsidRPr="00D03647">
        <w:t>Lircay</w:t>
      </w:r>
      <w:proofErr w:type="spellEnd"/>
      <w:r w:rsidRPr="00D03647">
        <w:t xml:space="preserve"> (</w:t>
      </w:r>
      <w:r w:rsidRPr="00D03647">
        <w:rPr>
          <w:i/>
        </w:rPr>
        <w:t xml:space="preserve">supra </w:t>
      </w:r>
      <w:proofErr w:type="spellStart"/>
      <w:r w:rsidRPr="00D03647">
        <w:t>párrs</w:t>
      </w:r>
      <w:proofErr w:type="spellEnd"/>
      <w:r w:rsidRPr="00D03647">
        <w:t xml:space="preserve">. </w:t>
      </w:r>
      <w:r w:rsidR="00FA7946">
        <w:fldChar w:fldCharType="begin"/>
      </w:r>
      <w:r w:rsidR="00FA7946">
        <w:instrText xml:space="preserve"> REF _Ref524601713 \r \h </w:instrText>
      </w:r>
      <w:r w:rsidR="00FA7946">
        <w:fldChar w:fldCharType="separate"/>
      </w:r>
      <w:r w:rsidR="00087178">
        <w:t>72</w:t>
      </w:r>
      <w:r w:rsidR="00FA7946">
        <w:fldChar w:fldCharType="end"/>
      </w:r>
      <w:r w:rsidR="00FA7946">
        <w:t xml:space="preserve"> a </w:t>
      </w:r>
      <w:r w:rsidR="00FA7946">
        <w:fldChar w:fldCharType="begin"/>
      </w:r>
      <w:r w:rsidR="00FA7946">
        <w:instrText xml:space="preserve"> REF _Ref524601715 \r \h </w:instrText>
      </w:r>
      <w:r w:rsidR="00FA7946">
        <w:fldChar w:fldCharType="separate"/>
      </w:r>
      <w:r w:rsidR="00087178">
        <w:t>79</w:t>
      </w:r>
      <w:r w:rsidR="00FA7946">
        <w:fldChar w:fldCharType="end"/>
      </w:r>
      <w:r w:rsidRPr="00D03647">
        <w:t xml:space="preserve">). Adicionalmente es necesario destacar </w:t>
      </w:r>
      <w:r w:rsidR="008E3361" w:rsidRPr="00D03647">
        <w:t xml:space="preserve">que no existe controversia sobre que la detención de Walter </w:t>
      </w:r>
      <w:proofErr w:type="spellStart"/>
      <w:r w:rsidR="008E3361" w:rsidRPr="00D03647">
        <w:t>Munárriz</w:t>
      </w:r>
      <w:proofErr w:type="spellEnd"/>
      <w:r w:rsidR="008E3361" w:rsidRPr="00D03647">
        <w:t xml:space="preserve"> Escobar no fue registrada cuando este fue detenido. En efecto las autoridades estatales que detuvieron a Walter </w:t>
      </w:r>
      <w:proofErr w:type="spellStart"/>
      <w:r w:rsidR="008E3361" w:rsidRPr="00D03647">
        <w:t>Munárriz</w:t>
      </w:r>
      <w:proofErr w:type="spellEnd"/>
      <w:r w:rsidR="008E3361" w:rsidRPr="00D03647">
        <w:t xml:space="preserve"> </w:t>
      </w:r>
      <w:r w:rsidR="008E3361" w:rsidRPr="00D03647">
        <w:lastRenderedPageBreak/>
        <w:t>Escobar no realizaron los partes exigidos por los procedimientos policiales donde se dejara constancia de lo sucedido</w:t>
      </w:r>
      <w:r w:rsidR="008E3361" w:rsidRPr="00D03647">
        <w:rPr>
          <w:rStyle w:val="FootnoteReference"/>
          <w:sz w:val="20"/>
        </w:rPr>
        <w:footnoteReference w:id="127"/>
      </w:r>
      <w:r w:rsidR="008E3361" w:rsidRPr="00D03647">
        <w:rPr>
          <w:lang w:val="es-ES_tradnl" w:eastAsia="es-ES"/>
        </w:rPr>
        <w:t>. Tampoco fue incluido en el libro de registro de detenidos de 20 de marzo de 1999, en el libro de denuncias directas por delitos ni en el cuaderno de ocurrencias de calle común</w:t>
      </w:r>
      <w:r w:rsidR="008E3361" w:rsidRPr="00D03647">
        <w:rPr>
          <w:rStyle w:val="FootnoteReference"/>
          <w:sz w:val="20"/>
        </w:rPr>
        <w:footnoteReference w:id="128"/>
      </w:r>
      <w:r w:rsidR="008E3361" w:rsidRPr="00D03647">
        <w:rPr>
          <w:lang w:val="es-ES_tradnl" w:eastAsia="es-ES"/>
        </w:rPr>
        <w:t>.</w:t>
      </w:r>
      <w:r w:rsidR="008E3361" w:rsidRPr="00D03647">
        <w:rPr>
          <w:color w:val="FF0000"/>
        </w:rPr>
        <w:t xml:space="preserve"> </w:t>
      </w:r>
    </w:p>
    <w:p w14:paraId="69B161C5" w14:textId="77777777" w:rsidR="008E3361" w:rsidRPr="00D03647" w:rsidRDefault="008E3361" w:rsidP="008E3361">
      <w:pPr>
        <w:tabs>
          <w:tab w:val="left" w:pos="567"/>
        </w:tabs>
        <w:rPr>
          <w:lang w:eastAsia="es-MX"/>
        </w:rPr>
      </w:pPr>
    </w:p>
    <w:p w14:paraId="2B77AAB7" w14:textId="46761935" w:rsidR="00D35DE3" w:rsidRPr="008A18DC" w:rsidRDefault="00D35DE3" w:rsidP="00D35DE3">
      <w:pPr>
        <w:pStyle w:val="PrrafodeSentencia"/>
      </w:pPr>
      <w:r w:rsidRPr="00D03647">
        <w:t>L</w:t>
      </w:r>
      <w:r w:rsidR="008E3361" w:rsidRPr="00D03647">
        <w:t>a Corte ha considerado que toda detención, independientemente del motivo o duración de la misma, tiene que ser debidamente registrada en el documento pertinente, señalando con claridad las causas de la detención</w:t>
      </w:r>
      <w:r w:rsidR="008E3361" w:rsidRPr="004075BC">
        <w:t xml:space="preserve">, quién la realizó, la hora de detención y la </w:t>
      </w:r>
      <w:r w:rsidR="008E3361" w:rsidRPr="00041E3F">
        <w:t>hora de su puesta en libertad, así como la constancia de que se dio aviso al juez competente, como mínimo, a fin de proteger contra toda interferencia ilegal o arbitraria de la libertad física</w:t>
      </w:r>
      <w:r w:rsidR="008E3361" w:rsidRPr="00041E3F">
        <w:rPr>
          <w:rStyle w:val="FootnoteReference"/>
          <w:spacing w:val="0"/>
          <w:sz w:val="20"/>
        </w:rPr>
        <w:footnoteReference w:id="129"/>
      </w:r>
      <w:r w:rsidR="008E3361" w:rsidRPr="00041E3F">
        <w:t xml:space="preserve">. Esta obligación </w:t>
      </w:r>
      <w:r w:rsidR="008E3361" w:rsidRPr="008A18DC">
        <w:t>también existe en centros de detención policial</w:t>
      </w:r>
      <w:r w:rsidR="008E3361" w:rsidRPr="008A18DC">
        <w:rPr>
          <w:rStyle w:val="FootnoteReference"/>
          <w:sz w:val="20"/>
        </w:rPr>
        <w:footnoteReference w:id="130"/>
      </w:r>
      <w:r w:rsidR="008E3361" w:rsidRPr="008A18DC">
        <w:t>.</w:t>
      </w:r>
      <w:r w:rsidR="008E3361" w:rsidRPr="008A18DC">
        <w:rPr>
          <w:color w:val="FF0000"/>
        </w:rPr>
        <w:t xml:space="preserve"> </w:t>
      </w:r>
    </w:p>
    <w:p w14:paraId="229538D4" w14:textId="77777777" w:rsidR="00D35DE3" w:rsidRPr="008A18DC" w:rsidRDefault="00D35DE3" w:rsidP="00D35DE3">
      <w:pPr>
        <w:rPr>
          <w:lang w:val="es-CR" w:eastAsia="es-MX"/>
        </w:rPr>
      </w:pPr>
    </w:p>
    <w:p w14:paraId="09381575" w14:textId="03A4218A" w:rsidR="00D35DE3" w:rsidRPr="008A18DC" w:rsidRDefault="000678D2" w:rsidP="000678D2">
      <w:pPr>
        <w:pStyle w:val="PrrafodeSentencia"/>
      </w:pPr>
      <w:r w:rsidRPr="008A18DC">
        <w:t xml:space="preserve">Asimismo, esta Corte advierte que la única explicación dada a los familiares sobre el paradero de Walter </w:t>
      </w:r>
      <w:proofErr w:type="spellStart"/>
      <w:r w:rsidRPr="008A18DC">
        <w:t>Munárriz</w:t>
      </w:r>
      <w:proofErr w:type="spellEnd"/>
      <w:r w:rsidRPr="008A18DC">
        <w:t xml:space="preserve"> Escobar es que lo habrían soltado a las </w:t>
      </w:r>
      <w:r w:rsidR="00D35DE3" w:rsidRPr="008A18DC">
        <w:rPr>
          <w:rFonts w:cs="Cambria"/>
        </w:rPr>
        <w:t>cinco de la mañana</w:t>
      </w:r>
      <w:r w:rsidR="00D35DE3" w:rsidRPr="008A18DC">
        <w:t xml:space="preserve"> (</w:t>
      </w:r>
      <w:r w:rsidR="00D35DE3" w:rsidRPr="008A18DC">
        <w:rPr>
          <w:i/>
        </w:rPr>
        <w:t xml:space="preserve">supra </w:t>
      </w:r>
      <w:r w:rsidR="00D35DE3" w:rsidRPr="008A18DC">
        <w:t>párr.</w:t>
      </w:r>
      <w:r w:rsidR="00DF1F3A">
        <w:t xml:space="preserve"> </w:t>
      </w:r>
      <w:r w:rsidR="00DF1F3A">
        <w:fldChar w:fldCharType="begin"/>
      </w:r>
      <w:r w:rsidR="00DF1F3A">
        <w:instrText xml:space="preserve"> REF _Ref524604044 \r \h </w:instrText>
      </w:r>
      <w:r w:rsidR="00DF1F3A">
        <w:fldChar w:fldCharType="separate"/>
      </w:r>
      <w:r w:rsidR="00087178">
        <w:t>36</w:t>
      </w:r>
      <w:r w:rsidR="00DF1F3A">
        <w:fldChar w:fldCharType="end"/>
      </w:r>
      <w:r w:rsidR="00D35DE3" w:rsidRPr="008A18DC">
        <w:t>)</w:t>
      </w:r>
      <w:r w:rsidR="001A620D">
        <w:rPr>
          <w:rFonts w:cs="Cambria"/>
        </w:rPr>
        <w:t>, sin que exista</w:t>
      </w:r>
      <w:r w:rsidRPr="008A18DC">
        <w:rPr>
          <w:rFonts w:cs="Cambria"/>
        </w:rPr>
        <w:t xml:space="preserve"> prueba suficiente sobre este punto. </w:t>
      </w:r>
    </w:p>
    <w:p w14:paraId="6EEBB791" w14:textId="77777777" w:rsidR="00D530D6" w:rsidRPr="008A18DC" w:rsidRDefault="00D530D6" w:rsidP="009F7500">
      <w:pPr>
        <w:pStyle w:val="PrrafodeSentencia"/>
        <w:numPr>
          <w:ilvl w:val="0"/>
          <w:numId w:val="0"/>
        </w:numPr>
      </w:pPr>
    </w:p>
    <w:p w14:paraId="58EADA3F" w14:textId="77A6A679" w:rsidR="00F60F74" w:rsidRPr="00FE387A" w:rsidRDefault="00F60F74" w:rsidP="00785857">
      <w:pPr>
        <w:pStyle w:val="PrrafodeSentencia"/>
      </w:pPr>
      <w:r w:rsidRPr="008A18DC">
        <w:t xml:space="preserve">En virtud de lo anterior la Corte considera que las autoridades estatales que tenían en su custodia a Walter </w:t>
      </w:r>
      <w:proofErr w:type="spellStart"/>
      <w:r w:rsidRPr="008A18DC">
        <w:t>Munárriz</w:t>
      </w:r>
      <w:proofErr w:type="spellEnd"/>
      <w:r w:rsidRPr="008A18DC">
        <w:t xml:space="preserve"> Escobar </w:t>
      </w:r>
      <w:r w:rsidR="00A83F0B" w:rsidRPr="008A18DC">
        <w:t>no brindaron</w:t>
      </w:r>
      <w:r w:rsidRPr="008A18DC">
        <w:t xml:space="preserve"> información </w:t>
      </w:r>
      <w:r w:rsidR="009E3E87" w:rsidRPr="008A18DC">
        <w:t>respecto</w:t>
      </w:r>
      <w:r w:rsidR="009E3E87" w:rsidRPr="009E3E87">
        <w:t xml:space="preserve"> a la suerte que habría  corrido con posterioridad a su detención.</w:t>
      </w:r>
      <w:r w:rsidR="00462C63">
        <w:t xml:space="preserve"> </w:t>
      </w:r>
    </w:p>
    <w:p w14:paraId="7A61BEEA" w14:textId="77777777" w:rsidR="00F60F74" w:rsidRPr="00FE387A" w:rsidRDefault="00F60F74" w:rsidP="00EE5E64">
      <w:pPr>
        <w:pStyle w:val="ListParagraph"/>
        <w:tabs>
          <w:tab w:val="left" w:pos="567"/>
        </w:tabs>
        <w:ind w:left="0"/>
        <w:rPr>
          <w:szCs w:val="20"/>
          <w:lang w:eastAsia="es-MX"/>
        </w:rPr>
      </w:pPr>
    </w:p>
    <w:p w14:paraId="12E61531" w14:textId="32CEA59D" w:rsidR="00F60F74" w:rsidRPr="00FE387A" w:rsidRDefault="00F60F74" w:rsidP="00080F7C">
      <w:pPr>
        <w:pStyle w:val="Heading4"/>
        <w:ind w:left="1418" w:firstLine="0"/>
        <w:rPr>
          <w:b/>
        </w:rPr>
      </w:pPr>
      <w:bookmarkStart w:id="241" w:name="_Toc480194700"/>
      <w:r w:rsidRPr="00FE387A">
        <w:t>B.1.</w:t>
      </w:r>
      <w:r w:rsidR="00080F7C" w:rsidRPr="00FE387A">
        <w:t>d</w:t>
      </w:r>
      <w:r w:rsidRPr="00FE387A">
        <w:t xml:space="preserve"> Conclusión respecto a lo ocurrido al señor </w:t>
      </w:r>
      <w:bookmarkEnd w:id="241"/>
      <w:proofErr w:type="spellStart"/>
      <w:r w:rsidRPr="00FE387A">
        <w:t>Munárriz</w:t>
      </w:r>
      <w:proofErr w:type="spellEnd"/>
      <w:r w:rsidRPr="00FE387A">
        <w:t xml:space="preserve"> Escobar</w:t>
      </w:r>
    </w:p>
    <w:p w14:paraId="1FC7A7C8" w14:textId="77777777" w:rsidR="00F60F74" w:rsidRPr="00FE387A" w:rsidRDefault="00F60F74" w:rsidP="00EE5E64">
      <w:pPr>
        <w:tabs>
          <w:tab w:val="left" w:pos="567"/>
        </w:tabs>
        <w:rPr>
          <w:szCs w:val="20"/>
          <w:lang w:eastAsia="es-MX"/>
        </w:rPr>
      </w:pPr>
    </w:p>
    <w:p w14:paraId="497C7939" w14:textId="77777777" w:rsidR="00F60F74" w:rsidRPr="00FE387A" w:rsidRDefault="00F60F74" w:rsidP="009F7500">
      <w:pPr>
        <w:pStyle w:val="PrrafodeSentencia"/>
      </w:pPr>
      <w:bookmarkStart w:id="242" w:name="_Ref521404761"/>
      <w:bookmarkStart w:id="243" w:name="_Ref469930571"/>
      <w:r w:rsidRPr="00FE387A">
        <w:t xml:space="preserve">El Tribunal estima suficientemente acreditado que el señor </w:t>
      </w:r>
      <w:proofErr w:type="spellStart"/>
      <w:r w:rsidRPr="00FE387A">
        <w:t>Munárriz</w:t>
      </w:r>
      <w:proofErr w:type="spellEnd"/>
      <w:r w:rsidRPr="00FE387A">
        <w:t xml:space="preserve"> Escobar fue detenido en la Comisaría de </w:t>
      </w:r>
      <w:proofErr w:type="spellStart"/>
      <w:r w:rsidRPr="00FE387A">
        <w:t>Lircay</w:t>
      </w:r>
      <w:proofErr w:type="spellEnd"/>
      <w:r w:rsidRPr="00FE387A">
        <w:t xml:space="preserve"> por agentes del Estado, y el Estado no ha demostrado que haya sido puesto en libertad. Además las autoridades se han negado a reconocer su detención y a revelar su suerte o paradero. Por tanto, la Corte concluye que Walter </w:t>
      </w:r>
      <w:proofErr w:type="spellStart"/>
      <w:r w:rsidRPr="00FE387A">
        <w:t>Munárriz</w:t>
      </w:r>
      <w:proofErr w:type="spellEnd"/>
      <w:r w:rsidRPr="00FE387A">
        <w:t xml:space="preserve"> Escobar fue víctima de desaparición forzada.</w:t>
      </w:r>
      <w:bookmarkEnd w:id="242"/>
      <w:r w:rsidRPr="00FE387A">
        <w:t xml:space="preserve"> </w:t>
      </w:r>
      <w:bookmarkEnd w:id="243"/>
    </w:p>
    <w:p w14:paraId="47436A2E" w14:textId="77777777" w:rsidR="00F60F74" w:rsidRPr="00FE387A" w:rsidRDefault="00F60F74" w:rsidP="00EE5E64">
      <w:pPr>
        <w:tabs>
          <w:tab w:val="left" w:pos="567"/>
        </w:tabs>
        <w:rPr>
          <w:szCs w:val="20"/>
          <w:lang w:val="es-CO" w:eastAsia="es-MX"/>
        </w:rPr>
      </w:pPr>
    </w:p>
    <w:p w14:paraId="2F560B86" w14:textId="4234A503" w:rsidR="00F60F74" w:rsidRPr="008A18DC" w:rsidRDefault="00F60F74" w:rsidP="0002708C">
      <w:pPr>
        <w:pStyle w:val="Heading3"/>
        <w:tabs>
          <w:tab w:val="clear" w:pos="426"/>
          <w:tab w:val="left" w:pos="567"/>
        </w:tabs>
        <w:ind w:left="993"/>
      </w:pPr>
      <w:bookmarkStart w:id="244" w:name="_Toc480194701"/>
      <w:bookmarkStart w:id="245" w:name="_Toc526152707"/>
      <w:bookmarkStart w:id="246" w:name="_Toc469594940"/>
      <w:r w:rsidRPr="00FE387A">
        <w:t xml:space="preserve">B.2 </w:t>
      </w:r>
      <w:bookmarkStart w:id="247" w:name="_Toc449984486"/>
      <w:r w:rsidRPr="00FE387A">
        <w:t xml:space="preserve">Violaciones a los artículos 7, 5.1, 5.2, 4.1 y 3 de la Convención Americana y </w:t>
      </w:r>
      <w:proofErr w:type="spellStart"/>
      <w:r w:rsidRPr="00FE387A">
        <w:t>I.a</w:t>
      </w:r>
      <w:proofErr w:type="spellEnd"/>
      <w:r w:rsidRPr="00FE387A">
        <w:t xml:space="preserve"> de la Convención Interamericana sobre Desaparición </w:t>
      </w:r>
      <w:r w:rsidRPr="008A18DC">
        <w:t>Forzada</w:t>
      </w:r>
      <w:bookmarkEnd w:id="244"/>
      <w:bookmarkEnd w:id="245"/>
      <w:r w:rsidRPr="008A18DC">
        <w:t xml:space="preserve"> </w:t>
      </w:r>
      <w:bookmarkEnd w:id="246"/>
      <w:bookmarkEnd w:id="247"/>
    </w:p>
    <w:p w14:paraId="0475C3AE" w14:textId="637D6C7E" w:rsidR="00CF3CB1" w:rsidRPr="008A18DC" w:rsidRDefault="0024014A" w:rsidP="0020664B">
      <w:pPr>
        <w:pStyle w:val="PrrafodeSentencia"/>
        <w:rPr>
          <w:rFonts w:cs="Verdana"/>
          <w:bCs/>
        </w:rPr>
      </w:pPr>
      <w:bookmarkStart w:id="248" w:name="_Ref524880423"/>
      <w:r w:rsidRPr="008A18DC">
        <w:rPr>
          <w:bCs/>
          <w:lang w:val="es-CO"/>
        </w:rPr>
        <w:t xml:space="preserve">La desaparición forzada tiene un </w:t>
      </w:r>
      <w:r w:rsidRPr="008A18DC">
        <w:t xml:space="preserve">carácter </w:t>
      </w:r>
      <w:proofErr w:type="spellStart"/>
      <w:r w:rsidRPr="008A18DC">
        <w:t>pluriofensivo</w:t>
      </w:r>
      <w:proofErr w:type="spellEnd"/>
      <w:r w:rsidR="005033F4">
        <w:t xml:space="preserve"> (</w:t>
      </w:r>
      <w:r w:rsidR="005033F4">
        <w:rPr>
          <w:i/>
        </w:rPr>
        <w:t xml:space="preserve">supra </w:t>
      </w:r>
      <w:r w:rsidR="005033F4">
        <w:t>párr.</w:t>
      </w:r>
      <w:r w:rsidR="00DF1F3A">
        <w:t xml:space="preserve"> </w:t>
      </w:r>
      <w:r w:rsidR="00DF1F3A">
        <w:fldChar w:fldCharType="begin"/>
      </w:r>
      <w:r w:rsidR="00DF1F3A">
        <w:instrText xml:space="preserve"> REF _Ref525052714 \r \h </w:instrText>
      </w:r>
      <w:r w:rsidR="00DF1F3A">
        <w:fldChar w:fldCharType="separate"/>
      </w:r>
      <w:r w:rsidR="00087178">
        <w:t>65</w:t>
      </w:r>
      <w:r w:rsidR="00DF1F3A">
        <w:fldChar w:fldCharType="end"/>
      </w:r>
      <w:r w:rsidR="005033F4">
        <w:t>)</w:t>
      </w:r>
      <w:r w:rsidRPr="008A18DC">
        <w:t xml:space="preserve">. </w:t>
      </w:r>
      <w:r w:rsidRPr="008A18DC">
        <w:rPr>
          <w:bCs/>
          <w:lang w:val="es-CO"/>
        </w:rPr>
        <w:t>De acuerdo a la jurisprudencia reiterada de esta Corte</w:t>
      </w:r>
      <w:r w:rsidR="00106B7D">
        <w:rPr>
          <w:bCs/>
          <w:lang w:val="es-CO"/>
        </w:rPr>
        <w:t>,</w:t>
      </w:r>
      <w:r w:rsidRPr="008A18DC">
        <w:rPr>
          <w:bCs/>
          <w:lang w:val="es-CO"/>
        </w:rPr>
        <w:t xml:space="preserve"> al demostrarse la ocurrencia de una desaparición forzada</w:t>
      </w:r>
      <w:r w:rsidR="00106B7D">
        <w:rPr>
          <w:bCs/>
          <w:lang w:val="es-CO"/>
        </w:rPr>
        <w:t>,</w:t>
      </w:r>
      <w:r w:rsidRPr="008A18DC">
        <w:rPr>
          <w:bCs/>
          <w:lang w:val="es-CO"/>
        </w:rPr>
        <w:t xml:space="preserve"> se configura una violación a varios derechos protegidos por la Convención. Primero, a</w:t>
      </w:r>
      <w:r w:rsidR="00CF3CB1" w:rsidRPr="008A18DC">
        <w:rPr>
          <w:bCs/>
          <w:lang w:val="es-CO"/>
        </w:rPr>
        <w:t xml:space="preserve">l derecho a </w:t>
      </w:r>
      <w:r w:rsidRPr="008A18DC">
        <w:rPr>
          <w:bCs/>
          <w:lang w:val="es-CO"/>
        </w:rPr>
        <w:t>la libertad personal, sin perjuicio de que la detención o privación de la libertad fuera o no realizada conforme a la legislación</w:t>
      </w:r>
      <w:r w:rsidR="00CF3CB1" w:rsidRPr="008A18DC">
        <w:rPr>
          <w:bCs/>
          <w:lang w:val="es-CO"/>
        </w:rPr>
        <w:t xml:space="preserve">. Segundo, al derecho a la integridad personal, </w:t>
      </w:r>
      <w:r w:rsidR="00CF3CB1" w:rsidRPr="008A18DC">
        <w:t xml:space="preserve">porque el solo hecho del aislamiento prolongado </w:t>
      </w:r>
      <w:r w:rsidR="00106B7D">
        <w:t>y de la incomunicación coactiva</w:t>
      </w:r>
      <w:r w:rsidR="00CF3CB1" w:rsidRPr="008A18DC">
        <w:t xml:space="preserve"> representa un </w:t>
      </w:r>
      <w:r w:rsidR="00CF3CB1" w:rsidRPr="008A18DC">
        <w:lastRenderedPageBreak/>
        <w:t xml:space="preserve">tratamiento cruel e inhumano en contradicción con los </w:t>
      </w:r>
      <w:r w:rsidR="00CF3CB1" w:rsidRPr="008A18DC">
        <w:rPr>
          <w:rFonts w:cs="Times"/>
        </w:rPr>
        <w:t xml:space="preserve">artículos 5.1 y 5.2 </w:t>
      </w:r>
      <w:r w:rsidR="00CF3CB1" w:rsidRPr="008A18DC">
        <w:t>de la Convención</w:t>
      </w:r>
      <w:r w:rsidR="00CF3CB1" w:rsidRPr="008A18DC">
        <w:rPr>
          <w:rStyle w:val="FootnoteReference"/>
          <w:spacing w:val="0"/>
          <w:sz w:val="20"/>
          <w:szCs w:val="20"/>
        </w:rPr>
        <w:footnoteReference w:id="131"/>
      </w:r>
      <w:r w:rsidR="00CF3CB1" w:rsidRPr="008A18DC">
        <w:t>. Tercero, al derecho a la vida</w:t>
      </w:r>
      <w:r w:rsidR="00106B7D">
        <w:t>,</w:t>
      </w:r>
      <w:r w:rsidR="00CF3CB1" w:rsidRPr="008A18DC">
        <w:t xml:space="preserve"> ya que la víctima se encuentra en una situación agravada de vulnerabilidad, de la cual surge el riesgo de que se viole su derecho a la vida</w:t>
      </w:r>
      <w:r w:rsidR="00CF3CB1" w:rsidRPr="008A18DC">
        <w:rPr>
          <w:rStyle w:val="FootnoteReference"/>
          <w:sz w:val="20"/>
          <w:szCs w:val="20"/>
        </w:rPr>
        <w:footnoteReference w:id="132"/>
      </w:r>
      <w:r w:rsidR="00CF3CB1" w:rsidRPr="008A18DC">
        <w:t xml:space="preserve">. Cuarto, al derecho </w:t>
      </w:r>
      <w:r w:rsidR="00CF3CB1" w:rsidRPr="008A18DC">
        <w:rPr>
          <w:szCs w:val="20"/>
        </w:rPr>
        <w:t xml:space="preserve">al reconocimiento a la personalidad jurídica porque la desaparición forzada implica </w:t>
      </w:r>
      <w:r w:rsidR="00F03574" w:rsidRPr="008A18DC">
        <w:rPr>
          <w:rFonts w:cs="Verdana"/>
          <w:bCs/>
        </w:rPr>
        <w:t xml:space="preserve">la </w:t>
      </w:r>
      <w:r w:rsidR="00CF3CB1" w:rsidRPr="008A18DC">
        <w:rPr>
          <w:rFonts w:cs="Verdana"/>
          <w:bCs/>
        </w:rPr>
        <w:t>sustrac</w:t>
      </w:r>
      <w:r w:rsidR="00F03574" w:rsidRPr="008A18DC">
        <w:rPr>
          <w:rFonts w:cs="Verdana"/>
          <w:bCs/>
        </w:rPr>
        <w:t>ción de la protección de la ley</w:t>
      </w:r>
      <w:r w:rsidR="00CF3CB1" w:rsidRPr="008A18DC">
        <w:rPr>
          <w:rFonts w:cs="Verdana"/>
          <w:bCs/>
        </w:rPr>
        <w:t xml:space="preserve"> o bien la vulneración de la seguridad personal y jurídica del individuo que impide directamente el reconocimie</w:t>
      </w:r>
      <w:r w:rsidR="00F03574" w:rsidRPr="008A18DC">
        <w:rPr>
          <w:rFonts w:cs="Verdana"/>
          <w:bCs/>
        </w:rPr>
        <w:t>nto de la personalidad jurídica</w:t>
      </w:r>
      <w:r w:rsidR="00CF3CB1" w:rsidRPr="008A18DC">
        <w:rPr>
          <w:rFonts w:cs="Verdana"/>
          <w:bCs/>
          <w:vertAlign w:val="superscript"/>
        </w:rPr>
        <w:footnoteReference w:id="133"/>
      </w:r>
      <w:r w:rsidR="00CF3CB1" w:rsidRPr="008A18DC">
        <w:rPr>
          <w:rFonts w:cs="Verdana"/>
          <w:bCs/>
        </w:rPr>
        <w:t xml:space="preserve">. Adicionalmente, la desaparición forzada también constituye una violación del artículo </w:t>
      </w:r>
      <w:proofErr w:type="spellStart"/>
      <w:r w:rsidR="00CF3CB1" w:rsidRPr="008A18DC">
        <w:rPr>
          <w:rFonts w:cs="Verdana"/>
          <w:bCs/>
        </w:rPr>
        <w:t>I.a</w:t>
      </w:r>
      <w:proofErr w:type="spellEnd"/>
      <w:r w:rsidR="00CF3CB1" w:rsidRPr="008A18DC">
        <w:rPr>
          <w:rFonts w:cs="Verdana"/>
          <w:bCs/>
        </w:rPr>
        <w:t xml:space="preserve"> </w:t>
      </w:r>
      <w:r w:rsidR="00CF3CB1" w:rsidRPr="008A18DC">
        <w:rPr>
          <w:lang w:val="es-ES"/>
        </w:rPr>
        <w:t xml:space="preserve">de la </w:t>
      </w:r>
      <w:r w:rsidR="001F4835" w:rsidRPr="008A18DC">
        <w:rPr>
          <w:lang w:val="es-ES"/>
        </w:rPr>
        <w:t>Convención Interamericana sobre Desaparición Forzada, el c</w:t>
      </w:r>
      <w:r w:rsidR="008A18DC" w:rsidRPr="008A18DC">
        <w:rPr>
          <w:lang w:val="es-ES"/>
        </w:rPr>
        <w:t>ual prohíbe la ocurrencia de la misma</w:t>
      </w:r>
      <w:r w:rsidR="001F4835" w:rsidRPr="008A18DC">
        <w:rPr>
          <w:lang w:val="es-ES"/>
        </w:rPr>
        <w:t>.</w:t>
      </w:r>
      <w:bookmarkEnd w:id="248"/>
    </w:p>
    <w:p w14:paraId="4B2956EF" w14:textId="77777777" w:rsidR="00CF3CB1" w:rsidRPr="00CF3CB1" w:rsidRDefault="00CF3CB1" w:rsidP="00CF3CB1">
      <w:pPr>
        <w:rPr>
          <w:highlight w:val="green"/>
          <w:lang w:val="es-CR" w:eastAsia="es-MX"/>
        </w:rPr>
      </w:pPr>
    </w:p>
    <w:p w14:paraId="534888B9" w14:textId="653ED9B8" w:rsidR="00CF3CB1" w:rsidRPr="00F24F69" w:rsidRDefault="00CF3CB1" w:rsidP="00CF3CB1">
      <w:pPr>
        <w:pStyle w:val="PrrafodeSentencia"/>
        <w:rPr>
          <w:lang w:val="es-ES"/>
        </w:rPr>
      </w:pPr>
      <w:bookmarkStart w:id="249" w:name="_Ref469938455"/>
      <w:bookmarkStart w:id="250" w:name="_Ref524880480"/>
      <w:r>
        <w:t>Por tanto</w:t>
      </w:r>
      <w:r w:rsidRPr="00DC0821">
        <w:t xml:space="preserve">, teniendo en cuenta que la Corte </w:t>
      </w:r>
      <w:r w:rsidR="00D34001">
        <w:t>determinó</w:t>
      </w:r>
      <w:r w:rsidRPr="00DC0821">
        <w:t xml:space="preserve"> que el señor </w:t>
      </w:r>
      <w:proofErr w:type="spellStart"/>
      <w:r w:rsidRPr="00DC0821">
        <w:rPr>
          <w:lang w:val="es-ES"/>
        </w:rPr>
        <w:t>Munárriz</w:t>
      </w:r>
      <w:proofErr w:type="spellEnd"/>
      <w:r w:rsidRPr="00DC0821">
        <w:rPr>
          <w:lang w:val="es-ES"/>
        </w:rPr>
        <w:t xml:space="preserve"> Escobar</w:t>
      </w:r>
      <w:r w:rsidRPr="00DC0821">
        <w:t xml:space="preserve"> fue víctima de una desaparición forzada, este Tribunal concluye que </w:t>
      </w:r>
      <w:r w:rsidRPr="00F24F69">
        <w:t xml:space="preserve">el Estado es responsable de la violación de los </w:t>
      </w:r>
      <w:r w:rsidRPr="00F24F69">
        <w:rPr>
          <w:lang w:val="es-ES"/>
        </w:rPr>
        <w:t xml:space="preserve">derechos reconocidos en los artículos 7, 5.1, 5.2, 4.1, y 3 de la Convención Americana, en relación con el artículo 1.1 de la misma y con lo dispuesto en el artículo </w:t>
      </w:r>
      <w:proofErr w:type="spellStart"/>
      <w:r w:rsidRPr="00F24F69">
        <w:rPr>
          <w:lang w:val="es-ES"/>
        </w:rPr>
        <w:t>I.a</w:t>
      </w:r>
      <w:proofErr w:type="spellEnd"/>
      <w:r w:rsidRPr="00F24F69">
        <w:rPr>
          <w:lang w:val="es-ES"/>
        </w:rPr>
        <w:t xml:space="preserve"> de la Convención Interamericana sobre Desaparición Forzada, en perjuicio de Walter </w:t>
      </w:r>
      <w:proofErr w:type="spellStart"/>
      <w:r w:rsidRPr="00F24F69">
        <w:rPr>
          <w:lang w:val="es-ES"/>
        </w:rPr>
        <w:t>Munárriz</w:t>
      </w:r>
      <w:proofErr w:type="spellEnd"/>
      <w:r w:rsidRPr="00F24F69">
        <w:rPr>
          <w:lang w:val="es-ES"/>
        </w:rPr>
        <w:t xml:space="preserve"> Escobar</w:t>
      </w:r>
      <w:bookmarkEnd w:id="249"/>
      <w:r w:rsidR="000219F9" w:rsidRPr="00F24F69">
        <w:rPr>
          <w:lang w:val="es-ES"/>
        </w:rPr>
        <w:t>, este último a partir del 15 de marzo de 2002</w:t>
      </w:r>
      <w:r w:rsidR="003C4991" w:rsidRPr="00F24F69">
        <w:rPr>
          <w:rFonts w:cs="Arial"/>
          <w:bCs/>
          <w:lang w:val="es-ES"/>
        </w:rPr>
        <w:t xml:space="preserve">. </w:t>
      </w:r>
      <w:r w:rsidR="00F903E1" w:rsidRPr="00F24F69">
        <w:rPr>
          <w:rFonts w:cs="Arial"/>
          <w:bCs/>
          <w:lang w:val="es-ES"/>
        </w:rPr>
        <w:t xml:space="preserve">Por otra parte, la Corte advierte que no es necesario analizar los alegados malos tratos físicos y verbales que habría sufrido Walter </w:t>
      </w:r>
      <w:proofErr w:type="spellStart"/>
      <w:r w:rsidR="00F903E1" w:rsidRPr="00F24F69">
        <w:rPr>
          <w:rFonts w:cs="Arial"/>
          <w:bCs/>
          <w:lang w:val="es-ES"/>
        </w:rPr>
        <w:t>Munárriz</w:t>
      </w:r>
      <w:proofErr w:type="spellEnd"/>
      <w:r w:rsidR="00F903E1" w:rsidRPr="00F24F69">
        <w:rPr>
          <w:rFonts w:cs="Arial"/>
          <w:bCs/>
          <w:lang w:val="es-ES"/>
        </w:rPr>
        <w:t xml:space="preserve"> Escobar</w:t>
      </w:r>
      <w:r w:rsidR="00C14FBA" w:rsidRPr="00F24F69">
        <w:rPr>
          <w:rFonts w:cs="Arial"/>
          <w:bCs/>
          <w:lang w:val="es-ES"/>
        </w:rPr>
        <w:t xml:space="preserve">, ni se ha demostrado una violación </w:t>
      </w:r>
      <w:r w:rsidR="00F903E1" w:rsidRPr="00F24F69">
        <w:rPr>
          <w:lang w:val="es-MX"/>
        </w:rPr>
        <w:t xml:space="preserve">de </w:t>
      </w:r>
      <w:r w:rsidR="00F903E1" w:rsidRPr="00F24F69">
        <w:t>los artículos 1</w:t>
      </w:r>
      <w:r w:rsidR="006E595D">
        <w:t>,</w:t>
      </w:r>
      <w:r w:rsidR="00F903E1" w:rsidRPr="00F24F69">
        <w:t xml:space="preserve"> 6 </w:t>
      </w:r>
      <w:r w:rsidR="006E595D">
        <w:t xml:space="preserve">y 8 </w:t>
      </w:r>
      <w:r w:rsidR="00F903E1" w:rsidRPr="00F24F69">
        <w:t xml:space="preserve">de la Convención Interamericana para Prevenir y Sancionar la Tortura, en perjuicio de Walter </w:t>
      </w:r>
      <w:proofErr w:type="spellStart"/>
      <w:r w:rsidR="00F903E1" w:rsidRPr="00F24F69">
        <w:t>Munárriz</w:t>
      </w:r>
      <w:proofErr w:type="spellEnd"/>
      <w:r w:rsidR="00F903E1" w:rsidRPr="00F24F69">
        <w:t xml:space="preserve"> Escobar.</w:t>
      </w:r>
      <w:bookmarkEnd w:id="250"/>
    </w:p>
    <w:p w14:paraId="54881C57" w14:textId="4AAA0DC4" w:rsidR="005464E4" w:rsidRPr="00F24F69" w:rsidRDefault="003C4991" w:rsidP="00F24F69">
      <w:pPr>
        <w:pStyle w:val="PrrafodeSentencia"/>
        <w:numPr>
          <w:ilvl w:val="0"/>
          <w:numId w:val="0"/>
        </w:numPr>
        <w:tabs>
          <w:tab w:val="clear" w:pos="567"/>
          <w:tab w:val="left" w:pos="426"/>
        </w:tabs>
        <w:rPr>
          <w:b/>
        </w:rPr>
      </w:pPr>
      <w:bookmarkStart w:id="251" w:name="_Ref520212717"/>
      <w:r w:rsidRPr="00F24F69">
        <w:rPr>
          <w:b/>
        </w:rPr>
        <w:t xml:space="preserve"> </w:t>
      </w:r>
      <w:bookmarkEnd w:id="251"/>
    </w:p>
    <w:p w14:paraId="2EEAB6DB" w14:textId="69107FBB" w:rsidR="005464E4" w:rsidRPr="008A002A" w:rsidRDefault="005464E4" w:rsidP="00B5160D">
      <w:pPr>
        <w:pStyle w:val="Title"/>
        <w:tabs>
          <w:tab w:val="left" w:pos="567"/>
        </w:tabs>
      </w:pPr>
      <w:bookmarkStart w:id="252" w:name="_Toc469594575"/>
      <w:bookmarkStart w:id="253" w:name="_Toc469594941"/>
      <w:bookmarkStart w:id="254" w:name="_Toc480194703"/>
      <w:bookmarkStart w:id="255" w:name="_Toc526152708"/>
      <w:r w:rsidRPr="008A002A">
        <w:t>VIII-2</w:t>
      </w:r>
      <w:bookmarkStart w:id="256" w:name="_Toc469594942"/>
      <w:bookmarkStart w:id="257" w:name="_Toc469664516"/>
      <w:bookmarkStart w:id="258" w:name="_Toc469940962"/>
      <w:bookmarkStart w:id="259" w:name="_Toc479618062"/>
      <w:bookmarkStart w:id="260" w:name="_Toc480194704"/>
      <w:bookmarkEnd w:id="252"/>
      <w:bookmarkEnd w:id="253"/>
      <w:bookmarkEnd w:id="254"/>
      <w:r w:rsidR="00B5160D">
        <w:br/>
      </w:r>
      <w:r w:rsidRPr="008A002A">
        <w:t xml:space="preserve">DERECHOS A LAS GARANTÍAS </w:t>
      </w:r>
      <w:r w:rsidRPr="005464E4">
        <w:t>JUDICIALES</w:t>
      </w:r>
      <w:r w:rsidRPr="005464E4">
        <w:rPr>
          <w:rStyle w:val="FootnoteReference"/>
          <w:sz w:val="20"/>
        </w:rPr>
        <w:footnoteReference w:id="134"/>
      </w:r>
      <w:r w:rsidRPr="005464E4">
        <w:t xml:space="preserve"> Y A LA PROTECCIÓN JUDICIAL</w:t>
      </w:r>
      <w:r w:rsidRPr="005464E4">
        <w:rPr>
          <w:rStyle w:val="FootnoteReference"/>
          <w:sz w:val="20"/>
        </w:rPr>
        <w:footnoteReference w:id="135"/>
      </w:r>
      <w:r w:rsidR="00105629">
        <w:t>, EN RELACIÓN CON LA</w:t>
      </w:r>
      <w:r w:rsidRPr="005464E4">
        <w:t xml:space="preserve"> OBLIGACIÓN DE RESPETAR Y GARANTIZAR LOS DERECHOS</w:t>
      </w:r>
      <w:bookmarkEnd w:id="256"/>
      <w:bookmarkEnd w:id="257"/>
      <w:bookmarkEnd w:id="258"/>
      <w:bookmarkEnd w:id="259"/>
      <w:bookmarkEnd w:id="260"/>
      <w:bookmarkEnd w:id="255"/>
    </w:p>
    <w:p w14:paraId="275AB7BE" w14:textId="77777777" w:rsidR="00A61090" w:rsidRPr="009301B6" w:rsidRDefault="00A61090" w:rsidP="009F7500">
      <w:pPr>
        <w:pStyle w:val="PrrafodeSentencia"/>
        <w:numPr>
          <w:ilvl w:val="0"/>
          <w:numId w:val="0"/>
        </w:numPr>
      </w:pPr>
    </w:p>
    <w:p w14:paraId="5E47B416" w14:textId="77777777" w:rsidR="00A61090" w:rsidRDefault="00A61090" w:rsidP="001415AA">
      <w:pPr>
        <w:pStyle w:val="Heading2"/>
        <w:numPr>
          <w:ilvl w:val="0"/>
          <w:numId w:val="22"/>
        </w:numPr>
        <w:tabs>
          <w:tab w:val="clear" w:pos="993"/>
          <w:tab w:val="left" w:pos="567"/>
        </w:tabs>
        <w:spacing w:after="160" w:line="259" w:lineRule="auto"/>
        <w:ind w:left="993" w:hanging="426"/>
        <w:jc w:val="both"/>
      </w:pPr>
      <w:bookmarkStart w:id="261" w:name="_Toc526152709"/>
      <w:r w:rsidRPr="00AE4FC0">
        <w:t>Alegatos de la Comisión y de las partes</w:t>
      </w:r>
      <w:bookmarkEnd w:id="261"/>
    </w:p>
    <w:p w14:paraId="7FD49571" w14:textId="5E70B3E1" w:rsidR="00A61090" w:rsidRPr="00732293" w:rsidRDefault="00A61090" w:rsidP="009F7500">
      <w:pPr>
        <w:pStyle w:val="PrrafodeSentencia"/>
        <w:rPr>
          <w:rFonts w:cs="Arial"/>
        </w:rPr>
      </w:pPr>
      <w:r w:rsidRPr="00C12B6A">
        <w:t>La</w:t>
      </w:r>
      <w:r w:rsidRPr="00C12B6A">
        <w:rPr>
          <w:b/>
          <w:i/>
        </w:rPr>
        <w:t xml:space="preserve"> Comisión</w:t>
      </w:r>
      <w:r w:rsidRPr="00C12B6A">
        <w:t xml:space="preserve"> ad</w:t>
      </w:r>
      <w:r w:rsidRPr="00C12B6A">
        <w:rPr>
          <w:rFonts w:cs="Arial"/>
        </w:rPr>
        <w:t>virtió</w:t>
      </w:r>
      <w:r w:rsidRPr="00C12B6A">
        <w:t xml:space="preserve"> que las autoridades no tomaron acciones específicas y de manera inmediata para dar con el paradero de Walter </w:t>
      </w:r>
      <w:proofErr w:type="spellStart"/>
      <w:r w:rsidRPr="00C12B6A">
        <w:t>Munárriz</w:t>
      </w:r>
      <w:proofErr w:type="spellEnd"/>
      <w:r w:rsidRPr="00C12B6A">
        <w:t xml:space="preserve"> Escobar y proteger su vida e integridad</w:t>
      </w:r>
      <w:r w:rsidRPr="00C12B6A">
        <w:rPr>
          <w:lang w:eastAsia="es-CR"/>
        </w:rPr>
        <w:t>, máxime cuando desapareció tras haber sido detenido por agentes del Estado.</w:t>
      </w:r>
      <w:r w:rsidRPr="00C12B6A">
        <w:rPr>
          <w:b/>
        </w:rPr>
        <w:t xml:space="preserve"> </w:t>
      </w:r>
      <w:r w:rsidRPr="00C12B6A">
        <w:t xml:space="preserve">Señaló que el actuar de la Fiscal Provincial de </w:t>
      </w:r>
      <w:proofErr w:type="spellStart"/>
      <w:r w:rsidRPr="00C12B6A">
        <w:t>Lircay</w:t>
      </w:r>
      <w:proofErr w:type="spellEnd"/>
      <w:r w:rsidRPr="00C12B6A">
        <w:t xml:space="preserve"> era inconsistente con cualquier garantía mínima de imparcialidad ya que además de rechazar la denuncia inicial de la madre del señor </w:t>
      </w:r>
      <w:proofErr w:type="spellStart"/>
      <w:r w:rsidRPr="00C12B6A">
        <w:t>Munárriz</w:t>
      </w:r>
      <w:proofErr w:type="spellEnd"/>
      <w:r w:rsidR="00FE387A">
        <w:t xml:space="preserve"> Escobar</w:t>
      </w:r>
      <w:r w:rsidRPr="00C12B6A">
        <w:t xml:space="preserve">, la misma expresó en documentos oficiales relativos a la investigación que su objetivo era demostrar la inocencia de los policías para “dejar en alto la institución”. </w:t>
      </w:r>
      <w:r w:rsidR="00CB0A36">
        <w:t xml:space="preserve">La Comisión </w:t>
      </w:r>
      <w:r w:rsidR="00CB0A36">
        <w:rPr>
          <w:rFonts w:cs="Arial"/>
        </w:rPr>
        <w:t>a</w:t>
      </w:r>
      <w:r>
        <w:rPr>
          <w:rFonts w:cs="Arial"/>
        </w:rPr>
        <w:t xml:space="preserve">demás </w:t>
      </w:r>
      <w:r w:rsidRPr="00127FB8">
        <w:t xml:space="preserve">indicó que no consta que se hubieran agotado las líneas de investigación, relativas a supuestas actividades inusuales de los policías involucrados el día de la desaparición, </w:t>
      </w:r>
      <w:r w:rsidR="00DF1F3A">
        <w:t xml:space="preserve">a </w:t>
      </w:r>
      <w:r w:rsidRPr="00127FB8">
        <w:t xml:space="preserve">indicios de </w:t>
      </w:r>
      <w:r w:rsidRPr="00127FB8">
        <w:lastRenderedPageBreak/>
        <w:t xml:space="preserve">presiones y amenazas por parte de los funcionarios policiales, ni sobre los diferentes testimonios que dieron cuenta de golpes y otros abusos cometidos contra Walter </w:t>
      </w:r>
      <w:proofErr w:type="spellStart"/>
      <w:r w:rsidRPr="00127FB8">
        <w:t>Munárriz</w:t>
      </w:r>
      <w:proofErr w:type="spellEnd"/>
      <w:r w:rsidRPr="00127FB8">
        <w:t xml:space="preserve"> durante su detención. Por lo tanto, </w:t>
      </w:r>
      <w:r w:rsidRPr="00127FB8">
        <w:rPr>
          <w:rFonts w:cs="Arial"/>
        </w:rPr>
        <w:t>las conclusiones de las autoridades internas no fueron resultado de una investigación “seria, diligente y exhaustiva”. Por otra parte</w:t>
      </w:r>
      <w:r w:rsidR="0093373A">
        <w:rPr>
          <w:rFonts w:cs="Arial"/>
        </w:rPr>
        <w:t>,</w:t>
      </w:r>
      <w:r w:rsidRPr="00127FB8">
        <w:rPr>
          <w:rFonts w:cs="Arial"/>
        </w:rPr>
        <w:t xml:space="preserve"> señaló que</w:t>
      </w:r>
      <w:r w:rsidRPr="00127FB8">
        <w:t xml:space="preserve"> desde el 20 de octubre del 2004, fecha en la cual se confirmó la sentencia absolutoria del mismo año, “el Estado no ha impulsado investigaciones ni avanzado el esclarecimiento de los hechos”. </w:t>
      </w:r>
      <w:r>
        <w:t>Por último, l</w:t>
      </w:r>
      <w:r w:rsidRPr="00B26ACF">
        <w:t xml:space="preserve">a </w:t>
      </w:r>
      <w:r w:rsidRPr="00FE387A">
        <w:t xml:space="preserve">Comisión </w:t>
      </w:r>
      <w:r w:rsidRPr="00B26ACF">
        <w:t xml:space="preserve">señaló que para el momento de los hechos, la tipificación del delito de desaparición forzada de personas contenido en el artículo 320 del Código Penal no correspondía a los estándares establecidos por la Convención Interamericana Sobre Desaparición Forzada, pues era restrictiva y contemplaba el elemento de “desaparición debidamente comprobada”, el cual podía motivar interpretaciones que conllevaran a la impunidad. </w:t>
      </w:r>
    </w:p>
    <w:p w14:paraId="19760E02" w14:textId="77777777" w:rsidR="00A61090" w:rsidRDefault="00A61090" w:rsidP="009F7500">
      <w:pPr>
        <w:pStyle w:val="PrrafodeSentencia"/>
        <w:numPr>
          <w:ilvl w:val="0"/>
          <w:numId w:val="0"/>
        </w:numPr>
      </w:pPr>
    </w:p>
    <w:p w14:paraId="6104233D" w14:textId="47A21093" w:rsidR="00A61090" w:rsidRPr="006F219F" w:rsidRDefault="00A61090" w:rsidP="009F7500">
      <w:pPr>
        <w:pStyle w:val="PrrafodeSentencia"/>
        <w:rPr>
          <w:rFonts w:cs="Arial"/>
        </w:rPr>
      </w:pPr>
      <w:r w:rsidRPr="00127FB8">
        <w:t xml:space="preserve">Los </w:t>
      </w:r>
      <w:r w:rsidRPr="00DA0183">
        <w:rPr>
          <w:b/>
          <w:i/>
        </w:rPr>
        <w:t xml:space="preserve">representantes </w:t>
      </w:r>
      <w:r w:rsidRPr="00DA0183">
        <w:t>alegaron que el Estado “incumplió su obligación de iniciar de oficio y sin dilación las investigaciones por la desaparición de Walter</w:t>
      </w:r>
      <w:r w:rsidRPr="00DA0183">
        <w:rPr>
          <w:rFonts w:cs="Arial"/>
        </w:rPr>
        <w:t xml:space="preserve"> </w:t>
      </w:r>
      <w:proofErr w:type="spellStart"/>
      <w:r w:rsidRPr="00DA0183">
        <w:t>Munárriz</w:t>
      </w:r>
      <w:proofErr w:type="spellEnd"/>
      <w:r w:rsidRPr="00DA0183">
        <w:t xml:space="preserve"> Escobar”, ya que la fiscal se negó a recibir la denuncia</w:t>
      </w:r>
      <w:r>
        <w:t xml:space="preserve"> y se inició la investigación 4 días </w:t>
      </w:r>
      <w:r w:rsidRPr="00F402CF">
        <w:rPr>
          <w:szCs w:val="24"/>
          <w:lang w:val="es-CL"/>
        </w:rPr>
        <w:t>después de sucedidos y denunciados los hechos</w:t>
      </w:r>
      <w:r w:rsidRPr="00DA0183">
        <w:t xml:space="preserve">. </w:t>
      </w:r>
      <w:r w:rsidRPr="00DA0183">
        <w:rPr>
          <w:rFonts w:cs="Arial"/>
        </w:rPr>
        <w:t xml:space="preserve">Agregaron que una vez iniciadas las investigaciones, “estuvieron desprovistas totalmente de la garantía de imparcialidad”, pues la fiscal se mostró incrédula, tildando de “falsas” las versiones que responsabilizan a la </w:t>
      </w:r>
      <w:r w:rsidR="00C417D4">
        <w:rPr>
          <w:rFonts w:cs="Arial"/>
        </w:rPr>
        <w:t>p</w:t>
      </w:r>
      <w:r w:rsidRPr="00DA0183">
        <w:rPr>
          <w:rFonts w:cs="Arial"/>
        </w:rPr>
        <w:t xml:space="preserve">olicía de la desaparición de Walter </w:t>
      </w:r>
      <w:proofErr w:type="spellStart"/>
      <w:r w:rsidRPr="00DA0183">
        <w:rPr>
          <w:rFonts w:cs="Arial"/>
        </w:rPr>
        <w:t>Munárriz</w:t>
      </w:r>
      <w:proofErr w:type="spellEnd"/>
      <w:r w:rsidRPr="00DA0183">
        <w:rPr>
          <w:rFonts w:cs="Arial"/>
        </w:rPr>
        <w:t xml:space="preserve">. Asimismo, </w:t>
      </w:r>
      <w:r w:rsidR="00C417D4">
        <w:rPr>
          <w:rFonts w:cs="Arial"/>
        </w:rPr>
        <w:t>se evidenció</w:t>
      </w:r>
      <w:r w:rsidR="00FE387A">
        <w:rPr>
          <w:rFonts w:cs="Arial"/>
        </w:rPr>
        <w:t xml:space="preserve"> </w:t>
      </w:r>
      <w:r>
        <w:rPr>
          <w:rFonts w:cs="Arial"/>
        </w:rPr>
        <w:t>falta de independencia</w:t>
      </w:r>
      <w:r w:rsidRPr="00DA0183">
        <w:rPr>
          <w:rFonts w:cs="Arial"/>
        </w:rPr>
        <w:t xml:space="preserve"> también en el haber encargado las investigaciones a la institución vinculada con la desaparición de Walter </w:t>
      </w:r>
      <w:proofErr w:type="spellStart"/>
      <w:r w:rsidRPr="00DA0183">
        <w:rPr>
          <w:rFonts w:cs="Arial"/>
        </w:rPr>
        <w:t>Munárriz</w:t>
      </w:r>
      <w:proofErr w:type="spellEnd"/>
      <w:r w:rsidRPr="00DA0183">
        <w:rPr>
          <w:rFonts w:cs="Arial"/>
        </w:rPr>
        <w:t xml:space="preserve"> Escobar.</w:t>
      </w:r>
      <w:r w:rsidRPr="00DA0183">
        <w:rPr>
          <w:rFonts w:cs="Arial"/>
          <w:b/>
        </w:rPr>
        <w:t xml:space="preserve"> </w:t>
      </w:r>
      <w:r>
        <w:rPr>
          <w:rFonts w:cs="Arial"/>
        </w:rPr>
        <w:t>Señalaron que la separación de la fiscal a cargo no remedió esta violación ya que se permitió</w:t>
      </w:r>
      <w:r w:rsidRPr="002F7538">
        <w:rPr>
          <w:rFonts w:cs="Arial"/>
        </w:rPr>
        <w:t xml:space="preserve"> </w:t>
      </w:r>
      <w:r>
        <w:rPr>
          <w:rFonts w:cs="Arial"/>
        </w:rPr>
        <w:t>“</w:t>
      </w:r>
      <w:r w:rsidRPr="002F7538">
        <w:rPr>
          <w:rFonts w:cs="Arial"/>
        </w:rPr>
        <w:t xml:space="preserve">que se </w:t>
      </w:r>
      <w:proofErr w:type="spellStart"/>
      <w:proofErr w:type="gramStart"/>
      <w:r w:rsidRPr="002F7538">
        <w:rPr>
          <w:rFonts w:cs="Arial"/>
        </w:rPr>
        <w:t>desorient</w:t>
      </w:r>
      <w:proofErr w:type="spellEnd"/>
      <w:r>
        <w:rPr>
          <w:rFonts w:cs="Arial"/>
        </w:rPr>
        <w:t>[</w:t>
      </w:r>
      <w:proofErr w:type="gramEnd"/>
      <w:r>
        <w:rPr>
          <w:rFonts w:cs="Arial"/>
        </w:rPr>
        <w:t xml:space="preserve">ara] </w:t>
      </w:r>
      <w:r w:rsidRPr="002F7538">
        <w:rPr>
          <w:rFonts w:cs="Arial"/>
        </w:rPr>
        <w:t xml:space="preserve">las primeras pesquisas, se </w:t>
      </w:r>
      <w:proofErr w:type="spellStart"/>
      <w:r w:rsidRPr="002F7538">
        <w:rPr>
          <w:rFonts w:cs="Arial"/>
        </w:rPr>
        <w:t>manipul</w:t>
      </w:r>
      <w:proofErr w:type="spellEnd"/>
      <w:r>
        <w:rPr>
          <w:rFonts w:cs="Arial"/>
        </w:rPr>
        <w:t>[ara]</w:t>
      </w:r>
      <w:r w:rsidRPr="002F7538">
        <w:rPr>
          <w:rFonts w:cs="Arial"/>
        </w:rPr>
        <w:t xml:space="preserve"> o se </w:t>
      </w:r>
      <w:proofErr w:type="spellStart"/>
      <w:r w:rsidRPr="002F7538">
        <w:rPr>
          <w:rFonts w:cs="Arial"/>
        </w:rPr>
        <w:t>elimin</w:t>
      </w:r>
      <w:proofErr w:type="spellEnd"/>
      <w:r w:rsidR="00FE387A">
        <w:rPr>
          <w:rFonts w:cs="Arial"/>
        </w:rPr>
        <w:t>[ara]</w:t>
      </w:r>
      <w:r w:rsidRPr="002F7538">
        <w:rPr>
          <w:rFonts w:cs="Arial"/>
        </w:rPr>
        <w:t xml:space="preserve"> la evidencia y se </w:t>
      </w:r>
      <w:proofErr w:type="spellStart"/>
      <w:r w:rsidRPr="002F7538">
        <w:rPr>
          <w:rFonts w:cs="Arial"/>
        </w:rPr>
        <w:t>introdu</w:t>
      </w:r>
      <w:proofErr w:type="spellEnd"/>
      <w:r w:rsidR="00D92C66">
        <w:rPr>
          <w:rFonts w:cs="Arial"/>
        </w:rPr>
        <w:t>[j</w:t>
      </w:r>
      <w:r>
        <w:rPr>
          <w:rFonts w:cs="Arial"/>
        </w:rPr>
        <w:t>era]</w:t>
      </w:r>
      <w:r w:rsidRPr="002F7538">
        <w:rPr>
          <w:rFonts w:cs="Arial"/>
        </w:rPr>
        <w:t xml:space="preserve"> información falsa en la investigación</w:t>
      </w:r>
      <w:r>
        <w:rPr>
          <w:rFonts w:cs="Arial"/>
        </w:rPr>
        <w:t xml:space="preserve">”. </w:t>
      </w:r>
    </w:p>
    <w:p w14:paraId="76C8C40F" w14:textId="77777777" w:rsidR="00A61090" w:rsidRPr="00B65A71" w:rsidRDefault="00A61090" w:rsidP="009F7500">
      <w:pPr>
        <w:pStyle w:val="PrrafodeSentencia"/>
        <w:numPr>
          <w:ilvl w:val="0"/>
          <w:numId w:val="0"/>
        </w:numPr>
      </w:pPr>
    </w:p>
    <w:p w14:paraId="0F1658AE" w14:textId="10BDBE7D" w:rsidR="00A61090" w:rsidRPr="00B53177" w:rsidRDefault="00A61090" w:rsidP="00B53177">
      <w:pPr>
        <w:pStyle w:val="PrrafodeSentencia"/>
        <w:rPr>
          <w:rFonts w:cs="Arial"/>
          <w:color w:val="FF0000"/>
        </w:rPr>
      </w:pPr>
      <w:r w:rsidRPr="00B65A71">
        <w:t xml:space="preserve">Además alegaron que no se llevaron a cabo todas las acciones necesarias para determinar la suerte del señor </w:t>
      </w:r>
      <w:proofErr w:type="spellStart"/>
      <w:r w:rsidRPr="00B65A71">
        <w:t>Munárriz</w:t>
      </w:r>
      <w:proofErr w:type="spellEnd"/>
      <w:r w:rsidRPr="00B65A71">
        <w:t xml:space="preserve"> Escobar, sino que, por lo contrario, las únicas líneas de investigación abordadas se fundamentaron en la hipótesis de que había sido liberado por el Estado. </w:t>
      </w:r>
      <w:r w:rsidRPr="00B65A71">
        <w:rPr>
          <w:rFonts w:cs="Cambria"/>
        </w:rPr>
        <w:t xml:space="preserve">Resaltaron que se obviaron </w:t>
      </w:r>
      <w:r w:rsidRPr="00B65A71">
        <w:rPr>
          <w:rFonts w:cs="Cambria,Italic"/>
          <w:iCs/>
        </w:rPr>
        <w:t>diligencias básicas como inspecciones oculares y recogimiento de huellas</w:t>
      </w:r>
      <w:r w:rsidR="001A620D">
        <w:rPr>
          <w:rFonts w:cs="Cambria"/>
        </w:rPr>
        <w:t>,</w:t>
      </w:r>
      <w:r w:rsidRPr="00B65A71">
        <w:rPr>
          <w:rFonts w:cs="Cambria"/>
        </w:rPr>
        <w:t xml:space="preserve"> y tampoco se investigaron las presiones y amenazas que sufrieron los testigos. Señalaron que constaba en un parte que la policía manejaba una supuesta información de inteligencia en la que Walter </w:t>
      </w:r>
      <w:proofErr w:type="spellStart"/>
      <w:r w:rsidRPr="00B65A71">
        <w:rPr>
          <w:rFonts w:cs="Cambria"/>
        </w:rPr>
        <w:t>Munárriz</w:t>
      </w:r>
      <w:proofErr w:type="spellEnd"/>
      <w:r w:rsidRPr="00B65A71">
        <w:rPr>
          <w:rFonts w:cs="Cambria"/>
        </w:rPr>
        <w:t xml:space="preserve"> se encontraba en la ciudad de Huancayo, pero, omitieron profundizar en dicha información u oficiar a la </w:t>
      </w:r>
      <w:r w:rsidR="00DF1F3A">
        <w:rPr>
          <w:rFonts w:cs="Cambria"/>
        </w:rPr>
        <w:t>c</w:t>
      </w:r>
      <w:r w:rsidR="001A620D">
        <w:rPr>
          <w:rFonts w:cs="Cambria"/>
        </w:rPr>
        <w:t>omisaría de tal</w:t>
      </w:r>
      <w:r w:rsidRPr="00B65A71">
        <w:rPr>
          <w:rFonts w:cs="Cambria"/>
        </w:rPr>
        <w:t xml:space="preserve"> ciudad para que reali</w:t>
      </w:r>
      <w:r w:rsidRPr="00B65A71">
        <w:rPr>
          <w:rFonts w:cs="Arial"/>
        </w:rPr>
        <w:t>zara</w:t>
      </w:r>
      <w:r w:rsidRPr="00B65A71">
        <w:rPr>
          <w:rFonts w:cs="Cambria"/>
        </w:rPr>
        <w:t xml:space="preserve"> las averiguaciones respectivas y la búsqueda del desaparecido. </w:t>
      </w:r>
      <w:r>
        <w:rPr>
          <w:rFonts w:cs="Arial"/>
        </w:rPr>
        <w:t>Adicionalmente indicaron</w:t>
      </w:r>
      <w:r w:rsidRPr="00B65A71">
        <w:t xml:space="preserve"> que la denegación de justicia en el presente caso ha conllevado a la vulneración del derecho a la verdad </w:t>
      </w:r>
      <w:r w:rsidR="0087492B">
        <w:t xml:space="preserve">de los familiares de la víctima. </w:t>
      </w:r>
      <w:r w:rsidRPr="00B65A71">
        <w:rPr>
          <w:rFonts w:cs="Arial"/>
        </w:rPr>
        <w:t>Por último,</w:t>
      </w:r>
      <w:r>
        <w:rPr>
          <w:rFonts w:cs="Arial"/>
        </w:rPr>
        <w:t xml:space="preserve"> alegaron</w:t>
      </w:r>
      <w:r w:rsidRPr="00B26ACF">
        <w:t xml:space="preserve"> que el requisito de “desaparición debidamente comprobada”, contenido en el tipo penal </w:t>
      </w:r>
      <w:r w:rsidR="0087492B">
        <w:t xml:space="preserve">vigente </w:t>
      </w:r>
      <w:r w:rsidRPr="00B26ACF">
        <w:t>en el momento de los hechos e</w:t>
      </w:r>
      <w:r w:rsidR="0087492B">
        <w:t>s</w:t>
      </w:r>
      <w:r w:rsidRPr="00B26ACF">
        <w:t xml:space="preserve"> incongruente con </w:t>
      </w:r>
      <w:r w:rsidR="0087492B">
        <w:t xml:space="preserve">los parámetros internacionales y fue </w:t>
      </w:r>
      <w:r w:rsidRPr="00B26ACF">
        <w:t xml:space="preserve">aplicado en el caso concreto, en el marco de los procedimientos penales internos. </w:t>
      </w:r>
      <w:r w:rsidR="00B53177">
        <w:t>En este sentido</w:t>
      </w:r>
      <w:r w:rsidRPr="00B26ACF">
        <w:t>, solicitaron declarar la violación de</w:t>
      </w:r>
      <w:r w:rsidR="00B53177">
        <w:t>l artículo</w:t>
      </w:r>
      <w:r w:rsidRPr="00B26ACF">
        <w:t xml:space="preserve"> 2 de la Convención Americana sobre Derechos Humanos y</w:t>
      </w:r>
      <w:r w:rsidR="00B53177">
        <w:t xml:space="preserve"> del artículo</w:t>
      </w:r>
      <w:r w:rsidRPr="00B26ACF">
        <w:t xml:space="preserve"> III de la Convención Interamericana Sobre la Desaparición Forzada de Personas.</w:t>
      </w:r>
    </w:p>
    <w:p w14:paraId="6754CDF8" w14:textId="77777777" w:rsidR="00A61090" w:rsidRDefault="00A61090" w:rsidP="00A61090">
      <w:pPr>
        <w:pStyle w:val="ListParagraph"/>
        <w:tabs>
          <w:tab w:val="left" w:pos="567"/>
        </w:tabs>
        <w:rPr>
          <w:szCs w:val="20"/>
          <w:lang w:val="es-CR" w:eastAsia="es-MX"/>
        </w:rPr>
      </w:pPr>
    </w:p>
    <w:p w14:paraId="3B6E9D3A" w14:textId="6BC65827" w:rsidR="00A61090" w:rsidRPr="000D3EE7" w:rsidRDefault="00A61090" w:rsidP="009F7500">
      <w:pPr>
        <w:pStyle w:val="PrrafodeSentencia"/>
        <w:rPr>
          <w:rFonts w:cs="Arial"/>
        </w:rPr>
      </w:pPr>
      <w:r w:rsidRPr="00F97797">
        <w:t xml:space="preserve">El </w:t>
      </w:r>
      <w:r w:rsidRPr="00F97797">
        <w:rPr>
          <w:b/>
          <w:i/>
        </w:rPr>
        <w:t>Estado</w:t>
      </w:r>
      <w:r w:rsidRPr="00F97797">
        <w:t xml:space="preserve"> alegó que el Ministerio Público y los órganos jurisdiccionales realizaron diversas diligencias con la finalidad de tener medios probatorios idóneos.</w:t>
      </w:r>
      <w:r w:rsidRPr="00F97797">
        <w:rPr>
          <w:b/>
        </w:rPr>
        <w:t xml:space="preserve"> </w:t>
      </w:r>
      <w:r w:rsidRPr="00F97797">
        <w:t>En cuanto a las alegadas irregularidades de la investigación</w:t>
      </w:r>
      <w:r w:rsidR="00DF1F3A">
        <w:t xml:space="preserve"> interna de la c</w:t>
      </w:r>
      <w:r w:rsidRPr="00F97797">
        <w:t>omisaría, el Estado indicó que “no se ha dejado constancia alguna que tales cuestionamientos fueron planteados en el proceso penal” ni que se haya iniciado algún proceso de amparo por la afectación de algunas de sus garantías judiciales en el marco de la investigación y el proceso penal.</w:t>
      </w:r>
      <w:r w:rsidRPr="00F97797">
        <w:rPr>
          <w:b/>
        </w:rPr>
        <w:t xml:space="preserve"> </w:t>
      </w:r>
      <w:r w:rsidRPr="00F97797">
        <w:t xml:space="preserve">Además advirtió que “no se cuenta con elementos para afirmar o negar” que la fiscal se haya negado a recibir la denuncia de la desaparición. </w:t>
      </w:r>
      <w:r>
        <w:rPr>
          <w:rFonts w:cs="Cambria"/>
        </w:rPr>
        <w:t>P</w:t>
      </w:r>
      <w:r w:rsidRPr="00A13DC5">
        <w:rPr>
          <w:rFonts w:cs="Cambria"/>
        </w:rPr>
        <w:t>recisó que la fiscal encargada inicialmente solo vio el caso dos semanas</w:t>
      </w:r>
      <w:r w:rsidR="00956982">
        <w:rPr>
          <w:rFonts w:cs="Cambria"/>
        </w:rPr>
        <w:t>.</w:t>
      </w:r>
      <w:r w:rsidRPr="00A13DC5">
        <w:rPr>
          <w:rFonts w:cs="Cambria"/>
        </w:rPr>
        <w:t xml:space="preserve"> </w:t>
      </w:r>
      <w:r w:rsidRPr="00F97797">
        <w:t>Resaltó que</w:t>
      </w:r>
      <w:r w:rsidRPr="00F97797">
        <w:rPr>
          <w:rFonts w:cs="Cambria"/>
          <w:color w:val="FF0000"/>
        </w:rPr>
        <w:t xml:space="preserve"> </w:t>
      </w:r>
      <w:r w:rsidRPr="00F97797">
        <w:rPr>
          <w:rFonts w:cs="Cambria"/>
        </w:rPr>
        <w:t xml:space="preserve">si bien no se tiene constancia de que se haya realizado la diligencia de recorrido de la ruta que tomó la camioneta que salió de </w:t>
      </w:r>
      <w:proofErr w:type="spellStart"/>
      <w:r w:rsidRPr="00F97797">
        <w:rPr>
          <w:rFonts w:cs="Cambria"/>
        </w:rPr>
        <w:t>Lircay</w:t>
      </w:r>
      <w:proofErr w:type="spellEnd"/>
      <w:r w:rsidRPr="00F97797">
        <w:rPr>
          <w:rFonts w:cs="Cambria"/>
        </w:rPr>
        <w:t xml:space="preserve">, no por ello los operadores de justicia que intervinieron en el proceso no recopilaron ni actuaron medios probatorios pertinentes con la finalidad de abordar la tesis de la intervención de la desaparición del señor Walter </w:t>
      </w:r>
      <w:proofErr w:type="spellStart"/>
      <w:r w:rsidRPr="00F97797">
        <w:rPr>
          <w:rFonts w:cs="Cambria"/>
        </w:rPr>
        <w:t>Munárriz</w:t>
      </w:r>
      <w:proofErr w:type="spellEnd"/>
      <w:r w:rsidRPr="00F97797">
        <w:rPr>
          <w:rFonts w:cs="Cambria"/>
        </w:rPr>
        <w:t xml:space="preserve"> </w:t>
      </w:r>
      <w:r w:rsidRPr="00F97797">
        <w:rPr>
          <w:rFonts w:cs="Cambria"/>
        </w:rPr>
        <w:lastRenderedPageBreak/>
        <w:t xml:space="preserve">Escobar. </w:t>
      </w:r>
      <w:r w:rsidRPr="00B07A9D">
        <w:rPr>
          <w:rFonts w:cs="Arial"/>
        </w:rPr>
        <w:t xml:space="preserve">Adicionalmente, señaló que las recomendaciones realizadas </w:t>
      </w:r>
      <w:r>
        <w:rPr>
          <w:rFonts w:cs="Arial"/>
        </w:rPr>
        <w:t>en</w:t>
      </w:r>
      <w:r w:rsidRPr="00B07A9D">
        <w:rPr>
          <w:rFonts w:cs="Arial"/>
        </w:rPr>
        <w:t xml:space="preserve"> la defensoría</w:t>
      </w:r>
      <w:r w:rsidRPr="00B07A9D">
        <w:rPr>
          <w:rFonts w:cs="Arial"/>
          <w:b/>
        </w:rPr>
        <w:t xml:space="preserve"> </w:t>
      </w:r>
      <w:r w:rsidRPr="00B07A9D">
        <w:rPr>
          <w:rFonts w:cs="Arial"/>
        </w:rPr>
        <w:t>“</w:t>
      </w:r>
      <w:r w:rsidR="00956982">
        <w:rPr>
          <w:szCs w:val="24"/>
          <w:lang w:val="es-CL"/>
        </w:rPr>
        <w:t>no tienen un carácter</w:t>
      </w:r>
      <w:r w:rsidRPr="00B07A9D">
        <w:rPr>
          <w:szCs w:val="24"/>
          <w:lang w:val="es-CL"/>
        </w:rPr>
        <w:t xml:space="preserve"> vinculante para el Ministerio Público o el Poder </w:t>
      </w:r>
      <w:r w:rsidR="00785857">
        <w:rPr>
          <w:szCs w:val="24"/>
          <w:lang w:val="es-CL"/>
        </w:rPr>
        <w:t>J</w:t>
      </w:r>
      <w:r w:rsidRPr="00B07A9D">
        <w:rPr>
          <w:szCs w:val="24"/>
          <w:lang w:val="es-CL"/>
        </w:rPr>
        <w:t>udicial</w:t>
      </w:r>
      <w:r w:rsidR="00956982">
        <w:rPr>
          <w:szCs w:val="24"/>
          <w:lang w:val="es-CL"/>
        </w:rPr>
        <w:t xml:space="preserve"> siendo estos los únicos entes […] </w:t>
      </w:r>
      <w:r w:rsidRPr="00B07A9D">
        <w:rPr>
          <w:szCs w:val="24"/>
          <w:lang w:val="es-CL"/>
        </w:rPr>
        <w:t xml:space="preserve">competentes para poder </w:t>
      </w:r>
      <w:r w:rsidRPr="00EE513F">
        <w:rPr>
          <w:szCs w:val="24"/>
          <w:lang w:val="es-CL"/>
        </w:rPr>
        <w:t xml:space="preserve">determinar cuáles son las diligencias que van a realizar y qué medios probatorios van a considerar en el marco de un proceso”. </w:t>
      </w:r>
      <w:r w:rsidRPr="00EE513F">
        <w:rPr>
          <w:rFonts w:cs="Arial"/>
        </w:rPr>
        <w:t>Por otra parte</w:t>
      </w:r>
      <w:r w:rsidR="008E4B03">
        <w:rPr>
          <w:rFonts w:cs="Arial"/>
        </w:rPr>
        <w:t xml:space="preserve">, </w:t>
      </w:r>
      <w:r w:rsidR="008E4B03" w:rsidRPr="00EE513F">
        <w:rPr>
          <w:rFonts w:cs="Cambria"/>
        </w:rPr>
        <w:t>sobre el derecho a</w:t>
      </w:r>
      <w:r w:rsidR="008E4B03">
        <w:rPr>
          <w:rFonts w:cs="Cambria"/>
        </w:rPr>
        <w:t xml:space="preserve"> conocer</w:t>
      </w:r>
      <w:r w:rsidR="008E4B03" w:rsidRPr="00EE513F">
        <w:rPr>
          <w:rFonts w:cs="Cambria"/>
        </w:rPr>
        <w:t xml:space="preserve"> la verdad</w:t>
      </w:r>
      <w:r w:rsidR="008E4B03">
        <w:rPr>
          <w:rFonts w:cs="Cambria"/>
        </w:rPr>
        <w:t>,</w:t>
      </w:r>
      <w:r w:rsidR="008E4B03" w:rsidRPr="00EE513F">
        <w:rPr>
          <w:rFonts w:cs="Arial"/>
        </w:rPr>
        <w:t xml:space="preserve"> </w:t>
      </w:r>
      <w:r w:rsidRPr="00EE513F">
        <w:rPr>
          <w:rFonts w:cs="Arial"/>
        </w:rPr>
        <w:t xml:space="preserve">señaló </w:t>
      </w:r>
      <w:r w:rsidRPr="00EE513F">
        <w:rPr>
          <w:rFonts w:cs="Cambria"/>
        </w:rPr>
        <w:t xml:space="preserve">que debe tomarse en consideración que el Estado ha venido realizando diversas acciones con la finalidad de ubicar a Walter </w:t>
      </w:r>
      <w:proofErr w:type="spellStart"/>
      <w:r w:rsidRPr="00EE513F">
        <w:rPr>
          <w:rFonts w:cs="Cambria"/>
        </w:rPr>
        <w:t>Munárriz</w:t>
      </w:r>
      <w:proofErr w:type="spellEnd"/>
      <w:r w:rsidRPr="00EE513F">
        <w:rPr>
          <w:rFonts w:cs="Cambria"/>
        </w:rPr>
        <w:t xml:space="preserve"> Escobar. </w:t>
      </w:r>
      <w:r>
        <w:t>Por último, alegó</w:t>
      </w:r>
      <w:r w:rsidRPr="00B26ACF">
        <w:t xml:space="preserve">, en cuanto a la aplicación del </w:t>
      </w:r>
      <w:r w:rsidRPr="00B26ACF">
        <w:rPr>
          <w:rFonts w:cs="Times New Roman"/>
        </w:rPr>
        <w:t>tipo pen</w:t>
      </w:r>
      <w:r w:rsidR="00046794">
        <w:rPr>
          <w:rFonts w:cs="Times New Roman"/>
        </w:rPr>
        <w:t>al en el momento de los hechos,</w:t>
      </w:r>
      <w:r w:rsidRPr="00B26ACF">
        <w:rPr>
          <w:rFonts w:cs="Times New Roman"/>
        </w:rPr>
        <w:t xml:space="preserve"> que “</w:t>
      </w:r>
      <w:r w:rsidRPr="00B26ACF">
        <w:t xml:space="preserve">en ningún momento se ha demostrado que la aplicación del tipo penal o de la forma como estaba tipificada la desaparición forzada en ese momento implicó alguna dificultad o algún </w:t>
      </w:r>
      <w:r w:rsidRPr="000D3EE7">
        <w:t xml:space="preserve">problema para la investigación y posterior juzgamiento respecto a los responsables” y que, por lo tanto, “no resulta pertinente hacer la referencia sobre la alegada afectación al artículo 2”. </w:t>
      </w:r>
    </w:p>
    <w:p w14:paraId="1D9296C2" w14:textId="77777777" w:rsidR="00A61090" w:rsidRPr="000D3EE7" w:rsidRDefault="00A61090" w:rsidP="009F7500">
      <w:pPr>
        <w:pStyle w:val="PrrafodeSentencia"/>
        <w:numPr>
          <w:ilvl w:val="0"/>
          <w:numId w:val="0"/>
        </w:numPr>
      </w:pPr>
    </w:p>
    <w:p w14:paraId="1BAE5E68" w14:textId="77777777" w:rsidR="00A61090" w:rsidRPr="006056DC" w:rsidRDefault="00A61090" w:rsidP="001415AA">
      <w:pPr>
        <w:pStyle w:val="Heading2"/>
        <w:numPr>
          <w:ilvl w:val="0"/>
          <w:numId w:val="22"/>
        </w:numPr>
        <w:tabs>
          <w:tab w:val="clear" w:pos="993"/>
          <w:tab w:val="left" w:pos="567"/>
        </w:tabs>
        <w:ind w:left="993" w:hanging="426"/>
        <w:jc w:val="both"/>
        <w:rPr>
          <w:bCs/>
        </w:rPr>
      </w:pPr>
      <w:bookmarkStart w:id="262" w:name="_Toc526152710"/>
      <w:r>
        <w:rPr>
          <w:bCs/>
        </w:rPr>
        <w:t>Consideraciones de la Corte</w:t>
      </w:r>
      <w:bookmarkEnd w:id="262"/>
    </w:p>
    <w:p w14:paraId="0B686BAA" w14:textId="77777777" w:rsidR="00A61090" w:rsidRDefault="00A61090" w:rsidP="00A61090">
      <w:pPr>
        <w:pStyle w:val="FootnoteText"/>
        <w:tabs>
          <w:tab w:val="left" w:pos="567"/>
        </w:tabs>
        <w:rPr>
          <w:lang w:val="es-CR"/>
        </w:rPr>
      </w:pPr>
    </w:p>
    <w:p w14:paraId="3FF70EDB" w14:textId="77777777" w:rsidR="00A61090" w:rsidRPr="00931AFA" w:rsidRDefault="00A61090" w:rsidP="009F7500">
      <w:pPr>
        <w:pStyle w:val="PrrafodeSentencia"/>
        <w:rPr>
          <w:szCs w:val="20"/>
        </w:rPr>
      </w:pPr>
      <w:bookmarkStart w:id="263" w:name="_Ref524880447"/>
      <w:r w:rsidRPr="00EE513F">
        <w:t xml:space="preserve">La obligación de </w:t>
      </w:r>
      <w:r w:rsidRPr="00931AFA">
        <w:rPr>
          <w:szCs w:val="20"/>
        </w:rPr>
        <w:t>investigar violaciones de derechos humanos es una de las medidas positivas que deben adoptar los Estados para garantizar los derechos reconocidos en la Convención. Así, desde su primera sentencia esta Corte ha destacado la importancia del deber estatal de investigar y sancionar las violaciones de derechos humanos</w:t>
      </w:r>
      <w:r w:rsidRPr="00931AFA">
        <w:rPr>
          <w:rFonts w:cs="Verdana"/>
          <w:szCs w:val="20"/>
          <w:vertAlign w:val="superscript"/>
        </w:rPr>
        <w:footnoteReference w:id="136"/>
      </w:r>
      <w:r w:rsidRPr="00931AFA">
        <w:rPr>
          <w:szCs w:val="20"/>
        </w:rPr>
        <w:t>, el cual adquiere particular importancia ante la gravedad de los delitos cometidos y la naturaleza de los derechos lesionados</w:t>
      </w:r>
      <w:r w:rsidRPr="00931AFA">
        <w:rPr>
          <w:rStyle w:val="FootnoteReference"/>
          <w:rFonts w:eastAsia="Arial" w:cs="Arial"/>
          <w:sz w:val="20"/>
          <w:szCs w:val="20"/>
          <w:lang w:val="es-ES"/>
        </w:rPr>
        <w:footnoteReference w:id="137"/>
      </w:r>
      <w:r w:rsidRPr="00931AFA">
        <w:rPr>
          <w:szCs w:val="20"/>
        </w:rPr>
        <w:t xml:space="preserve">. Dicha obligación también se desprende de otros instrumentos interamericanos. Así, en casos de desapariciones forzadas, la obligación de investigar se ve reforzada por el artículo </w:t>
      </w:r>
      <w:proofErr w:type="spellStart"/>
      <w:r w:rsidRPr="00931AFA">
        <w:rPr>
          <w:szCs w:val="20"/>
        </w:rPr>
        <w:t>I.b</w:t>
      </w:r>
      <w:proofErr w:type="spellEnd"/>
      <w:r w:rsidRPr="00931AFA">
        <w:rPr>
          <w:szCs w:val="20"/>
        </w:rPr>
        <w:t xml:space="preserve"> de la Convención Interamericana sobre Desaparición Forzada, en vigor para el Estado desde el </w:t>
      </w:r>
      <w:r w:rsidRPr="00931AFA">
        <w:rPr>
          <w:bCs/>
          <w:szCs w:val="20"/>
        </w:rPr>
        <w:t>15 de marzo de 2002</w:t>
      </w:r>
      <w:r w:rsidRPr="00931AFA">
        <w:rPr>
          <w:rStyle w:val="FootnoteReference"/>
          <w:rFonts w:cs="Arial"/>
          <w:bCs/>
          <w:sz w:val="20"/>
          <w:szCs w:val="20"/>
          <w:lang w:val="es-ES"/>
        </w:rPr>
        <w:footnoteReference w:id="138"/>
      </w:r>
      <w:r w:rsidRPr="00931AFA">
        <w:rPr>
          <w:szCs w:val="20"/>
        </w:rPr>
        <w:t>.</w:t>
      </w:r>
      <w:bookmarkEnd w:id="263"/>
    </w:p>
    <w:p w14:paraId="0401C6F2" w14:textId="77777777" w:rsidR="00A61090" w:rsidRPr="00931AFA" w:rsidRDefault="00A61090" w:rsidP="009F7500">
      <w:pPr>
        <w:pStyle w:val="PrrafodeSentencia"/>
        <w:numPr>
          <w:ilvl w:val="0"/>
          <w:numId w:val="0"/>
        </w:numPr>
        <w:rPr>
          <w:szCs w:val="20"/>
        </w:rPr>
      </w:pPr>
    </w:p>
    <w:p w14:paraId="5339EE28" w14:textId="77777777" w:rsidR="00A61090" w:rsidRDefault="00A61090" w:rsidP="009F7500">
      <w:pPr>
        <w:pStyle w:val="PrrafodeSentencia"/>
        <w:rPr>
          <w:szCs w:val="20"/>
        </w:rPr>
      </w:pPr>
      <w:r w:rsidRPr="00931AFA">
        <w:rPr>
          <w:szCs w:val="20"/>
        </w:rPr>
        <w:t>Esta Corte ya ha considerado que, una vez ocurrida una desaparición forzada, es necesario que la misma sea efectivamente considerada y tratada como un hecho ilícito que pueda tener como consecuencia la imposición de sanciones para quien la cometa, instigue, encubra o de cualquier otra forma participe en la perpetración de la misma</w:t>
      </w:r>
      <w:r w:rsidRPr="00931AFA">
        <w:rPr>
          <w:rStyle w:val="FootnoteReference"/>
          <w:rFonts w:eastAsia="Arial" w:cs="Arial"/>
          <w:sz w:val="20"/>
          <w:szCs w:val="20"/>
          <w:lang w:val="es-ES"/>
        </w:rPr>
        <w:footnoteReference w:id="139"/>
      </w:r>
      <w:r w:rsidRPr="00931AFA">
        <w:rPr>
          <w:szCs w:val="20"/>
        </w:rPr>
        <w:t>.</w:t>
      </w:r>
    </w:p>
    <w:p w14:paraId="22BDFEC9" w14:textId="77777777" w:rsidR="00931AFA" w:rsidRPr="00931AFA" w:rsidRDefault="00931AFA" w:rsidP="00931AFA">
      <w:pPr>
        <w:rPr>
          <w:lang w:val="es-CR" w:eastAsia="es-MX"/>
        </w:rPr>
      </w:pPr>
    </w:p>
    <w:p w14:paraId="70724FDE" w14:textId="7E8F2C3F" w:rsidR="00A61090" w:rsidRDefault="00A61090" w:rsidP="009F7500">
      <w:pPr>
        <w:pStyle w:val="PrrafodeSentencia"/>
      </w:pPr>
      <w:r w:rsidRPr="00E55FFE">
        <w:t xml:space="preserve">Frente a los alegatos realizados por las </w:t>
      </w:r>
      <w:r w:rsidRPr="008A18DC">
        <w:t xml:space="preserve">partes y la Comisión sobre los derechos a las garantías y protección judiciales, esta Corte examinará: (1) </w:t>
      </w:r>
      <w:r w:rsidRPr="008A18DC">
        <w:rPr>
          <w:lang w:val="es-ES_tradnl"/>
        </w:rPr>
        <w:t>el deber de iniciar de oficio una investigación; (2) la debida diligencia en las investigaciones; (3)</w:t>
      </w:r>
      <w:r w:rsidR="00553A9E" w:rsidRPr="008A18DC">
        <w:rPr>
          <w:lang w:val="es-ES_tradnl"/>
        </w:rPr>
        <w:t xml:space="preserve"> </w:t>
      </w:r>
      <w:r w:rsidR="00F03574" w:rsidRPr="008A18DC">
        <w:rPr>
          <w:lang w:val="es-ES_tradnl"/>
        </w:rPr>
        <w:t>la o</w:t>
      </w:r>
      <w:r w:rsidR="00553A9E" w:rsidRPr="008A18DC">
        <w:rPr>
          <w:lang w:val="es-ES_tradnl"/>
        </w:rPr>
        <w:t xml:space="preserve">misión de las labores de búsqueda del señor Walter </w:t>
      </w:r>
      <w:proofErr w:type="spellStart"/>
      <w:r w:rsidR="00553A9E" w:rsidRPr="008A18DC">
        <w:rPr>
          <w:lang w:val="es-ES_tradnl"/>
        </w:rPr>
        <w:t>Munárriz</w:t>
      </w:r>
      <w:proofErr w:type="spellEnd"/>
      <w:r w:rsidR="00553A9E" w:rsidRPr="008A18DC">
        <w:rPr>
          <w:lang w:val="es-ES_tradnl"/>
        </w:rPr>
        <w:t xml:space="preserve"> Escobar</w:t>
      </w:r>
      <w:r w:rsidRPr="008A18DC">
        <w:rPr>
          <w:lang w:val="es-ES_tradnl"/>
        </w:rPr>
        <w:t xml:space="preserve">, y (4) </w:t>
      </w:r>
      <w:r w:rsidR="00553A9E" w:rsidRPr="008A18DC">
        <w:rPr>
          <w:lang w:val="es-ES_tradnl"/>
        </w:rPr>
        <w:t>el plazo razonable y el derecho a conocer la verdad</w:t>
      </w:r>
      <w:r w:rsidRPr="008A18DC">
        <w:t>.</w:t>
      </w:r>
    </w:p>
    <w:p w14:paraId="0D9D0CF5" w14:textId="77777777" w:rsidR="00106B7D" w:rsidRDefault="00106B7D" w:rsidP="00106B7D">
      <w:pPr>
        <w:rPr>
          <w:lang w:val="es-CR" w:eastAsia="es-MX"/>
        </w:rPr>
      </w:pPr>
    </w:p>
    <w:p w14:paraId="5D06DC22" w14:textId="77777777" w:rsidR="00106B7D" w:rsidRDefault="00106B7D" w:rsidP="00106B7D">
      <w:pPr>
        <w:rPr>
          <w:lang w:val="es-CR" w:eastAsia="es-MX"/>
        </w:rPr>
      </w:pPr>
    </w:p>
    <w:p w14:paraId="6B37E8FA" w14:textId="77777777" w:rsidR="00106B7D" w:rsidRDefault="00106B7D" w:rsidP="00106B7D">
      <w:pPr>
        <w:rPr>
          <w:lang w:val="es-CR" w:eastAsia="es-MX"/>
        </w:rPr>
      </w:pPr>
    </w:p>
    <w:p w14:paraId="5AF1BCD9" w14:textId="77777777" w:rsidR="00106B7D" w:rsidRDefault="00106B7D" w:rsidP="00106B7D">
      <w:pPr>
        <w:rPr>
          <w:lang w:val="es-CR" w:eastAsia="es-MX"/>
        </w:rPr>
      </w:pPr>
    </w:p>
    <w:p w14:paraId="06E6BE9B" w14:textId="77777777" w:rsidR="00106B7D" w:rsidRDefault="00106B7D" w:rsidP="00106B7D">
      <w:pPr>
        <w:rPr>
          <w:lang w:val="es-CR" w:eastAsia="es-MX"/>
        </w:rPr>
      </w:pPr>
    </w:p>
    <w:p w14:paraId="5D2AF7C1" w14:textId="77777777" w:rsidR="00106B7D" w:rsidRPr="00106B7D" w:rsidRDefault="00106B7D" w:rsidP="00106B7D">
      <w:pPr>
        <w:rPr>
          <w:lang w:val="es-CR" w:eastAsia="es-MX"/>
        </w:rPr>
      </w:pPr>
    </w:p>
    <w:p w14:paraId="6C6EE198" w14:textId="77777777" w:rsidR="00A61090" w:rsidRPr="00C55E9D" w:rsidRDefault="00A61090" w:rsidP="009F7500">
      <w:pPr>
        <w:pStyle w:val="PrrafodeSentencia"/>
        <w:numPr>
          <w:ilvl w:val="0"/>
          <w:numId w:val="0"/>
        </w:numPr>
      </w:pPr>
    </w:p>
    <w:p w14:paraId="23E63F97" w14:textId="0B92D05B" w:rsidR="00A61090" w:rsidRPr="009301B6" w:rsidRDefault="00A61090" w:rsidP="0002708C">
      <w:pPr>
        <w:pStyle w:val="Heading3"/>
        <w:tabs>
          <w:tab w:val="left" w:pos="567"/>
        </w:tabs>
        <w:ind w:left="993"/>
      </w:pPr>
      <w:bookmarkStart w:id="264" w:name="_Toc526152711"/>
      <w:r w:rsidRPr="00C55E9D">
        <w:lastRenderedPageBreak/>
        <w:t>B.1 Deber de iniciar de oficio una investigación</w:t>
      </w:r>
      <w:bookmarkEnd w:id="264"/>
      <w:r w:rsidRPr="00142821">
        <w:rPr>
          <w:strike/>
        </w:rPr>
        <w:t xml:space="preserve"> </w:t>
      </w:r>
    </w:p>
    <w:p w14:paraId="53223695" w14:textId="4877A0EB" w:rsidR="00A61090" w:rsidRPr="008A18DC" w:rsidRDefault="00A61090" w:rsidP="009F7500">
      <w:pPr>
        <w:pStyle w:val="PrrafodeSentencia"/>
        <w:rPr>
          <w:szCs w:val="20"/>
          <w:lang w:eastAsia="es-CR"/>
        </w:rPr>
      </w:pPr>
      <w:bookmarkStart w:id="265" w:name="_Ref469575218"/>
      <w:r>
        <w:t>T</w:t>
      </w:r>
      <w:r w:rsidRPr="007A7F0E">
        <w:t>oda vez que haya motivos razonables para sospechar que una persona ha sido sometida a desaparición forzada debe iniciarse una investigación penal</w:t>
      </w:r>
      <w:bookmarkStart w:id="266" w:name="_Ref465352460"/>
      <w:r w:rsidRPr="007A7F0E">
        <w:rPr>
          <w:vertAlign w:val="superscript"/>
        </w:rPr>
        <w:footnoteReference w:id="140"/>
      </w:r>
      <w:bookmarkEnd w:id="266"/>
      <w:r w:rsidRPr="007A7F0E">
        <w:t xml:space="preserve">. Esta obligación es independiente de que se presente una denuncia, pues en casos de desaparición forzada el derecho internacional y el deber general de garantía, imponen la obligación de investigar el caso </w:t>
      </w:r>
      <w:r w:rsidRPr="007A7F0E">
        <w:rPr>
          <w:i/>
          <w:iCs/>
        </w:rPr>
        <w:t xml:space="preserve">ex </w:t>
      </w:r>
      <w:proofErr w:type="spellStart"/>
      <w:r w:rsidRPr="007A7F0E">
        <w:rPr>
          <w:i/>
          <w:iCs/>
        </w:rPr>
        <w:t>officio</w:t>
      </w:r>
      <w:proofErr w:type="spellEnd"/>
      <w:r w:rsidRPr="007A7F0E">
        <w:t>, sin dilación, y de una manera seria, imparcial y efectiva, de modo tal que no dependa de la iniciativa procesal de la víctima o de sus familiares o de la aportación privada de elementos probatorios</w:t>
      </w:r>
      <w:r w:rsidRPr="007A7F0E">
        <w:rPr>
          <w:vertAlign w:val="superscript"/>
        </w:rPr>
        <w:footnoteReference w:id="141"/>
      </w:r>
      <w:r w:rsidRPr="007A7F0E">
        <w:t xml:space="preserve">. En </w:t>
      </w:r>
      <w:r w:rsidRPr="004213B4">
        <w:rPr>
          <w:szCs w:val="20"/>
        </w:rPr>
        <w:t xml:space="preserve">cualquier caso, toda autoridad estatal, funcionario público o particular que haya tenido noticia de actos destinados a la desaparición forzada de personas, deberá </w:t>
      </w:r>
      <w:r w:rsidRPr="008A18DC">
        <w:rPr>
          <w:szCs w:val="20"/>
        </w:rPr>
        <w:t>denunciarlo inmediatamente</w:t>
      </w:r>
      <w:r w:rsidRPr="008A18DC">
        <w:rPr>
          <w:szCs w:val="20"/>
          <w:vertAlign w:val="superscript"/>
        </w:rPr>
        <w:footnoteReference w:id="142"/>
      </w:r>
      <w:r w:rsidRPr="008A18DC">
        <w:rPr>
          <w:szCs w:val="20"/>
        </w:rPr>
        <w:t xml:space="preserve">. </w:t>
      </w:r>
      <w:bookmarkEnd w:id="265"/>
    </w:p>
    <w:p w14:paraId="6294CAD8" w14:textId="77777777" w:rsidR="00A61090" w:rsidRPr="008A18DC" w:rsidRDefault="00A61090" w:rsidP="009F7500">
      <w:pPr>
        <w:pStyle w:val="PrrafodeSentencia"/>
        <w:numPr>
          <w:ilvl w:val="0"/>
          <w:numId w:val="0"/>
        </w:numPr>
        <w:rPr>
          <w:szCs w:val="20"/>
        </w:rPr>
      </w:pPr>
    </w:p>
    <w:p w14:paraId="45323A26" w14:textId="604BE59F" w:rsidR="00A61090" w:rsidRPr="008A18DC" w:rsidRDefault="00A61090" w:rsidP="00F845BC">
      <w:pPr>
        <w:pStyle w:val="PrrafodeSentencia"/>
        <w:rPr>
          <w:szCs w:val="20"/>
          <w:lang w:eastAsia="es-CR"/>
        </w:rPr>
      </w:pPr>
      <w:r w:rsidRPr="008A18DC">
        <w:rPr>
          <w:szCs w:val="20"/>
        </w:rPr>
        <w:t>En este caso,</w:t>
      </w:r>
      <w:r w:rsidR="00F845BC" w:rsidRPr="008A18DC">
        <w:rPr>
          <w:szCs w:val="20"/>
        </w:rPr>
        <w:t xml:space="preserve"> las primeras diligencias que constan en el expediente son manifestaciones policiales del 22 de marzo de 1999</w:t>
      </w:r>
      <w:r w:rsidR="005430DF">
        <w:rPr>
          <w:szCs w:val="20"/>
        </w:rPr>
        <w:t>,</w:t>
      </w:r>
      <w:r w:rsidR="00F845BC" w:rsidRPr="008A18DC">
        <w:rPr>
          <w:szCs w:val="20"/>
        </w:rPr>
        <w:t xml:space="preserve"> realizadas en presencia de la fiscal a cargo, donde se </w:t>
      </w:r>
      <w:r w:rsidR="00F845BC" w:rsidRPr="008A18DC">
        <w:rPr>
          <w:szCs w:val="20"/>
          <w:lang w:eastAsia="es-CR"/>
        </w:rPr>
        <w:t>tomó declaraciones de dos personas detenidas en la comisaría</w:t>
      </w:r>
      <w:r w:rsidR="00F845BC" w:rsidRPr="008A18DC">
        <w:rPr>
          <w:rStyle w:val="FootnoteReference"/>
          <w:sz w:val="20"/>
          <w:szCs w:val="20"/>
          <w:lang w:eastAsia="es-CR"/>
        </w:rPr>
        <w:footnoteReference w:id="143"/>
      </w:r>
      <w:r w:rsidR="00F845BC" w:rsidRPr="008A18DC">
        <w:rPr>
          <w:szCs w:val="20"/>
          <w:lang w:eastAsia="es-CR"/>
        </w:rPr>
        <w:t xml:space="preserve">, y de </w:t>
      </w:r>
      <w:r w:rsidR="005430DF">
        <w:rPr>
          <w:szCs w:val="20"/>
          <w:lang w:eastAsia="es-CR"/>
        </w:rPr>
        <w:t>dos</w:t>
      </w:r>
      <w:r w:rsidR="00F845BC" w:rsidRPr="008A18DC">
        <w:rPr>
          <w:szCs w:val="20"/>
        </w:rPr>
        <w:t xml:space="preserve"> testigo</w:t>
      </w:r>
      <w:r w:rsidR="005430DF">
        <w:rPr>
          <w:szCs w:val="20"/>
        </w:rPr>
        <w:t>s</w:t>
      </w:r>
      <w:r w:rsidR="00F845BC" w:rsidRPr="008A18DC">
        <w:rPr>
          <w:szCs w:val="20"/>
        </w:rPr>
        <w:t xml:space="preserve"> que afirm</w:t>
      </w:r>
      <w:r w:rsidR="005430DF">
        <w:rPr>
          <w:szCs w:val="20"/>
        </w:rPr>
        <w:t>aron</w:t>
      </w:r>
      <w:r w:rsidR="00F845BC" w:rsidRPr="008A18DC">
        <w:rPr>
          <w:szCs w:val="20"/>
        </w:rPr>
        <w:t xml:space="preserve"> haber visto a Walter </w:t>
      </w:r>
      <w:proofErr w:type="spellStart"/>
      <w:r w:rsidR="00F845BC" w:rsidRPr="008A18DC">
        <w:rPr>
          <w:szCs w:val="20"/>
        </w:rPr>
        <w:t>Munárriz</w:t>
      </w:r>
      <w:proofErr w:type="spellEnd"/>
      <w:r w:rsidR="00F845BC" w:rsidRPr="008A18DC">
        <w:rPr>
          <w:szCs w:val="20"/>
        </w:rPr>
        <w:t xml:space="preserve"> Escobar salir de la </w:t>
      </w:r>
      <w:r w:rsidR="00DF1F3A">
        <w:rPr>
          <w:szCs w:val="20"/>
        </w:rPr>
        <w:t>c</w:t>
      </w:r>
      <w:r w:rsidR="00F845BC" w:rsidRPr="008A18DC">
        <w:rPr>
          <w:szCs w:val="20"/>
        </w:rPr>
        <w:t xml:space="preserve">omisaría de </w:t>
      </w:r>
      <w:proofErr w:type="spellStart"/>
      <w:r w:rsidR="00F845BC" w:rsidRPr="008A18DC">
        <w:rPr>
          <w:szCs w:val="20"/>
        </w:rPr>
        <w:t>Lircay</w:t>
      </w:r>
      <w:proofErr w:type="spellEnd"/>
      <w:r w:rsidR="00F845BC" w:rsidRPr="008A18DC">
        <w:rPr>
          <w:rStyle w:val="FootnoteReference"/>
          <w:sz w:val="20"/>
          <w:szCs w:val="20"/>
        </w:rPr>
        <w:footnoteReference w:id="144"/>
      </w:r>
      <w:r w:rsidR="00563AB9">
        <w:rPr>
          <w:szCs w:val="20"/>
        </w:rPr>
        <w:t>.</w:t>
      </w:r>
      <w:r w:rsidR="00F845BC" w:rsidRPr="008A18DC">
        <w:rPr>
          <w:szCs w:val="20"/>
          <w:lang w:eastAsia="es-CR"/>
        </w:rPr>
        <w:t xml:space="preserve"> </w:t>
      </w:r>
      <w:r w:rsidR="00F845BC" w:rsidRPr="008A18DC">
        <w:rPr>
          <w:szCs w:val="20"/>
        </w:rPr>
        <w:t>P</w:t>
      </w:r>
      <w:r w:rsidR="0068327B" w:rsidRPr="008A18DC">
        <w:rPr>
          <w:szCs w:val="20"/>
        </w:rPr>
        <w:t xml:space="preserve">arte de la prueba indica que los familiares de Walter </w:t>
      </w:r>
      <w:proofErr w:type="spellStart"/>
      <w:r w:rsidR="0068327B" w:rsidRPr="008A18DC">
        <w:rPr>
          <w:szCs w:val="20"/>
        </w:rPr>
        <w:t>Munárriz</w:t>
      </w:r>
      <w:proofErr w:type="spellEnd"/>
      <w:r w:rsidR="0068327B" w:rsidRPr="008A18DC">
        <w:rPr>
          <w:szCs w:val="20"/>
        </w:rPr>
        <w:t xml:space="preserve"> Escobar acudieron a la </w:t>
      </w:r>
      <w:r w:rsidR="00DF1F3A">
        <w:rPr>
          <w:szCs w:val="20"/>
        </w:rPr>
        <w:t>c</w:t>
      </w:r>
      <w:r w:rsidR="0068327B" w:rsidRPr="008A18DC">
        <w:rPr>
          <w:szCs w:val="20"/>
        </w:rPr>
        <w:t>omisaría el 20 de marzo</w:t>
      </w:r>
      <w:r w:rsidR="0068327B" w:rsidRPr="008A18DC">
        <w:rPr>
          <w:rStyle w:val="FootnoteReference"/>
          <w:sz w:val="20"/>
          <w:szCs w:val="20"/>
        </w:rPr>
        <w:footnoteReference w:id="145"/>
      </w:r>
      <w:r w:rsidR="0068327B" w:rsidRPr="008A18DC">
        <w:rPr>
          <w:szCs w:val="20"/>
        </w:rPr>
        <w:t>, y otra parte señala que acudieron el 21 de marzo de 1999</w:t>
      </w:r>
      <w:r w:rsidR="0068327B" w:rsidRPr="008A18DC">
        <w:rPr>
          <w:rStyle w:val="FootnoteReference"/>
          <w:sz w:val="20"/>
          <w:szCs w:val="20"/>
        </w:rPr>
        <w:footnoteReference w:id="146"/>
      </w:r>
      <w:r w:rsidR="0068327B" w:rsidRPr="008A18DC">
        <w:rPr>
          <w:szCs w:val="20"/>
        </w:rPr>
        <w:t>.</w:t>
      </w:r>
      <w:r w:rsidR="0068327B" w:rsidRPr="008A18DC">
        <w:rPr>
          <w:szCs w:val="20"/>
          <w:lang w:eastAsia="es-CR"/>
        </w:rPr>
        <w:t xml:space="preserve"> </w:t>
      </w:r>
      <w:r w:rsidR="0068327B" w:rsidRPr="008A18DC">
        <w:rPr>
          <w:szCs w:val="20"/>
        </w:rPr>
        <w:t xml:space="preserve">Por tanto, </w:t>
      </w:r>
      <w:r w:rsidR="00F845BC" w:rsidRPr="008A18DC">
        <w:rPr>
          <w:szCs w:val="20"/>
        </w:rPr>
        <w:t xml:space="preserve">este Tribunal </w:t>
      </w:r>
      <w:r w:rsidR="004213B4" w:rsidRPr="008A18DC">
        <w:rPr>
          <w:szCs w:val="20"/>
        </w:rPr>
        <w:t>no cuenta con los elementos suficientes para determinar</w:t>
      </w:r>
      <w:r w:rsidR="00981EF0" w:rsidRPr="008A18DC">
        <w:rPr>
          <w:szCs w:val="20"/>
        </w:rPr>
        <w:t xml:space="preserve"> que </w:t>
      </w:r>
      <w:r w:rsidR="004213B4" w:rsidRPr="008A18DC">
        <w:rPr>
          <w:szCs w:val="20"/>
        </w:rPr>
        <w:t>se incumplió con la</w:t>
      </w:r>
      <w:r w:rsidRPr="008A18DC">
        <w:rPr>
          <w:szCs w:val="20"/>
        </w:rPr>
        <w:t xml:space="preserve"> obligación de iniciar sin dilación y de oficio la investigación de la desaparición de Walter </w:t>
      </w:r>
      <w:proofErr w:type="spellStart"/>
      <w:r w:rsidRPr="008A18DC">
        <w:rPr>
          <w:szCs w:val="20"/>
        </w:rPr>
        <w:t>Munárriz</w:t>
      </w:r>
      <w:proofErr w:type="spellEnd"/>
      <w:r w:rsidRPr="008A18DC">
        <w:rPr>
          <w:szCs w:val="20"/>
        </w:rPr>
        <w:t xml:space="preserve"> Escobar.</w:t>
      </w:r>
    </w:p>
    <w:p w14:paraId="32EDAF67" w14:textId="77777777" w:rsidR="00A61090" w:rsidRPr="00755C81" w:rsidRDefault="00A61090" w:rsidP="00755C81">
      <w:pPr>
        <w:pStyle w:val="PrrafodeSentencia"/>
        <w:numPr>
          <w:ilvl w:val="0"/>
          <w:numId w:val="0"/>
        </w:numPr>
        <w:rPr>
          <w:szCs w:val="20"/>
        </w:rPr>
      </w:pPr>
    </w:p>
    <w:p w14:paraId="2E132C83" w14:textId="560FB0F3" w:rsidR="00A61090" w:rsidRDefault="00A61090" w:rsidP="00755C81">
      <w:pPr>
        <w:pStyle w:val="Heading3"/>
        <w:tabs>
          <w:tab w:val="left" w:pos="567"/>
        </w:tabs>
        <w:spacing w:after="0" w:line="240" w:lineRule="auto"/>
        <w:ind w:left="993"/>
      </w:pPr>
      <w:bookmarkStart w:id="267" w:name="_Toc526152712"/>
      <w:r w:rsidRPr="009B1BB1">
        <w:t xml:space="preserve">B.2 </w:t>
      </w:r>
      <w:r w:rsidR="006D359A" w:rsidRPr="009B1BB1">
        <w:t>D</w:t>
      </w:r>
      <w:r w:rsidRPr="009B1BB1">
        <w:t>ebida diligencia en las investigaciones</w:t>
      </w:r>
      <w:bookmarkEnd w:id="267"/>
      <w:r w:rsidRPr="00755C81">
        <w:t xml:space="preserve"> </w:t>
      </w:r>
    </w:p>
    <w:p w14:paraId="0E40188F" w14:textId="77777777" w:rsidR="00755C81" w:rsidRPr="00755C81" w:rsidRDefault="00755C81" w:rsidP="00755C81">
      <w:pPr>
        <w:rPr>
          <w:szCs w:val="20"/>
          <w:lang w:val="es-ES_tradnl" w:eastAsia="es-ES"/>
        </w:rPr>
      </w:pPr>
    </w:p>
    <w:p w14:paraId="309F77E1" w14:textId="77777777" w:rsidR="00A61090" w:rsidRPr="00755C81" w:rsidRDefault="00A61090" w:rsidP="00755C81">
      <w:pPr>
        <w:pStyle w:val="PrrafodeSentencia"/>
        <w:rPr>
          <w:szCs w:val="20"/>
        </w:rPr>
      </w:pPr>
      <w:bookmarkStart w:id="268" w:name="_Ref524711191"/>
      <w:r w:rsidRPr="00755C81">
        <w:rPr>
          <w:szCs w:val="20"/>
        </w:rPr>
        <w:t>El Tribunal destaca que para que una investigación de desaparición forzada sea llevada adelante eficazmente y con la debida diligencia</w:t>
      </w:r>
      <w:r w:rsidRPr="00755C81">
        <w:rPr>
          <w:rStyle w:val="FootnoteReference"/>
          <w:sz w:val="20"/>
          <w:szCs w:val="20"/>
        </w:rPr>
        <w:footnoteReference w:id="147"/>
      </w:r>
      <w:r w:rsidRPr="00755C81">
        <w:rPr>
          <w:szCs w:val="20"/>
        </w:rPr>
        <w:t xml:space="preserve">, se deben utilizar todos los medios necesarios para realizar con prontitud aquellas actuaciones y averiguaciones esenciales y oportunas para </w:t>
      </w:r>
      <w:r w:rsidRPr="00755C81">
        <w:rPr>
          <w:szCs w:val="20"/>
        </w:rPr>
        <w:lastRenderedPageBreak/>
        <w:t>esclarecer la suerte de las víctimas e identificar a los responsables de su desaparición forzada</w:t>
      </w:r>
      <w:r w:rsidRPr="00755C81">
        <w:rPr>
          <w:rStyle w:val="FootnoteReference"/>
          <w:sz w:val="20"/>
          <w:szCs w:val="20"/>
        </w:rPr>
        <w:footnoteReference w:id="148"/>
      </w:r>
      <w:r w:rsidRPr="00755C81">
        <w:rPr>
          <w:szCs w:val="20"/>
        </w:rPr>
        <w:t>. Para ello, el Estado debe dotar a las correspondientes autoridades de los recursos logísticos y científicos necesarios para recabar y procesar las pruebas y, en particular, de las facultades para acceder a la documentación e información pertinente para investigar los hechos denunciados y obtener indicios o evidencias de la ubicación de las víctimas</w:t>
      </w:r>
      <w:r w:rsidRPr="00755C81">
        <w:rPr>
          <w:rStyle w:val="FootnoteReference"/>
          <w:sz w:val="20"/>
          <w:szCs w:val="20"/>
        </w:rPr>
        <w:footnoteReference w:id="149"/>
      </w:r>
      <w:r w:rsidRPr="00755C81">
        <w:rPr>
          <w:szCs w:val="20"/>
        </w:rPr>
        <w:t>.</w:t>
      </w:r>
      <w:bookmarkEnd w:id="268"/>
    </w:p>
    <w:p w14:paraId="70C6C7DB" w14:textId="77777777" w:rsidR="00A61090" w:rsidRDefault="00A61090" w:rsidP="009F7500">
      <w:pPr>
        <w:pStyle w:val="PrrafodeSentencia"/>
        <w:numPr>
          <w:ilvl w:val="0"/>
          <w:numId w:val="0"/>
        </w:numPr>
      </w:pPr>
    </w:p>
    <w:p w14:paraId="14EE0397" w14:textId="27FAD28C" w:rsidR="00A61090" w:rsidRPr="000219F9" w:rsidRDefault="00A61090" w:rsidP="009F7500">
      <w:pPr>
        <w:pStyle w:val="PrrafodeSentencia"/>
        <w:rPr>
          <w:spacing w:val="0"/>
        </w:rPr>
      </w:pPr>
      <w:r w:rsidRPr="001576F4">
        <w:t>La Corte ha indicado que las autoridades deben impulsar la investigación como un deber jurídico propio, no haciendo recaer esta carga en la iniciativa de los familiares</w:t>
      </w:r>
      <w:r w:rsidRPr="00BF4291">
        <w:rPr>
          <w:rFonts w:cs="GillSans-Light"/>
          <w:vertAlign w:val="superscript"/>
        </w:rPr>
        <w:footnoteReference w:id="150"/>
      </w:r>
      <w:r w:rsidRPr="001576F4">
        <w:t xml:space="preserve">. </w:t>
      </w:r>
      <w:r w:rsidRPr="001576F4">
        <w:rPr>
          <w:rFonts w:cs="Verdana"/>
        </w:rPr>
        <w:t>Esto es un elemento fundamental y condicionante para la protección de los derechos afectados por esas situaciones</w:t>
      </w:r>
      <w:r w:rsidRPr="00BF4291">
        <w:rPr>
          <w:rFonts w:cs="Verdana"/>
          <w:vertAlign w:val="superscript"/>
        </w:rPr>
        <w:footnoteReference w:id="151"/>
      </w:r>
      <w:r w:rsidRPr="001576F4">
        <w:rPr>
          <w:rFonts w:cs="Verdana"/>
        </w:rPr>
        <w:t>. Por ende, la investigación debe ser realizada por todos los medios legales disponibles y orientada a la determinación de la verdad y la persecución, captura, enjuiciamiento y, eventual castigo de todos los responsables intelectuales y materiales de los hechos, especialmente cuando están o puedan estar involucrados agentes estatales</w:t>
      </w:r>
      <w:r w:rsidRPr="00BF4291">
        <w:rPr>
          <w:rFonts w:cs="Verdana"/>
          <w:vertAlign w:val="superscript"/>
        </w:rPr>
        <w:footnoteReference w:id="152"/>
      </w:r>
      <w:r w:rsidRPr="001576F4">
        <w:rPr>
          <w:rFonts w:cs="Verdana"/>
        </w:rPr>
        <w:t>. Igualmente, la impunidad debe ser erradicada mediante la determinación de las responsabilidades tanto generales del Estado- como individuales –penales y de otra índole de sus agentes o de particulares-</w:t>
      </w:r>
      <w:r w:rsidRPr="00BF4291">
        <w:rPr>
          <w:rFonts w:cs="Verdana"/>
          <w:vertAlign w:val="superscript"/>
        </w:rPr>
        <w:footnoteReference w:id="153"/>
      </w:r>
      <w:r w:rsidRPr="001576F4">
        <w:rPr>
          <w:rFonts w:cs="Verdana"/>
        </w:rPr>
        <w:t xml:space="preserve">. </w:t>
      </w:r>
      <w:r w:rsidR="006E41D6">
        <w:rPr>
          <w:rFonts w:cs="Verdana"/>
        </w:rPr>
        <w:t xml:space="preserve">Asimismo, </w:t>
      </w:r>
      <w:r w:rsidR="006E41D6">
        <w:t>l</w:t>
      </w:r>
      <w:r w:rsidR="006E41D6" w:rsidRPr="005744F2">
        <w:t xml:space="preserve">a Corte </w:t>
      </w:r>
      <w:r w:rsidR="006E41D6" w:rsidRPr="000219F9">
        <w:t>recuerda que las omisiones en las primeras diligencias condicionan o limitan las posteriores investigaciones, lo cual es especialmente grave cuando son desarrolladas por miembros de la fuerza pública presuntamente responsable</w:t>
      </w:r>
      <w:r w:rsidR="006E41D6" w:rsidRPr="000219F9">
        <w:rPr>
          <w:vertAlign w:val="superscript"/>
        </w:rPr>
        <w:footnoteReference w:id="154"/>
      </w:r>
      <w:r w:rsidR="006E41D6" w:rsidRPr="000219F9">
        <w:t>.</w:t>
      </w:r>
    </w:p>
    <w:p w14:paraId="0A0C620B" w14:textId="77777777" w:rsidR="00A61090" w:rsidRPr="000219F9" w:rsidRDefault="00A61090" w:rsidP="00A61090">
      <w:pPr>
        <w:pStyle w:val="ListParagraph"/>
        <w:rPr>
          <w:szCs w:val="20"/>
          <w:lang w:val="es-CR"/>
        </w:rPr>
      </w:pPr>
    </w:p>
    <w:p w14:paraId="38D61439" w14:textId="618BACB1" w:rsidR="00C234C2" w:rsidRPr="00F24F69" w:rsidRDefault="00A61090" w:rsidP="00EE6D95">
      <w:pPr>
        <w:pStyle w:val="PrrafodeSentencia"/>
      </w:pPr>
      <w:r w:rsidRPr="00F24F69">
        <w:rPr>
          <w:szCs w:val="20"/>
        </w:rPr>
        <w:t xml:space="preserve">En el presente caso </w:t>
      </w:r>
      <w:r w:rsidR="00EE6D95" w:rsidRPr="00F24F69">
        <w:rPr>
          <w:szCs w:val="20"/>
        </w:rPr>
        <w:t xml:space="preserve">la fiscal encargada inicialmente de las investigaciones fue apartada del caso </w:t>
      </w:r>
      <w:r w:rsidR="00EE6D95" w:rsidRPr="00F24F69">
        <w:rPr>
          <w:rFonts w:cs="Cambria,Italic"/>
          <w:i/>
          <w:iCs/>
          <w:szCs w:val="20"/>
        </w:rPr>
        <w:t>“</w:t>
      </w:r>
      <w:r w:rsidR="00EE6D95" w:rsidRPr="00F24F69">
        <w:rPr>
          <w:rFonts w:cs="Cambria,Italic"/>
          <w:iCs/>
          <w:szCs w:val="20"/>
        </w:rPr>
        <w:t xml:space="preserve">por su manifiesta negligencia, retardo en las investigaciones </w:t>
      </w:r>
      <w:proofErr w:type="spellStart"/>
      <w:r w:rsidR="00EE6D95" w:rsidRPr="00F24F69">
        <w:rPr>
          <w:rFonts w:cs="Cambria,Italic"/>
          <w:iCs/>
          <w:szCs w:val="20"/>
        </w:rPr>
        <w:t>prejurisdiccionales</w:t>
      </w:r>
      <w:proofErr w:type="spellEnd"/>
      <w:r w:rsidR="00EE6D95" w:rsidRPr="00F24F69">
        <w:rPr>
          <w:rFonts w:cs="Cambria,Italic"/>
          <w:iCs/>
          <w:szCs w:val="20"/>
        </w:rPr>
        <w:t xml:space="preserve"> practicadas al respecto y la desconfianza que le tiene la población de </w:t>
      </w:r>
      <w:proofErr w:type="spellStart"/>
      <w:r w:rsidR="00EE6D95" w:rsidRPr="00F24F69">
        <w:rPr>
          <w:rFonts w:cs="Cambria,Italic"/>
          <w:iCs/>
          <w:szCs w:val="20"/>
        </w:rPr>
        <w:t>Lircay-Angaraes</w:t>
      </w:r>
      <w:proofErr w:type="spellEnd"/>
      <w:r w:rsidR="00EE6D95" w:rsidRPr="00F24F69">
        <w:rPr>
          <w:rFonts w:cs="Cambria,Italic"/>
          <w:iCs/>
          <w:szCs w:val="20"/>
        </w:rPr>
        <w:t xml:space="preserve"> y los familiares del […] estudiante desaparecido”</w:t>
      </w:r>
      <w:r w:rsidR="00EE6D95" w:rsidRPr="00F24F69">
        <w:rPr>
          <w:rStyle w:val="FootnoteReference"/>
          <w:iCs/>
          <w:sz w:val="20"/>
          <w:szCs w:val="20"/>
        </w:rPr>
        <w:footnoteReference w:id="155"/>
      </w:r>
      <w:r w:rsidR="00EE6D95" w:rsidRPr="00F24F69">
        <w:rPr>
          <w:rFonts w:cs="Cambria,Italic"/>
          <w:iCs/>
          <w:szCs w:val="20"/>
        </w:rPr>
        <w:t>. Si bien la fiscal solo estuvo efectivamente a cargo del caso por un período de dos semanas</w:t>
      </w:r>
      <w:r w:rsidR="00EE6D95" w:rsidRPr="00F24F69">
        <w:rPr>
          <w:rStyle w:val="FootnoteReference"/>
          <w:iCs/>
          <w:sz w:val="20"/>
          <w:szCs w:val="20"/>
        </w:rPr>
        <w:footnoteReference w:id="156"/>
      </w:r>
      <w:r w:rsidR="00EE6D95" w:rsidRPr="00F24F69">
        <w:rPr>
          <w:rFonts w:cs="Cambria,Italic"/>
          <w:iCs/>
          <w:szCs w:val="20"/>
        </w:rPr>
        <w:t xml:space="preserve">, existen falencias en las investigaciones </w:t>
      </w:r>
      <w:r w:rsidR="00EE6D95" w:rsidRPr="00F24F69">
        <w:rPr>
          <w:rFonts w:cs="Cambria,Italic"/>
          <w:iCs/>
          <w:szCs w:val="20"/>
        </w:rPr>
        <w:lastRenderedPageBreak/>
        <w:t>inicial</w:t>
      </w:r>
      <w:r w:rsidR="001A620D">
        <w:rPr>
          <w:rFonts w:cs="Cambria,Italic"/>
          <w:iCs/>
          <w:szCs w:val="20"/>
        </w:rPr>
        <w:t>es</w:t>
      </w:r>
      <w:r w:rsidR="00EE6D95" w:rsidRPr="00F24F69">
        <w:rPr>
          <w:rFonts w:cs="Cambria,Italic"/>
          <w:iCs/>
          <w:szCs w:val="20"/>
        </w:rPr>
        <w:t xml:space="preserve"> que resultan imposibles de corregir.</w:t>
      </w:r>
      <w:r w:rsidR="00C234C2" w:rsidRPr="00F24F69">
        <w:rPr>
          <w:rFonts w:cs="Cambria,Italic"/>
          <w:iCs/>
          <w:szCs w:val="20"/>
        </w:rPr>
        <w:t xml:space="preserve"> En </w:t>
      </w:r>
      <w:r w:rsidR="009B1BB1">
        <w:rPr>
          <w:rFonts w:cs="Cambria,Italic"/>
          <w:iCs/>
          <w:szCs w:val="20"/>
        </w:rPr>
        <w:t>este</w:t>
      </w:r>
      <w:r w:rsidR="00C234C2" w:rsidRPr="00F24F69">
        <w:rPr>
          <w:rFonts w:cs="Cambria,Italic"/>
          <w:iCs/>
          <w:szCs w:val="20"/>
        </w:rPr>
        <w:t xml:space="preserve"> sentido, en la investigación realizada en la Defensoría del Pueblo de</w:t>
      </w:r>
      <w:r w:rsidR="00C234C2" w:rsidRPr="00F24F69">
        <w:t xml:space="preserve"> Huancavelica se destacó que:</w:t>
      </w:r>
    </w:p>
    <w:p w14:paraId="5F690045" w14:textId="77777777" w:rsidR="00C234C2" w:rsidRPr="00F24F69" w:rsidRDefault="00C234C2" w:rsidP="00C234C2">
      <w:pPr>
        <w:rPr>
          <w:lang w:val="es-CR" w:eastAsia="es-MX"/>
        </w:rPr>
      </w:pPr>
    </w:p>
    <w:p w14:paraId="22A91406" w14:textId="3ED9013A" w:rsidR="00C234C2" w:rsidRPr="00F24F69" w:rsidRDefault="00C234C2" w:rsidP="00C234C2">
      <w:pPr>
        <w:pStyle w:val="ListParagraph"/>
        <w:tabs>
          <w:tab w:val="left" w:pos="993"/>
        </w:tabs>
        <w:ind w:left="567" w:right="616"/>
        <w:contextualSpacing/>
        <w:jc w:val="both"/>
        <w:rPr>
          <w:rFonts w:cs="Cambria"/>
          <w:sz w:val="18"/>
          <w:szCs w:val="18"/>
          <w:lang w:val="es-CR"/>
        </w:rPr>
      </w:pPr>
      <w:r w:rsidRPr="00F24F69">
        <w:rPr>
          <w:rFonts w:cs="Cambria,Italic"/>
          <w:iCs/>
          <w:sz w:val="18"/>
          <w:szCs w:val="18"/>
          <w:lang w:val="es-CR"/>
        </w:rPr>
        <w:t>[E]n la investigación pre jurisdiccional de los hechos, la Fiscal [inicialmente a cargo</w:t>
      </w:r>
      <w:r w:rsidR="006B4777">
        <w:rPr>
          <w:rFonts w:cs="Cambria,Italic"/>
          <w:iCs/>
          <w:sz w:val="18"/>
          <w:szCs w:val="18"/>
          <w:lang w:val="es-CR"/>
        </w:rPr>
        <w:t xml:space="preserve"> actuó</w:t>
      </w:r>
      <w:r w:rsidRPr="00F24F69">
        <w:rPr>
          <w:rFonts w:cs="Cambria,Italic"/>
          <w:iCs/>
          <w:sz w:val="18"/>
          <w:szCs w:val="18"/>
          <w:lang w:val="es-CR"/>
        </w:rPr>
        <w:t>] con manifiesta negligencia en el ejercicio de sus funciones, en efecto no ha practicado diligencias como inspecciones oculares, recogimiento de huellas, vestigios en el local de la dependencia policial, no bien se conocieron los hechos; por el contrario ha adelantado juicio sobre sus investigaciones mostrando abierta parcialización con los implicados</w:t>
      </w:r>
      <w:r w:rsidRPr="00F24F69">
        <w:rPr>
          <w:rStyle w:val="FootnoteReference"/>
          <w:sz w:val="18"/>
          <w:szCs w:val="18"/>
          <w:lang w:val="es-CR"/>
        </w:rPr>
        <w:footnoteReference w:id="157"/>
      </w:r>
      <w:r w:rsidRPr="00F24F69">
        <w:rPr>
          <w:rFonts w:cs="Cambria"/>
          <w:sz w:val="18"/>
          <w:szCs w:val="18"/>
          <w:lang w:val="es-CR"/>
        </w:rPr>
        <w:t>.</w:t>
      </w:r>
    </w:p>
    <w:p w14:paraId="33FF1E38" w14:textId="77777777" w:rsidR="00C234C2" w:rsidRPr="00F24F69" w:rsidRDefault="00C234C2" w:rsidP="00C234C2">
      <w:pPr>
        <w:rPr>
          <w:lang w:val="es-CR" w:eastAsia="es-MX"/>
        </w:rPr>
      </w:pPr>
    </w:p>
    <w:p w14:paraId="51E4321B" w14:textId="61F11C20" w:rsidR="009E633A" w:rsidRPr="00F24F69" w:rsidRDefault="00EE6D95" w:rsidP="00F24F69">
      <w:pPr>
        <w:pStyle w:val="PrrafodeSentencia"/>
        <w:rPr>
          <w:szCs w:val="20"/>
        </w:rPr>
      </w:pPr>
      <w:r w:rsidRPr="00F24F69">
        <w:rPr>
          <w:rFonts w:cs="Cambria,Italic"/>
          <w:iCs/>
          <w:szCs w:val="20"/>
        </w:rPr>
        <w:t xml:space="preserve">Al respecto, la Corte nota que la </w:t>
      </w:r>
      <w:r w:rsidR="009E633A" w:rsidRPr="00F24F69">
        <w:t xml:space="preserve">primera inspección ocular a la </w:t>
      </w:r>
      <w:r w:rsidR="005033F4" w:rsidRPr="00F24F69">
        <w:t>c</w:t>
      </w:r>
      <w:r w:rsidR="009E633A" w:rsidRPr="00F24F69">
        <w:t xml:space="preserve">omisaría de </w:t>
      </w:r>
      <w:proofErr w:type="spellStart"/>
      <w:r w:rsidR="009E633A" w:rsidRPr="00F24F69">
        <w:t>Lircay</w:t>
      </w:r>
      <w:proofErr w:type="spellEnd"/>
      <w:r w:rsidR="009E633A" w:rsidRPr="00F24F69">
        <w:t xml:space="preserve"> se realizó el 3 de junio de 1999, más </w:t>
      </w:r>
      <w:r w:rsidR="002B1B46" w:rsidRPr="00F24F69">
        <w:t xml:space="preserve">de </w:t>
      </w:r>
      <w:r w:rsidR="009B1BB1">
        <w:t>dos meses</w:t>
      </w:r>
      <w:r w:rsidR="009E633A" w:rsidRPr="00F24F69">
        <w:t xml:space="preserve"> después del inicio de la desaparición de Walter </w:t>
      </w:r>
      <w:proofErr w:type="spellStart"/>
      <w:r w:rsidR="009E633A" w:rsidRPr="00F24F69">
        <w:t>Munárriz</w:t>
      </w:r>
      <w:proofErr w:type="spellEnd"/>
      <w:r w:rsidR="009E633A" w:rsidRPr="00F24F69">
        <w:t xml:space="preserve"> Escobar</w:t>
      </w:r>
      <w:r w:rsidR="009E633A" w:rsidRPr="00F24F69">
        <w:rPr>
          <w:rStyle w:val="FootnoteReference"/>
          <w:sz w:val="20"/>
        </w:rPr>
        <w:footnoteReference w:id="158"/>
      </w:r>
      <w:r w:rsidR="009E633A" w:rsidRPr="00F24F69">
        <w:t xml:space="preserve">. Al ser la </w:t>
      </w:r>
      <w:r w:rsidR="00DF1F3A">
        <w:t>c</w:t>
      </w:r>
      <w:r w:rsidR="009E633A" w:rsidRPr="00F24F69">
        <w:t xml:space="preserve">omisaría de </w:t>
      </w:r>
      <w:proofErr w:type="spellStart"/>
      <w:r w:rsidR="009E633A" w:rsidRPr="00F24F69">
        <w:t>Lircay</w:t>
      </w:r>
      <w:proofErr w:type="spellEnd"/>
      <w:r w:rsidR="009E633A" w:rsidRPr="00F24F69">
        <w:t xml:space="preserve"> el último paradero conocido de Walter </w:t>
      </w:r>
      <w:proofErr w:type="spellStart"/>
      <w:r w:rsidR="009E633A" w:rsidRPr="00F24F69">
        <w:t>Munárriz</w:t>
      </w:r>
      <w:proofErr w:type="spellEnd"/>
      <w:r w:rsidR="009E633A" w:rsidRPr="00F24F69">
        <w:t xml:space="preserve"> Escobar</w:t>
      </w:r>
      <w:r w:rsidR="00106B7D">
        <w:t>,</w:t>
      </w:r>
      <w:r w:rsidR="009E633A" w:rsidRPr="00F24F69">
        <w:t xml:space="preserve"> era imprescindible que </w:t>
      </w:r>
      <w:r w:rsidR="00106B7D">
        <w:t>é</w:t>
      </w:r>
      <w:r w:rsidR="009E633A" w:rsidRPr="00F24F69">
        <w:t xml:space="preserve">sta fuese inspeccionada inmediatamente, considerándola como una posible escena del crimen, donde se pudieran encontrar evidencias sobre lo que pudo haberle ocurrido a la presunta víctima. </w:t>
      </w:r>
      <w:r w:rsidR="00A81124" w:rsidRPr="00F24F69">
        <w:t>En esta inspección</w:t>
      </w:r>
      <w:r w:rsidR="00106B7D">
        <w:t>,</w:t>
      </w:r>
      <w:r w:rsidR="00A81124" w:rsidRPr="00F24F69">
        <w:t xml:space="preserve"> además</w:t>
      </w:r>
      <w:r w:rsidR="00106B7D">
        <w:t>,</w:t>
      </w:r>
      <w:r w:rsidR="00A81124" w:rsidRPr="00F24F69">
        <w:t xml:space="preserve"> se hubiera podido intentar corroborar o desmentir las declaraciones de una persona que se encontraba detenida el 20 de marzo en la </w:t>
      </w:r>
      <w:r w:rsidR="00DF1F3A">
        <w:t>c</w:t>
      </w:r>
      <w:r w:rsidR="00A81124" w:rsidRPr="00F24F69">
        <w:t>omisaría sobre posibles agresiones sufridas por la presunta víctim</w:t>
      </w:r>
      <w:r w:rsidR="00A81124" w:rsidRPr="006B4777">
        <w:rPr>
          <w:szCs w:val="20"/>
        </w:rPr>
        <w:t>a</w:t>
      </w:r>
      <w:r w:rsidR="006B4777" w:rsidRPr="006B4777">
        <w:rPr>
          <w:rStyle w:val="FootnoteReference"/>
          <w:sz w:val="20"/>
          <w:szCs w:val="20"/>
        </w:rPr>
        <w:footnoteReference w:id="159"/>
      </w:r>
      <w:r w:rsidR="00A81124" w:rsidRPr="006B4777">
        <w:rPr>
          <w:szCs w:val="20"/>
        </w:rPr>
        <w:t>.</w:t>
      </w:r>
      <w:r w:rsidR="00A81124" w:rsidRPr="00F24F69">
        <w:t xml:space="preserve"> </w:t>
      </w:r>
      <w:r w:rsidR="009E633A" w:rsidRPr="00F24F69">
        <w:t xml:space="preserve">El paso del tiempo impide corregir esta falencia. </w:t>
      </w:r>
    </w:p>
    <w:p w14:paraId="632422FF" w14:textId="77777777" w:rsidR="00EE6D95" w:rsidRPr="00F24F69" w:rsidRDefault="00EE6D95" w:rsidP="00EE6D95">
      <w:pPr>
        <w:rPr>
          <w:lang w:val="es-CR" w:eastAsia="es-MX"/>
        </w:rPr>
      </w:pPr>
    </w:p>
    <w:p w14:paraId="79E7FCDB" w14:textId="36BB6DA0" w:rsidR="00EE6D95" w:rsidRPr="00F24F69" w:rsidRDefault="00A61090" w:rsidP="00EE6D95">
      <w:pPr>
        <w:pStyle w:val="PrrafodeSentencia"/>
      </w:pPr>
      <w:r w:rsidRPr="00F24F69">
        <w:t xml:space="preserve">Adicionalmente este Tribunal </w:t>
      </w:r>
      <w:r w:rsidR="00A81124" w:rsidRPr="00F24F69">
        <w:t>advierte</w:t>
      </w:r>
      <w:r w:rsidR="009E633A" w:rsidRPr="00F24F69">
        <w:t xml:space="preserve"> que dentro de </w:t>
      </w:r>
      <w:r w:rsidR="009E633A" w:rsidRPr="00FD237D">
        <w:t xml:space="preserve">la investigación </w:t>
      </w:r>
      <w:r w:rsidR="00A81124" w:rsidRPr="00FD237D">
        <w:t>no se intentó verificar cual ver</w:t>
      </w:r>
      <w:r w:rsidR="000248EC" w:rsidRPr="00FD237D">
        <w:t xml:space="preserve">sión de las declaraciones de </w:t>
      </w:r>
      <w:r w:rsidR="00306DB9">
        <w:t>MST, un</w:t>
      </w:r>
      <w:r w:rsidR="000248EC" w:rsidRPr="00FD237D">
        <w:t>a persona detenida</w:t>
      </w:r>
      <w:r w:rsidR="00A81124" w:rsidRPr="00FD237D">
        <w:t xml:space="preserve"> la </w:t>
      </w:r>
      <w:r w:rsidR="00A81124" w:rsidRPr="00FD237D">
        <w:rPr>
          <w:szCs w:val="20"/>
        </w:rPr>
        <w:t>madrugada del 20 de marzo de 1999</w:t>
      </w:r>
      <w:r w:rsidR="00636759" w:rsidRPr="00FD237D">
        <w:rPr>
          <w:szCs w:val="20"/>
        </w:rPr>
        <w:t xml:space="preserve"> que habría indicado escuchar gritos esa noche</w:t>
      </w:r>
      <w:r w:rsidR="00306DB9">
        <w:rPr>
          <w:szCs w:val="20"/>
        </w:rPr>
        <w:t>,</w:t>
      </w:r>
      <w:r w:rsidR="00A81124" w:rsidRPr="00FD237D">
        <w:rPr>
          <w:szCs w:val="20"/>
        </w:rPr>
        <w:t xml:space="preserve"> era la correcta</w:t>
      </w:r>
      <w:r w:rsidR="00A342D6" w:rsidRPr="00FD237D">
        <w:rPr>
          <w:rStyle w:val="FootnoteReference"/>
          <w:sz w:val="20"/>
          <w:szCs w:val="20"/>
        </w:rPr>
        <w:footnoteReference w:id="160"/>
      </w:r>
      <w:r w:rsidR="00A81124" w:rsidRPr="00FD237D">
        <w:rPr>
          <w:szCs w:val="20"/>
        </w:rPr>
        <w:t xml:space="preserve">. Tampoco se indagó </w:t>
      </w:r>
      <w:r w:rsidRPr="00FD237D">
        <w:rPr>
          <w:szCs w:val="20"/>
        </w:rPr>
        <w:t>debidamente si existía algún temor o motivo por el cual el declarante hubiera cambiado su testimonio en el 2004</w:t>
      </w:r>
      <w:r w:rsidR="00A81124" w:rsidRPr="00FD237D">
        <w:rPr>
          <w:szCs w:val="20"/>
        </w:rPr>
        <w:t>. Esto último es particularmente relevante</w:t>
      </w:r>
      <w:r w:rsidR="00A81124" w:rsidRPr="000248EC">
        <w:rPr>
          <w:szCs w:val="20"/>
        </w:rPr>
        <w:t xml:space="preserve"> al tomar en cuenta que ante la Defensoría del Pueblo de Huancavelica MST había señalado que inicialmente</w:t>
      </w:r>
      <w:r w:rsidR="00A81124" w:rsidRPr="00F24F69">
        <w:t xml:space="preserve"> fue coaccionado para que declarara que la madrugada del 20 de marzo no había ocurrido nada anormal</w:t>
      </w:r>
      <w:r w:rsidR="00A81124" w:rsidRPr="00F24F69">
        <w:rPr>
          <w:rStyle w:val="FootnoteReference"/>
          <w:sz w:val="20"/>
        </w:rPr>
        <w:footnoteReference w:id="161"/>
      </w:r>
      <w:r w:rsidR="00A81124" w:rsidRPr="00F24F69">
        <w:t>.</w:t>
      </w:r>
      <w:r w:rsidR="00C234C2" w:rsidRPr="00F24F69">
        <w:t xml:space="preserve"> </w:t>
      </w:r>
    </w:p>
    <w:p w14:paraId="16C3B47F" w14:textId="77777777" w:rsidR="00C234C2" w:rsidRPr="00F24F69" w:rsidRDefault="00C234C2" w:rsidP="00C234C2">
      <w:pPr>
        <w:pStyle w:val="PrrafodeSentencia"/>
        <w:numPr>
          <w:ilvl w:val="0"/>
          <w:numId w:val="0"/>
        </w:numPr>
      </w:pPr>
    </w:p>
    <w:p w14:paraId="1F856680" w14:textId="77777777" w:rsidR="00C234C2" w:rsidRPr="00F24F69" w:rsidRDefault="00C234C2" w:rsidP="00C234C2">
      <w:pPr>
        <w:pStyle w:val="PrrafodeSentencia"/>
      </w:pPr>
      <w:r w:rsidRPr="00F24F69">
        <w:rPr>
          <w:szCs w:val="20"/>
        </w:rPr>
        <w:t>Por otra parte, esta Corte considera que no tiene los elementos suficientes para pronunciarse sobre la alegada falta de</w:t>
      </w:r>
      <w:r w:rsidRPr="00F24F69">
        <w:t xml:space="preserve"> independencia e imparcialidad en la investigación.</w:t>
      </w:r>
    </w:p>
    <w:p w14:paraId="2174CCBE" w14:textId="77777777" w:rsidR="00EE6D95" w:rsidRPr="00F24F69" w:rsidRDefault="00EE6D95" w:rsidP="00EE6D95">
      <w:pPr>
        <w:rPr>
          <w:lang w:val="es-CR" w:eastAsia="es-MX"/>
        </w:rPr>
      </w:pPr>
    </w:p>
    <w:p w14:paraId="0A965C30" w14:textId="79D0EF0F" w:rsidR="00A61090" w:rsidRPr="00F24F69" w:rsidRDefault="00C06FF7" w:rsidP="00C06FF7">
      <w:pPr>
        <w:pStyle w:val="PrrafodeSentencia"/>
      </w:pPr>
      <w:bookmarkStart w:id="269" w:name="_Ref524711195"/>
      <w:r w:rsidRPr="00F24F69">
        <w:t xml:space="preserve">Por último, la Corte además destaca </w:t>
      </w:r>
      <w:r w:rsidR="00106B7D">
        <w:t xml:space="preserve">que </w:t>
      </w:r>
      <w:r w:rsidRPr="00F24F69">
        <w:t>el propio Estado ha señalado que existen indicios razonables sobre la posible ocurrencia de una desaparición forzada, donde se pudiera</w:t>
      </w:r>
      <w:r w:rsidRPr="000219F9">
        <w:t xml:space="preserve"> presumir la participación de agentes estatales (</w:t>
      </w:r>
      <w:r w:rsidRPr="000219F9">
        <w:rPr>
          <w:i/>
        </w:rPr>
        <w:t xml:space="preserve">supra </w:t>
      </w:r>
      <w:r w:rsidRPr="000219F9">
        <w:t>párr.</w:t>
      </w:r>
      <w:r w:rsidR="00596A82">
        <w:t xml:space="preserve"> </w:t>
      </w:r>
      <w:r w:rsidR="00596A82">
        <w:fldChar w:fldCharType="begin"/>
      </w:r>
      <w:r w:rsidR="00596A82">
        <w:instrText xml:space="preserve"> REF _Ref524710215 \r \h </w:instrText>
      </w:r>
      <w:r w:rsidR="00596A82">
        <w:fldChar w:fldCharType="separate"/>
      </w:r>
      <w:r w:rsidR="00087178">
        <w:t>22</w:t>
      </w:r>
      <w:r w:rsidR="00596A82">
        <w:fldChar w:fldCharType="end"/>
      </w:r>
      <w:r w:rsidRPr="000219F9">
        <w:t xml:space="preserve">). </w:t>
      </w:r>
      <w:r w:rsidRPr="00F24F69">
        <w:t xml:space="preserve">Sin embargo, todo lo anterior demuestra </w:t>
      </w:r>
      <w:r w:rsidRPr="00F24F69">
        <w:lastRenderedPageBreak/>
        <w:t>que la investigación realizada no ha sido</w:t>
      </w:r>
      <w:r w:rsidR="006939BE" w:rsidRPr="00F24F69">
        <w:t xml:space="preserve"> seria, efectiva ni exhaustiva.</w:t>
      </w:r>
      <w:r w:rsidRPr="00F24F69">
        <w:t xml:space="preserve"> </w:t>
      </w:r>
      <w:r w:rsidR="00F03574" w:rsidRPr="00F24F69">
        <w:t xml:space="preserve">Por tanto, </w:t>
      </w:r>
      <w:r w:rsidR="00C40D6B" w:rsidRPr="00F24F69">
        <w:t xml:space="preserve">la Corte considera que la investigación no se llevó a cabo con debida </w:t>
      </w:r>
      <w:r w:rsidR="00F96326" w:rsidRPr="00F24F69">
        <w:t>diligencia</w:t>
      </w:r>
      <w:r w:rsidR="00C40D6B" w:rsidRPr="00F24F69">
        <w:t>.</w:t>
      </w:r>
      <w:bookmarkEnd w:id="269"/>
    </w:p>
    <w:p w14:paraId="4172061F" w14:textId="77777777" w:rsidR="00553A9E" w:rsidRPr="00F24F69" w:rsidRDefault="00553A9E" w:rsidP="00553A9E">
      <w:pPr>
        <w:rPr>
          <w:lang w:val="es-CR" w:eastAsia="es-MX"/>
        </w:rPr>
      </w:pPr>
    </w:p>
    <w:p w14:paraId="1F3A392C" w14:textId="3A34FECC" w:rsidR="00553A9E" w:rsidRPr="00F24F69" w:rsidRDefault="00553A9E" w:rsidP="00553A9E">
      <w:pPr>
        <w:pStyle w:val="Heading3"/>
        <w:tabs>
          <w:tab w:val="left" w:pos="567"/>
        </w:tabs>
        <w:spacing w:after="0" w:line="240" w:lineRule="auto"/>
        <w:ind w:left="993"/>
        <w:rPr>
          <w:bCs/>
        </w:rPr>
      </w:pPr>
      <w:bookmarkStart w:id="270" w:name="_Toc526152713"/>
      <w:r w:rsidRPr="00F24F69">
        <w:t xml:space="preserve">B.3 Omisión de las labores de búsqueda del señor Walter </w:t>
      </w:r>
      <w:proofErr w:type="spellStart"/>
      <w:r w:rsidRPr="00F24F69">
        <w:t>Munárriz</w:t>
      </w:r>
      <w:proofErr w:type="spellEnd"/>
      <w:r w:rsidRPr="00F24F69">
        <w:t xml:space="preserve"> Escobar</w:t>
      </w:r>
      <w:bookmarkEnd w:id="270"/>
    </w:p>
    <w:p w14:paraId="2D13B734" w14:textId="77777777" w:rsidR="00553A9E" w:rsidRPr="00F24F69" w:rsidRDefault="00553A9E" w:rsidP="00553A9E">
      <w:pPr>
        <w:rPr>
          <w:lang w:val="es-ES_tradnl" w:eastAsia="es-MX"/>
        </w:rPr>
      </w:pPr>
    </w:p>
    <w:p w14:paraId="33329D7D" w14:textId="049B2B68" w:rsidR="00F845BC" w:rsidRPr="000219F9" w:rsidRDefault="00F845BC" w:rsidP="00F845BC">
      <w:pPr>
        <w:pStyle w:val="PrrafodeSentencia"/>
        <w:rPr>
          <w:szCs w:val="20"/>
          <w:lang w:eastAsia="es-CR"/>
        </w:rPr>
      </w:pPr>
      <w:r w:rsidRPr="00F24F69">
        <w:rPr>
          <w:szCs w:val="20"/>
        </w:rPr>
        <w:t>En casos de desaparición forzada, la investigación</w:t>
      </w:r>
      <w:r w:rsidR="00507248">
        <w:rPr>
          <w:szCs w:val="20"/>
        </w:rPr>
        <w:t xml:space="preserve"> debe tener</w:t>
      </w:r>
      <w:r w:rsidRPr="00F24F69">
        <w:rPr>
          <w:szCs w:val="20"/>
        </w:rPr>
        <w:t xml:space="preserve"> ciertas connotaciones específicas que surgen de la propia naturaleza y complejidad del fenómeno</w:t>
      </w:r>
      <w:r w:rsidRPr="000219F9">
        <w:rPr>
          <w:szCs w:val="20"/>
        </w:rPr>
        <w:t xml:space="preserve"> investigado, esto es que</w:t>
      </w:r>
      <w:r w:rsidR="00507248">
        <w:rPr>
          <w:szCs w:val="20"/>
        </w:rPr>
        <w:t xml:space="preserve"> </w:t>
      </w:r>
      <w:r w:rsidRPr="000219F9">
        <w:rPr>
          <w:szCs w:val="20"/>
        </w:rPr>
        <w:t>la investigación debe incluir la realización de todas las acciones necesarias con el objeto de determinar la suerte o destino de la víctima y la localización de su paradero</w:t>
      </w:r>
      <w:r w:rsidRPr="000219F9">
        <w:rPr>
          <w:rStyle w:val="FootnoteReference"/>
          <w:sz w:val="20"/>
          <w:szCs w:val="20"/>
        </w:rPr>
        <w:footnoteReference w:id="162"/>
      </w:r>
      <w:r w:rsidRPr="000219F9">
        <w:rPr>
          <w:szCs w:val="20"/>
          <w:lang w:eastAsia="es-CR"/>
        </w:rPr>
        <w:t xml:space="preserve">. </w:t>
      </w:r>
      <w:r w:rsidRPr="000219F9">
        <w:t>En múltiples oportunidades, esta Corte se ha pronunciado sobre la obligación de los Estados de realizar una búsqueda seria, por la vía judicial o administrativa adecuada, en la cual se realicen todos los esfuerzos, de manera sistemática y rigurosa, con los recursos humanos, técnicos y científicos adecuados e idóneos para dar con el paradero de las personas desaparecidas</w:t>
      </w:r>
      <w:r w:rsidRPr="000219F9">
        <w:rPr>
          <w:vertAlign w:val="superscript"/>
        </w:rPr>
        <w:footnoteReference w:id="163"/>
      </w:r>
      <w:r w:rsidRPr="000219F9">
        <w:t>. Recibir el cuerpo de una persona desaparecida es de suma importancia para sus familiares, ya que les permite sepultarlo de acuerdo a sus creencias, así como cerrar el proceso de duelo que han estado viviendo. Además, los restos son una prueba de lo sucedido y, junto al lugar en el cual sean encontrados, pueden proporcionar información valiosa sobre los autores de las violaciones o la institución a la que pertenecían</w:t>
      </w:r>
      <w:r w:rsidRPr="000219F9">
        <w:rPr>
          <w:vertAlign w:val="superscript"/>
        </w:rPr>
        <w:footnoteReference w:id="164"/>
      </w:r>
      <w:r w:rsidRPr="000219F9">
        <w:t>. El deber de investigar hechos de esta naturaleza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Pr="000219F9">
        <w:rPr>
          <w:vertAlign w:val="superscript"/>
        </w:rPr>
        <w:footnoteReference w:id="165"/>
      </w:r>
      <w:r w:rsidRPr="000219F9">
        <w:t>.</w:t>
      </w:r>
    </w:p>
    <w:p w14:paraId="00449CE1" w14:textId="77777777" w:rsidR="00F845BC" w:rsidRPr="00F845BC" w:rsidRDefault="00F845BC" w:rsidP="00F845BC">
      <w:pPr>
        <w:rPr>
          <w:lang w:val="es-CR" w:eastAsia="es-MX"/>
        </w:rPr>
      </w:pPr>
    </w:p>
    <w:p w14:paraId="29D7D0FA" w14:textId="67548F98" w:rsidR="00F845BC" w:rsidRPr="000219F9" w:rsidRDefault="00DA2912" w:rsidP="00F845BC">
      <w:pPr>
        <w:pStyle w:val="PrrafodeSentencia"/>
        <w:rPr>
          <w:rFonts w:cs="Cambria"/>
          <w:szCs w:val="20"/>
        </w:rPr>
      </w:pPr>
      <w:r>
        <w:t>E</w:t>
      </w:r>
      <w:r w:rsidR="00F845BC" w:rsidRPr="00EA60E0">
        <w:t xml:space="preserve">sta Corte advierte que el 27 de marzo de 1999 se realizaron búsquedas en orillas de dos ríos cercanos a </w:t>
      </w:r>
      <w:proofErr w:type="spellStart"/>
      <w:r w:rsidR="00F845BC" w:rsidRPr="00EA60E0">
        <w:t>Lircay</w:t>
      </w:r>
      <w:proofErr w:type="spellEnd"/>
      <w:r w:rsidR="00F845BC" w:rsidRPr="00A71F8C">
        <w:rPr>
          <w:rStyle w:val="FootnoteReference"/>
          <w:sz w:val="20"/>
          <w:szCs w:val="20"/>
        </w:rPr>
        <w:footnoteReference w:id="166"/>
      </w:r>
      <w:r w:rsidR="00F845BC" w:rsidRPr="00A71F8C">
        <w:rPr>
          <w:szCs w:val="20"/>
        </w:rPr>
        <w:t xml:space="preserve">. Asimismo, se enviaron diversos oficios </w:t>
      </w:r>
      <w:r w:rsidR="00F845BC" w:rsidRPr="000219F9">
        <w:rPr>
          <w:szCs w:val="20"/>
        </w:rPr>
        <w:t xml:space="preserve">solicitando la búsqueda de Walter </w:t>
      </w:r>
      <w:proofErr w:type="spellStart"/>
      <w:r w:rsidR="00F845BC" w:rsidRPr="000219F9">
        <w:rPr>
          <w:szCs w:val="20"/>
        </w:rPr>
        <w:t>Munárriz</w:t>
      </w:r>
      <w:proofErr w:type="spellEnd"/>
      <w:r w:rsidR="00F845BC" w:rsidRPr="000219F9">
        <w:rPr>
          <w:szCs w:val="20"/>
        </w:rPr>
        <w:t xml:space="preserve"> Escobar, incluyendo, a la </w:t>
      </w:r>
      <w:r w:rsidR="00F845BC" w:rsidRPr="000219F9">
        <w:rPr>
          <w:rFonts w:cs="Cambria"/>
          <w:szCs w:val="20"/>
        </w:rPr>
        <w:t>División de Delitos Contra las Personas Desaparecidas de Lima, la Unidad de Búsqueda de Personas Desaparecidas de Huancayo, medios de comunicación de la localidad, y se le comunicó a todas las dependencias policiales</w:t>
      </w:r>
      <w:r w:rsidR="00F845BC" w:rsidRPr="000219F9">
        <w:rPr>
          <w:rStyle w:val="FootnoteReference"/>
          <w:rFonts w:cs="Cambria"/>
          <w:sz w:val="20"/>
          <w:szCs w:val="20"/>
        </w:rPr>
        <w:footnoteReference w:id="167"/>
      </w:r>
      <w:r w:rsidR="00F845BC" w:rsidRPr="000219F9">
        <w:rPr>
          <w:rFonts w:cs="Cambria"/>
          <w:szCs w:val="20"/>
        </w:rPr>
        <w:t xml:space="preserve">. </w:t>
      </w:r>
      <w:r w:rsidRPr="000219F9">
        <w:rPr>
          <w:rFonts w:cs="Cambria"/>
          <w:szCs w:val="20"/>
        </w:rPr>
        <w:t xml:space="preserve">El Estado no ha demostrado que estas u otras </w:t>
      </w:r>
      <w:r w:rsidR="00F845BC" w:rsidRPr="000219F9">
        <w:rPr>
          <w:rFonts w:cs="Cambria"/>
          <w:szCs w:val="20"/>
        </w:rPr>
        <w:t>diligencias ha</w:t>
      </w:r>
      <w:r w:rsidRPr="000219F9">
        <w:rPr>
          <w:rFonts w:cs="Cambria"/>
          <w:szCs w:val="20"/>
        </w:rPr>
        <w:t>ya</w:t>
      </w:r>
      <w:r w:rsidR="00F845BC" w:rsidRPr="000219F9">
        <w:rPr>
          <w:rFonts w:cs="Cambria"/>
          <w:szCs w:val="20"/>
        </w:rPr>
        <w:t xml:space="preserve">n </w:t>
      </w:r>
      <w:r w:rsidRPr="000219F9">
        <w:rPr>
          <w:rFonts w:cs="Cambria"/>
          <w:szCs w:val="20"/>
        </w:rPr>
        <w:t xml:space="preserve">sido </w:t>
      </w:r>
      <w:r w:rsidR="00F845BC" w:rsidRPr="000219F9">
        <w:rPr>
          <w:rFonts w:cs="Cambria"/>
          <w:szCs w:val="20"/>
        </w:rPr>
        <w:t>realizad</w:t>
      </w:r>
      <w:r w:rsidRPr="000219F9">
        <w:rPr>
          <w:rFonts w:cs="Cambria"/>
          <w:szCs w:val="20"/>
        </w:rPr>
        <w:t>as</w:t>
      </w:r>
      <w:r w:rsidR="00F845BC" w:rsidRPr="000219F9">
        <w:rPr>
          <w:rFonts w:cs="Cambria"/>
          <w:szCs w:val="20"/>
        </w:rPr>
        <w:t xml:space="preserve"> </w:t>
      </w:r>
      <w:r w:rsidR="000219F9" w:rsidRPr="000219F9">
        <w:rPr>
          <w:rFonts w:cs="Cambria"/>
          <w:szCs w:val="20"/>
        </w:rPr>
        <w:t xml:space="preserve">por </w:t>
      </w:r>
      <w:r w:rsidR="00F845BC" w:rsidRPr="000219F9">
        <w:rPr>
          <w:rFonts w:cs="Cambria"/>
          <w:szCs w:val="20"/>
        </w:rPr>
        <w:t xml:space="preserve">estas entidades. </w:t>
      </w:r>
      <w:r w:rsidR="00F845BC" w:rsidRPr="000219F9">
        <w:rPr>
          <w:szCs w:val="20"/>
        </w:rPr>
        <w:t xml:space="preserve">Por otra parte, el Capitán de la Policía declaró que un año y medio después del inicio de la desaparición de </w:t>
      </w:r>
      <w:r w:rsidR="00F845BC" w:rsidRPr="000219F9">
        <w:t xml:space="preserve">Walter </w:t>
      </w:r>
      <w:proofErr w:type="spellStart"/>
      <w:r w:rsidR="00F845BC" w:rsidRPr="000219F9">
        <w:t>Munárriz</w:t>
      </w:r>
      <w:proofErr w:type="spellEnd"/>
      <w:r w:rsidR="00F845BC" w:rsidRPr="000219F9">
        <w:t xml:space="preserve"> Escobar habría recibido información sobre que la presunta víctima habría sido vista en </w:t>
      </w:r>
      <w:r w:rsidR="00F845BC" w:rsidRPr="000219F9">
        <w:rPr>
          <w:rFonts w:cs="Cambria"/>
          <w:szCs w:val="20"/>
        </w:rPr>
        <w:t>la ciudad de Huancayo</w:t>
      </w:r>
      <w:r w:rsidR="00F845BC" w:rsidRPr="000219F9">
        <w:rPr>
          <w:rStyle w:val="FootnoteReference"/>
          <w:sz w:val="20"/>
          <w:szCs w:val="20"/>
        </w:rPr>
        <w:footnoteReference w:id="168"/>
      </w:r>
      <w:r w:rsidR="00F845BC" w:rsidRPr="000219F9">
        <w:rPr>
          <w:rFonts w:cs="Cambria"/>
        </w:rPr>
        <w:t xml:space="preserve">. </w:t>
      </w:r>
      <w:r w:rsidR="00F845BC" w:rsidRPr="000219F9">
        <w:rPr>
          <w:rFonts w:cs="Cambria"/>
          <w:szCs w:val="20"/>
        </w:rPr>
        <w:t xml:space="preserve">Los representantes alegaron que esto no se investigó y el Estado no se pronunció al respecto. No consta en el expediente diligencias realizadas para examinar esta posibilidad. </w:t>
      </w:r>
    </w:p>
    <w:p w14:paraId="2A1A542D" w14:textId="77777777" w:rsidR="00DA2912" w:rsidRPr="000219F9" w:rsidRDefault="00DA2912" w:rsidP="00DA2912">
      <w:pPr>
        <w:rPr>
          <w:lang w:val="es-CR" w:eastAsia="es-MX"/>
        </w:rPr>
      </w:pPr>
    </w:p>
    <w:p w14:paraId="17EB8D98" w14:textId="65C90223" w:rsidR="00553A9E" w:rsidRPr="000219F9" w:rsidRDefault="0027455C" w:rsidP="00553A9E">
      <w:pPr>
        <w:pStyle w:val="PrrafodeSentencia"/>
      </w:pPr>
      <w:bookmarkStart w:id="271" w:name="_Ref525550754"/>
      <w:r w:rsidRPr="000219F9">
        <w:t>En consecuencia</w:t>
      </w:r>
      <w:r w:rsidR="00DA2912" w:rsidRPr="000219F9">
        <w:t>, la Corte concluye que el Estado ha omitido realizar una labor de búsqueda seria, coordinada y sistemática de la víctima, lo cual constituye una violación del acceso a la justicia de sus familiares.</w:t>
      </w:r>
      <w:bookmarkEnd w:id="271"/>
    </w:p>
    <w:p w14:paraId="0D51F000" w14:textId="77777777" w:rsidR="00A61090" w:rsidRPr="00D4694A" w:rsidRDefault="00A61090" w:rsidP="009F7500">
      <w:pPr>
        <w:pStyle w:val="PrrafodeSentencia"/>
        <w:numPr>
          <w:ilvl w:val="0"/>
          <w:numId w:val="0"/>
        </w:numPr>
      </w:pPr>
    </w:p>
    <w:p w14:paraId="1B70E73A" w14:textId="5DB51CE3" w:rsidR="00A61090" w:rsidRPr="006056DC" w:rsidRDefault="00A61090" w:rsidP="0002708C">
      <w:pPr>
        <w:pStyle w:val="Heading3"/>
        <w:tabs>
          <w:tab w:val="left" w:pos="567"/>
        </w:tabs>
        <w:spacing w:after="0" w:line="240" w:lineRule="auto"/>
        <w:ind w:left="993"/>
        <w:rPr>
          <w:bCs/>
        </w:rPr>
      </w:pPr>
      <w:bookmarkStart w:id="272" w:name="_Toc526152714"/>
      <w:r>
        <w:t>B.</w:t>
      </w:r>
      <w:r w:rsidR="00553A9E">
        <w:t>4</w:t>
      </w:r>
      <w:r>
        <w:t xml:space="preserve"> </w:t>
      </w:r>
      <w:r w:rsidRPr="00AB26DA">
        <w:t>El plazo razonable y derecho a conocer la verdad</w:t>
      </w:r>
      <w:bookmarkEnd w:id="272"/>
    </w:p>
    <w:p w14:paraId="55634A86" w14:textId="77777777" w:rsidR="00A61090" w:rsidRDefault="00A61090" w:rsidP="009F7500">
      <w:pPr>
        <w:pStyle w:val="PrrafodeSentencia"/>
        <w:numPr>
          <w:ilvl w:val="0"/>
          <w:numId w:val="0"/>
        </w:numPr>
      </w:pPr>
    </w:p>
    <w:p w14:paraId="5D2EE832" w14:textId="77777777" w:rsidR="00A61090" w:rsidRPr="00B94F7B" w:rsidRDefault="00A61090" w:rsidP="009F7500">
      <w:pPr>
        <w:pStyle w:val="PrrafodeSentencia"/>
        <w:rPr>
          <w:rFonts w:cs="Arial"/>
          <w:szCs w:val="20"/>
        </w:rPr>
      </w:pPr>
      <w:bookmarkStart w:id="273" w:name="_Ref405656105"/>
      <w:r w:rsidRPr="00534DB8">
        <w:rPr>
          <w:rFonts w:cs="Arial"/>
          <w:szCs w:val="20"/>
        </w:rPr>
        <w:t>La</w:t>
      </w:r>
      <w:r w:rsidRPr="00534DB8">
        <w:t xml:space="preserve"> Corte ha establecido que el derecho </w:t>
      </w:r>
      <w:r w:rsidRPr="00B94F7B">
        <w:rPr>
          <w:szCs w:val="20"/>
        </w:rPr>
        <w:t>de acceso a la justicia requiere que se haga efectiva la determinación de los hechos que se investigan en tiempo razonable</w:t>
      </w:r>
      <w:r w:rsidRPr="00B94F7B">
        <w:rPr>
          <w:szCs w:val="20"/>
          <w:vertAlign w:val="superscript"/>
        </w:rPr>
        <w:footnoteReference w:id="169"/>
      </w:r>
      <w:r w:rsidRPr="00B94F7B">
        <w:rPr>
          <w:szCs w:val="20"/>
        </w:rPr>
        <w:t>. Este Tribunal ha señalado que el “plazo razonable” al que se refiere el artículo 8.1 de la Convención se debe apreciar en relación con la duración total del procedimiento que se desarrolla hasta que se dicta la sentencia definitiva</w:t>
      </w:r>
      <w:r w:rsidRPr="00B94F7B">
        <w:rPr>
          <w:szCs w:val="20"/>
          <w:vertAlign w:val="superscript"/>
        </w:rPr>
        <w:footnoteReference w:id="170"/>
      </w:r>
      <w:r w:rsidRPr="00B94F7B">
        <w:rPr>
          <w:szCs w:val="20"/>
        </w:rPr>
        <w:t>. Asimismo, ha considerado que una demora prolongada constituye en principio, por sí misma, una violación a las garantías judiciales</w:t>
      </w:r>
      <w:r w:rsidRPr="00B94F7B">
        <w:rPr>
          <w:szCs w:val="20"/>
          <w:vertAlign w:val="superscript"/>
        </w:rPr>
        <w:footnoteReference w:id="171"/>
      </w:r>
      <w:r w:rsidRPr="00B94F7B">
        <w:rPr>
          <w:szCs w:val="20"/>
        </w:rPr>
        <w:t xml:space="preserve">. </w:t>
      </w:r>
    </w:p>
    <w:p w14:paraId="6B8EA71E" w14:textId="77777777" w:rsidR="00A61090" w:rsidRPr="00B94F7B" w:rsidRDefault="00A61090" w:rsidP="00A61090">
      <w:pPr>
        <w:tabs>
          <w:tab w:val="left" w:pos="567"/>
        </w:tabs>
        <w:rPr>
          <w:szCs w:val="20"/>
          <w:lang w:val="es-CR" w:eastAsia="es-MX"/>
        </w:rPr>
      </w:pPr>
    </w:p>
    <w:p w14:paraId="5AAE2BBF" w14:textId="77777777" w:rsidR="00A61090" w:rsidRPr="00B94F7B" w:rsidRDefault="00A61090" w:rsidP="009F7500">
      <w:pPr>
        <w:pStyle w:val="PrrafodeSentencia"/>
        <w:rPr>
          <w:szCs w:val="20"/>
        </w:rPr>
      </w:pPr>
      <w:r w:rsidRPr="00B94F7B">
        <w:rPr>
          <w:szCs w:val="20"/>
        </w:rPr>
        <w:t>En el presente caso, la sentencia absolutoria de 25 de mayo de 2004 ordenó que se continuara con las investigaciones de la causa</w:t>
      </w:r>
      <w:r w:rsidRPr="00B94F7B">
        <w:rPr>
          <w:rStyle w:val="FootnoteReference"/>
          <w:sz w:val="20"/>
          <w:szCs w:val="20"/>
        </w:rPr>
        <w:footnoteReference w:id="172"/>
      </w:r>
      <w:r w:rsidRPr="00B94F7B">
        <w:rPr>
          <w:rFonts w:cs="Cambria"/>
          <w:szCs w:val="20"/>
        </w:rPr>
        <w:t>. No fue sino hasta el 10 de marzo de 2017, más de doce años después, que la fiscalía abrió la investigación nuevamente</w:t>
      </w:r>
      <w:r w:rsidRPr="00B94F7B">
        <w:rPr>
          <w:rStyle w:val="FootnoteReference"/>
          <w:sz w:val="20"/>
          <w:szCs w:val="20"/>
        </w:rPr>
        <w:footnoteReference w:id="173"/>
      </w:r>
      <w:r w:rsidRPr="00B94F7B">
        <w:rPr>
          <w:szCs w:val="20"/>
        </w:rPr>
        <w:t xml:space="preserve">. Si bien el caso podría considerarse complejo, la inacción total entre el 2004 y el 2017 es atribuible a la conducta de las autoridades. Por tanto, la Corte concluye que el Estado incumplió su obligación de llevar a cabo la investigación en un plazo razonable. </w:t>
      </w:r>
    </w:p>
    <w:p w14:paraId="66D13658" w14:textId="77777777" w:rsidR="00A61090" w:rsidRPr="00B94F7B" w:rsidRDefault="00A61090" w:rsidP="00A61090">
      <w:pPr>
        <w:tabs>
          <w:tab w:val="left" w:pos="567"/>
        </w:tabs>
        <w:rPr>
          <w:szCs w:val="20"/>
          <w:lang w:val="es-CR" w:eastAsia="es-MX"/>
        </w:rPr>
      </w:pPr>
    </w:p>
    <w:p w14:paraId="031EC6C2" w14:textId="77777777" w:rsidR="00A61090" w:rsidRPr="009F643C" w:rsidRDefault="00A61090" w:rsidP="009F7500">
      <w:pPr>
        <w:pStyle w:val="PrrafodeSentencia"/>
        <w:rPr>
          <w:lang w:val="es-MX"/>
        </w:rPr>
      </w:pPr>
      <w:r w:rsidRPr="00B94F7B">
        <w:rPr>
          <w:szCs w:val="20"/>
        </w:rPr>
        <w:t xml:space="preserve">Por otra parte, </w:t>
      </w:r>
      <w:r w:rsidRPr="00B94F7B">
        <w:rPr>
          <w:szCs w:val="20"/>
          <w:lang w:val="es-MX"/>
        </w:rPr>
        <w:t xml:space="preserve">este </w:t>
      </w:r>
      <w:r w:rsidRPr="00B94F7B">
        <w:rPr>
          <w:szCs w:val="20"/>
        </w:rPr>
        <w:t xml:space="preserve">Tribunal recuerda que toda persona, incluyendo los familiares de las víctimas de graves violaciones a derechos humanos, tiene el derecho a conocer la verdad. En </w:t>
      </w:r>
      <w:r w:rsidRPr="00B94F7B">
        <w:rPr>
          <w:rFonts w:cs="Verdana"/>
          <w:szCs w:val="20"/>
        </w:rPr>
        <w:t>consecuencia</w:t>
      </w:r>
      <w:r w:rsidRPr="00B94F7B">
        <w:rPr>
          <w:szCs w:val="20"/>
        </w:rPr>
        <w:t xml:space="preserve">, los </w:t>
      </w:r>
      <w:r w:rsidRPr="00B94F7B">
        <w:rPr>
          <w:rFonts w:cs="Verdana"/>
          <w:szCs w:val="20"/>
        </w:rPr>
        <w:t>familiares</w:t>
      </w:r>
      <w:r w:rsidRPr="00B94F7B">
        <w:rPr>
          <w:szCs w:val="20"/>
        </w:rPr>
        <w:t xml:space="preserve"> de las víctimas y la sociedad deben</w:t>
      </w:r>
      <w:r w:rsidRPr="004520D2">
        <w:t xml:space="preserve"> ser informados de </w:t>
      </w:r>
      <w:r w:rsidRPr="004520D2">
        <w:rPr>
          <w:bCs/>
          <w:snapToGrid w:val="0"/>
          <w:kern w:val="32"/>
          <w:lang w:eastAsia="es-ES"/>
        </w:rPr>
        <w:t>todo</w:t>
      </w:r>
      <w:r w:rsidRPr="004520D2">
        <w:t xml:space="preserve"> lo </w:t>
      </w:r>
      <w:r w:rsidRPr="009F643C">
        <w:t xml:space="preserve">sucedido con relación a </w:t>
      </w:r>
      <w:r w:rsidRPr="009F643C">
        <w:rPr>
          <w:rFonts w:cs="Verdana"/>
        </w:rPr>
        <w:t>dichas</w:t>
      </w:r>
      <w:r w:rsidRPr="009F643C">
        <w:t xml:space="preserve"> violaciones</w:t>
      </w:r>
      <w:r w:rsidRPr="009F643C">
        <w:rPr>
          <w:rStyle w:val="FootnoteReference"/>
          <w:sz w:val="20"/>
          <w:szCs w:val="20"/>
        </w:rPr>
        <w:footnoteReference w:id="174"/>
      </w:r>
      <w:r w:rsidRPr="009F643C">
        <w:t>. Si bien el derecho a conocer la verdad se ha enmarcado fundamentalmente en el derecho de acceso a la justicia</w:t>
      </w:r>
      <w:r w:rsidRPr="009F643C">
        <w:rPr>
          <w:rStyle w:val="FootnoteReference"/>
          <w:sz w:val="20"/>
          <w:szCs w:val="20"/>
        </w:rPr>
        <w:footnoteReference w:id="175"/>
      </w:r>
      <w:r w:rsidRPr="009F643C">
        <w:t xml:space="preserve">, aquel tiene una </w:t>
      </w:r>
      <w:r w:rsidRPr="009F643C">
        <w:lastRenderedPageBreak/>
        <w:t>naturaleza amplia y su vulneración puede afectar distintos derechos consagrados en la Convención Americana</w:t>
      </w:r>
      <w:r w:rsidRPr="009F643C">
        <w:rPr>
          <w:rStyle w:val="FootnoteReference"/>
          <w:sz w:val="20"/>
          <w:szCs w:val="20"/>
        </w:rPr>
        <w:footnoteReference w:id="176"/>
      </w:r>
      <w:r w:rsidRPr="009F643C">
        <w:t xml:space="preserve">, dependiendo del contexto y circunstancias particulares del caso. </w:t>
      </w:r>
    </w:p>
    <w:p w14:paraId="4EBBAC75" w14:textId="77777777" w:rsidR="00A61090" w:rsidRPr="009F643C" w:rsidRDefault="00A61090" w:rsidP="00A61090">
      <w:pPr>
        <w:pStyle w:val="ListParagraph"/>
        <w:rPr>
          <w:szCs w:val="20"/>
          <w:lang w:val="es-CR"/>
        </w:rPr>
      </w:pPr>
    </w:p>
    <w:p w14:paraId="10D3F640" w14:textId="4AF35E38" w:rsidR="00A61090" w:rsidRPr="00F24F69" w:rsidRDefault="00A61090" w:rsidP="009F7500">
      <w:pPr>
        <w:pStyle w:val="PrrafodeSentencia"/>
        <w:rPr>
          <w:lang w:val="es-MX"/>
        </w:rPr>
      </w:pPr>
      <w:r w:rsidRPr="009F643C">
        <w:t xml:space="preserve">La Corte ha considerado en su jurisprudencia, en particular en casos de desaparición forzada, que el derecho a </w:t>
      </w:r>
      <w:r w:rsidRPr="009F643C">
        <w:rPr>
          <w:bCs/>
          <w:snapToGrid w:val="0"/>
          <w:kern w:val="32"/>
          <w:lang w:eastAsia="es-ES"/>
        </w:rPr>
        <w:t>conocer</w:t>
      </w:r>
      <w:r w:rsidRPr="009F643C">
        <w:t xml:space="preserve"> el paradero de las víctimas desaparecidas constituye un componente esencial del derecho a </w:t>
      </w:r>
      <w:r w:rsidRPr="009F643C">
        <w:rPr>
          <w:rFonts w:cs="Verdana"/>
        </w:rPr>
        <w:t>conocer</w:t>
      </w:r>
      <w:r w:rsidRPr="009F643C">
        <w:t xml:space="preserve"> la </w:t>
      </w:r>
      <w:r w:rsidRPr="000219F9">
        <w:rPr>
          <w:szCs w:val="20"/>
        </w:rPr>
        <w:t>verdad</w:t>
      </w:r>
      <w:r w:rsidR="00E6413C" w:rsidRPr="000219F9">
        <w:rPr>
          <w:rStyle w:val="FootnoteReference"/>
          <w:sz w:val="20"/>
          <w:szCs w:val="20"/>
        </w:rPr>
        <w:footnoteReference w:id="177"/>
      </w:r>
      <w:r w:rsidRPr="000219F9">
        <w:rPr>
          <w:szCs w:val="20"/>
        </w:rPr>
        <w:t>.</w:t>
      </w:r>
      <w:r w:rsidRPr="000219F9">
        <w:rPr>
          <w:szCs w:val="20"/>
          <w:lang w:val="es-ES"/>
        </w:rPr>
        <w:t xml:space="preserve"> En este caso, más de diecinueve años después de iniciada la desaparición forzada del señor </w:t>
      </w:r>
      <w:proofErr w:type="spellStart"/>
      <w:r w:rsidR="00492DA7" w:rsidRPr="000219F9">
        <w:rPr>
          <w:szCs w:val="20"/>
          <w:lang w:val="es-ES"/>
        </w:rPr>
        <w:t>Munárriz</w:t>
      </w:r>
      <w:proofErr w:type="spellEnd"/>
      <w:r w:rsidR="00492DA7" w:rsidRPr="000219F9">
        <w:rPr>
          <w:szCs w:val="20"/>
          <w:lang w:val="es-ES"/>
        </w:rPr>
        <w:t xml:space="preserve"> Escobar</w:t>
      </w:r>
      <w:r w:rsidRPr="000219F9">
        <w:rPr>
          <w:szCs w:val="20"/>
          <w:lang w:val="es-ES"/>
        </w:rPr>
        <w:t xml:space="preserve">, </w:t>
      </w:r>
      <w:r w:rsidRPr="000219F9">
        <w:rPr>
          <w:szCs w:val="20"/>
        </w:rPr>
        <w:t xml:space="preserve">aún se desconoce el paradero de Walter </w:t>
      </w:r>
      <w:proofErr w:type="spellStart"/>
      <w:r w:rsidRPr="000219F9">
        <w:rPr>
          <w:szCs w:val="20"/>
        </w:rPr>
        <w:t>Munárriz</w:t>
      </w:r>
      <w:proofErr w:type="spellEnd"/>
      <w:r w:rsidRPr="000219F9">
        <w:rPr>
          <w:szCs w:val="20"/>
        </w:rPr>
        <w:t xml:space="preserve"> Escobar</w:t>
      </w:r>
      <w:r w:rsidRPr="000219F9">
        <w:rPr>
          <w:szCs w:val="20"/>
          <w:lang w:val="es-ES"/>
        </w:rPr>
        <w:t xml:space="preserve">. </w:t>
      </w:r>
      <w:r w:rsidRPr="000219F9">
        <w:rPr>
          <w:szCs w:val="20"/>
        </w:rPr>
        <w:t xml:space="preserve">Por tanto, </w:t>
      </w:r>
      <w:r w:rsidR="00B62CFD" w:rsidRPr="000219F9">
        <w:rPr>
          <w:szCs w:val="20"/>
        </w:rPr>
        <w:t xml:space="preserve">tomando en cuenta las falencias </w:t>
      </w:r>
      <w:r w:rsidR="0027455C" w:rsidRPr="000219F9">
        <w:rPr>
          <w:szCs w:val="20"/>
        </w:rPr>
        <w:t>ocurridas</w:t>
      </w:r>
      <w:r w:rsidR="00B62CFD" w:rsidRPr="000219F9">
        <w:rPr>
          <w:szCs w:val="20"/>
        </w:rPr>
        <w:t xml:space="preserve"> en las investigaciones </w:t>
      </w:r>
      <w:r w:rsidR="0027455C" w:rsidRPr="000219F9">
        <w:rPr>
          <w:szCs w:val="20"/>
        </w:rPr>
        <w:t>(</w:t>
      </w:r>
      <w:r w:rsidR="0027455C" w:rsidRPr="000219F9">
        <w:rPr>
          <w:i/>
          <w:szCs w:val="20"/>
        </w:rPr>
        <w:t xml:space="preserve">supra </w:t>
      </w:r>
      <w:proofErr w:type="spellStart"/>
      <w:r w:rsidR="0027455C" w:rsidRPr="000219F9">
        <w:rPr>
          <w:szCs w:val="20"/>
        </w:rPr>
        <w:t>párrs</w:t>
      </w:r>
      <w:proofErr w:type="spellEnd"/>
      <w:r w:rsidR="0027455C" w:rsidRPr="000219F9">
        <w:rPr>
          <w:szCs w:val="20"/>
        </w:rPr>
        <w:t xml:space="preserve">. </w:t>
      </w:r>
      <w:r w:rsidR="00FA5D9B">
        <w:rPr>
          <w:szCs w:val="20"/>
        </w:rPr>
        <w:fldChar w:fldCharType="begin"/>
      </w:r>
      <w:r w:rsidR="00FA5D9B">
        <w:rPr>
          <w:szCs w:val="20"/>
        </w:rPr>
        <w:instrText xml:space="preserve"> REF _Ref524711191 \r \h </w:instrText>
      </w:r>
      <w:r w:rsidR="00FA5D9B">
        <w:rPr>
          <w:szCs w:val="20"/>
        </w:rPr>
      </w:r>
      <w:r w:rsidR="00FA5D9B">
        <w:rPr>
          <w:szCs w:val="20"/>
        </w:rPr>
        <w:fldChar w:fldCharType="separate"/>
      </w:r>
      <w:r w:rsidR="00087178">
        <w:rPr>
          <w:szCs w:val="20"/>
        </w:rPr>
        <w:t>97</w:t>
      </w:r>
      <w:r w:rsidR="00FA5D9B">
        <w:rPr>
          <w:szCs w:val="20"/>
        </w:rPr>
        <w:fldChar w:fldCharType="end"/>
      </w:r>
      <w:r w:rsidR="00FA5D9B">
        <w:rPr>
          <w:szCs w:val="20"/>
        </w:rPr>
        <w:t xml:space="preserve"> a</w:t>
      </w:r>
      <w:r w:rsidR="00306DB9">
        <w:rPr>
          <w:szCs w:val="20"/>
        </w:rPr>
        <w:t xml:space="preserve"> </w:t>
      </w:r>
      <w:r w:rsidR="00306DB9">
        <w:rPr>
          <w:szCs w:val="20"/>
        </w:rPr>
        <w:fldChar w:fldCharType="begin"/>
      </w:r>
      <w:r w:rsidR="00306DB9">
        <w:rPr>
          <w:szCs w:val="20"/>
        </w:rPr>
        <w:instrText xml:space="preserve"> REF _Ref525550754 \r \h </w:instrText>
      </w:r>
      <w:r w:rsidR="00306DB9">
        <w:rPr>
          <w:szCs w:val="20"/>
        </w:rPr>
      </w:r>
      <w:r w:rsidR="00306DB9">
        <w:rPr>
          <w:szCs w:val="20"/>
        </w:rPr>
        <w:fldChar w:fldCharType="separate"/>
      </w:r>
      <w:r w:rsidR="00087178">
        <w:rPr>
          <w:szCs w:val="20"/>
        </w:rPr>
        <w:t>106</w:t>
      </w:r>
      <w:r w:rsidR="00306DB9">
        <w:rPr>
          <w:szCs w:val="20"/>
        </w:rPr>
        <w:fldChar w:fldCharType="end"/>
      </w:r>
      <w:r w:rsidR="0027455C" w:rsidRPr="000219F9">
        <w:rPr>
          <w:szCs w:val="20"/>
        </w:rPr>
        <w:t>)</w:t>
      </w:r>
      <w:r w:rsidR="00B62CFD" w:rsidRPr="000219F9">
        <w:rPr>
          <w:szCs w:val="20"/>
        </w:rPr>
        <w:t xml:space="preserve">, </w:t>
      </w:r>
      <w:r w:rsidRPr="000219F9">
        <w:rPr>
          <w:szCs w:val="20"/>
        </w:rPr>
        <w:t xml:space="preserve">este </w:t>
      </w:r>
      <w:r w:rsidRPr="00F24F69">
        <w:rPr>
          <w:szCs w:val="20"/>
        </w:rPr>
        <w:t xml:space="preserve">Tribunal declara la violación del derecho a conocer la verdad, en perjuicio de los familiares de Walter </w:t>
      </w:r>
      <w:proofErr w:type="spellStart"/>
      <w:r w:rsidRPr="00F24F69">
        <w:rPr>
          <w:szCs w:val="20"/>
        </w:rPr>
        <w:t>Munárriz</w:t>
      </w:r>
      <w:proofErr w:type="spellEnd"/>
      <w:r w:rsidRPr="00F24F69">
        <w:rPr>
          <w:szCs w:val="20"/>
        </w:rPr>
        <w:t xml:space="preserve"> Escobar. En este caso, como en otros, dicha violación se enmarca en el derecho de</w:t>
      </w:r>
      <w:r w:rsidRPr="00F24F69">
        <w:t xml:space="preserve"> acceso a la justicia.</w:t>
      </w:r>
      <w:bookmarkEnd w:id="273"/>
    </w:p>
    <w:p w14:paraId="5209BD02" w14:textId="77777777" w:rsidR="005F6A9B" w:rsidRPr="00F24F69" w:rsidRDefault="005F6A9B" w:rsidP="005F6A9B">
      <w:pPr>
        <w:rPr>
          <w:lang w:val="es-CR" w:eastAsia="es-MX"/>
        </w:rPr>
      </w:pPr>
    </w:p>
    <w:p w14:paraId="4997954D" w14:textId="768389F0" w:rsidR="00A61090" w:rsidRPr="00F24F69" w:rsidRDefault="00A61090" w:rsidP="0002708C">
      <w:pPr>
        <w:pStyle w:val="Heading3"/>
        <w:tabs>
          <w:tab w:val="left" w:pos="567"/>
        </w:tabs>
        <w:ind w:left="993"/>
      </w:pPr>
      <w:bookmarkStart w:id="274" w:name="_Toc480194711"/>
      <w:bookmarkStart w:id="275" w:name="_Toc526152715"/>
      <w:r w:rsidRPr="00F24F69">
        <w:t>B.5 Conclusión</w:t>
      </w:r>
      <w:bookmarkEnd w:id="274"/>
      <w:bookmarkEnd w:id="275"/>
    </w:p>
    <w:p w14:paraId="45E0610F" w14:textId="2E028349" w:rsidR="008374E2" w:rsidRDefault="008374E2" w:rsidP="008374E2">
      <w:pPr>
        <w:pStyle w:val="PrrafodeSentencia"/>
      </w:pPr>
      <w:bookmarkStart w:id="276" w:name="_Ref524880464"/>
      <w:bookmarkStart w:id="277" w:name="_Ref469938982"/>
      <w:bookmarkStart w:id="278" w:name="_Ref479272978"/>
      <w:r w:rsidRPr="00F24F69">
        <w:t xml:space="preserve">En virtud de que el Estado i) no llevó a cabo la investigación con la debida diligencia; </w:t>
      </w:r>
      <w:r w:rsidR="006939BE" w:rsidRPr="00F24F69">
        <w:t xml:space="preserve">ii) incumplió su obligación de búsqueda del señor Walter </w:t>
      </w:r>
      <w:proofErr w:type="spellStart"/>
      <w:r w:rsidR="006939BE" w:rsidRPr="00F24F69">
        <w:t>Munárriz</w:t>
      </w:r>
      <w:proofErr w:type="spellEnd"/>
      <w:r w:rsidR="006939BE" w:rsidRPr="00F24F69">
        <w:t xml:space="preserve"> Escobar; y i</w:t>
      </w:r>
      <w:r w:rsidRPr="00F24F69">
        <w:t>ii) incumplió su obligación de investigar en un</w:t>
      </w:r>
      <w:r w:rsidR="006939BE" w:rsidRPr="00F24F69">
        <w:t xml:space="preserve"> plazo razonable desde el 2004</w:t>
      </w:r>
      <w:r w:rsidRPr="00F24F69">
        <w:t xml:space="preserve">, la Corte concluye que el Estado es responsable de una violación de los artículos 8.1 y 25.1 de la Convención, en relación con el artículo 1.1 del mismo instrumento y </w:t>
      </w:r>
      <w:r w:rsidR="00A26F1C" w:rsidRPr="00F24F69">
        <w:rPr>
          <w:lang w:val="es-ES"/>
        </w:rPr>
        <w:t>el</w:t>
      </w:r>
      <w:r w:rsidRPr="00F24F69">
        <w:rPr>
          <w:lang w:val="es-ES"/>
        </w:rPr>
        <w:t xml:space="preserve"> artículo </w:t>
      </w:r>
      <w:proofErr w:type="spellStart"/>
      <w:r w:rsidRPr="00F24F69">
        <w:rPr>
          <w:lang w:val="es-ES"/>
        </w:rPr>
        <w:t>I.b</w:t>
      </w:r>
      <w:proofErr w:type="spellEnd"/>
      <w:r w:rsidRPr="00F24F69">
        <w:rPr>
          <w:lang w:val="es-ES"/>
        </w:rPr>
        <w:t xml:space="preserve"> de la Convención Interamericana sobre Desaparición Forzada, est</w:t>
      </w:r>
      <w:r w:rsidR="000219F9" w:rsidRPr="00F24F69">
        <w:rPr>
          <w:lang w:val="es-ES"/>
        </w:rPr>
        <w:t>e</w:t>
      </w:r>
      <w:r w:rsidRPr="00F24F69">
        <w:rPr>
          <w:lang w:val="es-ES"/>
        </w:rPr>
        <w:t xml:space="preserve"> último a partir del 15 de marzo de 2002</w:t>
      </w:r>
      <w:r w:rsidRPr="00F24F69">
        <w:rPr>
          <w:rFonts w:cs="Arial"/>
          <w:bCs/>
          <w:lang w:val="es-ES"/>
        </w:rPr>
        <w:t xml:space="preserve">, </w:t>
      </w:r>
      <w:r w:rsidRPr="00F24F69">
        <w:t xml:space="preserve">en perjuicio del señor </w:t>
      </w:r>
      <w:proofErr w:type="spellStart"/>
      <w:r w:rsidRPr="00F24F69">
        <w:t>Munárriz</w:t>
      </w:r>
      <w:proofErr w:type="spellEnd"/>
      <w:r w:rsidRPr="00F24F69">
        <w:t xml:space="preserve"> Escobar y de sus familiares, Gladys Escobar </w:t>
      </w:r>
      <w:proofErr w:type="spellStart"/>
      <w:r w:rsidRPr="00F24F69">
        <w:t>Candiotti</w:t>
      </w:r>
      <w:proofErr w:type="spellEnd"/>
      <w:r w:rsidRPr="00F24F69">
        <w:t xml:space="preserve">, Eric </w:t>
      </w:r>
      <w:proofErr w:type="spellStart"/>
      <w:r w:rsidRPr="00F24F69">
        <w:t>Munárriz</w:t>
      </w:r>
      <w:proofErr w:type="spellEnd"/>
      <w:r w:rsidRPr="00F24F69">
        <w:t xml:space="preserve"> Escobar, Gladys </w:t>
      </w:r>
      <w:proofErr w:type="spellStart"/>
      <w:r w:rsidRPr="00F24F69">
        <w:t>Munárriz</w:t>
      </w:r>
      <w:proofErr w:type="spellEnd"/>
      <w:r w:rsidRPr="00F24F69">
        <w:t xml:space="preserve"> Escobar, Amparo </w:t>
      </w:r>
      <w:proofErr w:type="spellStart"/>
      <w:r w:rsidRPr="00F24F69">
        <w:t>Munárriz</w:t>
      </w:r>
      <w:proofErr w:type="spellEnd"/>
      <w:r w:rsidRPr="00F24F69">
        <w:t xml:space="preserve"> Escobar, Junior </w:t>
      </w:r>
      <w:proofErr w:type="spellStart"/>
      <w:r w:rsidRPr="00F24F69">
        <w:t>Munárriz</w:t>
      </w:r>
      <w:proofErr w:type="spellEnd"/>
      <w:r w:rsidRPr="00F24F69">
        <w:t xml:space="preserve"> Escobar y </w:t>
      </w:r>
      <w:r w:rsidR="000D146B">
        <w:t>Alain</w:t>
      </w:r>
      <w:r w:rsidRPr="00F24F69">
        <w:t xml:space="preserve"> </w:t>
      </w:r>
      <w:proofErr w:type="spellStart"/>
      <w:r w:rsidRPr="00F24F69">
        <w:t>Munárriz</w:t>
      </w:r>
      <w:proofErr w:type="spellEnd"/>
      <w:r w:rsidRPr="00F24F69">
        <w:t xml:space="preserve"> Escobar. Además, el Estado violó el derecho a conocer la verdad</w:t>
      </w:r>
      <w:r>
        <w:t xml:space="preserve"> de los</w:t>
      </w:r>
      <w:r w:rsidRPr="00003B36">
        <w:t xml:space="preserve"> familiares de la víctima desaparecida</w:t>
      </w:r>
      <w:bookmarkEnd w:id="276"/>
      <w:r w:rsidR="001A620D">
        <w:t>.</w:t>
      </w:r>
    </w:p>
    <w:p w14:paraId="06C9DCC3" w14:textId="77777777" w:rsidR="008374E2" w:rsidRPr="008374E2" w:rsidRDefault="008374E2" w:rsidP="008374E2">
      <w:pPr>
        <w:rPr>
          <w:lang w:val="es-CR" w:eastAsia="es-MX"/>
        </w:rPr>
      </w:pPr>
    </w:p>
    <w:p w14:paraId="65D82812" w14:textId="57E6C74A" w:rsidR="008374E2" w:rsidRPr="000219F9" w:rsidRDefault="00A26F1C" w:rsidP="00A26F1C">
      <w:pPr>
        <w:pStyle w:val="PrrafodeSentencia"/>
      </w:pPr>
      <w:bookmarkStart w:id="279" w:name="_Ref524880571"/>
      <w:bookmarkEnd w:id="277"/>
      <w:bookmarkEnd w:id="278"/>
      <w:r w:rsidRPr="000219F9">
        <w:rPr>
          <w:lang w:val="es-ES"/>
        </w:rPr>
        <w:t xml:space="preserve">Por otra parte, respecto a la alegada violación al artículo 2 de la Convención, la Corte nota que ni los representantes ni la Comisión </w:t>
      </w:r>
      <w:r w:rsidR="00FA5D9B">
        <w:rPr>
          <w:lang w:val="es-ES"/>
        </w:rPr>
        <w:t>demostraron que</w:t>
      </w:r>
      <w:r w:rsidRPr="000219F9">
        <w:rPr>
          <w:lang w:val="es-ES"/>
        </w:rPr>
        <w:t xml:space="preserve"> la tipificación penal de desaparición forzada vigente al momento de los hechos </w:t>
      </w:r>
      <w:r w:rsidR="00FA5D9B">
        <w:rPr>
          <w:lang w:val="es-ES"/>
        </w:rPr>
        <w:t>haya tenido</w:t>
      </w:r>
      <w:r w:rsidRPr="000219F9">
        <w:rPr>
          <w:lang w:val="es-ES"/>
        </w:rPr>
        <w:t xml:space="preserve"> alguna incidencia en las investigaciones llevadas a cabo por la desaparición de Walter </w:t>
      </w:r>
      <w:proofErr w:type="spellStart"/>
      <w:r w:rsidRPr="000219F9">
        <w:rPr>
          <w:lang w:val="es-ES"/>
        </w:rPr>
        <w:t>Munárriz</w:t>
      </w:r>
      <w:proofErr w:type="spellEnd"/>
      <w:r w:rsidRPr="000219F9">
        <w:rPr>
          <w:lang w:val="es-ES"/>
        </w:rPr>
        <w:t xml:space="preserve"> Escobar. Al contrario, los alegatos planteados al respecto fueron presentados de forma genérica. Por ello, a la Corte, en el presente caso, no le corresponde emitir un pronunciamiento ni realizar un análisis sobre la conformidad con la Convención de las normas antedichas, puesto que la competencia contenciosa de la Corte no tiene por objeto la revisión de normas nacionales en abstracto</w:t>
      </w:r>
      <w:r w:rsidRPr="000219F9">
        <w:rPr>
          <w:rStyle w:val="FootnoteReference"/>
          <w:sz w:val="20"/>
          <w:szCs w:val="20"/>
          <w:lang w:val="es-ES"/>
        </w:rPr>
        <w:footnoteReference w:id="178"/>
      </w:r>
      <w:r w:rsidRPr="000219F9">
        <w:rPr>
          <w:lang w:val="es-ES"/>
        </w:rPr>
        <w:t xml:space="preserve">. En consecuencia, para los efectos del caso en concreto, se considera que Perú no violó </w:t>
      </w:r>
      <w:r w:rsidR="008900CC" w:rsidRPr="000219F9">
        <w:rPr>
          <w:lang w:val="es-ES"/>
        </w:rPr>
        <w:t>los</w:t>
      </w:r>
      <w:r w:rsidR="008374E2" w:rsidRPr="000219F9">
        <w:t xml:space="preserve"> artículo</w:t>
      </w:r>
      <w:r w:rsidR="008900CC" w:rsidRPr="000219F9">
        <w:t>s</w:t>
      </w:r>
      <w:r w:rsidR="008374E2" w:rsidRPr="000219F9">
        <w:t xml:space="preserve"> 2 de la Convención Americana y III de la Convención Interamericana sobre Desaparición Forzada de Personas.</w:t>
      </w:r>
      <w:bookmarkEnd w:id="279"/>
    </w:p>
    <w:p w14:paraId="6519C42E" w14:textId="77777777" w:rsidR="005464E4" w:rsidRDefault="005464E4" w:rsidP="00EE5E64">
      <w:pPr>
        <w:tabs>
          <w:tab w:val="left" w:pos="567"/>
        </w:tabs>
        <w:rPr>
          <w:lang w:val="es-CR" w:eastAsia="es-MX"/>
        </w:rPr>
      </w:pPr>
    </w:p>
    <w:p w14:paraId="40A7AEA7" w14:textId="0ED9CAFE" w:rsidR="005464E4" w:rsidRPr="008A002A" w:rsidRDefault="005464E4" w:rsidP="00B5160D">
      <w:pPr>
        <w:pStyle w:val="Title"/>
        <w:tabs>
          <w:tab w:val="left" w:pos="567"/>
        </w:tabs>
      </w:pPr>
      <w:bookmarkStart w:id="280" w:name="_Toc434850448"/>
      <w:bookmarkStart w:id="281" w:name="_Toc469594586"/>
      <w:bookmarkStart w:id="282" w:name="_Toc469594952"/>
      <w:bookmarkStart w:id="283" w:name="_Toc480194718"/>
      <w:bookmarkStart w:id="284" w:name="_Toc526152716"/>
      <w:r w:rsidRPr="008A002A">
        <w:lastRenderedPageBreak/>
        <w:t>VIII-</w:t>
      </w:r>
      <w:bookmarkEnd w:id="280"/>
      <w:r w:rsidRPr="008A002A">
        <w:t>3</w:t>
      </w:r>
      <w:bookmarkStart w:id="285" w:name="_Toc424834031"/>
      <w:bookmarkStart w:id="286" w:name="_Toc424834715"/>
      <w:bookmarkStart w:id="287" w:name="_Toc424834769"/>
      <w:bookmarkStart w:id="288" w:name="_Toc427234560"/>
      <w:bookmarkStart w:id="289" w:name="_Toc427342849"/>
      <w:bookmarkStart w:id="290" w:name="_Toc427663835"/>
      <w:bookmarkStart w:id="291" w:name="_Toc427932811"/>
      <w:bookmarkStart w:id="292" w:name="_Toc427943768"/>
      <w:bookmarkStart w:id="293" w:name="_Toc431584660"/>
      <w:bookmarkStart w:id="294" w:name="_Toc431584776"/>
      <w:bookmarkStart w:id="295" w:name="_Toc431585082"/>
      <w:bookmarkStart w:id="296" w:name="_Toc431646599"/>
      <w:bookmarkStart w:id="297" w:name="_Toc431834678"/>
      <w:bookmarkStart w:id="298" w:name="_Toc308538203"/>
      <w:bookmarkStart w:id="299" w:name="_Toc434849970"/>
      <w:bookmarkStart w:id="300" w:name="_Toc434850449"/>
      <w:bookmarkStart w:id="301" w:name="_Toc469594587"/>
      <w:bookmarkStart w:id="302" w:name="_Toc469594953"/>
      <w:bookmarkStart w:id="303" w:name="_Toc469664533"/>
      <w:bookmarkStart w:id="304" w:name="_Toc479618077"/>
      <w:bookmarkStart w:id="305" w:name="_Toc480194719"/>
      <w:bookmarkEnd w:id="281"/>
      <w:bookmarkEnd w:id="282"/>
      <w:bookmarkEnd w:id="283"/>
      <w:r w:rsidR="00B5160D">
        <w:br/>
      </w:r>
      <w:r w:rsidRPr="008A002A">
        <w:t xml:space="preserve">DERECHO A LA INTEGRIDAD PERSONAL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8A002A">
        <w:t xml:space="preserve">DE LOS FAMILIARES DEL SEÑOR </w:t>
      </w:r>
      <w:r>
        <w:t>MUNÁRR</w:t>
      </w:r>
      <w:r w:rsidR="00E95E14">
        <w:t>I</w:t>
      </w:r>
      <w:r>
        <w:t>Z ESCOBAR</w:t>
      </w:r>
      <w:r w:rsidRPr="008A002A">
        <w:t>, EN RELACIÓN CON LA OBLIGACIÓN DE RESPETAR</w:t>
      </w:r>
      <w:bookmarkEnd w:id="301"/>
      <w:bookmarkEnd w:id="302"/>
      <w:bookmarkEnd w:id="303"/>
      <w:r w:rsidRPr="008A002A">
        <w:t xml:space="preserve"> </w:t>
      </w:r>
      <w:bookmarkStart w:id="306" w:name="_Toc469594954"/>
      <w:bookmarkStart w:id="307" w:name="_Toc469664534"/>
      <w:r w:rsidRPr="008A002A">
        <w:t xml:space="preserve"> Y GARANTIZAR LOS DERECHOS</w:t>
      </w:r>
      <w:bookmarkEnd w:id="304"/>
      <w:bookmarkEnd w:id="305"/>
      <w:bookmarkEnd w:id="306"/>
      <w:bookmarkEnd w:id="307"/>
      <w:bookmarkEnd w:id="284"/>
      <w:r w:rsidRPr="008A002A">
        <w:t xml:space="preserve"> </w:t>
      </w:r>
    </w:p>
    <w:p w14:paraId="39A35C77" w14:textId="2AD604BF" w:rsidR="005464E4" w:rsidRPr="009301B6" w:rsidRDefault="005464E4" w:rsidP="009F7500">
      <w:pPr>
        <w:pStyle w:val="PrrafodeSentencia"/>
        <w:numPr>
          <w:ilvl w:val="0"/>
          <w:numId w:val="0"/>
        </w:numPr>
      </w:pPr>
    </w:p>
    <w:p w14:paraId="319B7DD6" w14:textId="77777777" w:rsidR="009301B6" w:rsidRPr="00DA0D6B" w:rsidRDefault="009301B6" w:rsidP="001415AA">
      <w:pPr>
        <w:pStyle w:val="Heading2"/>
        <w:numPr>
          <w:ilvl w:val="0"/>
          <w:numId w:val="25"/>
        </w:numPr>
        <w:tabs>
          <w:tab w:val="left" w:pos="426"/>
        </w:tabs>
        <w:ind w:left="993" w:hanging="426"/>
        <w:contextualSpacing/>
        <w:jc w:val="both"/>
      </w:pPr>
      <w:bookmarkStart w:id="308" w:name="_Toc526152717"/>
      <w:r w:rsidRPr="00DA0D6B">
        <w:t>Alegatos de las partes y la Comisión</w:t>
      </w:r>
      <w:bookmarkEnd w:id="308"/>
    </w:p>
    <w:p w14:paraId="159339B2" w14:textId="77777777" w:rsidR="009301B6" w:rsidRDefault="009301B6" w:rsidP="009301B6">
      <w:pPr>
        <w:pStyle w:val="ListParagraph"/>
        <w:tabs>
          <w:tab w:val="left" w:pos="567"/>
        </w:tabs>
        <w:ind w:left="0"/>
        <w:contextualSpacing/>
        <w:jc w:val="both"/>
        <w:rPr>
          <w:szCs w:val="20"/>
          <w:lang w:val="es-ES_tradnl"/>
        </w:rPr>
      </w:pPr>
    </w:p>
    <w:p w14:paraId="26F6C6D4" w14:textId="5C658B7B" w:rsidR="009301B6" w:rsidRPr="008374E2" w:rsidRDefault="009301B6" w:rsidP="008374E2">
      <w:pPr>
        <w:pStyle w:val="PrrafodeSentencia"/>
        <w:rPr>
          <w:b/>
          <w:noProof/>
        </w:rPr>
      </w:pPr>
      <w:r w:rsidRPr="00547556">
        <w:rPr>
          <w:noProof/>
        </w:rPr>
        <w:t>La</w:t>
      </w:r>
      <w:r w:rsidRPr="008374E2">
        <w:rPr>
          <w:b/>
          <w:i/>
          <w:noProof/>
        </w:rPr>
        <w:t xml:space="preserve"> Comisión</w:t>
      </w:r>
      <w:r w:rsidRPr="00547556">
        <w:rPr>
          <w:noProof/>
        </w:rPr>
        <w:t xml:space="preserve"> </w:t>
      </w:r>
      <w:r>
        <w:rPr>
          <w:noProof/>
        </w:rPr>
        <w:t xml:space="preserve">consideró que por la naturaleza de los hechos del caso, la situación de impunidad y los efectos necesarios en el núcleo familiar de las víctimas, el Estado ha violado el derecho a la integridad personal. </w:t>
      </w:r>
      <w:r w:rsidRPr="008374E2">
        <w:rPr>
          <w:rFonts w:cs="Cambria"/>
        </w:rPr>
        <w:t xml:space="preserve">Los </w:t>
      </w:r>
      <w:r w:rsidRPr="008374E2">
        <w:rPr>
          <w:rFonts w:cs="Cambria"/>
          <w:b/>
          <w:i/>
        </w:rPr>
        <w:t>representantes</w:t>
      </w:r>
      <w:r w:rsidRPr="008374E2">
        <w:rPr>
          <w:rFonts w:cs="Cambria"/>
        </w:rPr>
        <w:t xml:space="preserve"> indicaron que el Estado violó la integridad psíquica y moral de Gladys Escobar </w:t>
      </w:r>
      <w:proofErr w:type="spellStart"/>
      <w:r w:rsidRPr="008374E2">
        <w:rPr>
          <w:rFonts w:cs="Cambria"/>
        </w:rPr>
        <w:t>Candiotti</w:t>
      </w:r>
      <w:proofErr w:type="spellEnd"/>
      <w:r w:rsidRPr="008374E2">
        <w:rPr>
          <w:rFonts w:cs="Cambria"/>
        </w:rPr>
        <w:t>, madre del desaparecido, y sus hermanos Eric, Gladys, Amparo, Junio</w:t>
      </w:r>
      <w:r w:rsidR="000D146B">
        <w:rPr>
          <w:rFonts w:cs="Cambria"/>
        </w:rPr>
        <w:t>r y Alain</w:t>
      </w:r>
      <w:r w:rsidRPr="008374E2">
        <w:rPr>
          <w:rFonts w:cs="Cambria"/>
        </w:rPr>
        <w:t xml:space="preserve"> </w:t>
      </w:r>
      <w:proofErr w:type="spellStart"/>
      <w:r w:rsidRPr="008374E2">
        <w:rPr>
          <w:rFonts w:cs="Cambria"/>
        </w:rPr>
        <w:t>Munárriz</w:t>
      </w:r>
      <w:proofErr w:type="spellEnd"/>
      <w:r w:rsidRPr="008374E2">
        <w:rPr>
          <w:rFonts w:cs="Cambria"/>
        </w:rPr>
        <w:t xml:space="preserve"> Escobar, en la medida que la desaparición forzada de la víctima les ocasion</w:t>
      </w:r>
      <w:r w:rsidR="002C2B30">
        <w:rPr>
          <w:rFonts w:cs="Cambria"/>
        </w:rPr>
        <w:t>ó</w:t>
      </w:r>
      <w:r w:rsidRPr="008374E2">
        <w:rPr>
          <w:rFonts w:cs="Cambria"/>
        </w:rPr>
        <w:t xml:space="preserve"> graves sufrimientos que se vieron intensificados con la falta de debida diligencia del Estado en la investigación, procesamiento y sanción de los responsables y la búsqueda del paradero de la presunta víctima. Por su parte,</w:t>
      </w:r>
      <w:r w:rsidRPr="008374E2">
        <w:rPr>
          <w:b/>
          <w:noProof/>
        </w:rPr>
        <w:t xml:space="preserve"> </w:t>
      </w:r>
      <w:r w:rsidRPr="00C77125">
        <w:rPr>
          <w:noProof/>
        </w:rPr>
        <w:t>e</w:t>
      </w:r>
      <w:r w:rsidRPr="008374E2">
        <w:rPr>
          <w:rFonts w:cs="Cambria"/>
        </w:rPr>
        <w:t xml:space="preserve">l </w:t>
      </w:r>
      <w:r w:rsidRPr="008374E2">
        <w:rPr>
          <w:rFonts w:cs="Cambria"/>
          <w:b/>
          <w:i/>
        </w:rPr>
        <w:t>Estado</w:t>
      </w:r>
      <w:r w:rsidRPr="008374E2">
        <w:rPr>
          <w:rFonts w:cs="Cambria"/>
        </w:rPr>
        <w:t xml:space="preserve"> indicó que si bien </w:t>
      </w:r>
      <w:r w:rsidR="002C2B30">
        <w:rPr>
          <w:rFonts w:cs="Cambria"/>
        </w:rPr>
        <w:t>“</w:t>
      </w:r>
      <w:r w:rsidRPr="008374E2">
        <w:rPr>
          <w:rFonts w:cs="Cambria"/>
        </w:rPr>
        <w:t>es probable que</w:t>
      </w:r>
      <w:r w:rsidR="002C2B30">
        <w:rPr>
          <w:rFonts w:cs="Cambria"/>
        </w:rPr>
        <w:t xml:space="preserve"> alguno de los</w:t>
      </w:r>
      <w:r w:rsidRPr="008374E2">
        <w:rPr>
          <w:rFonts w:cs="Cambria"/>
        </w:rPr>
        <w:t xml:space="preserve"> sufrimiento</w:t>
      </w:r>
      <w:r w:rsidR="002C2B30">
        <w:rPr>
          <w:rFonts w:cs="Cambria"/>
        </w:rPr>
        <w:t>s</w:t>
      </w:r>
      <w:r w:rsidRPr="008374E2">
        <w:rPr>
          <w:rFonts w:cs="Cambria"/>
        </w:rPr>
        <w:t xml:space="preserve"> de los familiares </w:t>
      </w:r>
      <w:proofErr w:type="gramStart"/>
      <w:r w:rsidRPr="008374E2">
        <w:rPr>
          <w:rFonts w:cs="Cambria"/>
        </w:rPr>
        <w:t>de</w:t>
      </w:r>
      <w:r w:rsidR="002C2B30">
        <w:rPr>
          <w:rFonts w:cs="Cambria"/>
        </w:rPr>
        <w:t>[</w:t>
      </w:r>
      <w:proofErr w:type="gramEnd"/>
      <w:r w:rsidR="002C2B30">
        <w:rPr>
          <w:rFonts w:cs="Cambria"/>
        </w:rPr>
        <w:t>l señor]</w:t>
      </w:r>
      <w:r w:rsidRPr="008374E2">
        <w:rPr>
          <w:rFonts w:cs="Cambria"/>
        </w:rPr>
        <w:t xml:space="preserve"> </w:t>
      </w:r>
      <w:proofErr w:type="spellStart"/>
      <w:r w:rsidRPr="008374E2">
        <w:rPr>
          <w:rFonts w:cs="Cambria"/>
        </w:rPr>
        <w:t>Munárriz</w:t>
      </w:r>
      <w:proofErr w:type="spellEnd"/>
      <w:r w:rsidRPr="008374E2">
        <w:rPr>
          <w:rFonts w:cs="Cambria"/>
        </w:rPr>
        <w:t xml:space="preserve"> sea</w:t>
      </w:r>
      <w:r w:rsidR="002C2B30">
        <w:rPr>
          <w:rFonts w:cs="Cambria"/>
        </w:rPr>
        <w:t>n</w:t>
      </w:r>
      <w:r w:rsidRPr="008374E2">
        <w:rPr>
          <w:rFonts w:cs="Cambria"/>
        </w:rPr>
        <w:t xml:space="preserve"> similar</w:t>
      </w:r>
      <w:r w:rsidR="002C2B30">
        <w:rPr>
          <w:rFonts w:cs="Cambria"/>
        </w:rPr>
        <w:t>es</w:t>
      </w:r>
      <w:r w:rsidRPr="008374E2">
        <w:rPr>
          <w:rFonts w:cs="Cambria"/>
        </w:rPr>
        <w:t xml:space="preserve"> a</w:t>
      </w:r>
      <w:r w:rsidR="002C2B30">
        <w:rPr>
          <w:rFonts w:cs="Cambria"/>
        </w:rPr>
        <w:t xml:space="preserve"> </w:t>
      </w:r>
      <w:r w:rsidRPr="008374E2">
        <w:rPr>
          <w:rFonts w:cs="Cambria"/>
        </w:rPr>
        <w:t>l</w:t>
      </w:r>
      <w:r w:rsidR="002C2B30">
        <w:rPr>
          <w:rFonts w:cs="Cambria"/>
        </w:rPr>
        <w:t>os</w:t>
      </w:r>
      <w:r w:rsidRPr="008374E2">
        <w:rPr>
          <w:rFonts w:cs="Cambria"/>
        </w:rPr>
        <w:t xml:space="preserve"> de familiares de víctimas de desaparición forzada, al no haberse acreditado la responsabilidad internacional del Estado</w:t>
      </w:r>
      <w:r w:rsidR="002C2B30">
        <w:rPr>
          <w:rFonts w:cs="Cambria"/>
        </w:rPr>
        <w:t>”</w:t>
      </w:r>
      <w:r w:rsidRPr="008374E2">
        <w:rPr>
          <w:rFonts w:cs="Cambria"/>
        </w:rPr>
        <w:t xml:space="preserve">, </w:t>
      </w:r>
      <w:r w:rsidR="002C2B30">
        <w:rPr>
          <w:rFonts w:cs="Cambria"/>
        </w:rPr>
        <w:t xml:space="preserve">en  este caso no se acreditó la desaparición forzada por lo que no existe violación a la integridad personal. </w:t>
      </w:r>
      <w:r w:rsidR="00A041E1">
        <w:t xml:space="preserve">Asimismo </w:t>
      </w:r>
      <w:r w:rsidR="00A041E1" w:rsidRPr="00DA0D6B">
        <w:t xml:space="preserve">señaló que se </w:t>
      </w:r>
      <w:r w:rsidR="002C2B30">
        <w:t>alegó</w:t>
      </w:r>
      <w:r w:rsidR="00A041E1" w:rsidRPr="00DA0D6B">
        <w:t xml:space="preserve"> que Walter </w:t>
      </w:r>
      <w:proofErr w:type="spellStart"/>
      <w:r w:rsidR="00A041E1" w:rsidRPr="00DA0D6B">
        <w:t>Munárriz</w:t>
      </w:r>
      <w:proofErr w:type="spellEnd"/>
      <w:r w:rsidR="00A041E1" w:rsidRPr="00DA0D6B">
        <w:t xml:space="preserve"> vivía con sus hermanos Eric, Gladys, Amparo, Junior y </w:t>
      </w:r>
      <w:r w:rsidR="000D146B">
        <w:t>Alain</w:t>
      </w:r>
      <w:r w:rsidR="00A041E1" w:rsidRPr="00DA0D6B">
        <w:t xml:space="preserve"> pero no se </w:t>
      </w:r>
      <w:r w:rsidR="002C2B30">
        <w:t>explicó</w:t>
      </w:r>
      <w:r w:rsidR="00A041E1" w:rsidRPr="00DA0D6B">
        <w:t xml:space="preserve"> la forma como se habrían afectado sus derechos</w:t>
      </w:r>
      <w:r w:rsidR="00A041E1" w:rsidRPr="008374E2">
        <w:rPr>
          <w:rFonts w:cs="Arial"/>
        </w:rPr>
        <w:t xml:space="preserve">. </w:t>
      </w:r>
      <w:r w:rsidR="00A041E1" w:rsidRPr="008374E2">
        <w:rPr>
          <w:szCs w:val="20"/>
        </w:rPr>
        <w:t xml:space="preserve">Por último indicó que los representantes y la Comisión debían presentar los documentos de identidad que acrediten la filiación con Walter </w:t>
      </w:r>
      <w:proofErr w:type="spellStart"/>
      <w:r w:rsidR="00A041E1" w:rsidRPr="008374E2">
        <w:rPr>
          <w:szCs w:val="20"/>
        </w:rPr>
        <w:t>Munárriz</w:t>
      </w:r>
      <w:proofErr w:type="spellEnd"/>
      <w:r w:rsidR="00A041E1" w:rsidRPr="008374E2">
        <w:rPr>
          <w:szCs w:val="20"/>
        </w:rPr>
        <w:t xml:space="preserve"> Escobar, así como otras evidencias sobre la presunta afectación sufrida</w:t>
      </w:r>
      <w:r w:rsidR="00A041E1" w:rsidRPr="00A041E1">
        <w:rPr>
          <w:rStyle w:val="FootnoteReference"/>
          <w:sz w:val="20"/>
          <w:szCs w:val="20"/>
        </w:rPr>
        <w:footnoteReference w:id="179"/>
      </w:r>
      <w:r w:rsidR="00A041E1" w:rsidRPr="008374E2">
        <w:rPr>
          <w:szCs w:val="20"/>
        </w:rPr>
        <w:t xml:space="preserve">. </w:t>
      </w:r>
    </w:p>
    <w:p w14:paraId="64367A58" w14:textId="77777777" w:rsidR="009301B6" w:rsidRPr="00BD69A7" w:rsidRDefault="009301B6" w:rsidP="009301B6">
      <w:pPr>
        <w:pStyle w:val="ListParagraph"/>
        <w:tabs>
          <w:tab w:val="left" w:pos="567"/>
        </w:tabs>
        <w:ind w:left="0"/>
        <w:jc w:val="both"/>
        <w:rPr>
          <w:b/>
          <w:noProof/>
          <w:szCs w:val="20"/>
        </w:rPr>
      </w:pPr>
    </w:p>
    <w:p w14:paraId="19007F2D" w14:textId="77777777" w:rsidR="009301B6" w:rsidRPr="00BD69A7" w:rsidRDefault="009301B6" w:rsidP="009301B6">
      <w:pPr>
        <w:pStyle w:val="Heading2"/>
        <w:numPr>
          <w:ilvl w:val="0"/>
          <w:numId w:val="25"/>
        </w:numPr>
        <w:tabs>
          <w:tab w:val="clear" w:pos="993"/>
          <w:tab w:val="left" w:pos="426"/>
        </w:tabs>
        <w:ind w:left="993" w:hanging="426"/>
        <w:contextualSpacing/>
        <w:jc w:val="both"/>
      </w:pPr>
      <w:bookmarkStart w:id="309" w:name="_Toc526152718"/>
      <w:r w:rsidRPr="00BD69A7">
        <w:t>Consideraciones de la Corte</w:t>
      </w:r>
      <w:bookmarkEnd w:id="309"/>
    </w:p>
    <w:p w14:paraId="431BA8D4" w14:textId="77777777" w:rsidR="009301B6" w:rsidRDefault="009301B6" w:rsidP="009301B6">
      <w:pPr>
        <w:tabs>
          <w:tab w:val="left" w:pos="567"/>
        </w:tabs>
        <w:jc w:val="both"/>
      </w:pPr>
    </w:p>
    <w:p w14:paraId="3BF6EEBB" w14:textId="5F7000D1" w:rsidR="009301B6" w:rsidRPr="00A25CAF" w:rsidRDefault="009301B6" w:rsidP="00A25CAF">
      <w:pPr>
        <w:pStyle w:val="PrrafodeSentencia"/>
        <w:rPr>
          <w:szCs w:val="20"/>
        </w:rPr>
      </w:pPr>
      <w:bookmarkStart w:id="310" w:name="_Ref524880502"/>
      <w:r w:rsidRPr="00F941BE">
        <w:t xml:space="preserve">Este Tribunal ha considerado que, en casos que involucran la desaparición forzada de personas, es posible entender que la violación del derecho a la integridad psíquica y moral de los </w:t>
      </w:r>
      <w:r w:rsidRPr="009301B6">
        <w:rPr>
          <w:szCs w:val="20"/>
        </w:rPr>
        <w:t>familiares de la víctima es una consecuencia directa de ese fenómeno, que les causa un severo sufrimiento por el hecho mismo, que se acrecienta, entre otros factores, por la constante negativa de las autoridades estatales de proporcionar información acerca del paradero de la víctima o de realizar una investigación eficaz para lograr el esclarecimiento de lo sucedido</w:t>
      </w:r>
      <w:r w:rsidRPr="009301B6">
        <w:rPr>
          <w:rStyle w:val="FootnoteReference"/>
          <w:sz w:val="20"/>
          <w:szCs w:val="20"/>
        </w:rPr>
        <w:footnoteReference w:id="180"/>
      </w:r>
      <w:r w:rsidRPr="009301B6">
        <w:rPr>
          <w:szCs w:val="20"/>
        </w:rPr>
        <w:t>. Estas afectaciones hacen presumir un daño a la integridad psíquica y moral de los familiares</w:t>
      </w:r>
      <w:r w:rsidRPr="009301B6">
        <w:rPr>
          <w:rStyle w:val="FootnoteReference"/>
          <w:sz w:val="20"/>
          <w:szCs w:val="20"/>
        </w:rPr>
        <w:footnoteReference w:id="181"/>
      </w:r>
      <w:r w:rsidRPr="009301B6">
        <w:rPr>
          <w:szCs w:val="20"/>
        </w:rPr>
        <w:t xml:space="preserve">. En casos anteriores, la Corte ha establecido que dicha presunción se establece </w:t>
      </w:r>
      <w:proofErr w:type="spellStart"/>
      <w:r w:rsidRPr="009301B6">
        <w:rPr>
          <w:i/>
          <w:szCs w:val="20"/>
        </w:rPr>
        <w:t>juris</w:t>
      </w:r>
      <w:proofErr w:type="spellEnd"/>
      <w:r w:rsidRPr="009301B6">
        <w:rPr>
          <w:i/>
          <w:szCs w:val="20"/>
        </w:rPr>
        <w:t xml:space="preserve"> tantum</w:t>
      </w:r>
      <w:r w:rsidRPr="009301B6">
        <w:rPr>
          <w:szCs w:val="20"/>
        </w:rPr>
        <w:t xml:space="preserve"> respecto de madres y padres, hijas e hijos, cónyuges, compañeros y compañeras permanentes, hermanos y hermanas siempre que corresponda a las circunstancias particulares del caso</w:t>
      </w:r>
      <w:r w:rsidRPr="009301B6">
        <w:rPr>
          <w:rStyle w:val="FootnoteReference"/>
          <w:sz w:val="20"/>
          <w:szCs w:val="20"/>
        </w:rPr>
        <w:footnoteReference w:id="182"/>
      </w:r>
      <w:r w:rsidRPr="009301B6">
        <w:rPr>
          <w:szCs w:val="20"/>
        </w:rPr>
        <w:t>. Tal presunción no ha sido des</w:t>
      </w:r>
      <w:r w:rsidR="00A041E1">
        <w:rPr>
          <w:szCs w:val="20"/>
        </w:rPr>
        <w:t xml:space="preserve">virtuada por Perú </w:t>
      </w:r>
      <w:r w:rsidR="00A041E1" w:rsidRPr="00A25CAF">
        <w:rPr>
          <w:szCs w:val="20"/>
        </w:rPr>
        <w:t>en este caso</w:t>
      </w:r>
      <w:r w:rsidR="00A25CAF" w:rsidRPr="00A25CAF">
        <w:rPr>
          <w:rStyle w:val="FootnoteReference"/>
          <w:sz w:val="20"/>
          <w:szCs w:val="20"/>
        </w:rPr>
        <w:footnoteReference w:id="183"/>
      </w:r>
      <w:r w:rsidR="00A041E1" w:rsidRPr="00A25CAF">
        <w:rPr>
          <w:szCs w:val="20"/>
        </w:rPr>
        <w:t>.</w:t>
      </w:r>
      <w:r w:rsidR="00A25CAF" w:rsidRPr="00A25CAF">
        <w:rPr>
          <w:szCs w:val="20"/>
        </w:rPr>
        <w:t xml:space="preserve"> </w:t>
      </w:r>
      <w:r w:rsidRPr="00A25CAF">
        <w:rPr>
          <w:noProof/>
          <w:szCs w:val="20"/>
        </w:rPr>
        <w:t xml:space="preserve">Asimismo, las declaraciones </w:t>
      </w:r>
      <w:r w:rsidRPr="00A25CAF">
        <w:rPr>
          <w:noProof/>
          <w:szCs w:val="20"/>
        </w:rPr>
        <w:lastRenderedPageBreak/>
        <w:t>rendidas ante la Corte permiten constatar que los familiares de Walter Munárriz Escobar han padecido un profundo sufrimiento y angustia en detrimento de su integridad psiquica y moral</w:t>
      </w:r>
      <w:r w:rsidR="00106B7D">
        <w:rPr>
          <w:noProof/>
          <w:szCs w:val="20"/>
        </w:rPr>
        <w:t>,</w:t>
      </w:r>
      <w:r w:rsidRPr="00A25CAF">
        <w:rPr>
          <w:noProof/>
          <w:szCs w:val="20"/>
        </w:rPr>
        <w:t xml:space="preserve"> debido a la desaparición forzada de Walter Munárriz Escobar y a la actuacion de las autoridades estatales respecto de la investigación de lo sucedido</w:t>
      </w:r>
      <w:r w:rsidRPr="009301B6">
        <w:rPr>
          <w:rStyle w:val="FootnoteReference"/>
          <w:noProof/>
          <w:sz w:val="20"/>
          <w:szCs w:val="20"/>
        </w:rPr>
        <w:footnoteReference w:id="184"/>
      </w:r>
      <w:r w:rsidRPr="00A25CAF">
        <w:rPr>
          <w:noProof/>
          <w:szCs w:val="20"/>
        </w:rPr>
        <w:t>.</w:t>
      </w:r>
      <w:bookmarkEnd w:id="310"/>
      <w:r w:rsidRPr="00A25CAF">
        <w:rPr>
          <w:noProof/>
          <w:szCs w:val="20"/>
        </w:rPr>
        <w:t xml:space="preserve"> </w:t>
      </w:r>
    </w:p>
    <w:p w14:paraId="7BB7C100" w14:textId="77777777" w:rsidR="009301B6" w:rsidRPr="009301B6" w:rsidRDefault="009301B6" w:rsidP="009301B6">
      <w:pPr>
        <w:rPr>
          <w:lang w:val="es-CR" w:eastAsia="es-MX"/>
        </w:rPr>
      </w:pPr>
    </w:p>
    <w:p w14:paraId="1A24DAE7" w14:textId="5E5607D3" w:rsidR="003F4A7E" w:rsidRDefault="009301B6" w:rsidP="009F7500">
      <w:pPr>
        <w:pStyle w:val="PrrafodeSentencia"/>
      </w:pPr>
      <w:bookmarkStart w:id="311" w:name="_Ref524880520"/>
      <w:r w:rsidRPr="009301B6">
        <w:t xml:space="preserve">Con base en las consideraciones anteriores, el Tribunal concluye que el Estado violó el derecho a la integridad personal reconocido en el artículo 5.1 y 5.2 de la Convención Americana, en relación con el artículo 1.1 del mismo instrumento, en perjuicio de Gladys Escobar </w:t>
      </w:r>
      <w:proofErr w:type="spellStart"/>
      <w:r w:rsidRPr="009301B6">
        <w:t>Candiotti</w:t>
      </w:r>
      <w:proofErr w:type="spellEnd"/>
      <w:r w:rsidRPr="009301B6">
        <w:t xml:space="preserve">, Eric </w:t>
      </w:r>
      <w:proofErr w:type="spellStart"/>
      <w:r w:rsidRPr="009301B6">
        <w:t>Munárriz</w:t>
      </w:r>
      <w:proofErr w:type="spellEnd"/>
      <w:r w:rsidRPr="009301B6">
        <w:t xml:space="preserve"> Escobar, Gladys </w:t>
      </w:r>
      <w:proofErr w:type="spellStart"/>
      <w:r w:rsidRPr="009301B6">
        <w:t>Munárriz</w:t>
      </w:r>
      <w:proofErr w:type="spellEnd"/>
      <w:r w:rsidRPr="009301B6">
        <w:t xml:space="preserve"> Escobar, Amparo </w:t>
      </w:r>
      <w:proofErr w:type="spellStart"/>
      <w:r w:rsidRPr="009301B6">
        <w:t>Munárriz</w:t>
      </w:r>
      <w:proofErr w:type="spellEnd"/>
      <w:r w:rsidRPr="009301B6">
        <w:t xml:space="preserve"> Escobar, Junior </w:t>
      </w:r>
      <w:proofErr w:type="spellStart"/>
      <w:r w:rsidRPr="009301B6">
        <w:t>Munárriz</w:t>
      </w:r>
      <w:proofErr w:type="spellEnd"/>
      <w:r w:rsidRPr="009301B6">
        <w:t xml:space="preserve"> Es</w:t>
      </w:r>
      <w:r w:rsidR="003F4A7E">
        <w:t xml:space="preserve">cobar y </w:t>
      </w:r>
      <w:r w:rsidR="000D146B">
        <w:t>Alain</w:t>
      </w:r>
      <w:r w:rsidR="003F4A7E">
        <w:t xml:space="preserve"> </w:t>
      </w:r>
      <w:proofErr w:type="spellStart"/>
      <w:r w:rsidR="003F4A7E">
        <w:t>Munárriz</w:t>
      </w:r>
      <w:proofErr w:type="spellEnd"/>
      <w:r w:rsidR="003F4A7E">
        <w:t xml:space="preserve"> Escobar.</w:t>
      </w:r>
      <w:bookmarkEnd w:id="311"/>
    </w:p>
    <w:p w14:paraId="6572717F" w14:textId="77777777" w:rsidR="003F4A7E" w:rsidRDefault="003F4A7E" w:rsidP="003F4A7E">
      <w:pPr>
        <w:rPr>
          <w:lang w:val="es-CR" w:eastAsia="es-MX"/>
        </w:rPr>
      </w:pPr>
    </w:p>
    <w:p w14:paraId="378F0C00" w14:textId="5E45977D" w:rsidR="003F4A7E" w:rsidRPr="003F4A7E" w:rsidRDefault="003F4A7E" w:rsidP="003F4A7E">
      <w:pPr>
        <w:pStyle w:val="Heading1"/>
        <w:spacing w:before="0"/>
        <w:jc w:val="center"/>
      </w:pPr>
      <w:bookmarkStart w:id="312" w:name="_Toc526152719"/>
      <w:r w:rsidRPr="003F4A7E">
        <w:t>IX</w:t>
      </w:r>
      <w:r>
        <w:br/>
      </w:r>
      <w:r w:rsidRPr="003F4A7E">
        <w:t>REPARACIONES</w:t>
      </w:r>
      <w:r>
        <w:br/>
      </w:r>
      <w:r w:rsidRPr="003F4A7E">
        <w:t>(Aplicación del artículo 63.1 de la Convención Americana)</w:t>
      </w:r>
      <w:bookmarkEnd w:id="312"/>
    </w:p>
    <w:p w14:paraId="275A5D21" w14:textId="77777777" w:rsidR="003F4A7E" w:rsidRPr="003F4A7E" w:rsidRDefault="003F4A7E" w:rsidP="003F4A7E">
      <w:pPr>
        <w:rPr>
          <w:lang w:val="es-CR" w:eastAsia="es-MX"/>
        </w:rPr>
      </w:pPr>
    </w:p>
    <w:p w14:paraId="5B84A8C4" w14:textId="77777777" w:rsidR="00E25FD2" w:rsidRDefault="003F4A7E" w:rsidP="009F7500">
      <w:pPr>
        <w:pStyle w:val="PrrafodeSentencia"/>
      </w:pPr>
      <w:r w:rsidRPr="003F4A7E">
        <w:rPr>
          <w:lang w:val="es-ES" w:eastAsia="es-ES"/>
        </w:rPr>
        <w:t>Sobre</w:t>
      </w:r>
      <w:r w:rsidRPr="003F4A7E">
        <w:t xml:space="preserve"> la base de lo dispuesto en el </w:t>
      </w:r>
      <w:r w:rsidRPr="00E25FD2">
        <w:t>artículo 63.1 de la Convención Americana</w:t>
      </w:r>
      <w:r w:rsidRPr="00E25FD2">
        <w:rPr>
          <w:vertAlign w:val="superscript"/>
        </w:rPr>
        <w:footnoteReference w:id="185"/>
      </w:r>
      <w:r w:rsidRPr="00E25FD2">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E25FD2">
        <w:rPr>
          <w:rStyle w:val="FootnoteReference"/>
          <w:sz w:val="20"/>
          <w:szCs w:val="20"/>
          <w:lang w:val="es-ES_tradnl"/>
        </w:rPr>
        <w:footnoteReference w:id="186"/>
      </w:r>
      <w:r w:rsidRPr="00E25FD2">
        <w:t>.</w:t>
      </w:r>
      <w:r w:rsidRPr="003F4A7E">
        <w:t xml:space="preserve"> Además, este Tribunal ha establecido que las reparaciones deben tener un nexo causal con los hechos del caso, las violaciones </w:t>
      </w:r>
      <w:r w:rsidRPr="00E25FD2">
        <w:t>declaradas, los daños acreditados, así como las medidas solicitadas para reparar los daños respectivos</w:t>
      </w:r>
      <w:r w:rsidRPr="00E25FD2">
        <w:rPr>
          <w:rStyle w:val="FootnoteReference"/>
          <w:sz w:val="20"/>
          <w:szCs w:val="20"/>
          <w:lang w:val="es-ES_tradnl"/>
        </w:rPr>
        <w:footnoteReference w:id="187"/>
      </w:r>
      <w:r w:rsidRPr="00E25FD2">
        <w:t>. Por tanto, la Corte deberá analizar dicha concurrencia para pronunciarse debidamente y conforme a derecho</w:t>
      </w:r>
      <w:r w:rsidRPr="00E25FD2">
        <w:rPr>
          <w:vertAlign w:val="superscript"/>
        </w:rPr>
        <w:footnoteReference w:id="188"/>
      </w:r>
      <w:r w:rsidRPr="00E25FD2">
        <w:t>.</w:t>
      </w:r>
      <w:r w:rsidRPr="003F4A7E">
        <w:t xml:space="preserve"> </w:t>
      </w:r>
    </w:p>
    <w:p w14:paraId="61A92D8E" w14:textId="77777777" w:rsidR="00E25FD2" w:rsidRPr="00E25FD2" w:rsidRDefault="00E25FD2" w:rsidP="00E25FD2">
      <w:pPr>
        <w:rPr>
          <w:lang w:val="es-ES_tradnl" w:eastAsia="es-MX"/>
        </w:rPr>
      </w:pPr>
    </w:p>
    <w:p w14:paraId="04FEAB75" w14:textId="29BDF741" w:rsidR="003F4A7E" w:rsidRPr="00E25FD2" w:rsidRDefault="003F4A7E" w:rsidP="009F7500">
      <w:pPr>
        <w:pStyle w:val="PrrafodeSentencia"/>
      </w:pPr>
      <w:r w:rsidRPr="00E25FD2">
        <w:t>En consecuencia, y sin perjuicio de cualquier forma de reparación que se acuerde posteriormente entre el Estado y la</w:t>
      </w:r>
      <w:r w:rsidR="003E1EF7">
        <w:t>s</w:t>
      </w:r>
      <w:r w:rsidRPr="00E25FD2">
        <w:t xml:space="preserve"> víctima</w:t>
      </w:r>
      <w:r w:rsidR="003E1EF7">
        <w:t>s</w:t>
      </w:r>
      <w:r w:rsidRPr="00E25FD2">
        <w:t>, y de acuerdo con las consideraciones expuestas sobre el fondo y las violaciones a la Convención declaradas en la presente Sentencia, el Tribunal procederá a analizar las pretensiones presentadas por la Comisión y los representantes de las víctimas, así como las observaciones del Estado a las mismas, a la luz de los criterios fijados en su jurisprudencia en relación con la naturaleza y alcance de la obligación de reparar, con el objeto de disponer las medidas dirigidas a reparar los daños ocasionados</w:t>
      </w:r>
      <w:r w:rsidRPr="00E25FD2">
        <w:rPr>
          <w:rStyle w:val="FootnoteReference"/>
          <w:bCs/>
          <w:sz w:val="20"/>
          <w:szCs w:val="20"/>
        </w:rPr>
        <w:footnoteReference w:id="189"/>
      </w:r>
      <w:r w:rsidRPr="00E25FD2">
        <w:t>.</w:t>
      </w:r>
    </w:p>
    <w:p w14:paraId="390461B9" w14:textId="77777777" w:rsidR="003F4A7E" w:rsidRPr="009F3C1E" w:rsidRDefault="003F4A7E" w:rsidP="003F4A7E">
      <w:pPr>
        <w:jc w:val="both"/>
        <w:rPr>
          <w:szCs w:val="20"/>
          <w:lang w:val="es-ES_tradnl"/>
        </w:rPr>
      </w:pPr>
    </w:p>
    <w:p w14:paraId="7825D537" w14:textId="209D6152" w:rsidR="003F4A7E" w:rsidRDefault="003F4A7E" w:rsidP="00D90546">
      <w:pPr>
        <w:pStyle w:val="Heading2"/>
      </w:pPr>
      <w:bookmarkStart w:id="313" w:name="_Toc526152720"/>
      <w:r w:rsidRPr="00727ECB">
        <w:t>Parte Lesionada</w:t>
      </w:r>
      <w:bookmarkEnd w:id="313"/>
    </w:p>
    <w:p w14:paraId="5E71851B" w14:textId="77777777" w:rsidR="003F4A7E" w:rsidRPr="008232E9" w:rsidRDefault="003F4A7E" w:rsidP="003F4A7E">
      <w:pPr>
        <w:jc w:val="both"/>
        <w:rPr>
          <w:szCs w:val="20"/>
          <w:lang w:val="es-CR"/>
        </w:rPr>
      </w:pPr>
    </w:p>
    <w:p w14:paraId="440C4CD4" w14:textId="6665758D" w:rsidR="003F4A7E" w:rsidRDefault="003F4A7E" w:rsidP="009F7500">
      <w:pPr>
        <w:pStyle w:val="PrrafodeSentencia"/>
      </w:pPr>
      <w:r w:rsidRPr="009F3C1E">
        <w:t xml:space="preserve">El Tribunal considera parte lesionada, en los términos del artículo 63.1 de la Convención Americana, a quien ha sido declarado víctima de la violación de algún </w:t>
      </w:r>
      <w:r w:rsidRPr="009F3C1E">
        <w:rPr>
          <w:rFonts w:eastAsia="Calibri"/>
          <w:lang w:val="es-MX"/>
        </w:rPr>
        <w:t>derecho</w:t>
      </w:r>
      <w:r w:rsidRPr="009F3C1E">
        <w:t xml:space="preserve"> reconocido en la misma. Por tanto, esta Corte considera como parte lesionada a, Walter </w:t>
      </w:r>
      <w:proofErr w:type="spellStart"/>
      <w:r w:rsidRPr="009F3C1E">
        <w:t>Munárriz</w:t>
      </w:r>
      <w:proofErr w:type="spellEnd"/>
      <w:r w:rsidRPr="009F3C1E">
        <w:t xml:space="preserve"> Escobar, su madre Gladys Escobar </w:t>
      </w:r>
      <w:proofErr w:type="spellStart"/>
      <w:r w:rsidRPr="009F3C1E">
        <w:t>Candiotti</w:t>
      </w:r>
      <w:proofErr w:type="spellEnd"/>
      <w:r w:rsidRPr="009F3C1E">
        <w:t xml:space="preserve"> y sus hermanos Eri</w:t>
      </w:r>
      <w:r w:rsidR="000D146B">
        <w:t>c, Gladys, Amparo, Junior y Alain</w:t>
      </w:r>
      <w:r w:rsidRPr="009F3C1E">
        <w:t xml:space="preserve"> </w:t>
      </w:r>
      <w:proofErr w:type="spellStart"/>
      <w:r w:rsidRPr="009F3C1E">
        <w:t>Munárriz</w:t>
      </w:r>
      <w:proofErr w:type="spellEnd"/>
      <w:r w:rsidRPr="009F3C1E">
        <w:t xml:space="preserve"> Escobar, </w:t>
      </w:r>
      <w:r w:rsidRPr="009F3C1E">
        <w:rPr>
          <w:lang w:val="es-ES_tradnl"/>
        </w:rPr>
        <w:t>quienes, en su carácter de víctimas de las violaciones declaradas en esta Sentencia, serán consideradas beneficiarias y beneficiarios de las reparaciones que la Corte ordene.</w:t>
      </w:r>
      <w:r w:rsidRPr="009F3C1E" w:rsidDel="00595E3A">
        <w:t xml:space="preserve"> </w:t>
      </w:r>
    </w:p>
    <w:p w14:paraId="26EC29B3" w14:textId="77777777" w:rsidR="003F4A7E" w:rsidRPr="009F3C1E" w:rsidRDefault="003F4A7E" w:rsidP="00D4743E">
      <w:pPr>
        <w:jc w:val="both"/>
        <w:rPr>
          <w:szCs w:val="20"/>
          <w:lang w:val="es-ES_tradnl"/>
        </w:rPr>
      </w:pPr>
    </w:p>
    <w:p w14:paraId="4D0872D8" w14:textId="05328710" w:rsidR="003F4A7E" w:rsidRPr="009F3C1E" w:rsidRDefault="00D90546" w:rsidP="00D90546">
      <w:pPr>
        <w:pStyle w:val="Heading2"/>
        <w:numPr>
          <w:ilvl w:val="0"/>
          <w:numId w:val="0"/>
        </w:numPr>
        <w:ind w:left="993" w:hanging="426"/>
      </w:pPr>
      <w:bookmarkStart w:id="314" w:name="_Toc526152721"/>
      <w:r>
        <w:t xml:space="preserve">B.   </w:t>
      </w:r>
      <w:r w:rsidR="003F4A7E" w:rsidRPr="009F3C1E">
        <w:t>Obligación de investigar los hechos e identificar, juzgar, en su caso,  sancionar a los responsables, así como determinar el paradero de la víctima</w:t>
      </w:r>
      <w:bookmarkEnd w:id="314"/>
    </w:p>
    <w:p w14:paraId="582AB8DC" w14:textId="77777777" w:rsidR="003F4A7E" w:rsidRPr="00EE007F" w:rsidRDefault="003F4A7E" w:rsidP="00D4743E">
      <w:pPr>
        <w:pStyle w:val="ListParagraph"/>
        <w:jc w:val="both"/>
        <w:rPr>
          <w:szCs w:val="20"/>
          <w:lang w:val="es-ES"/>
        </w:rPr>
      </w:pPr>
    </w:p>
    <w:p w14:paraId="7A02BB71" w14:textId="77777777" w:rsidR="003F4A7E" w:rsidRPr="00727ECB" w:rsidRDefault="003F4A7E" w:rsidP="0002708C">
      <w:pPr>
        <w:pStyle w:val="Heading3"/>
        <w:spacing w:after="0" w:line="240" w:lineRule="auto"/>
        <w:ind w:left="993"/>
      </w:pPr>
      <w:bookmarkStart w:id="315" w:name="_Toc526152722"/>
      <w:r w:rsidRPr="00727ECB">
        <w:t>B.1  Investigación, determinación, enjuiciamiento y, en su caso, sanción de todos los responsables</w:t>
      </w:r>
      <w:bookmarkEnd w:id="315"/>
    </w:p>
    <w:p w14:paraId="66EDD442" w14:textId="77777777" w:rsidR="003F4A7E" w:rsidRPr="00924748" w:rsidRDefault="003F4A7E" w:rsidP="00924748">
      <w:pPr>
        <w:jc w:val="both"/>
        <w:rPr>
          <w:szCs w:val="20"/>
          <w:lang w:val="es-ES_tradnl"/>
        </w:rPr>
      </w:pPr>
    </w:p>
    <w:p w14:paraId="556C7117" w14:textId="39AC269F" w:rsidR="00D90546" w:rsidRDefault="003F4A7E" w:rsidP="00D90546">
      <w:pPr>
        <w:pStyle w:val="PrrafodeSentencia"/>
        <w:rPr>
          <w:lang w:val="es-MX"/>
        </w:rPr>
      </w:pPr>
      <w:r w:rsidRPr="008232E9">
        <w:t xml:space="preserve">La </w:t>
      </w:r>
      <w:r w:rsidRPr="00AF4396">
        <w:rPr>
          <w:b/>
          <w:i/>
        </w:rPr>
        <w:t>Comisión</w:t>
      </w:r>
      <w:r w:rsidRPr="00AF4396">
        <w:rPr>
          <w:i/>
        </w:rPr>
        <w:t xml:space="preserve"> </w:t>
      </w:r>
      <w:r w:rsidRPr="008232E9">
        <w:t xml:space="preserve">señaló que el Estado debe “llevar a cabo los procedimientos internos […] y conducir los procesos correspondientes por el delito de desaparición forzada de Walter </w:t>
      </w:r>
      <w:proofErr w:type="spellStart"/>
      <w:r w:rsidRPr="008232E9">
        <w:t>Munárriz</w:t>
      </w:r>
      <w:proofErr w:type="spellEnd"/>
      <w:r w:rsidRPr="008232E9">
        <w:t xml:space="preserve"> Escobar; de manera imparcial, efectiva y dentro de un plazo razonable, con el objeto de esclarecer los hechos en forma completa, identificar a todos los responsables e imponer las sanciones que correspondan”. </w:t>
      </w:r>
      <w:r w:rsidR="00AF4396">
        <w:t xml:space="preserve">Además señaló que </w:t>
      </w:r>
      <w:r w:rsidR="00D31485" w:rsidRPr="00D31485">
        <w:rPr>
          <w:lang w:val="es-MX"/>
        </w:rPr>
        <w:t xml:space="preserve">no podrá ser </w:t>
      </w:r>
      <w:r w:rsidR="00AF4396">
        <w:rPr>
          <w:lang w:val="es-MX"/>
        </w:rPr>
        <w:t>“</w:t>
      </w:r>
      <w:r w:rsidR="00D31485" w:rsidRPr="00D31485">
        <w:rPr>
          <w:lang w:val="es-MX"/>
        </w:rPr>
        <w:t xml:space="preserve">oponible el principio </w:t>
      </w:r>
      <w:proofErr w:type="spellStart"/>
      <w:r w:rsidR="00D31485" w:rsidRPr="00AF4396">
        <w:rPr>
          <w:i/>
          <w:lang w:val="es-MX"/>
        </w:rPr>
        <w:t>ne</w:t>
      </w:r>
      <w:proofErr w:type="spellEnd"/>
      <w:r w:rsidR="00D31485" w:rsidRPr="00AF4396">
        <w:rPr>
          <w:i/>
          <w:lang w:val="es-MX"/>
        </w:rPr>
        <w:t xml:space="preserve"> bis in ídem</w:t>
      </w:r>
      <w:r w:rsidR="00D31485">
        <w:rPr>
          <w:lang w:val="es-MX"/>
        </w:rPr>
        <w:t xml:space="preserve">”. </w:t>
      </w:r>
    </w:p>
    <w:p w14:paraId="3B2E53EE" w14:textId="77777777" w:rsidR="00AF4396" w:rsidRPr="00AF4396" w:rsidRDefault="00AF4396" w:rsidP="00AF4396">
      <w:pPr>
        <w:rPr>
          <w:lang w:val="es-CR" w:eastAsia="es-MX"/>
        </w:rPr>
      </w:pPr>
    </w:p>
    <w:p w14:paraId="3DCAD81E" w14:textId="77A9DD32" w:rsidR="00D90546" w:rsidRDefault="003F4A7E" w:rsidP="009F7500">
      <w:pPr>
        <w:pStyle w:val="PrrafodeSentencia"/>
        <w:rPr>
          <w:b/>
        </w:rPr>
      </w:pPr>
      <w:r w:rsidRPr="00D90546">
        <w:t xml:space="preserve">Los </w:t>
      </w:r>
      <w:r w:rsidRPr="00D90546">
        <w:rPr>
          <w:b/>
          <w:i/>
        </w:rPr>
        <w:t>representantes</w:t>
      </w:r>
      <w:r w:rsidRPr="00D90546">
        <w:t xml:space="preserve"> solicitaron a la Corte ordenar al Estado: “a) Realizar una investigación imparcial, completa y efectiva, de manera amplia, sistémica y minuciosa, en un plazo razonable, para establecer la verdad histórica de los hechos, así como para identificar, procesar y sancionar, en un plazo razonable, a los responsables de la desaparición forzada sufrida por Walter </w:t>
      </w:r>
      <w:proofErr w:type="spellStart"/>
      <w:r w:rsidRPr="00D90546">
        <w:t>Munárriz</w:t>
      </w:r>
      <w:proofErr w:type="spellEnd"/>
      <w:r w:rsidRPr="00D90546">
        <w:t xml:space="preserve"> Escobar”; b) “Que brinde las medidas de seguridad y garantías necesarias para asegurar la declaración sin presiones ni coacción de las víctimas, testigos y peritos del caso”, no solamente del testigo </w:t>
      </w:r>
      <w:r w:rsidR="00D90546">
        <w:t>MST</w:t>
      </w:r>
      <w:r w:rsidRPr="00D90546">
        <w:t xml:space="preserve"> que declaró ante el Poder Judicial en esa época, sino también del segundo testigo que manifestó ante la Defensoría del Pueblo haber escuchado ruidos y golpes en dicho momento de la Comisaría</w:t>
      </w:r>
      <w:r w:rsidR="00D90546">
        <w:t>;</w:t>
      </w:r>
      <w:r w:rsidRPr="00D90546">
        <w:t xml:space="preserve"> c) “Asegurar que los distintos órganos del sistema de justicia involucrados en el caso cuenten con los recursos humanos y materiales necesarios para desempeñar sus tareas de manera adecuada, independiente e imparcial”; d) “Abstenerse de recurrir a figuras como la prescripción, el </w:t>
      </w:r>
      <w:proofErr w:type="spellStart"/>
      <w:r w:rsidRPr="00D90546">
        <w:rPr>
          <w:rFonts w:cs="Cambria,Italic"/>
          <w:i/>
          <w:iCs/>
        </w:rPr>
        <w:t>ne</w:t>
      </w:r>
      <w:proofErr w:type="spellEnd"/>
      <w:r w:rsidRPr="00D90546">
        <w:rPr>
          <w:rFonts w:cs="Cambria,Italic"/>
          <w:i/>
          <w:iCs/>
        </w:rPr>
        <w:t xml:space="preserve"> bis in </w:t>
      </w:r>
      <w:proofErr w:type="spellStart"/>
      <w:r w:rsidRPr="00D90546">
        <w:rPr>
          <w:rFonts w:cs="Cambria,Italic"/>
          <w:i/>
          <w:iCs/>
        </w:rPr>
        <w:t>idem</w:t>
      </w:r>
      <w:proofErr w:type="spellEnd"/>
      <w:r w:rsidRPr="00D90546">
        <w:t xml:space="preserve">, la cosa [juzgada] o cualquier otro eximente de responsabilidad para excusarse de la obligación de investigar, procesar y sancionar a los responsables de la desaparición forzada de Walter </w:t>
      </w:r>
      <w:proofErr w:type="spellStart"/>
      <w:r w:rsidRPr="00D90546">
        <w:t>Munárriz</w:t>
      </w:r>
      <w:proofErr w:type="spellEnd"/>
      <w:r w:rsidRPr="00D90546">
        <w:t xml:space="preserve"> Escobar”</w:t>
      </w:r>
      <w:r w:rsidR="00D90546">
        <w:t>,</w:t>
      </w:r>
      <w:r w:rsidRPr="00D90546">
        <w:t xml:space="preserve"> y e) “Garantizar que las investigaciones por los hechos constitutivos de la desaparición forzada de Walter </w:t>
      </w:r>
      <w:proofErr w:type="spellStart"/>
      <w:r w:rsidRPr="00D90546">
        <w:t>Munárriz</w:t>
      </w:r>
      <w:proofErr w:type="spellEnd"/>
      <w:r w:rsidRPr="00D90546">
        <w:t xml:space="preserve"> Escobar se realicen en todo momento por parte del Ministerio Público, sin </w:t>
      </w:r>
      <w:r w:rsidRPr="00D90546">
        <w:lastRenderedPageBreak/>
        <w:t xml:space="preserve">intervención de la Policía Nacional del Perú, institución involucrada en el caso”, para salvaguardar las garantías de independencia e imparcialidad. </w:t>
      </w:r>
    </w:p>
    <w:p w14:paraId="6E9B52DA" w14:textId="77777777" w:rsidR="00D90546" w:rsidRPr="00D90546" w:rsidRDefault="00D90546" w:rsidP="00D90546">
      <w:pPr>
        <w:rPr>
          <w:lang w:val="es-CR" w:eastAsia="es-MX"/>
        </w:rPr>
      </w:pPr>
    </w:p>
    <w:p w14:paraId="04F71FF6" w14:textId="435A1301" w:rsidR="00D90546" w:rsidRDefault="003F4A7E" w:rsidP="009F7500">
      <w:pPr>
        <w:pStyle w:val="PrrafodeSentencia"/>
        <w:rPr>
          <w:b/>
        </w:rPr>
      </w:pPr>
      <w:r w:rsidRPr="00D90546">
        <w:t xml:space="preserve">El </w:t>
      </w:r>
      <w:r w:rsidRPr="00D90546">
        <w:rPr>
          <w:b/>
          <w:i/>
        </w:rPr>
        <w:t>Estado</w:t>
      </w:r>
      <w:r w:rsidRPr="00D90546">
        <w:rPr>
          <w:i/>
        </w:rPr>
        <w:t xml:space="preserve"> </w:t>
      </w:r>
      <w:r w:rsidRPr="00D90546">
        <w:t>señaló que ya las actuaciones judiciales se han llevado por el camino correcto, indicando que en ellas se han sorteado obstáculos que demuestran la exhaustiva actuación del Estado, así pues se evidencia que Perú ha realizado todas las gestiones convenientes y correspondientes. De esa forma, resalt</w:t>
      </w:r>
      <w:r w:rsidR="001A620D">
        <w:t>ó</w:t>
      </w:r>
      <w:r w:rsidRPr="00D90546">
        <w:t xml:space="preserve"> que en marzo de 2017 dispuso la reapertura de la investigación fiscal por el presunto delito de desaparición forzada en la Fiscalía Penal </w:t>
      </w:r>
      <w:proofErr w:type="spellStart"/>
      <w:r w:rsidRPr="00D90546">
        <w:t>Supraprovincial</w:t>
      </w:r>
      <w:proofErr w:type="spellEnd"/>
      <w:r w:rsidRPr="00D90546">
        <w:t xml:space="preserve"> de Huancavelica. </w:t>
      </w:r>
    </w:p>
    <w:p w14:paraId="4A7A7CC1" w14:textId="77777777" w:rsidR="00D90546" w:rsidRPr="00D90546" w:rsidRDefault="00D90546" w:rsidP="00D90546">
      <w:pPr>
        <w:rPr>
          <w:lang w:val="es-CR" w:eastAsia="es-MX"/>
        </w:rPr>
      </w:pPr>
    </w:p>
    <w:p w14:paraId="7630A7F9" w14:textId="3FDF5957" w:rsidR="00A127F5" w:rsidRPr="00EB7891" w:rsidRDefault="003F4A7E" w:rsidP="009F7500">
      <w:pPr>
        <w:pStyle w:val="PrrafodeSentencia"/>
      </w:pPr>
      <w:bookmarkStart w:id="316" w:name="_Ref524880604"/>
      <w:r w:rsidRPr="00D90546">
        <w:t xml:space="preserve">Este Tribunal valora los avances alcanzados hasta ahora por el Estado con el fin de esclarecer los hechos. No obstante, teniendo en </w:t>
      </w:r>
      <w:r w:rsidR="00A127F5">
        <w:t xml:space="preserve">cuenta las conclusiones del Capítulo </w:t>
      </w:r>
      <w:r w:rsidR="00EA2797">
        <w:t>VIII-2</w:t>
      </w:r>
      <w:r w:rsidR="00A127F5">
        <w:t xml:space="preserve"> de esta Sentencia, la Corte dispone </w:t>
      </w:r>
      <w:r w:rsidR="00492DA7">
        <w:t>que el Estado debe continuar</w:t>
      </w:r>
      <w:r w:rsidR="00A127F5">
        <w:t xml:space="preserve"> las investigaciones que sean necesarias para determinar y, en su caso, juzgar y sancionar a los responsables de la desaparición forzada de Walter </w:t>
      </w:r>
      <w:proofErr w:type="spellStart"/>
      <w:r w:rsidR="00A127F5">
        <w:t>Munárriz</w:t>
      </w:r>
      <w:proofErr w:type="spellEnd"/>
      <w:r w:rsidR="00A127F5">
        <w:t xml:space="preserve"> Escobar. Dicha obligación debe ser cumplida </w:t>
      </w:r>
      <w:r w:rsidR="00492DA7">
        <w:t xml:space="preserve">de acuerdo a los estándares establecidos por la </w:t>
      </w:r>
      <w:r w:rsidR="00492DA7" w:rsidRPr="00EB7891">
        <w:t>jurisprudencia de esta Corte</w:t>
      </w:r>
      <w:r w:rsidR="00492DA7" w:rsidRPr="00EB7891">
        <w:rPr>
          <w:rStyle w:val="FootnoteReference"/>
          <w:sz w:val="20"/>
          <w:szCs w:val="20"/>
        </w:rPr>
        <w:footnoteReference w:id="190"/>
      </w:r>
      <w:r w:rsidR="00492DA7" w:rsidRPr="00EB7891">
        <w:t xml:space="preserve"> y </w:t>
      </w:r>
      <w:r w:rsidR="00A127F5" w:rsidRPr="00EB7891">
        <w:t>en un plazo razonable, teniendo en cuenta que han transcurrido más de 19 años desde el inicio de la desaparición forzada de la víctima</w:t>
      </w:r>
      <w:r w:rsidR="009F643C" w:rsidRPr="00EB7891">
        <w:t>.</w:t>
      </w:r>
      <w:bookmarkEnd w:id="316"/>
      <w:r w:rsidR="00492DA7" w:rsidRPr="00EB7891">
        <w:t xml:space="preserve"> </w:t>
      </w:r>
    </w:p>
    <w:p w14:paraId="0EFA39B2" w14:textId="77777777" w:rsidR="000219F9" w:rsidRPr="000219F9" w:rsidRDefault="000219F9" w:rsidP="000219F9">
      <w:pPr>
        <w:rPr>
          <w:lang w:val="es-CR" w:eastAsia="es-MX"/>
        </w:rPr>
      </w:pPr>
    </w:p>
    <w:p w14:paraId="0A923ED6" w14:textId="77777777" w:rsidR="003F4A7E" w:rsidRPr="00727ECB" w:rsidRDefault="003F4A7E" w:rsidP="0002708C">
      <w:pPr>
        <w:pStyle w:val="Heading3"/>
        <w:spacing w:after="0" w:line="240" w:lineRule="auto"/>
        <w:ind w:left="993"/>
      </w:pPr>
      <w:bookmarkStart w:id="317" w:name="_Toc526152723"/>
      <w:r w:rsidRPr="00727ECB">
        <w:t>B.2 Determinación del paradero de la víctima</w:t>
      </w:r>
      <w:bookmarkEnd w:id="317"/>
    </w:p>
    <w:p w14:paraId="1F30BAB5" w14:textId="77777777" w:rsidR="0030594A" w:rsidRDefault="0030594A" w:rsidP="003F4A7E">
      <w:pPr>
        <w:jc w:val="both"/>
        <w:rPr>
          <w:rFonts w:cs="Cambria"/>
          <w:szCs w:val="20"/>
          <w:lang w:val="es-CR"/>
        </w:rPr>
      </w:pPr>
    </w:p>
    <w:p w14:paraId="4763F877" w14:textId="6D5B8955" w:rsidR="003F4A7E" w:rsidRPr="005833CE" w:rsidRDefault="003F4A7E" w:rsidP="009F7500">
      <w:pPr>
        <w:pStyle w:val="PrrafodeSentencia"/>
        <w:rPr>
          <w:b/>
          <w:szCs w:val="20"/>
        </w:rPr>
      </w:pPr>
      <w:r w:rsidRPr="008232E9">
        <w:t xml:space="preserve">La </w:t>
      </w:r>
      <w:r w:rsidRPr="008232E9">
        <w:rPr>
          <w:b/>
          <w:i/>
        </w:rPr>
        <w:t>Comisión</w:t>
      </w:r>
      <w:r w:rsidRPr="008232E9">
        <w:t xml:space="preserve"> indicó que el Estado debe “investigar de manera </w:t>
      </w:r>
      <w:r w:rsidRPr="008232E9">
        <w:rPr>
          <w:rFonts w:cs="Arial"/>
        </w:rPr>
        <w:t>completa, imparcial y efectiva</w:t>
      </w:r>
      <w:r w:rsidRPr="008232E9">
        <w:t xml:space="preserve"> el paradero de Walter </w:t>
      </w:r>
      <w:proofErr w:type="spellStart"/>
      <w:r w:rsidRPr="008232E9">
        <w:t>Munárriz</w:t>
      </w:r>
      <w:proofErr w:type="spellEnd"/>
      <w:r w:rsidRPr="008232E9">
        <w:t xml:space="preserve"> Escobar, y de ser el caso adoptar las medidas necesarias para identificar y entregar a los familiares de éste según sean sus deseos, sus restos mortales”. Los </w:t>
      </w:r>
      <w:r w:rsidRPr="0030594A">
        <w:rPr>
          <w:b/>
          <w:i/>
          <w:szCs w:val="20"/>
        </w:rPr>
        <w:t>representantes</w:t>
      </w:r>
      <w:r w:rsidRPr="0030594A">
        <w:rPr>
          <w:szCs w:val="20"/>
        </w:rPr>
        <w:t xml:space="preserve"> solicita</w:t>
      </w:r>
      <w:r w:rsidR="0030594A" w:rsidRPr="0030594A">
        <w:rPr>
          <w:szCs w:val="20"/>
        </w:rPr>
        <w:t>ro</w:t>
      </w:r>
      <w:r w:rsidRPr="0030594A">
        <w:rPr>
          <w:szCs w:val="20"/>
        </w:rPr>
        <w:t xml:space="preserve">n “que el Estado efectúe, a la mayor brevedad, una búsqueda rigurosa, en la cual realice todos los esfuerzos para determinar el paradero de la víctima desaparecida, y de ser el caso la identificación y entrega de los restos mortales a sus familiares”. </w:t>
      </w:r>
      <w:r w:rsidRPr="0030594A">
        <w:rPr>
          <w:szCs w:val="20"/>
          <w:lang w:val="es-ES"/>
        </w:rPr>
        <w:t xml:space="preserve">El </w:t>
      </w:r>
      <w:r w:rsidRPr="0030594A">
        <w:rPr>
          <w:b/>
          <w:i/>
          <w:szCs w:val="20"/>
          <w:lang w:val="es-ES"/>
        </w:rPr>
        <w:t>Estado</w:t>
      </w:r>
      <w:r w:rsidRPr="0030594A">
        <w:rPr>
          <w:szCs w:val="20"/>
          <w:lang w:val="es-ES"/>
        </w:rPr>
        <w:t xml:space="preserve"> indic</w:t>
      </w:r>
      <w:r w:rsidR="0034724F">
        <w:rPr>
          <w:szCs w:val="20"/>
          <w:lang w:val="es-ES"/>
        </w:rPr>
        <w:t>ó</w:t>
      </w:r>
      <w:r w:rsidRPr="0030594A">
        <w:rPr>
          <w:szCs w:val="20"/>
          <w:lang w:val="es-ES"/>
        </w:rPr>
        <w:t xml:space="preserve"> que “</w:t>
      </w:r>
      <w:r w:rsidR="00A06030">
        <w:rPr>
          <w:szCs w:val="20"/>
          <w:lang w:val="es-ES"/>
        </w:rPr>
        <w:t xml:space="preserve">si bien existe un archivo provisional de la investigación, ello no descarta que en el futuro se pueda reabrir la misma”. Asimismo informó que “se cursó un pedido al Viceministro de Derechos Humanos y Acceso a la Justicia para que evalúe la posibilidad de disponer que la Dirección General de Búsqueda de Personas Desaparecidas realice la búsqueda del señor Walter </w:t>
      </w:r>
      <w:proofErr w:type="spellStart"/>
      <w:r w:rsidR="00A06030">
        <w:rPr>
          <w:szCs w:val="20"/>
          <w:lang w:val="es-ES"/>
        </w:rPr>
        <w:t>Munárriz</w:t>
      </w:r>
      <w:proofErr w:type="spellEnd"/>
      <w:r w:rsidR="00A06030">
        <w:rPr>
          <w:szCs w:val="20"/>
          <w:lang w:val="es-ES"/>
        </w:rPr>
        <w:t xml:space="preserve"> Escobar”</w:t>
      </w:r>
      <w:r w:rsidRPr="0030594A">
        <w:rPr>
          <w:szCs w:val="20"/>
          <w:lang w:val="es-ES"/>
        </w:rPr>
        <w:t xml:space="preserve">. </w:t>
      </w:r>
    </w:p>
    <w:p w14:paraId="17B9AC2E" w14:textId="77777777" w:rsidR="003F4A7E" w:rsidRPr="0030594A" w:rsidRDefault="003F4A7E" w:rsidP="0030594A">
      <w:pPr>
        <w:jc w:val="both"/>
        <w:rPr>
          <w:rFonts w:cs="Tahoma"/>
          <w:szCs w:val="20"/>
          <w:lang w:val="es-ES"/>
        </w:rPr>
      </w:pPr>
    </w:p>
    <w:p w14:paraId="12815309" w14:textId="0134A7C9" w:rsidR="00F90E13" w:rsidRPr="00F24F69" w:rsidRDefault="009F7500" w:rsidP="003F4A7E">
      <w:pPr>
        <w:pStyle w:val="PrrafodeSentencia"/>
      </w:pPr>
      <w:bookmarkStart w:id="318" w:name="_Ref524880626"/>
      <w:r>
        <w:rPr>
          <w:rFonts w:cs="Tahoma"/>
        </w:rPr>
        <w:t xml:space="preserve">En </w:t>
      </w:r>
      <w:r>
        <w:t xml:space="preserve">el presente caso, ha quedado establecido que aún se </w:t>
      </w:r>
      <w:r w:rsidR="00DF1F3A">
        <w:t>des</w:t>
      </w:r>
      <w:r>
        <w:t xml:space="preserve">conoce el paradero de Walter </w:t>
      </w:r>
      <w:proofErr w:type="spellStart"/>
      <w:r>
        <w:t>Munárriz</w:t>
      </w:r>
      <w:proofErr w:type="spellEnd"/>
      <w:r>
        <w:t xml:space="preserve"> Escobar. Este Tribunal resalta que han transcurrido más de 19 años desde </w:t>
      </w:r>
      <w:r w:rsidR="0034724F">
        <w:t xml:space="preserve">el inicio de </w:t>
      </w:r>
      <w:r>
        <w:t xml:space="preserve">su desaparición. La identificación de su paradero resulta ser una justa expectativa de sus familiares </w:t>
      </w:r>
      <w:r w:rsidRPr="009F7500">
        <w:t>y constituye una medida de reparación que genera el deber correlativo para el Estado de satisfacerla</w:t>
      </w:r>
      <w:r w:rsidRPr="009F7500">
        <w:rPr>
          <w:vertAlign w:val="superscript"/>
        </w:rPr>
        <w:footnoteReference w:id="191"/>
      </w:r>
      <w:r>
        <w:t xml:space="preserve">. </w:t>
      </w:r>
      <w:r w:rsidR="003F4A7E" w:rsidRPr="009F7500">
        <w:rPr>
          <w:rFonts w:cs="Tahoma"/>
        </w:rPr>
        <w:t>Recibir los cuerpos de sus seres queridos es de suma</w:t>
      </w:r>
      <w:r w:rsidR="003F4A7E" w:rsidRPr="0030594A">
        <w:t xml:space="preserve"> importancia para los familiares de las víctimas</w:t>
      </w:r>
      <w:r>
        <w:t xml:space="preserve"> de desaparición forzada</w:t>
      </w:r>
      <w:r w:rsidR="003F4A7E" w:rsidRPr="0030594A">
        <w:t xml:space="preserve">, ya que les permite sepultarlos de acuerdo a sus creencias, así como cerrar el proceso de duelo que han estado viviendo a lo largo de estos </w:t>
      </w:r>
      <w:r w:rsidR="003F4A7E" w:rsidRPr="0030594A">
        <w:lastRenderedPageBreak/>
        <w:t>años</w:t>
      </w:r>
      <w:r w:rsidR="003F4A7E" w:rsidRPr="0030594A">
        <w:rPr>
          <w:rStyle w:val="FootnoteReference"/>
          <w:sz w:val="20"/>
          <w:szCs w:val="20"/>
        </w:rPr>
        <w:footnoteReference w:id="192"/>
      </w:r>
      <w:r w:rsidR="003F4A7E" w:rsidRPr="0030594A">
        <w:t xml:space="preserve">. Adicionalmente, la Corte resalta que los </w:t>
      </w:r>
      <w:r w:rsidR="003F4A7E" w:rsidRPr="00F24F69">
        <w:t>restos de una persona fallecida y el lugar en el cual sean encontrados, pueden proporcionar información valiosa sobre lo sucedido y sobre los autores de las violaciones o la institución a la que pertenecían</w:t>
      </w:r>
      <w:r w:rsidR="003F4A7E" w:rsidRPr="00F24F69">
        <w:rPr>
          <w:rStyle w:val="FootnoteReference"/>
          <w:sz w:val="20"/>
          <w:szCs w:val="20"/>
        </w:rPr>
        <w:footnoteReference w:id="193"/>
      </w:r>
      <w:r w:rsidR="003F4A7E" w:rsidRPr="00F24F69">
        <w:t>, particularmente tratándose de agentes estatales</w:t>
      </w:r>
      <w:r w:rsidR="003F4A7E" w:rsidRPr="00F24F69">
        <w:rPr>
          <w:rStyle w:val="FootnoteReference"/>
          <w:sz w:val="20"/>
          <w:szCs w:val="20"/>
        </w:rPr>
        <w:footnoteReference w:id="194"/>
      </w:r>
      <w:r w:rsidR="003F4A7E" w:rsidRPr="00F24F69">
        <w:t>.</w:t>
      </w:r>
      <w:bookmarkEnd w:id="318"/>
      <w:r w:rsidR="003F4A7E" w:rsidRPr="00F24F69">
        <w:t xml:space="preserve"> </w:t>
      </w:r>
    </w:p>
    <w:p w14:paraId="746CB197" w14:textId="77777777" w:rsidR="00F90E13" w:rsidRPr="00F24F69" w:rsidRDefault="00F90E13" w:rsidP="00F90E13">
      <w:pPr>
        <w:rPr>
          <w:lang w:val="es-CR" w:eastAsia="es-MX"/>
        </w:rPr>
      </w:pPr>
    </w:p>
    <w:p w14:paraId="4580C146" w14:textId="01DA256B" w:rsidR="00F90E13" w:rsidRPr="00F90E13" w:rsidRDefault="00F90E13" w:rsidP="00B629F1">
      <w:pPr>
        <w:pStyle w:val="PrrafodeSentencia"/>
      </w:pPr>
      <w:bookmarkStart w:id="319" w:name="_Ref524880628"/>
      <w:r w:rsidRPr="00F24F69">
        <w:t xml:space="preserve">En este sentido, es necesario que el Estado continúe con la búsqueda de Walter </w:t>
      </w:r>
      <w:proofErr w:type="spellStart"/>
      <w:r w:rsidRPr="00F24F69">
        <w:t>Munárriz</w:t>
      </w:r>
      <w:proofErr w:type="spellEnd"/>
      <w:r w:rsidRPr="00F24F69">
        <w:t xml:space="preserve"> Escobar por las vías que sean pertinentes, en el marco de la cual debe realizar todos los esfuerzos para determinar, a la mayor brevedad, su paradero. Esa búsqueda deberá realizarse de manera sistemática y contar con los recursos humanos, técnicos y científicos adecuados e idóneos. Para las referidas diligencias se debe establecer una estrategia</w:t>
      </w:r>
      <w:r>
        <w:t xml:space="preserve"> de comunicación con los familiares y acordar un marco de acción coordinada para procurar su participación, conocimiento y presencia, conforme a las directrices y protocolos en </w:t>
      </w:r>
      <w:r w:rsidRPr="00F90E13">
        <w:rPr>
          <w:szCs w:val="20"/>
        </w:rPr>
        <w:t>la materia</w:t>
      </w:r>
      <w:r w:rsidRPr="0030594A">
        <w:rPr>
          <w:rStyle w:val="FootnoteReference"/>
          <w:sz w:val="20"/>
          <w:szCs w:val="20"/>
        </w:rPr>
        <w:footnoteReference w:id="195"/>
      </w:r>
      <w:r w:rsidRPr="0030594A">
        <w:rPr>
          <w:rFonts w:cs="Cambria"/>
          <w:szCs w:val="20"/>
        </w:rPr>
        <w:t>.</w:t>
      </w:r>
      <w:r w:rsidRPr="00F90E13">
        <w:rPr>
          <w:szCs w:val="20"/>
        </w:rPr>
        <w:t xml:space="preserve"> En caso de que luego de las diligencias realizadas por el Estado, la víctima se encontrare fallecida, los</w:t>
      </w:r>
      <w:r>
        <w:t xml:space="preserve"> restos mortales deberán ser entregados a sus familiares, previa comprobación fehaciente de identidad, a la mayor brevedad posible y sin costo alguno para ellos. Además, el Estado deberá cubrir los gastos fúnebres, en su caso, de común acuerdo con los familiares, y conforme a sus creencias</w:t>
      </w:r>
      <w:r w:rsidRPr="0030594A">
        <w:rPr>
          <w:rStyle w:val="FootnoteReference"/>
          <w:sz w:val="20"/>
          <w:szCs w:val="20"/>
        </w:rPr>
        <w:footnoteReference w:id="196"/>
      </w:r>
      <w:r>
        <w:t>.</w:t>
      </w:r>
      <w:bookmarkEnd w:id="319"/>
    </w:p>
    <w:p w14:paraId="70A0AB8B" w14:textId="77777777" w:rsidR="003F4A7E" w:rsidRPr="0030594A" w:rsidRDefault="003F4A7E" w:rsidP="00B629F1">
      <w:pPr>
        <w:jc w:val="both"/>
        <w:rPr>
          <w:rFonts w:cs="Cambria"/>
          <w:szCs w:val="20"/>
          <w:lang w:val="es-CR"/>
        </w:rPr>
      </w:pPr>
    </w:p>
    <w:p w14:paraId="5EE1F040" w14:textId="6AF92FA4" w:rsidR="003F4A7E" w:rsidRDefault="003F4A7E" w:rsidP="00B629F1">
      <w:pPr>
        <w:pStyle w:val="Heading2"/>
        <w:numPr>
          <w:ilvl w:val="0"/>
          <w:numId w:val="25"/>
        </w:numPr>
        <w:ind w:left="993" w:hanging="426"/>
      </w:pPr>
      <w:bookmarkStart w:id="320" w:name="_Toc526152724"/>
      <w:r w:rsidRPr="00727ECB">
        <w:t>Medidas de satisfacción, rehabilitación y garantías de no repetición</w:t>
      </w:r>
      <w:bookmarkEnd w:id="320"/>
    </w:p>
    <w:p w14:paraId="344FDA41" w14:textId="77777777" w:rsidR="00706EB3" w:rsidRPr="008232E9" w:rsidRDefault="00706EB3" w:rsidP="00706EB3">
      <w:pPr>
        <w:jc w:val="both"/>
        <w:rPr>
          <w:szCs w:val="20"/>
          <w:lang w:val="es-CR"/>
        </w:rPr>
      </w:pPr>
    </w:p>
    <w:p w14:paraId="7674C999" w14:textId="77667CC6" w:rsidR="00706EB3" w:rsidRPr="00981DBB" w:rsidRDefault="00706EB3" w:rsidP="00706EB3">
      <w:pPr>
        <w:pStyle w:val="Heading3"/>
        <w:ind w:left="993"/>
      </w:pPr>
      <w:bookmarkStart w:id="321" w:name="_Toc526152725"/>
      <w:r>
        <w:t>C.1 Rehabilitación</w:t>
      </w:r>
      <w:bookmarkEnd w:id="321"/>
    </w:p>
    <w:p w14:paraId="7966F88D" w14:textId="440EFE27" w:rsidR="00706EB3" w:rsidRDefault="00706EB3" w:rsidP="00706EB3">
      <w:pPr>
        <w:pStyle w:val="PrrafodeSentencia"/>
        <w:rPr>
          <w:rFonts w:cs="Cambria"/>
          <w:b/>
          <w:szCs w:val="20"/>
        </w:rPr>
      </w:pPr>
      <w:r w:rsidRPr="00981DBB">
        <w:rPr>
          <w:rFonts w:cs="Cambria"/>
          <w:szCs w:val="20"/>
        </w:rPr>
        <w:t xml:space="preserve">La </w:t>
      </w:r>
      <w:r w:rsidRPr="00981DBB">
        <w:rPr>
          <w:rFonts w:cs="Cambria"/>
          <w:b/>
          <w:i/>
          <w:szCs w:val="20"/>
        </w:rPr>
        <w:t>Comisión</w:t>
      </w:r>
      <w:r w:rsidRPr="00981DBB">
        <w:rPr>
          <w:rFonts w:cs="Cambria"/>
          <w:i/>
          <w:szCs w:val="20"/>
        </w:rPr>
        <w:t xml:space="preserve"> </w:t>
      </w:r>
      <w:r w:rsidRPr="00981DBB">
        <w:rPr>
          <w:rFonts w:cs="Cambria"/>
          <w:szCs w:val="20"/>
        </w:rPr>
        <w:t>señaló que</w:t>
      </w:r>
      <w:r w:rsidRPr="00981DBB">
        <w:rPr>
          <w:szCs w:val="20"/>
        </w:rPr>
        <w:t xml:space="preserve"> “el Estado debe </w:t>
      </w:r>
      <w:r w:rsidRPr="00981DBB">
        <w:rPr>
          <w:rFonts w:cs="Cambria"/>
          <w:szCs w:val="20"/>
        </w:rPr>
        <w:t xml:space="preserve">brindar un programa adecuado de atención a los familiares de Walter </w:t>
      </w:r>
      <w:proofErr w:type="spellStart"/>
      <w:r w:rsidRPr="00981DBB">
        <w:rPr>
          <w:rFonts w:cs="Cambria"/>
          <w:szCs w:val="20"/>
        </w:rPr>
        <w:t>Mun</w:t>
      </w:r>
      <w:r w:rsidR="0088348D">
        <w:rPr>
          <w:rFonts w:cs="Cambria"/>
          <w:szCs w:val="20"/>
        </w:rPr>
        <w:t>á</w:t>
      </w:r>
      <w:r w:rsidRPr="00981DBB">
        <w:rPr>
          <w:rFonts w:cs="Cambria"/>
          <w:szCs w:val="20"/>
        </w:rPr>
        <w:t>rriz</w:t>
      </w:r>
      <w:proofErr w:type="spellEnd"/>
      <w:r w:rsidRPr="00981DBB">
        <w:rPr>
          <w:rFonts w:cs="Cambria"/>
          <w:szCs w:val="20"/>
        </w:rPr>
        <w:t xml:space="preserve"> Escobar”. </w:t>
      </w:r>
    </w:p>
    <w:p w14:paraId="7E5A30BB" w14:textId="77777777" w:rsidR="00706EB3" w:rsidRPr="00981DBB" w:rsidRDefault="00706EB3" w:rsidP="00706EB3">
      <w:pPr>
        <w:rPr>
          <w:lang w:val="es-CR" w:eastAsia="es-MX"/>
        </w:rPr>
      </w:pPr>
    </w:p>
    <w:p w14:paraId="650C6B58" w14:textId="0D4E4C5A" w:rsidR="00706EB3" w:rsidRDefault="00706EB3" w:rsidP="00706EB3">
      <w:pPr>
        <w:pStyle w:val="PrrafodeSentencia"/>
        <w:rPr>
          <w:rFonts w:cs="Cambria"/>
          <w:b/>
          <w:szCs w:val="20"/>
        </w:rPr>
      </w:pPr>
      <w:r w:rsidRPr="00981DBB">
        <w:rPr>
          <w:rFonts w:cs="Arial"/>
          <w:szCs w:val="20"/>
        </w:rPr>
        <w:t xml:space="preserve">Los </w:t>
      </w:r>
      <w:r w:rsidRPr="00981DBB">
        <w:rPr>
          <w:rFonts w:cs="Arial"/>
          <w:b/>
          <w:i/>
          <w:szCs w:val="20"/>
        </w:rPr>
        <w:t>representantes</w:t>
      </w:r>
      <w:r w:rsidRPr="00981DBB">
        <w:rPr>
          <w:rFonts w:cs="Arial"/>
          <w:szCs w:val="20"/>
        </w:rPr>
        <w:t xml:space="preserve"> </w:t>
      </w:r>
      <w:r w:rsidRPr="00981DBB">
        <w:rPr>
          <w:rFonts w:cs="Cambria"/>
          <w:szCs w:val="20"/>
        </w:rPr>
        <w:t xml:space="preserve">solicitaron que se “ordene al Estado </w:t>
      </w:r>
      <w:proofErr w:type="spellStart"/>
      <w:proofErr w:type="gramStart"/>
      <w:r w:rsidRPr="00981DBB">
        <w:rPr>
          <w:rFonts w:cs="Cambria"/>
          <w:szCs w:val="20"/>
        </w:rPr>
        <w:t>brind</w:t>
      </w:r>
      <w:proofErr w:type="spellEnd"/>
      <w:r w:rsidRPr="00981DBB">
        <w:rPr>
          <w:rFonts w:cs="Cambria"/>
          <w:szCs w:val="20"/>
        </w:rPr>
        <w:t>[</w:t>
      </w:r>
      <w:proofErr w:type="spellStart"/>
      <w:proofErr w:type="gramEnd"/>
      <w:r w:rsidRPr="00981DBB">
        <w:rPr>
          <w:rFonts w:cs="Cambria"/>
          <w:szCs w:val="20"/>
        </w:rPr>
        <w:t>ar</w:t>
      </w:r>
      <w:proofErr w:type="spellEnd"/>
      <w:r w:rsidRPr="00981DBB">
        <w:rPr>
          <w:rFonts w:cs="Cambria"/>
          <w:szCs w:val="20"/>
        </w:rPr>
        <w:t xml:space="preserve">] atención médica y psicológica [especializada], gratuita y permanente a los familiares de las víctimas por parte de profesionales competentes, incluyendo la provisión gratuita de medicamentos que requieran, tomando en cuenta los padecimientos de cada uno de ellos”. Los representantes enfatizaron que la atención prestada por </w:t>
      </w:r>
      <w:proofErr w:type="spellStart"/>
      <w:r w:rsidRPr="00981DBB">
        <w:rPr>
          <w:rFonts w:cs="Cambria"/>
          <w:szCs w:val="20"/>
        </w:rPr>
        <w:t>E</w:t>
      </w:r>
      <w:r>
        <w:rPr>
          <w:rFonts w:cs="Cambria"/>
          <w:szCs w:val="20"/>
        </w:rPr>
        <w:t>s</w:t>
      </w:r>
      <w:r w:rsidRPr="00981DBB">
        <w:rPr>
          <w:rFonts w:cs="Cambria"/>
          <w:szCs w:val="20"/>
        </w:rPr>
        <w:t>S</w:t>
      </w:r>
      <w:r>
        <w:rPr>
          <w:rFonts w:cs="Cambria"/>
          <w:szCs w:val="20"/>
        </w:rPr>
        <w:t>alud</w:t>
      </w:r>
      <w:proofErr w:type="spellEnd"/>
      <w:r w:rsidRPr="00981DBB">
        <w:rPr>
          <w:rFonts w:cs="Cambria"/>
          <w:szCs w:val="20"/>
        </w:rPr>
        <w:t xml:space="preserve"> </w:t>
      </w:r>
      <w:r w:rsidRPr="00981DBB">
        <w:rPr>
          <w:szCs w:val="20"/>
        </w:rPr>
        <w:t xml:space="preserve">es una atención prestada por un organismo que le brinda servicios asistenciales a los trabajadores que se hayan afiliado a él por lo que se descuenta un monto en la planilla para poder atenderlos y no es de ninguna manera una medida </w:t>
      </w:r>
      <w:proofErr w:type="spellStart"/>
      <w:r w:rsidRPr="00981DBB">
        <w:rPr>
          <w:szCs w:val="20"/>
        </w:rPr>
        <w:t>reparatoria</w:t>
      </w:r>
      <w:proofErr w:type="spellEnd"/>
      <w:r w:rsidRPr="00981DBB">
        <w:rPr>
          <w:szCs w:val="20"/>
        </w:rPr>
        <w:t xml:space="preserve">. De la misma forma, </w:t>
      </w:r>
      <w:r w:rsidR="006E6869">
        <w:rPr>
          <w:szCs w:val="20"/>
        </w:rPr>
        <w:t>aclararon</w:t>
      </w:r>
      <w:r w:rsidRPr="00981DBB">
        <w:rPr>
          <w:szCs w:val="20"/>
        </w:rPr>
        <w:t xml:space="preserve"> que las alegadas atenciones </w:t>
      </w:r>
      <w:r>
        <w:rPr>
          <w:szCs w:val="20"/>
        </w:rPr>
        <w:t>brindadas por el Ministerio de S</w:t>
      </w:r>
      <w:r w:rsidRPr="00981DBB">
        <w:rPr>
          <w:szCs w:val="20"/>
        </w:rPr>
        <w:t xml:space="preserve">alud no cuentan con un enfoque de reparación, ni toman en consideración las características especiales de la violación de derechos humanos y las necesidades particulares de los familiares </w:t>
      </w:r>
      <w:r w:rsidRPr="00981DBB">
        <w:rPr>
          <w:szCs w:val="20"/>
        </w:rPr>
        <w:lastRenderedPageBreak/>
        <w:t xml:space="preserve">de la víctima. </w:t>
      </w:r>
      <w:r w:rsidRPr="00981DBB">
        <w:rPr>
          <w:rFonts w:cs="Cambria"/>
          <w:szCs w:val="20"/>
        </w:rPr>
        <w:t xml:space="preserve">Asimismo, solicitaron “que se le ordene al Estado hacerse cargo además de otros gastos que sean generados conjuntamente a la provisión del tratamiento, tales como el costo de transporte, entre otras necesidades que puedan presentarse”. </w:t>
      </w:r>
    </w:p>
    <w:p w14:paraId="287F0116" w14:textId="77777777" w:rsidR="00706EB3" w:rsidRPr="00981DBB" w:rsidRDefault="00706EB3" w:rsidP="00706EB3">
      <w:pPr>
        <w:rPr>
          <w:lang w:val="es-CR" w:eastAsia="es-MX"/>
        </w:rPr>
      </w:pPr>
    </w:p>
    <w:p w14:paraId="2B5974F9" w14:textId="63FAAECA" w:rsidR="00706EB3" w:rsidRDefault="006E6869" w:rsidP="00706EB3">
      <w:pPr>
        <w:pStyle w:val="PrrafodeSentencia"/>
        <w:rPr>
          <w:b/>
          <w:szCs w:val="20"/>
        </w:rPr>
      </w:pPr>
      <w:r>
        <w:rPr>
          <w:szCs w:val="20"/>
        </w:rPr>
        <w:t>E</w:t>
      </w:r>
      <w:r w:rsidR="00706EB3" w:rsidRPr="00981DBB">
        <w:rPr>
          <w:szCs w:val="20"/>
        </w:rPr>
        <w:t xml:space="preserve">l </w:t>
      </w:r>
      <w:r w:rsidR="00706EB3" w:rsidRPr="00981DBB">
        <w:rPr>
          <w:b/>
          <w:i/>
          <w:szCs w:val="20"/>
        </w:rPr>
        <w:t>Estado</w:t>
      </w:r>
      <w:r w:rsidR="00706EB3" w:rsidRPr="00981DBB">
        <w:rPr>
          <w:i/>
          <w:szCs w:val="20"/>
        </w:rPr>
        <w:t xml:space="preserve"> </w:t>
      </w:r>
      <w:r>
        <w:rPr>
          <w:szCs w:val="20"/>
        </w:rPr>
        <w:t>alegó</w:t>
      </w:r>
      <w:r w:rsidR="00706EB3" w:rsidRPr="00981DBB">
        <w:rPr>
          <w:szCs w:val="20"/>
        </w:rPr>
        <w:t xml:space="preserve"> </w:t>
      </w:r>
      <w:r w:rsidR="00784491">
        <w:rPr>
          <w:szCs w:val="20"/>
        </w:rPr>
        <w:t xml:space="preserve">que </w:t>
      </w:r>
      <w:r w:rsidR="00706EB3" w:rsidRPr="00981DBB">
        <w:rPr>
          <w:szCs w:val="20"/>
        </w:rPr>
        <w:t xml:space="preserve">“se ha implementado un programa adecuado de atención a </w:t>
      </w:r>
      <w:r w:rsidR="00706EB3">
        <w:rPr>
          <w:szCs w:val="20"/>
        </w:rPr>
        <w:t>[…]</w:t>
      </w:r>
      <w:r w:rsidR="00706EB3" w:rsidRPr="00981DBB">
        <w:rPr>
          <w:szCs w:val="20"/>
        </w:rPr>
        <w:t xml:space="preserve"> los familiares de</w:t>
      </w:r>
      <w:r w:rsidR="00706EB3">
        <w:rPr>
          <w:szCs w:val="20"/>
        </w:rPr>
        <w:t xml:space="preserve">l señor Walter </w:t>
      </w:r>
      <w:proofErr w:type="spellStart"/>
      <w:r w:rsidR="00706EB3">
        <w:rPr>
          <w:szCs w:val="20"/>
        </w:rPr>
        <w:t>Munárriz</w:t>
      </w:r>
      <w:proofErr w:type="spellEnd"/>
      <w:r w:rsidR="00706EB3">
        <w:rPr>
          <w:szCs w:val="20"/>
        </w:rPr>
        <w:t xml:space="preserve"> Escobar”, quienes se encuentran afiliados al Seguro Social de Salud (</w:t>
      </w:r>
      <w:proofErr w:type="spellStart"/>
      <w:r w:rsidR="00706EB3">
        <w:rPr>
          <w:szCs w:val="20"/>
        </w:rPr>
        <w:t>EsSalud</w:t>
      </w:r>
      <w:proofErr w:type="spellEnd"/>
      <w:r w:rsidR="00706EB3">
        <w:rPr>
          <w:szCs w:val="20"/>
        </w:rPr>
        <w:t>)</w:t>
      </w:r>
      <w:r w:rsidR="00784491">
        <w:rPr>
          <w:szCs w:val="20"/>
        </w:rPr>
        <w:t xml:space="preserve"> o han sido atendidos a través de los establecimientos del Ministerio de Salud</w:t>
      </w:r>
      <w:r w:rsidR="00706EB3" w:rsidRPr="00981DBB">
        <w:rPr>
          <w:szCs w:val="20"/>
        </w:rPr>
        <w:t>.</w:t>
      </w:r>
      <w:r w:rsidR="00706EB3" w:rsidRPr="00981DBB">
        <w:rPr>
          <w:rFonts w:cs="Cambria"/>
          <w:szCs w:val="20"/>
        </w:rPr>
        <w:t xml:space="preserve"> Por lo tanto, </w:t>
      </w:r>
      <w:r w:rsidR="00706EB3" w:rsidRPr="00981DBB">
        <w:rPr>
          <w:szCs w:val="20"/>
        </w:rPr>
        <w:t xml:space="preserve">puede evidenciarse que “el Estado peruano se encuentra realizando los mejores esfuerzos para brindar una debida atención a los familiares de la presunta víctima”. </w:t>
      </w:r>
    </w:p>
    <w:p w14:paraId="21E92EFA" w14:textId="77777777" w:rsidR="00706EB3" w:rsidRPr="00981DBB" w:rsidRDefault="00706EB3" w:rsidP="00706EB3">
      <w:pPr>
        <w:rPr>
          <w:lang w:val="es-CR" w:eastAsia="es-MX"/>
        </w:rPr>
      </w:pPr>
    </w:p>
    <w:p w14:paraId="09BC0158" w14:textId="2ABDEAE4" w:rsidR="00706EB3" w:rsidRPr="00DA2216" w:rsidRDefault="00706EB3" w:rsidP="00706EB3">
      <w:pPr>
        <w:pStyle w:val="PrrafodeSentencia"/>
        <w:rPr>
          <w:szCs w:val="20"/>
        </w:rPr>
      </w:pPr>
      <w:bookmarkStart w:id="322" w:name="_Ref524880658"/>
      <w:r w:rsidRPr="00981DBB">
        <w:rPr>
          <w:szCs w:val="20"/>
        </w:rPr>
        <w:t xml:space="preserve">La Corte estima que </w:t>
      </w:r>
      <w:r w:rsidRPr="00BA0261">
        <w:rPr>
          <w:szCs w:val="20"/>
        </w:rPr>
        <w:t>es preciso disponer una medida de reparación que brinde una atención adecuada a los padecimientos psicológicos</w:t>
      </w:r>
      <w:r>
        <w:rPr>
          <w:szCs w:val="20"/>
        </w:rPr>
        <w:t xml:space="preserve"> o psiquiátricos</w:t>
      </w:r>
      <w:r w:rsidRPr="00BA0261">
        <w:rPr>
          <w:szCs w:val="20"/>
        </w:rPr>
        <w:t xml:space="preserve"> sufridos por l</w:t>
      </w:r>
      <w:r>
        <w:rPr>
          <w:szCs w:val="20"/>
        </w:rPr>
        <w:t xml:space="preserve">os familiares de Walter </w:t>
      </w:r>
      <w:proofErr w:type="spellStart"/>
      <w:r>
        <w:rPr>
          <w:szCs w:val="20"/>
        </w:rPr>
        <w:t>Munárriz</w:t>
      </w:r>
      <w:proofErr w:type="spellEnd"/>
      <w:r>
        <w:rPr>
          <w:szCs w:val="20"/>
        </w:rPr>
        <w:t xml:space="preserve"> Escobar</w:t>
      </w:r>
      <w:r w:rsidRPr="00BA0261">
        <w:rPr>
          <w:rStyle w:val="FootnoteReference"/>
          <w:sz w:val="20"/>
          <w:szCs w:val="20"/>
        </w:rPr>
        <w:footnoteReference w:id="197"/>
      </w:r>
      <w:r>
        <w:rPr>
          <w:szCs w:val="20"/>
        </w:rPr>
        <w:t xml:space="preserve">. </w:t>
      </w:r>
      <w:r w:rsidRPr="00390F27">
        <w:rPr>
          <w:szCs w:val="20"/>
        </w:rPr>
        <w:t xml:space="preserve">Esta </w:t>
      </w:r>
      <w:r w:rsidR="00106B7D">
        <w:rPr>
          <w:szCs w:val="20"/>
        </w:rPr>
        <w:t>Corte</w:t>
      </w:r>
      <w:r w:rsidRPr="00BA0261">
        <w:rPr>
          <w:szCs w:val="20"/>
        </w:rPr>
        <w:t xml:space="preserve"> ordena al Estado brindar gratuitamente, de forma prioritaria, </w:t>
      </w:r>
      <w:r w:rsidRPr="00DA2216">
        <w:rPr>
          <w:szCs w:val="20"/>
        </w:rPr>
        <w:t xml:space="preserve">sin cargo alguno, el tratamiento </w:t>
      </w:r>
      <w:r w:rsidRPr="00DA2216">
        <w:rPr>
          <w:rFonts w:cs="Arial"/>
          <w:szCs w:val="20"/>
        </w:rPr>
        <w:t>inmediato</w:t>
      </w:r>
      <w:r w:rsidRPr="00DA2216">
        <w:rPr>
          <w:szCs w:val="20"/>
        </w:rPr>
        <w:t xml:space="preserve"> psicológico o psiquiátrico adecuado a las víctimas que así lo requieran, </w:t>
      </w:r>
      <w:r w:rsidRPr="00DA2216">
        <w:t>incluyendo el suministro gratuito de los medicamentos que eventualmente se requieran,</w:t>
      </w:r>
      <w:r w:rsidRPr="00DA2216">
        <w:rPr>
          <w:szCs w:val="20"/>
        </w:rPr>
        <w:t xml:space="preserve"> a través de sus instituciones de salud especializadas, previa manifestación de voluntad de tales víctimas.  </w:t>
      </w:r>
      <w:r w:rsidRPr="00DA2216">
        <w:t xml:space="preserve">Lo anterior implica que las víctimas deberán recibir un tratamiento diferenciado en relación con </w:t>
      </w:r>
      <w:r w:rsidRPr="00DA2216">
        <w:rPr>
          <w:szCs w:val="20"/>
        </w:rPr>
        <w:t>el trámite y procedimiento que debieran realizar para ser atendidos en los hospitales públicos</w:t>
      </w:r>
      <w:r w:rsidRPr="00DA2216">
        <w:rPr>
          <w:rStyle w:val="FootnoteReference"/>
          <w:sz w:val="20"/>
          <w:szCs w:val="20"/>
        </w:rPr>
        <w:footnoteReference w:id="198"/>
      </w:r>
      <w:r w:rsidRPr="00DA2216">
        <w:rPr>
          <w:szCs w:val="20"/>
        </w:rPr>
        <w:t xml:space="preserve">. </w:t>
      </w:r>
      <w:r w:rsidRPr="00DA2216">
        <w:t>Asimismo, los tratamientos respectivos deberán prestarse, en la medida de lo posible, en los centros más cercanos a sus lugares de residencia por el tiempo que sea necesario</w:t>
      </w:r>
      <w:r w:rsidRPr="00DA2216">
        <w:rPr>
          <w:rStyle w:val="FootnoteReference"/>
          <w:sz w:val="20"/>
          <w:szCs w:val="20"/>
        </w:rPr>
        <w:footnoteReference w:id="199"/>
      </w:r>
      <w:r w:rsidRPr="00DA2216">
        <w:t>.</w:t>
      </w:r>
      <w:bookmarkEnd w:id="322"/>
    </w:p>
    <w:p w14:paraId="0C8C3C41" w14:textId="77777777" w:rsidR="00706EB3" w:rsidRPr="00DA2216" w:rsidRDefault="00706EB3" w:rsidP="00706EB3">
      <w:pPr>
        <w:rPr>
          <w:lang w:val="es-CR" w:eastAsia="es-MX"/>
        </w:rPr>
      </w:pPr>
    </w:p>
    <w:p w14:paraId="7AF02E53" w14:textId="48986F35" w:rsidR="00706EB3" w:rsidRPr="00DA2216" w:rsidRDefault="00706EB3" w:rsidP="00706EB3">
      <w:pPr>
        <w:pStyle w:val="PrrafodeSentencia"/>
        <w:rPr>
          <w:rFonts w:cs="Arial"/>
          <w:szCs w:val="20"/>
        </w:rPr>
      </w:pPr>
      <w:bookmarkStart w:id="323" w:name="_Ref524880659"/>
      <w:r w:rsidRPr="00DA2216">
        <w:rPr>
          <w:szCs w:val="20"/>
          <w:lang w:val="es-ES"/>
        </w:rPr>
        <w:t>Al proveer el tratamiento psicológico o psiquiátrico se debe considerar, además, las circunstancias y necesidades particulares de cada víctima, de manera que se les brinden tratamientos colectivos, familiares e individuales, según lo que se acuerde con cada una de ellas y después de una evaluación individual</w:t>
      </w:r>
      <w:r w:rsidRPr="00DA2216">
        <w:rPr>
          <w:rStyle w:val="FootnoteReference"/>
          <w:sz w:val="20"/>
          <w:szCs w:val="20"/>
        </w:rPr>
        <w:footnoteReference w:id="200"/>
      </w:r>
      <w:r w:rsidRPr="00DA2216">
        <w:rPr>
          <w:szCs w:val="20"/>
          <w:lang w:val="es-ES"/>
        </w:rPr>
        <w:t xml:space="preserve">. </w:t>
      </w:r>
      <w:r w:rsidRPr="00DA2216">
        <w:rPr>
          <w:rFonts w:cs="Arial"/>
          <w:szCs w:val="20"/>
        </w:rPr>
        <w:t>Las víctimas que soliciten esta medida de reparación, o sus representantes legales, disponen de un plazo de seis meses, contado a partir de la notificación de la presente Sentencia, para dar a conocer al Estado su intención de recibir atención psicológica o psiquiátrica</w:t>
      </w:r>
      <w:r w:rsidRPr="00DA2216">
        <w:rPr>
          <w:rStyle w:val="FootnoteReference"/>
          <w:sz w:val="20"/>
          <w:szCs w:val="20"/>
        </w:rPr>
        <w:footnoteReference w:id="201"/>
      </w:r>
      <w:r w:rsidRPr="00DA2216">
        <w:rPr>
          <w:rFonts w:cs="Arial"/>
          <w:szCs w:val="20"/>
        </w:rPr>
        <w:t>.</w:t>
      </w:r>
      <w:r w:rsidR="0087200B">
        <w:rPr>
          <w:rFonts w:cs="Arial"/>
          <w:szCs w:val="20"/>
        </w:rPr>
        <w:t xml:space="preserve"> </w:t>
      </w:r>
      <w:r w:rsidRPr="00DA2216">
        <w:t>A su vez, el Estado dispondrá del plazo de dos meses, contado a partir de la recepción de dicha solicitud, para brindar de manera efectiva la atención psicológica o psiquiátrica solicitada.</w:t>
      </w:r>
      <w:bookmarkEnd w:id="323"/>
    </w:p>
    <w:p w14:paraId="52D04B56" w14:textId="77777777" w:rsidR="00706EB3" w:rsidRPr="00DA2216" w:rsidRDefault="00706EB3" w:rsidP="00B629F1">
      <w:pPr>
        <w:rPr>
          <w:lang w:val="es-CR"/>
        </w:rPr>
      </w:pPr>
    </w:p>
    <w:p w14:paraId="4E13D6A9" w14:textId="2F8DF838" w:rsidR="003F4A7E" w:rsidRPr="00DA2216" w:rsidRDefault="003F4A7E" w:rsidP="00B629F1">
      <w:pPr>
        <w:pStyle w:val="Heading3"/>
        <w:spacing w:after="0" w:line="240" w:lineRule="auto"/>
        <w:ind w:left="993"/>
      </w:pPr>
      <w:bookmarkStart w:id="324" w:name="_Toc526152726"/>
      <w:r w:rsidRPr="00DA2216">
        <w:t>C.</w:t>
      </w:r>
      <w:r w:rsidR="00706EB3" w:rsidRPr="00DA2216">
        <w:t>2</w:t>
      </w:r>
      <w:r w:rsidRPr="00DA2216">
        <w:t xml:space="preserve"> Medida</w:t>
      </w:r>
      <w:r w:rsidR="006939BE">
        <w:t>s</w:t>
      </w:r>
      <w:r w:rsidRPr="00DA2216">
        <w:t xml:space="preserve"> de Satisfacción</w:t>
      </w:r>
      <w:bookmarkEnd w:id="324"/>
    </w:p>
    <w:p w14:paraId="16F1EBA8" w14:textId="77777777" w:rsidR="000E5E07" w:rsidRPr="000E5E07" w:rsidRDefault="000E5E07" w:rsidP="00B629F1">
      <w:pPr>
        <w:rPr>
          <w:lang w:val="es-ES_tradnl" w:eastAsia="es-ES"/>
        </w:rPr>
      </w:pPr>
    </w:p>
    <w:p w14:paraId="6A1EE610" w14:textId="6D51C998" w:rsidR="003F4A7E" w:rsidRPr="00727ECB" w:rsidRDefault="003F4A7E" w:rsidP="00B629F1">
      <w:pPr>
        <w:pStyle w:val="Heading4"/>
        <w:ind w:left="1418" w:firstLine="0"/>
      </w:pPr>
      <w:r w:rsidRPr="00727ECB">
        <w:t>C.</w:t>
      </w:r>
      <w:r w:rsidR="00706EB3">
        <w:t>2</w:t>
      </w:r>
      <w:r w:rsidRPr="00727ECB">
        <w:t>.a Publicación y difusión de la Sentencia</w:t>
      </w:r>
    </w:p>
    <w:p w14:paraId="3E6CD765" w14:textId="77777777" w:rsidR="003F4A7E" w:rsidRPr="008232E9" w:rsidRDefault="003F4A7E" w:rsidP="00B629F1">
      <w:pPr>
        <w:pStyle w:val="ListParagraph"/>
        <w:jc w:val="both"/>
        <w:rPr>
          <w:rFonts w:cs="Arial"/>
          <w:szCs w:val="20"/>
          <w:lang w:val="es-CR"/>
        </w:rPr>
      </w:pPr>
    </w:p>
    <w:p w14:paraId="1C6CB236" w14:textId="3202B5D7" w:rsidR="00FB6969" w:rsidRPr="000219F9" w:rsidRDefault="003F4A7E" w:rsidP="00B629F1">
      <w:pPr>
        <w:pStyle w:val="PrrafodeSentencia"/>
      </w:pPr>
      <w:r w:rsidRPr="008232E9">
        <w:t xml:space="preserve">La </w:t>
      </w:r>
      <w:r w:rsidRPr="008232E9">
        <w:rPr>
          <w:b/>
          <w:i/>
        </w:rPr>
        <w:t>Comisión</w:t>
      </w:r>
      <w:r w:rsidRPr="008232E9">
        <w:t xml:space="preserve"> señaló que el Estado debe </w:t>
      </w:r>
      <w:r w:rsidR="00FB6969">
        <w:t>propiciar</w:t>
      </w:r>
      <w:r w:rsidRPr="008232E9">
        <w:t xml:space="preserve"> “el establecimiento y difusión de la verdad histórica de los hechos” relacionados con la desaparición de Walter </w:t>
      </w:r>
      <w:proofErr w:type="spellStart"/>
      <w:r w:rsidRPr="008232E9">
        <w:t>Munárriz</w:t>
      </w:r>
      <w:proofErr w:type="spellEnd"/>
      <w:r w:rsidRPr="008232E9">
        <w:t xml:space="preserve"> Escobar. </w:t>
      </w:r>
      <w:r w:rsidRPr="008232E9">
        <w:rPr>
          <w:rFonts w:cs="Cambria"/>
        </w:rPr>
        <w:t xml:space="preserve">Los </w:t>
      </w:r>
      <w:r w:rsidRPr="008232E9">
        <w:rPr>
          <w:rFonts w:cs="Cambria"/>
          <w:b/>
          <w:i/>
        </w:rPr>
        <w:lastRenderedPageBreak/>
        <w:t>representantes</w:t>
      </w:r>
      <w:r w:rsidRPr="008232E9">
        <w:rPr>
          <w:rFonts w:cs="Cambria"/>
        </w:rPr>
        <w:t xml:space="preserve"> solicitaron que el Estado haga: “a) La publicación del resumen oficial de la sentencia en el Diario Oficial “El Peruano”, en un diario de amplia circulación nacional y en un diario de circulación local de </w:t>
      </w:r>
      <w:proofErr w:type="spellStart"/>
      <w:r w:rsidRPr="008232E9">
        <w:rPr>
          <w:rFonts w:cs="Cambria"/>
        </w:rPr>
        <w:t>Lircay</w:t>
      </w:r>
      <w:proofErr w:type="spellEnd"/>
      <w:r w:rsidRPr="008232E9">
        <w:rPr>
          <w:rFonts w:cs="Cambria"/>
        </w:rPr>
        <w:t xml:space="preserve">, </w:t>
      </w:r>
      <w:proofErr w:type="spellStart"/>
      <w:r w:rsidRPr="008232E9">
        <w:rPr>
          <w:rFonts w:cs="Cambria"/>
        </w:rPr>
        <w:t>Angaraes</w:t>
      </w:r>
      <w:proofErr w:type="spellEnd"/>
      <w:r w:rsidRPr="008232E9">
        <w:rPr>
          <w:rFonts w:cs="Cambria"/>
        </w:rPr>
        <w:t xml:space="preserve">, Huancavelica”; y “b) la publicación de la sentencia, en su integridad, en los portales web del Estado Peruano del Ministerio de Justicia, del </w:t>
      </w:r>
      <w:r w:rsidRPr="000219F9">
        <w:rPr>
          <w:rFonts w:cs="Cambria"/>
        </w:rPr>
        <w:t>Ministerio del Interior y de la Policía Nacional del Perú</w:t>
      </w:r>
      <w:r w:rsidR="00F90E13" w:rsidRPr="000219F9">
        <w:rPr>
          <w:rFonts w:cs="Cambria"/>
        </w:rPr>
        <w:t>”.</w:t>
      </w:r>
      <w:r w:rsidRPr="000219F9">
        <w:rPr>
          <w:rFonts w:cs="Cambria"/>
        </w:rPr>
        <w:t xml:space="preserve"> </w:t>
      </w:r>
      <w:r w:rsidRPr="000219F9">
        <w:t xml:space="preserve">El </w:t>
      </w:r>
      <w:r w:rsidRPr="000219F9">
        <w:rPr>
          <w:b/>
          <w:i/>
        </w:rPr>
        <w:t>Estado</w:t>
      </w:r>
      <w:r w:rsidRPr="000219F9">
        <w:rPr>
          <w:i/>
        </w:rPr>
        <w:t xml:space="preserve"> </w:t>
      </w:r>
      <w:r w:rsidRPr="000219F9">
        <w:t xml:space="preserve">no se manifestó sobre esta solicitud. </w:t>
      </w:r>
    </w:p>
    <w:p w14:paraId="66A469D6" w14:textId="77777777" w:rsidR="00FB6969" w:rsidRPr="000219F9" w:rsidRDefault="00FB6969" w:rsidP="000E5E07">
      <w:pPr>
        <w:rPr>
          <w:lang w:val="es-CR" w:eastAsia="es-MX"/>
        </w:rPr>
      </w:pPr>
    </w:p>
    <w:p w14:paraId="4CDFB558" w14:textId="10EA6CBC" w:rsidR="00FB6969" w:rsidRDefault="003F4A7E" w:rsidP="000E5E07">
      <w:pPr>
        <w:pStyle w:val="PrrafodeSentencia"/>
        <w:rPr>
          <w:szCs w:val="20"/>
        </w:rPr>
      </w:pPr>
      <w:bookmarkStart w:id="325" w:name="_Ref521518604"/>
      <w:r w:rsidRPr="000219F9">
        <w:rPr>
          <w:szCs w:val="20"/>
        </w:rPr>
        <w:t>La Corte dispone, como lo ha hecho en otros casos</w:t>
      </w:r>
      <w:r w:rsidRPr="000219F9">
        <w:rPr>
          <w:rStyle w:val="FootnoteReference"/>
          <w:sz w:val="20"/>
          <w:szCs w:val="20"/>
        </w:rPr>
        <w:footnoteReference w:id="202"/>
      </w:r>
      <w:r w:rsidRPr="000219F9">
        <w:rPr>
          <w:szCs w:val="20"/>
        </w:rPr>
        <w:t xml:space="preserve">, que el Estado publique, en un plazo de seis meses, contado a partir de la notificación de la Sentencia: a) el resumen oficial de la presente Sentencia elaborado por la Corte, por una sola vez, en el Diario Oficial y en otro diario de </w:t>
      </w:r>
      <w:r w:rsidR="004720A2" w:rsidRPr="000219F9">
        <w:rPr>
          <w:szCs w:val="20"/>
        </w:rPr>
        <w:t xml:space="preserve">amplia </w:t>
      </w:r>
      <w:r w:rsidRPr="000219F9">
        <w:rPr>
          <w:szCs w:val="20"/>
        </w:rPr>
        <w:t>circulación nacional, con un tamaño de letra legible y adecuado, y b) la presente Sentencia en su integridad, disponible, por un período de al menos un año, en un sitio web oficial del Estado, de manera accesible al público y desde la página de inicio del sitio web. El Estado deberá informar de forma inmediata a este Tribunal una vez que proceda a realizar cada una de las publicaciones dispuestas, independientemente del plazo de un año para presentar su primer</w:t>
      </w:r>
      <w:r w:rsidRPr="00FB6969">
        <w:rPr>
          <w:szCs w:val="20"/>
        </w:rPr>
        <w:t xml:space="preserve"> informe dispuesto en la parte resolutiva de la Sentencia.</w:t>
      </w:r>
      <w:bookmarkEnd w:id="325"/>
    </w:p>
    <w:p w14:paraId="7E197A5F" w14:textId="77777777" w:rsidR="008E6807" w:rsidRPr="00FB6969" w:rsidRDefault="008E6807" w:rsidP="00FB6969">
      <w:pPr>
        <w:rPr>
          <w:lang w:val="es-CR" w:eastAsia="es-MX"/>
        </w:rPr>
      </w:pPr>
    </w:p>
    <w:p w14:paraId="6FD36056" w14:textId="688304E6" w:rsidR="003F4A7E" w:rsidRPr="00727ECB" w:rsidRDefault="003F4A7E" w:rsidP="00080F7C">
      <w:pPr>
        <w:pStyle w:val="Heading4"/>
        <w:ind w:left="1418" w:firstLine="0"/>
        <w:rPr>
          <w:lang w:val="es-ES_tradnl"/>
        </w:rPr>
      </w:pPr>
      <w:r w:rsidRPr="00727ECB">
        <w:rPr>
          <w:rFonts w:cs="Arial"/>
        </w:rPr>
        <w:t>C.</w:t>
      </w:r>
      <w:r w:rsidR="00706EB3">
        <w:rPr>
          <w:rFonts w:cs="Arial"/>
        </w:rPr>
        <w:t>2</w:t>
      </w:r>
      <w:r w:rsidRPr="00727ECB">
        <w:rPr>
          <w:rFonts w:cs="Arial"/>
        </w:rPr>
        <w:t xml:space="preserve">.b </w:t>
      </w:r>
      <w:r w:rsidRPr="00727ECB">
        <w:rPr>
          <w:lang w:val="es-ES_tradnl"/>
        </w:rPr>
        <w:t>Reconocimiento de responsabilidad internacional</w:t>
      </w:r>
    </w:p>
    <w:p w14:paraId="1B23B1EA" w14:textId="77777777" w:rsidR="003F4A7E" w:rsidRDefault="003F4A7E" w:rsidP="003F4A7E">
      <w:pPr>
        <w:jc w:val="both"/>
        <w:rPr>
          <w:szCs w:val="20"/>
          <w:lang w:val="es-ES_tradnl"/>
        </w:rPr>
      </w:pPr>
    </w:p>
    <w:p w14:paraId="22569CA8" w14:textId="2348502F" w:rsidR="00981DBB" w:rsidRDefault="003F4A7E" w:rsidP="003F4A7E">
      <w:pPr>
        <w:pStyle w:val="PrrafodeSentencia"/>
      </w:pPr>
      <w:r w:rsidRPr="00D1329E">
        <w:rPr>
          <w:lang w:val="es-ES"/>
        </w:rPr>
        <w:t xml:space="preserve">La </w:t>
      </w:r>
      <w:r w:rsidRPr="00D1329E">
        <w:rPr>
          <w:b/>
          <w:i/>
          <w:lang w:val="es-ES"/>
        </w:rPr>
        <w:t>Comisión</w:t>
      </w:r>
      <w:r w:rsidRPr="00D1329E">
        <w:rPr>
          <w:lang w:val="es-ES"/>
        </w:rPr>
        <w:t xml:space="preserve"> señalo que el Estado debe “reconocer su responsabilidad por la desaparición forzada de Walter </w:t>
      </w:r>
      <w:proofErr w:type="spellStart"/>
      <w:r w:rsidRPr="00D1329E">
        <w:rPr>
          <w:lang w:val="es-ES"/>
        </w:rPr>
        <w:t>Munárriz</w:t>
      </w:r>
      <w:proofErr w:type="spellEnd"/>
      <w:r w:rsidRPr="00D1329E">
        <w:rPr>
          <w:lang w:val="es-ES"/>
        </w:rPr>
        <w:t xml:space="preserve"> Escobar”. </w:t>
      </w:r>
      <w:r w:rsidRPr="008232E9">
        <w:t xml:space="preserve">Los </w:t>
      </w:r>
      <w:r w:rsidRPr="008232E9">
        <w:rPr>
          <w:b/>
          <w:i/>
        </w:rPr>
        <w:t>representantes</w:t>
      </w:r>
      <w:r w:rsidRPr="008232E9">
        <w:t xml:space="preserve"> solicitaron que el Estado realice un acto público de reconocimiento de responsabilidad, de desagravio en nombre de Walter </w:t>
      </w:r>
      <w:proofErr w:type="spellStart"/>
      <w:r w:rsidRPr="008232E9">
        <w:t>Munárriz</w:t>
      </w:r>
      <w:proofErr w:type="spellEnd"/>
      <w:r w:rsidRPr="008232E9">
        <w:t xml:space="preserve"> Escobar y sus familiares”. El </w:t>
      </w:r>
      <w:r w:rsidRPr="008232E9">
        <w:rPr>
          <w:b/>
          <w:i/>
        </w:rPr>
        <w:t>Estado</w:t>
      </w:r>
      <w:r w:rsidRPr="008232E9">
        <w:rPr>
          <w:i/>
        </w:rPr>
        <w:t xml:space="preserve"> </w:t>
      </w:r>
      <w:r w:rsidRPr="008232E9">
        <w:t>no se manifestó sobre esta solicitud.</w:t>
      </w:r>
    </w:p>
    <w:p w14:paraId="6562C576" w14:textId="77777777" w:rsidR="00981DBB" w:rsidRPr="00981DBB" w:rsidRDefault="00981DBB" w:rsidP="00981DBB">
      <w:pPr>
        <w:rPr>
          <w:lang w:val="es-CR" w:eastAsia="es-MX"/>
        </w:rPr>
      </w:pPr>
    </w:p>
    <w:p w14:paraId="590D4501" w14:textId="1EF001CE" w:rsidR="00981DBB" w:rsidRDefault="003F4A7E" w:rsidP="003F4A7E">
      <w:pPr>
        <w:pStyle w:val="PrrafodeSentencia"/>
        <w:rPr>
          <w:szCs w:val="20"/>
        </w:rPr>
      </w:pPr>
      <w:bookmarkStart w:id="326" w:name="_Ref524880691"/>
      <w:r w:rsidRPr="00981DBB">
        <w:rPr>
          <w:szCs w:val="20"/>
          <w:lang w:val="es-ES"/>
        </w:rPr>
        <w:t>Con el fin de reparar el daño causado a la</w:t>
      </w:r>
      <w:r w:rsidR="00F808FF">
        <w:rPr>
          <w:szCs w:val="20"/>
          <w:lang w:val="es-ES"/>
        </w:rPr>
        <w:t>s</w:t>
      </w:r>
      <w:r w:rsidRPr="00981DBB">
        <w:rPr>
          <w:szCs w:val="20"/>
          <w:lang w:val="es-ES"/>
        </w:rPr>
        <w:t xml:space="preserve"> víctima</w:t>
      </w:r>
      <w:r w:rsidR="00F808FF">
        <w:rPr>
          <w:szCs w:val="20"/>
          <w:lang w:val="es-ES"/>
        </w:rPr>
        <w:t>s</w:t>
      </w:r>
      <w:r w:rsidRPr="00981DBB">
        <w:rPr>
          <w:szCs w:val="20"/>
          <w:lang w:val="es-ES"/>
        </w:rPr>
        <w:t xml:space="preserve"> y de evitar que hechos como los de este caso se repitan, como lo ha hecho en otros casos</w:t>
      </w:r>
      <w:r w:rsidRPr="00981DBB">
        <w:rPr>
          <w:rStyle w:val="FootnoteReference"/>
          <w:sz w:val="20"/>
          <w:szCs w:val="20"/>
        </w:rPr>
        <w:footnoteReference w:id="203"/>
      </w:r>
      <w:r w:rsidRPr="00981DBB">
        <w:rPr>
          <w:szCs w:val="20"/>
          <w:lang w:val="es-ES"/>
        </w:rPr>
        <w:t xml:space="preserve">, la Corte estima necesario disponer que el Estado realice un acto público de reconocimiento de responsabilidad internacional en relación con los hechos del presente caso. </w:t>
      </w:r>
      <w:r w:rsidRPr="00981DBB">
        <w:rPr>
          <w:szCs w:val="20"/>
        </w:rPr>
        <w:t>En dicho acto se deberá hacer referencia a las violaciones de derechos humanos declaradas en la presente Sentencia. Asimismo, el acto deberá llevarse a cabo mediante una ceremonia pública en presencia de altos funcionarios del Estado y de las víctimas. El Estado deberá acordar con las víctimas o sus representantes la modalidad de cumplimento del acto público de reconocimiento, así como las particularidades que se requieran, tales como el lugar y la fecha para su realización. Para ello, el Estado cuenta con el plazo de un año, contado a partir de la notificación de esta Sentencia.</w:t>
      </w:r>
      <w:bookmarkEnd w:id="326"/>
    </w:p>
    <w:p w14:paraId="248F2AAE" w14:textId="77777777" w:rsidR="00BA0261" w:rsidRPr="008232E9" w:rsidRDefault="00BA0261" w:rsidP="00BA0261">
      <w:pPr>
        <w:jc w:val="both"/>
        <w:rPr>
          <w:rFonts w:cs="Arial"/>
          <w:szCs w:val="20"/>
          <w:lang w:val="es-CR"/>
        </w:rPr>
      </w:pPr>
    </w:p>
    <w:p w14:paraId="695B0BB0" w14:textId="6DB13B0E" w:rsidR="00F80016" w:rsidRDefault="00F80016" w:rsidP="00F80016">
      <w:pPr>
        <w:pStyle w:val="Heading2"/>
        <w:numPr>
          <w:ilvl w:val="0"/>
          <w:numId w:val="25"/>
        </w:numPr>
        <w:ind w:left="567" w:firstLine="0"/>
      </w:pPr>
      <w:bookmarkStart w:id="327" w:name="_Toc526152727"/>
      <w:r>
        <w:t>Otras medidas solicitadas</w:t>
      </w:r>
      <w:bookmarkEnd w:id="327"/>
      <w:r>
        <w:t xml:space="preserve"> </w:t>
      </w:r>
    </w:p>
    <w:p w14:paraId="43337E2C" w14:textId="77777777" w:rsidR="00F80016" w:rsidRDefault="00F80016" w:rsidP="00F80016">
      <w:pPr>
        <w:pStyle w:val="PrrafodeSentencia"/>
        <w:numPr>
          <w:ilvl w:val="0"/>
          <w:numId w:val="0"/>
        </w:numPr>
        <w:rPr>
          <w:rFonts w:cs="Arial"/>
          <w:szCs w:val="20"/>
        </w:rPr>
      </w:pPr>
    </w:p>
    <w:p w14:paraId="187F5F79" w14:textId="1AF8CA8F" w:rsidR="00461A6E" w:rsidRPr="00AB4690" w:rsidRDefault="00EB241B" w:rsidP="00AB4690">
      <w:pPr>
        <w:pStyle w:val="PrrafodeSentencia"/>
        <w:rPr>
          <w:b/>
          <w:szCs w:val="20"/>
        </w:rPr>
      </w:pPr>
      <w:r w:rsidRPr="00ED3A41">
        <w:t>L</w:t>
      </w:r>
      <w:r w:rsidR="003F4A7E" w:rsidRPr="00ED3A41">
        <w:t xml:space="preserve">a </w:t>
      </w:r>
      <w:r w:rsidR="003F4A7E" w:rsidRPr="00ED3A41">
        <w:rPr>
          <w:b/>
          <w:i/>
        </w:rPr>
        <w:t>Comisión</w:t>
      </w:r>
      <w:r w:rsidRPr="00ED3A41">
        <w:t xml:space="preserve"> indicó de manera general </w:t>
      </w:r>
      <w:r w:rsidR="003F4A7E" w:rsidRPr="00ED3A41">
        <w:t>que el Estado debe “adoptar las medidas de no repetición necesarias para evitar que en el futur</w:t>
      </w:r>
      <w:r w:rsidR="00461A6E">
        <w:t>o se produzcan hechos similares</w:t>
      </w:r>
      <w:r w:rsidR="003F4A7E" w:rsidRPr="00ED3A41">
        <w:t xml:space="preserve">. </w:t>
      </w:r>
      <w:r w:rsidR="00461A6E">
        <w:t xml:space="preserve">En particular, </w:t>
      </w:r>
      <w:r w:rsidR="00461A6E" w:rsidRPr="008232E9">
        <w:t>disponer las medidas necesarias para fortalecer la capacidad institucional para investigar casos de desaparición forzada de personas, incluyendo la búsqueda exhaustiva del paradero de la persona desaparecida, así como el establecimiento de las respectivas responsabilidades”.</w:t>
      </w:r>
      <w:r w:rsidR="00923B01">
        <w:t xml:space="preserve"> Asimismo, solicitó que se ordenara la adecuación de la tipificación del delito de desaparición forzada.</w:t>
      </w:r>
      <w:r w:rsidR="00AB4690">
        <w:rPr>
          <w:b/>
          <w:szCs w:val="20"/>
        </w:rPr>
        <w:t xml:space="preserve"> </w:t>
      </w:r>
      <w:r w:rsidR="00714422">
        <w:t xml:space="preserve">Los </w:t>
      </w:r>
      <w:r w:rsidR="00714422" w:rsidRPr="00AB4690">
        <w:rPr>
          <w:b/>
          <w:i/>
        </w:rPr>
        <w:t xml:space="preserve">representantes </w:t>
      </w:r>
      <w:r w:rsidR="00714422">
        <w:t xml:space="preserve">solicitaron que i) se adecuara la tipificación del delito de desaparición forzada; ii) </w:t>
      </w:r>
      <w:r w:rsidR="00714422" w:rsidRPr="00AB4690">
        <w:rPr>
          <w:szCs w:val="20"/>
        </w:rPr>
        <w:t xml:space="preserve">la capacitación de jueces y fiscales en cuanto a los estándares internacionales en materia de derechos humanos, particularmente respecto a los estándares de </w:t>
      </w:r>
      <w:r w:rsidR="00714422" w:rsidRPr="00AB4690">
        <w:rPr>
          <w:szCs w:val="20"/>
        </w:rPr>
        <w:lastRenderedPageBreak/>
        <w:t>investigación y protección judicial”</w:t>
      </w:r>
      <w:r w:rsidR="00AA06FB" w:rsidRPr="00AB4690">
        <w:rPr>
          <w:szCs w:val="20"/>
        </w:rPr>
        <w:t xml:space="preserve">; iii) que se creara </w:t>
      </w:r>
      <w:r w:rsidR="00AA06FB" w:rsidRPr="00AB4690">
        <w:rPr>
          <w:rFonts w:cs="Arial"/>
          <w:szCs w:val="20"/>
        </w:rPr>
        <w:t>“</w:t>
      </w:r>
      <w:r w:rsidR="00AA06FB" w:rsidRPr="00AB4690">
        <w:rPr>
          <w:rFonts w:cs="Cambria"/>
          <w:szCs w:val="20"/>
        </w:rPr>
        <w:t>una metodología para dar seguimiento a la labor de instructores de la Policía Nacional en derechos humanos y de una metodología para evaluar la eficacia y efectos de los programas de formación en la reducción de casos de tortura, desapariciones forzadas y uso ilegítimo y desproporcionado de la fuerza”, y iv) “la creación de un Protocolo o Guía, por parte del Ministerio del Interior, sobre los derechos [</w:t>
      </w:r>
      <w:r w:rsidR="00AA06FB" w:rsidRPr="00AB4690">
        <w:rPr>
          <w:szCs w:val="20"/>
        </w:rPr>
        <w:t xml:space="preserve">y salvaguardas] </w:t>
      </w:r>
      <w:r w:rsidR="00AA06FB" w:rsidRPr="00AB4690">
        <w:rPr>
          <w:rFonts w:cs="Cambria"/>
          <w:szCs w:val="20"/>
        </w:rPr>
        <w:t>que tienen las personas privadas de la libertad, haciendo énfasis en las primeras horas de detención, que sea de fácil lectura y didáctico</w:t>
      </w:r>
      <w:r w:rsidR="00AA06FB" w:rsidRPr="00AB4690">
        <w:rPr>
          <w:szCs w:val="20"/>
        </w:rPr>
        <w:t xml:space="preserve"> </w:t>
      </w:r>
      <w:r w:rsidR="00AA06FB" w:rsidRPr="00AB4690">
        <w:rPr>
          <w:rFonts w:cs="Cambria"/>
          <w:szCs w:val="20"/>
        </w:rPr>
        <w:t xml:space="preserve">dirigido a los miembros de la Policía Nacional del Perú”. </w:t>
      </w:r>
    </w:p>
    <w:p w14:paraId="226237B6" w14:textId="77777777" w:rsidR="00205962" w:rsidRDefault="00205962" w:rsidP="00E83246">
      <w:pPr>
        <w:pStyle w:val="PrrafodeSentencia"/>
        <w:numPr>
          <w:ilvl w:val="0"/>
          <w:numId w:val="0"/>
        </w:numPr>
      </w:pPr>
    </w:p>
    <w:p w14:paraId="40A5605B" w14:textId="4CFB29B6" w:rsidR="00AA06FB" w:rsidRDefault="00AA06FB" w:rsidP="00AA06FB">
      <w:pPr>
        <w:pStyle w:val="PrrafodeSentencia"/>
      </w:pPr>
      <w:r>
        <w:t xml:space="preserve">Respecto a </w:t>
      </w:r>
      <w:r w:rsidR="0066728F">
        <w:t>estas</w:t>
      </w:r>
      <w:r>
        <w:t xml:space="preserve"> solicitudes, la Corte estima que la emisión de la presente Sentencia y las reparaciones ordenadas en este capítulo resultan suficientes y adecuadas para remediar las violaciones sufridas por las víctimas, por lo que no considera necesario ordenar dichas medidas.</w:t>
      </w:r>
    </w:p>
    <w:p w14:paraId="0CBBC463" w14:textId="77777777" w:rsidR="003F4A7E" w:rsidRPr="008232E9" w:rsidRDefault="003F4A7E" w:rsidP="003F4A7E">
      <w:pPr>
        <w:jc w:val="both"/>
        <w:rPr>
          <w:rFonts w:cs="Arial"/>
          <w:szCs w:val="20"/>
          <w:lang w:val="es-CR"/>
        </w:rPr>
      </w:pPr>
    </w:p>
    <w:p w14:paraId="1A69C071" w14:textId="58B31463" w:rsidR="003F4A7E" w:rsidRPr="00727ECB" w:rsidRDefault="00AA06FB" w:rsidP="00AA06FB">
      <w:pPr>
        <w:pStyle w:val="Heading2"/>
        <w:numPr>
          <w:ilvl w:val="0"/>
          <w:numId w:val="25"/>
        </w:numPr>
        <w:tabs>
          <w:tab w:val="clear" w:pos="993"/>
          <w:tab w:val="left" w:pos="851"/>
        </w:tabs>
        <w:ind w:left="567" w:firstLine="0"/>
      </w:pPr>
      <w:r>
        <w:t xml:space="preserve"> </w:t>
      </w:r>
      <w:bookmarkStart w:id="328" w:name="_Toc526152728"/>
      <w:r w:rsidR="003F4A7E" w:rsidRPr="00727ECB">
        <w:t>Indemnizaciones Compensatorias: Daño material e inmaterial</w:t>
      </w:r>
      <w:bookmarkEnd w:id="328"/>
    </w:p>
    <w:p w14:paraId="3A6298C5" w14:textId="77777777" w:rsidR="00AA06FB" w:rsidRDefault="00AA06FB" w:rsidP="00673434">
      <w:pPr>
        <w:jc w:val="both"/>
        <w:rPr>
          <w:szCs w:val="20"/>
          <w:lang w:val="es-CR"/>
        </w:rPr>
      </w:pPr>
    </w:p>
    <w:p w14:paraId="7991C30B" w14:textId="4B442D4A" w:rsidR="00FF6DB0" w:rsidRDefault="003F4A7E" w:rsidP="00FF6DB0">
      <w:pPr>
        <w:pStyle w:val="PrrafodeSentencia"/>
      </w:pPr>
      <w:r w:rsidRPr="008232E9">
        <w:t xml:space="preserve">La </w:t>
      </w:r>
      <w:r w:rsidRPr="008232E9">
        <w:rPr>
          <w:b/>
          <w:i/>
        </w:rPr>
        <w:t>Comisión</w:t>
      </w:r>
      <w:r w:rsidRPr="008232E9">
        <w:t xml:space="preserve"> señaló que “el Estado debe reparar adecuadamente las violaciones de derechos humanos declaradas en el informe tanto en el aspecto material como moral, incluyendo una justa compensación”.</w:t>
      </w:r>
    </w:p>
    <w:p w14:paraId="55D1E34F" w14:textId="77777777" w:rsidR="00F808FF" w:rsidRPr="00F808FF" w:rsidRDefault="00F808FF" w:rsidP="00F808FF">
      <w:pPr>
        <w:rPr>
          <w:lang w:val="es-CR" w:eastAsia="es-MX"/>
        </w:rPr>
      </w:pPr>
    </w:p>
    <w:p w14:paraId="5704A5C2" w14:textId="42C30F18" w:rsidR="00FF6DB0" w:rsidRPr="00B36A25" w:rsidRDefault="00673434" w:rsidP="00FF6DB0">
      <w:pPr>
        <w:pStyle w:val="PrrafodeSentencia"/>
        <w:rPr>
          <w:b/>
          <w:szCs w:val="20"/>
        </w:rPr>
      </w:pPr>
      <w:r w:rsidRPr="00FF6DB0">
        <w:rPr>
          <w:szCs w:val="20"/>
        </w:rPr>
        <w:t xml:space="preserve">Los </w:t>
      </w:r>
      <w:r w:rsidRPr="00FF6DB0">
        <w:rPr>
          <w:b/>
          <w:i/>
          <w:szCs w:val="20"/>
        </w:rPr>
        <w:t>representantes</w:t>
      </w:r>
      <w:r w:rsidR="00FF6DB0" w:rsidRPr="00FF6DB0">
        <w:rPr>
          <w:b/>
        </w:rPr>
        <w:t xml:space="preserve"> </w:t>
      </w:r>
      <w:r w:rsidR="00FF6DB0" w:rsidRPr="00FF6DB0">
        <w:rPr>
          <w:szCs w:val="20"/>
        </w:rPr>
        <w:t>indicaron que los familiares “a lo largo de estos más de 17 años han incurrido en diversos gastos para establecer la verdad de lo ocurrido y buscar justicia”.</w:t>
      </w:r>
      <w:r w:rsidR="00FF6DB0" w:rsidRPr="00FF6DB0">
        <w:rPr>
          <w:b/>
        </w:rPr>
        <w:t xml:space="preserve"> </w:t>
      </w:r>
      <w:r w:rsidR="00FF6DB0" w:rsidRPr="00FF6DB0">
        <w:t>Solicitaron que esta “</w:t>
      </w:r>
      <w:r w:rsidR="00FF6DB0" w:rsidRPr="00FF6DB0">
        <w:rPr>
          <w:szCs w:val="20"/>
        </w:rPr>
        <w:t xml:space="preserve">la Corte que fije en equidad la cantidad y que, esa suma, sea pagada a Gladys Escobar </w:t>
      </w:r>
      <w:proofErr w:type="spellStart"/>
      <w:r w:rsidR="00FF6DB0" w:rsidRPr="00FF6DB0">
        <w:rPr>
          <w:szCs w:val="20"/>
        </w:rPr>
        <w:t>Candiotti</w:t>
      </w:r>
      <w:proofErr w:type="spellEnd"/>
      <w:r w:rsidR="00FF6DB0" w:rsidRPr="00FF6DB0">
        <w:rPr>
          <w:szCs w:val="20"/>
        </w:rPr>
        <w:t>”. Respecto a la pérdida de ingresos,</w:t>
      </w:r>
      <w:r w:rsidR="00F961A5">
        <w:rPr>
          <w:szCs w:val="20"/>
        </w:rPr>
        <w:t xml:space="preserve"> presentaron una estimación en base al salario mínimo, sin embargo</w:t>
      </w:r>
      <w:r w:rsidR="00FF6DB0" w:rsidRPr="00FF6DB0">
        <w:rPr>
          <w:szCs w:val="20"/>
        </w:rPr>
        <w:t xml:space="preserve"> </w:t>
      </w:r>
      <w:r w:rsidR="00B629F1">
        <w:rPr>
          <w:szCs w:val="20"/>
        </w:rPr>
        <w:t xml:space="preserve">señalaron que se debía </w:t>
      </w:r>
      <w:r w:rsidR="00FF6DB0">
        <w:rPr>
          <w:szCs w:val="20"/>
        </w:rPr>
        <w:t>toma</w:t>
      </w:r>
      <w:r w:rsidR="00B629F1">
        <w:rPr>
          <w:szCs w:val="20"/>
        </w:rPr>
        <w:t>r</w:t>
      </w:r>
      <w:r w:rsidR="00FF6DB0">
        <w:rPr>
          <w:szCs w:val="20"/>
        </w:rPr>
        <w:t xml:space="preserve"> en cuenta que </w:t>
      </w:r>
      <w:r w:rsidR="00FF6DB0" w:rsidRPr="007E022C">
        <w:rPr>
          <w:szCs w:val="20"/>
        </w:rPr>
        <w:t xml:space="preserve">Walter </w:t>
      </w:r>
      <w:proofErr w:type="spellStart"/>
      <w:r w:rsidR="00FF6DB0" w:rsidRPr="007E022C">
        <w:rPr>
          <w:szCs w:val="20"/>
        </w:rPr>
        <w:t>Munárriz</w:t>
      </w:r>
      <w:proofErr w:type="spellEnd"/>
      <w:r w:rsidR="00FF6DB0" w:rsidRPr="007E022C">
        <w:rPr>
          <w:szCs w:val="20"/>
        </w:rPr>
        <w:t xml:space="preserve"> Escobar era estudiante de Ingeniería de Minas </w:t>
      </w:r>
      <w:r w:rsidR="00AB4690">
        <w:rPr>
          <w:szCs w:val="20"/>
        </w:rPr>
        <w:t>“</w:t>
      </w:r>
      <w:r w:rsidR="00FF6DB0" w:rsidRPr="007E022C">
        <w:rPr>
          <w:szCs w:val="20"/>
        </w:rPr>
        <w:t>por lo que su salario hubiese sid</w:t>
      </w:r>
      <w:r w:rsidR="007E022C" w:rsidRPr="007E022C">
        <w:rPr>
          <w:szCs w:val="20"/>
        </w:rPr>
        <w:t>o mucho mayor al mínimo legal”.</w:t>
      </w:r>
      <w:r w:rsidR="00FF6DB0" w:rsidRPr="007E022C">
        <w:rPr>
          <w:szCs w:val="20"/>
        </w:rPr>
        <w:t xml:space="preserve"> </w:t>
      </w:r>
      <w:r w:rsidR="007E022C">
        <w:rPr>
          <w:szCs w:val="20"/>
        </w:rPr>
        <w:t xml:space="preserve">Por último, solicitaron por concepto de indemnización de daño inmaterial la suma de US$ 50,000 dólares americanos a favor de Gladys Escobar </w:t>
      </w:r>
      <w:proofErr w:type="spellStart"/>
      <w:r w:rsidR="007E022C">
        <w:rPr>
          <w:szCs w:val="20"/>
        </w:rPr>
        <w:t>Candiotti</w:t>
      </w:r>
      <w:proofErr w:type="spellEnd"/>
      <w:r w:rsidR="007E022C">
        <w:rPr>
          <w:szCs w:val="20"/>
        </w:rPr>
        <w:t xml:space="preserve"> y US$ </w:t>
      </w:r>
      <w:r w:rsidR="002D3FAA">
        <w:rPr>
          <w:szCs w:val="20"/>
        </w:rPr>
        <w:t xml:space="preserve">30,000 </w:t>
      </w:r>
      <w:r w:rsidR="007E022C">
        <w:rPr>
          <w:szCs w:val="20"/>
        </w:rPr>
        <w:t>a favor de cada uno de los hermanos de la víctima.</w:t>
      </w:r>
    </w:p>
    <w:p w14:paraId="7066DA9D" w14:textId="15B3AF30" w:rsidR="00673434" w:rsidRPr="00B36A25" w:rsidRDefault="00673434" w:rsidP="00FF6DB0">
      <w:pPr>
        <w:pStyle w:val="PrrafodeSentencia"/>
        <w:numPr>
          <w:ilvl w:val="0"/>
          <w:numId w:val="0"/>
        </w:numPr>
        <w:rPr>
          <w:szCs w:val="20"/>
        </w:rPr>
      </w:pPr>
    </w:p>
    <w:p w14:paraId="7DFF43C0" w14:textId="35CDE7AC" w:rsidR="00673434" w:rsidRPr="00B36A25" w:rsidRDefault="00673434" w:rsidP="00B36A25">
      <w:pPr>
        <w:pStyle w:val="PrrafodeSentencia"/>
        <w:rPr>
          <w:rFonts w:cs="Cambria"/>
          <w:b/>
        </w:rPr>
      </w:pPr>
      <w:r w:rsidRPr="00B36A25">
        <w:t xml:space="preserve">El </w:t>
      </w:r>
      <w:r w:rsidRPr="00B36A25">
        <w:rPr>
          <w:b/>
          <w:i/>
        </w:rPr>
        <w:t>Estado</w:t>
      </w:r>
      <w:r w:rsidR="00E03171" w:rsidRPr="00B36A25">
        <w:rPr>
          <w:b/>
          <w:i/>
        </w:rPr>
        <w:t xml:space="preserve"> </w:t>
      </w:r>
      <w:r w:rsidR="00E03171" w:rsidRPr="00B36A25">
        <w:t>resaltó</w:t>
      </w:r>
      <w:r w:rsidR="00B36A25" w:rsidRPr="00B36A25">
        <w:t xml:space="preserve"> que no se presentaron recibos que “acrediten los gastos en los que hubieren [in]</w:t>
      </w:r>
      <w:proofErr w:type="spellStart"/>
      <w:r w:rsidR="00B36A25" w:rsidRPr="00B36A25">
        <w:t>currido</w:t>
      </w:r>
      <w:proofErr w:type="spellEnd"/>
      <w:r w:rsidR="00B36A25" w:rsidRPr="00B36A25">
        <w:t xml:space="preserve">”. </w:t>
      </w:r>
      <w:r w:rsidR="00B36A25" w:rsidRPr="00B36A25">
        <w:rPr>
          <w:b/>
        </w:rPr>
        <w:t>[F184]</w:t>
      </w:r>
      <w:r w:rsidR="00B36A25" w:rsidRPr="00B36A25">
        <w:rPr>
          <w:rFonts w:cs="Cambria"/>
          <w:b/>
        </w:rPr>
        <w:t xml:space="preserve"> </w:t>
      </w:r>
      <w:r w:rsidR="00B36A25" w:rsidRPr="00B36A25">
        <w:rPr>
          <w:rFonts w:cs="Cambria"/>
        </w:rPr>
        <w:t>R</w:t>
      </w:r>
      <w:r w:rsidRPr="00B36A25">
        <w:t>especto de los ingresos dejados de percibir,</w:t>
      </w:r>
      <w:r w:rsidR="00B36A25" w:rsidRPr="00B36A25">
        <w:t xml:space="preserve"> indicó </w:t>
      </w:r>
      <w:r w:rsidRPr="00B36A25">
        <w:t xml:space="preserve"> </w:t>
      </w:r>
      <w:r w:rsidR="00B36A25" w:rsidRPr="00B36A25">
        <w:t>que “</w:t>
      </w:r>
      <w:r w:rsidRPr="00B36A25">
        <w:t>deberá comprobarse un nexo causal entre el mismo y las presuntas violaciones denunciadas</w:t>
      </w:r>
      <w:r w:rsidR="00B36A25" w:rsidRPr="00B36A25">
        <w:t>”</w:t>
      </w:r>
      <w:r w:rsidRPr="00B36A25">
        <w:t xml:space="preserve">. Agregaron que “no se ha precisado a que actividades económicas se dedicaba la presunta víctima y, en primer lugar, si se dedicaba a alguna actividad económica permanente que justifique la existencia de una reparación por lucro cesante”. </w:t>
      </w:r>
      <w:r w:rsidR="00A8500B">
        <w:rPr>
          <w:rFonts w:cs="Cambria"/>
        </w:rPr>
        <w:t xml:space="preserve">Por último indicó que las cantidades solicitadas por daño inmaterial son superiores a otras otorgadas por la Corte en otros casos. </w:t>
      </w:r>
    </w:p>
    <w:p w14:paraId="6A4DBEEA" w14:textId="77777777" w:rsidR="003F4A7E" w:rsidRPr="008232E9" w:rsidRDefault="003F4A7E" w:rsidP="00673434">
      <w:pPr>
        <w:jc w:val="both"/>
        <w:rPr>
          <w:rFonts w:cs="Arial"/>
          <w:szCs w:val="20"/>
          <w:lang w:val="es-CR"/>
        </w:rPr>
      </w:pPr>
    </w:p>
    <w:p w14:paraId="3C27C6E0" w14:textId="4558C153" w:rsidR="003F4A7E" w:rsidRDefault="00E85103" w:rsidP="00673434">
      <w:pPr>
        <w:pStyle w:val="Heading3"/>
        <w:tabs>
          <w:tab w:val="left" w:pos="1560"/>
        </w:tabs>
        <w:spacing w:after="0" w:line="240" w:lineRule="auto"/>
        <w:ind w:left="1080"/>
      </w:pPr>
      <w:bookmarkStart w:id="329" w:name="_Toc526152729"/>
      <w:r>
        <w:t>E</w:t>
      </w:r>
      <w:r w:rsidR="00EB241B">
        <w:t>.</w:t>
      </w:r>
      <w:r w:rsidR="003F4A7E" w:rsidRPr="00727ECB">
        <w:t>1.</w:t>
      </w:r>
      <w:r w:rsidR="003F4A7E" w:rsidRPr="00727ECB">
        <w:tab/>
        <w:t>Daño material</w:t>
      </w:r>
      <w:bookmarkEnd w:id="329"/>
    </w:p>
    <w:p w14:paraId="020CCA06" w14:textId="77777777" w:rsidR="00673434" w:rsidRPr="00673434" w:rsidRDefault="00673434" w:rsidP="00673434">
      <w:pPr>
        <w:rPr>
          <w:lang w:val="es-ES_tradnl" w:eastAsia="es-ES"/>
        </w:rPr>
      </w:pPr>
    </w:p>
    <w:p w14:paraId="5D055E75" w14:textId="36DD7C9B" w:rsidR="003F4A7E" w:rsidRPr="008232E9" w:rsidRDefault="003F4A7E" w:rsidP="00673434">
      <w:pPr>
        <w:pStyle w:val="PrrafodeSentencia"/>
      </w:pPr>
      <w:r w:rsidRPr="008232E9">
        <w:t>Este Tribunal ha desarrollado en su jurisprudencia que el daño material s</w:t>
      </w:r>
      <w:r w:rsidR="00673434">
        <w:t xml:space="preserve">upone </w:t>
      </w:r>
      <w:r w:rsidRPr="008232E9">
        <w:t xml:space="preserve">la pérdida o detrimento de los ingresos de las víctimas, los gastos efectuados con motivo de los hechos y las </w:t>
      </w:r>
      <w:r w:rsidRPr="005E6FFB">
        <w:t>consecuencias de carácter pecuniario que tengan un nexo</w:t>
      </w:r>
      <w:r w:rsidR="00673434">
        <w:t xml:space="preserve"> causal con los hechos del caso</w:t>
      </w:r>
      <w:r w:rsidRPr="005E6FFB">
        <w:rPr>
          <w:rStyle w:val="FootnoteReference"/>
          <w:sz w:val="20"/>
          <w:szCs w:val="20"/>
        </w:rPr>
        <w:footnoteReference w:id="204"/>
      </w:r>
      <w:r w:rsidRPr="005E6FFB">
        <w:t>.</w:t>
      </w:r>
    </w:p>
    <w:p w14:paraId="126A75D0" w14:textId="77777777" w:rsidR="003F4A7E" w:rsidRPr="008232E9" w:rsidRDefault="003F4A7E" w:rsidP="003F4A7E">
      <w:pPr>
        <w:pStyle w:val="ListParagraph"/>
        <w:jc w:val="both"/>
        <w:rPr>
          <w:rFonts w:cs="Arial"/>
          <w:szCs w:val="20"/>
          <w:lang w:val="es-CR"/>
        </w:rPr>
      </w:pPr>
    </w:p>
    <w:p w14:paraId="19366DD4" w14:textId="0D62CE6A" w:rsidR="003F4A7E" w:rsidRPr="00E14FF6" w:rsidRDefault="00E85103" w:rsidP="00EB241B">
      <w:pPr>
        <w:pStyle w:val="Heading4"/>
        <w:ind w:left="1418" w:firstLine="0"/>
      </w:pPr>
      <w:r>
        <w:t>E</w:t>
      </w:r>
      <w:r w:rsidR="00EB241B">
        <w:t>.1.</w:t>
      </w:r>
      <w:r w:rsidR="00FF6DB0">
        <w:t>a</w:t>
      </w:r>
      <w:r w:rsidR="00EB241B">
        <w:t xml:space="preserve"> </w:t>
      </w:r>
      <w:r w:rsidR="003F4A7E" w:rsidRPr="00E14FF6">
        <w:t xml:space="preserve">Daño </w:t>
      </w:r>
      <w:r w:rsidR="00EB241B">
        <w:t>e</w:t>
      </w:r>
      <w:r w:rsidR="003F4A7E" w:rsidRPr="00E14FF6">
        <w:t>mergente</w:t>
      </w:r>
    </w:p>
    <w:p w14:paraId="7D864D0B" w14:textId="22B75350" w:rsidR="003F4A7E" w:rsidRPr="00FF6DB0" w:rsidRDefault="003F4A7E" w:rsidP="003F4A7E">
      <w:pPr>
        <w:jc w:val="both"/>
        <w:rPr>
          <w:b/>
          <w:szCs w:val="20"/>
          <w:lang w:val="es-CR"/>
        </w:rPr>
      </w:pPr>
    </w:p>
    <w:p w14:paraId="2446A5A5" w14:textId="2CD13092" w:rsidR="003F4A7E" w:rsidRPr="008232E9" w:rsidRDefault="003F4A7E" w:rsidP="00B63B0C">
      <w:pPr>
        <w:pStyle w:val="PrrafodeSentencia"/>
      </w:pPr>
      <w:bookmarkStart w:id="330" w:name="_Ref525053004"/>
      <w:r w:rsidRPr="008232E9">
        <w:t xml:space="preserve">La Corte advierte que, pese a que no fueron aportados comprobantes de gastos, es de presumir que los familiares del señor </w:t>
      </w:r>
      <w:proofErr w:type="spellStart"/>
      <w:r w:rsidRPr="008232E9">
        <w:t>Munárriz</w:t>
      </w:r>
      <w:proofErr w:type="spellEnd"/>
      <w:r w:rsidRPr="008232E9">
        <w:t xml:space="preserve"> Escobar incurrieron en diversos gastos con motivo de su detención y posterior desaparición. </w:t>
      </w:r>
      <w:r w:rsidR="00B63B0C">
        <w:t xml:space="preserve">Si bien no constan en el expediente los comprobantes de dichos gastos, la Corte estima </w:t>
      </w:r>
      <w:r w:rsidR="00877AC1">
        <w:t xml:space="preserve">razonable </w:t>
      </w:r>
      <w:r w:rsidR="00B63B0C">
        <w:t>fi</w:t>
      </w:r>
      <w:r w:rsidR="00877AC1">
        <w:t>j</w:t>
      </w:r>
      <w:r w:rsidR="00B63B0C">
        <w:t xml:space="preserve">ar la cantidad de US$ </w:t>
      </w:r>
      <w:r w:rsidR="00990FCA">
        <w:t xml:space="preserve">15.000,00 </w:t>
      </w:r>
      <w:r w:rsidR="00990FCA">
        <w:lastRenderedPageBreak/>
        <w:t>(quince mil dólares de los Estados Unidos de América)</w:t>
      </w:r>
      <w:r w:rsidR="00B63B0C">
        <w:t xml:space="preserve">, como indemnización por concepto de daño emergente, la cual deberá ser entregada a </w:t>
      </w:r>
      <w:r w:rsidR="00AB2739">
        <w:t>Gladys</w:t>
      </w:r>
      <w:r w:rsidRPr="008232E9">
        <w:t xml:space="preserve"> Escobar </w:t>
      </w:r>
      <w:proofErr w:type="spellStart"/>
      <w:r w:rsidRPr="008232E9">
        <w:t>Candiotti</w:t>
      </w:r>
      <w:proofErr w:type="spellEnd"/>
      <w:r w:rsidR="00B63B0C">
        <w:t>.</w:t>
      </w:r>
      <w:bookmarkEnd w:id="330"/>
      <w:r w:rsidRPr="008232E9">
        <w:t xml:space="preserve"> </w:t>
      </w:r>
    </w:p>
    <w:p w14:paraId="7AE27C58" w14:textId="77777777" w:rsidR="00FF6DB0" w:rsidRPr="008232E9" w:rsidRDefault="00FF6DB0" w:rsidP="00FF6DB0">
      <w:pPr>
        <w:jc w:val="both"/>
        <w:rPr>
          <w:szCs w:val="20"/>
          <w:lang w:val="es-CR"/>
        </w:rPr>
      </w:pPr>
    </w:p>
    <w:p w14:paraId="5DC92E15" w14:textId="5A81A707" w:rsidR="00FF6DB0" w:rsidRPr="002E00F0" w:rsidRDefault="00FF6DB0" w:rsidP="00FF6DB0">
      <w:pPr>
        <w:pStyle w:val="Heading4"/>
        <w:ind w:left="1418" w:firstLine="0"/>
      </w:pPr>
      <w:r>
        <w:t xml:space="preserve">E.1.b </w:t>
      </w:r>
      <w:r w:rsidRPr="002E00F0">
        <w:t>Ingresos dejados de percibir</w:t>
      </w:r>
    </w:p>
    <w:p w14:paraId="09F9CE0C" w14:textId="77777777" w:rsidR="00FF6DB0" w:rsidRPr="00B629F1" w:rsidRDefault="00FF6DB0" w:rsidP="00FF6DB0">
      <w:pPr>
        <w:jc w:val="both"/>
        <w:rPr>
          <w:szCs w:val="20"/>
          <w:lang w:val="es-CR"/>
        </w:rPr>
      </w:pPr>
    </w:p>
    <w:p w14:paraId="254E06FA" w14:textId="2097750F" w:rsidR="00FB09A4" w:rsidRPr="00C16118" w:rsidRDefault="00B629F1" w:rsidP="00C16118">
      <w:pPr>
        <w:pStyle w:val="PrrafodeSentencia"/>
        <w:rPr>
          <w:rFonts w:cs="Cambria"/>
          <w:szCs w:val="20"/>
        </w:rPr>
      </w:pPr>
      <w:r w:rsidRPr="00A331C6">
        <w:rPr>
          <w:szCs w:val="20"/>
        </w:rPr>
        <w:t xml:space="preserve">Los representantes se basaron en el salario mínimo legal del Perú </w:t>
      </w:r>
      <w:r w:rsidRPr="00A331C6">
        <w:rPr>
          <w:rFonts w:cs="Cambria"/>
          <w:szCs w:val="20"/>
        </w:rPr>
        <w:t xml:space="preserve">desde el año del inicio de la desaparición de Walter </w:t>
      </w:r>
      <w:proofErr w:type="spellStart"/>
      <w:r w:rsidRPr="00A331C6">
        <w:rPr>
          <w:rFonts w:cs="Cambria"/>
          <w:szCs w:val="20"/>
        </w:rPr>
        <w:t>Munárriz</w:t>
      </w:r>
      <w:proofErr w:type="spellEnd"/>
      <w:r w:rsidRPr="00A331C6">
        <w:rPr>
          <w:rFonts w:cs="Cambria"/>
          <w:szCs w:val="20"/>
        </w:rPr>
        <w:t xml:space="preserve"> Escobar hasta el 2017, con montos actualizados al valor actual</w:t>
      </w:r>
      <w:r w:rsidRPr="00A331C6">
        <w:rPr>
          <w:szCs w:val="20"/>
        </w:rPr>
        <w:t>, lo cual ascendía a US$</w:t>
      </w:r>
      <w:r w:rsidRPr="00A331C6">
        <w:rPr>
          <w:rFonts w:cs="Cambria"/>
          <w:szCs w:val="20"/>
        </w:rPr>
        <w:t xml:space="preserve"> </w:t>
      </w:r>
      <w:r w:rsidRPr="00A331C6">
        <w:rPr>
          <w:rFonts w:cs="CIDFont+F3"/>
          <w:szCs w:val="20"/>
        </w:rPr>
        <w:t>45</w:t>
      </w:r>
      <w:r w:rsidR="001F3AB0" w:rsidRPr="00A331C6">
        <w:rPr>
          <w:rFonts w:cs="CIDFont+F3"/>
          <w:szCs w:val="20"/>
        </w:rPr>
        <w:t>.</w:t>
      </w:r>
      <w:r w:rsidRPr="00A331C6">
        <w:rPr>
          <w:rFonts w:cs="CIDFont+F3"/>
          <w:szCs w:val="20"/>
        </w:rPr>
        <w:t>369</w:t>
      </w:r>
      <w:r w:rsidR="001F3AB0" w:rsidRPr="00A331C6">
        <w:rPr>
          <w:rFonts w:cs="CIDFont+F3"/>
          <w:szCs w:val="20"/>
        </w:rPr>
        <w:t>,</w:t>
      </w:r>
      <w:r w:rsidRPr="00A331C6">
        <w:rPr>
          <w:rFonts w:cs="CIDFont+F3"/>
          <w:szCs w:val="20"/>
        </w:rPr>
        <w:t>61</w:t>
      </w:r>
      <w:r w:rsidRPr="00A331C6">
        <w:rPr>
          <w:rStyle w:val="FootnoteReference"/>
          <w:sz w:val="20"/>
          <w:szCs w:val="20"/>
        </w:rPr>
        <w:footnoteReference w:id="205"/>
      </w:r>
      <w:r w:rsidRPr="00A331C6">
        <w:rPr>
          <w:rFonts w:cs="CIDFont+F3"/>
          <w:szCs w:val="20"/>
        </w:rPr>
        <w:t xml:space="preserve">. Sobre esta cifra </w:t>
      </w:r>
      <w:r w:rsidRPr="00A331C6">
        <w:t xml:space="preserve">descontaron el 25% en concepto de gastos personales, resultando en un monto de </w:t>
      </w:r>
      <w:r w:rsidRPr="00A331C6">
        <w:rPr>
          <w:szCs w:val="20"/>
        </w:rPr>
        <w:t>34.027,21</w:t>
      </w:r>
      <w:r w:rsidRPr="00A331C6">
        <w:rPr>
          <w:rStyle w:val="FootnoteReference"/>
          <w:sz w:val="20"/>
          <w:szCs w:val="20"/>
        </w:rPr>
        <w:footnoteReference w:id="206"/>
      </w:r>
      <w:r w:rsidRPr="00A331C6">
        <w:rPr>
          <w:rFonts w:cs="CIDFont+F3"/>
          <w:szCs w:val="20"/>
        </w:rPr>
        <w:t>.</w:t>
      </w:r>
      <w:r w:rsidRPr="00A331C6">
        <w:rPr>
          <w:rFonts w:cs="Cambria"/>
          <w:szCs w:val="20"/>
        </w:rPr>
        <w:t xml:space="preserve"> </w:t>
      </w:r>
      <w:r w:rsidR="00FB09A4" w:rsidRPr="00A331C6">
        <w:rPr>
          <w:szCs w:val="20"/>
        </w:rPr>
        <w:t xml:space="preserve">No obstante, indicaron que </w:t>
      </w:r>
      <w:r w:rsidRPr="00A331C6">
        <w:t xml:space="preserve">Walter </w:t>
      </w:r>
      <w:proofErr w:type="spellStart"/>
      <w:r w:rsidRPr="00A331C6">
        <w:t>Munárriz</w:t>
      </w:r>
      <w:proofErr w:type="spellEnd"/>
      <w:r w:rsidRPr="00A331C6">
        <w:t xml:space="preserve"> Escob</w:t>
      </w:r>
      <w:r w:rsidRPr="00C16118">
        <w:rPr>
          <w:szCs w:val="20"/>
        </w:rPr>
        <w:t xml:space="preserve">ar era estudiante de Ingeniería de Minas “por lo que su salario hubiese sido mucho mayor al mínimo legal”. </w:t>
      </w:r>
    </w:p>
    <w:p w14:paraId="0CC4B408" w14:textId="77777777" w:rsidR="00C16118" w:rsidRPr="00C16118" w:rsidRDefault="00C16118" w:rsidP="00C16118">
      <w:pPr>
        <w:rPr>
          <w:lang w:val="es-CR" w:eastAsia="es-MX"/>
        </w:rPr>
      </w:pPr>
    </w:p>
    <w:p w14:paraId="4F6263D9" w14:textId="296F2616" w:rsidR="00FF6DB0" w:rsidRPr="00F24F69" w:rsidRDefault="00FF6DB0" w:rsidP="00B63B0C">
      <w:pPr>
        <w:pStyle w:val="PrrafodeSentencia"/>
        <w:rPr>
          <w:szCs w:val="20"/>
        </w:rPr>
      </w:pPr>
      <w:bookmarkStart w:id="331" w:name="_Ref524880763"/>
      <w:r w:rsidRPr="00A331C6">
        <w:rPr>
          <w:szCs w:val="20"/>
        </w:rPr>
        <w:t>La Corte considera, como lo ha hecho en otros casos sobre desapariciones forzadas</w:t>
      </w:r>
      <w:r w:rsidRPr="00A331C6">
        <w:rPr>
          <w:rStyle w:val="FootnoteReference"/>
          <w:sz w:val="20"/>
          <w:szCs w:val="20"/>
          <w:lang w:val="es-ES"/>
        </w:rPr>
        <w:footnoteReference w:id="207"/>
      </w:r>
      <w:r w:rsidRPr="00A331C6">
        <w:rPr>
          <w:szCs w:val="20"/>
        </w:rPr>
        <w:t xml:space="preserve">, que en este caso, en que se desconoce el paradero de la víctima, es posible aplicar los criterios de compensación por la pérdida de ingresos de ésta, lo cual comprende los ingresos que habría percibido durante su vida </w:t>
      </w:r>
      <w:r w:rsidRPr="00F24F69">
        <w:rPr>
          <w:szCs w:val="20"/>
        </w:rPr>
        <w:t>probable. Teniendo en cuenta la edad de la víctima al inicio de su desaparición, la actividad para la cual se preparaba, así como la esperanza de vida en el Perú</w:t>
      </w:r>
      <w:r w:rsidRPr="00F24F69">
        <w:rPr>
          <w:rStyle w:val="FootnoteReference"/>
          <w:sz w:val="20"/>
          <w:szCs w:val="20"/>
        </w:rPr>
        <w:footnoteReference w:id="208"/>
      </w:r>
      <w:r w:rsidRPr="00F24F69">
        <w:rPr>
          <w:szCs w:val="20"/>
        </w:rPr>
        <w:t xml:space="preserve">, la Corte </w:t>
      </w:r>
      <w:r w:rsidR="00877AC1" w:rsidRPr="00F24F69">
        <w:rPr>
          <w:szCs w:val="20"/>
        </w:rPr>
        <w:t xml:space="preserve">estima razonable </w:t>
      </w:r>
      <w:r w:rsidRPr="00F24F69">
        <w:rPr>
          <w:szCs w:val="20"/>
        </w:rPr>
        <w:t xml:space="preserve">fijar la cantidad de US$ </w:t>
      </w:r>
      <w:r w:rsidR="00C5693B" w:rsidRPr="00F24F69">
        <w:rPr>
          <w:szCs w:val="20"/>
        </w:rPr>
        <w:t xml:space="preserve">60.000,00 (sesenta mil </w:t>
      </w:r>
      <w:r w:rsidR="00C5693B" w:rsidRPr="00F24F69">
        <w:t>dólares de los Estados Unidos de América)</w:t>
      </w:r>
      <w:r w:rsidRPr="00F24F69">
        <w:rPr>
          <w:szCs w:val="20"/>
        </w:rPr>
        <w:t xml:space="preserve"> </w:t>
      </w:r>
      <w:r w:rsidR="00AB2739">
        <w:rPr>
          <w:szCs w:val="20"/>
        </w:rPr>
        <w:t xml:space="preserve">por </w:t>
      </w:r>
      <w:r w:rsidRPr="00F24F69">
        <w:rPr>
          <w:szCs w:val="20"/>
        </w:rPr>
        <w:t xml:space="preserve">concepto de ingresos dejados de percibir a favor del señor Walter </w:t>
      </w:r>
      <w:proofErr w:type="spellStart"/>
      <w:r w:rsidRPr="00F24F69">
        <w:rPr>
          <w:szCs w:val="20"/>
        </w:rPr>
        <w:t>Munárriz</w:t>
      </w:r>
      <w:proofErr w:type="spellEnd"/>
      <w:r w:rsidRPr="00F24F69">
        <w:rPr>
          <w:szCs w:val="20"/>
        </w:rPr>
        <w:t xml:space="preserve"> Escobar. </w:t>
      </w:r>
      <w:r w:rsidR="00001E89" w:rsidRPr="00F24F69">
        <w:t xml:space="preserve">Este monto deberá ser entregado a la señora Gladys Escobar </w:t>
      </w:r>
      <w:proofErr w:type="spellStart"/>
      <w:r w:rsidR="00001E89" w:rsidRPr="00F24F69">
        <w:t>Candiotti</w:t>
      </w:r>
      <w:proofErr w:type="spellEnd"/>
      <w:r w:rsidR="00001E89" w:rsidRPr="00F24F69">
        <w:t>.</w:t>
      </w:r>
      <w:bookmarkEnd w:id="331"/>
    </w:p>
    <w:p w14:paraId="253F385F" w14:textId="77777777" w:rsidR="00C5693B" w:rsidRPr="00F24F69" w:rsidRDefault="00C5693B" w:rsidP="00FB09A4">
      <w:pPr>
        <w:jc w:val="both"/>
        <w:rPr>
          <w:rFonts w:cs="Cambria"/>
          <w:b/>
          <w:szCs w:val="20"/>
          <w:lang w:val="es-CR"/>
        </w:rPr>
      </w:pPr>
    </w:p>
    <w:p w14:paraId="10BD2ED3" w14:textId="0355351F" w:rsidR="00FB09A4" w:rsidRPr="00F24F69" w:rsidRDefault="00FB09A4" w:rsidP="00FB09A4">
      <w:pPr>
        <w:pStyle w:val="Heading3"/>
        <w:tabs>
          <w:tab w:val="left" w:pos="1560"/>
        </w:tabs>
        <w:ind w:left="993"/>
      </w:pPr>
      <w:bookmarkStart w:id="332" w:name="_Toc526152730"/>
      <w:r w:rsidRPr="00F24F69">
        <w:t>E.2 Daño Inmaterial</w:t>
      </w:r>
      <w:bookmarkEnd w:id="332"/>
    </w:p>
    <w:p w14:paraId="5E07A6CA" w14:textId="6C9B954E" w:rsidR="00FB09A4" w:rsidRPr="00F24F69" w:rsidRDefault="003F4A7E" w:rsidP="00FB09A4">
      <w:pPr>
        <w:pStyle w:val="PrrafodeSentencia"/>
        <w:rPr>
          <w:szCs w:val="20"/>
        </w:rPr>
      </w:pPr>
      <w:r w:rsidRPr="00F24F69">
        <w:rPr>
          <w:szCs w:val="20"/>
        </w:rPr>
        <w:t xml:space="preserve">La jurisprudencia internacional ha establecido reiteradamente que la sentencia puede constituir </w:t>
      </w:r>
      <w:r w:rsidR="00377DE7" w:rsidRPr="00F24F69">
        <w:rPr>
          <w:szCs w:val="20"/>
        </w:rPr>
        <w:t>por sí misma</w:t>
      </w:r>
      <w:r w:rsidRPr="00F24F69">
        <w:rPr>
          <w:szCs w:val="20"/>
        </w:rPr>
        <w:t xml:space="preserve"> una forma de reparación</w:t>
      </w:r>
      <w:r w:rsidRPr="00F24F69">
        <w:rPr>
          <w:rStyle w:val="FootnoteReference"/>
          <w:sz w:val="20"/>
          <w:szCs w:val="20"/>
        </w:rPr>
        <w:footnoteReference w:id="209"/>
      </w:r>
      <w:r w:rsidR="00377DE7" w:rsidRPr="00F24F69">
        <w:rPr>
          <w:szCs w:val="20"/>
        </w:rPr>
        <w:t xml:space="preserve">. No obstante, </w:t>
      </w:r>
      <w:r w:rsidRPr="00F24F69">
        <w:rPr>
          <w:szCs w:val="20"/>
        </w:rPr>
        <w:t>este Tribunal ha desarrollado el concepto de daño inmaterial y ha establ</w:t>
      </w:r>
      <w:r w:rsidR="00377DE7" w:rsidRPr="00F24F69">
        <w:rPr>
          <w:szCs w:val="20"/>
        </w:rPr>
        <w:t xml:space="preserve">ecido que este </w:t>
      </w:r>
      <w:r w:rsidRPr="00F24F69">
        <w:rPr>
          <w:szCs w:val="20"/>
        </w:rPr>
        <w:t>puede comprender tanto los sufrimientos y las aflicciones causados a la víctima directa y a sus allegados, el menoscabo de valores muy significativos para las personas, así como las alteraciones, de carácter no pecuniario, en las condiciones de existe</w:t>
      </w:r>
      <w:r w:rsidR="00377DE7" w:rsidRPr="00F24F69">
        <w:rPr>
          <w:szCs w:val="20"/>
        </w:rPr>
        <w:t>ncia de la víctima o su familia</w:t>
      </w:r>
      <w:r w:rsidRPr="00F24F69">
        <w:rPr>
          <w:rStyle w:val="FootnoteReference"/>
          <w:sz w:val="20"/>
          <w:szCs w:val="20"/>
        </w:rPr>
        <w:footnoteReference w:id="210"/>
      </w:r>
      <w:r w:rsidRPr="00F24F69">
        <w:rPr>
          <w:szCs w:val="20"/>
        </w:rPr>
        <w:t xml:space="preserve">. </w:t>
      </w:r>
    </w:p>
    <w:p w14:paraId="76E397C9" w14:textId="77777777" w:rsidR="00FB09A4" w:rsidRPr="00F24F69" w:rsidRDefault="00FB09A4" w:rsidP="00FB09A4">
      <w:pPr>
        <w:rPr>
          <w:lang w:val="es-CR" w:eastAsia="es-MX"/>
        </w:rPr>
      </w:pPr>
    </w:p>
    <w:p w14:paraId="588E29D6" w14:textId="452D592F" w:rsidR="002C3990" w:rsidRPr="00F24F69" w:rsidRDefault="003F4A7E" w:rsidP="002C3990">
      <w:pPr>
        <w:pStyle w:val="PrrafodeSentencia"/>
      </w:pPr>
      <w:r w:rsidRPr="00F24F69">
        <w:t>En consideración de las circunstancias del presente caso, las violaciones cometidas, los sufrimientos ocasionados y experimentados en diferentes grados, el tiempo transcurrido, la denegación de la justicia, así como el cambio en las condiciones de vida de algunos familiares, las comprobadas afectaciones a la integridad personal de los familiares de las víctimas y las restantes consecuencias de orden inmaterial que sufrieron, el Tribunal pasa a fijar las indemnizaciones por daño inmaterial a favor de las víctimas.</w:t>
      </w:r>
    </w:p>
    <w:p w14:paraId="5D46BD27" w14:textId="77777777" w:rsidR="002C3990" w:rsidRPr="00F24F69" w:rsidRDefault="002C3990" w:rsidP="002C3990">
      <w:pPr>
        <w:rPr>
          <w:lang w:val="es-CR" w:eastAsia="es-MX"/>
        </w:rPr>
      </w:pPr>
    </w:p>
    <w:p w14:paraId="7AD0E9F7" w14:textId="32C514BF" w:rsidR="00FB09A4" w:rsidRPr="00F24F69" w:rsidRDefault="003F4A7E" w:rsidP="002C3990">
      <w:pPr>
        <w:pStyle w:val="PrrafodeSentencia"/>
      </w:pPr>
      <w:bookmarkStart w:id="333" w:name="_Ref524880799"/>
      <w:r w:rsidRPr="00F24F69">
        <w:t xml:space="preserve">En primer término, la Corte considera que las circunstancias que rodearon la detención y desaparición del señor Walter </w:t>
      </w:r>
      <w:proofErr w:type="spellStart"/>
      <w:r w:rsidRPr="00F24F69">
        <w:t>Munárriz</w:t>
      </w:r>
      <w:proofErr w:type="spellEnd"/>
      <w:r w:rsidRPr="00F24F69">
        <w:t xml:space="preserve"> Escobar, fueron de una naturaleza tal que le causaron </w:t>
      </w:r>
      <w:r w:rsidRPr="00F24F69">
        <w:lastRenderedPageBreak/>
        <w:t>profundo temor y sufrimiento</w:t>
      </w:r>
      <w:r w:rsidRPr="00F24F69">
        <w:rPr>
          <w:szCs w:val="20"/>
        </w:rPr>
        <w:t>. En casos anteriores</w:t>
      </w:r>
      <w:r w:rsidRPr="00F24F69">
        <w:rPr>
          <w:rStyle w:val="FootnoteReference"/>
          <w:sz w:val="20"/>
          <w:szCs w:val="20"/>
        </w:rPr>
        <w:footnoteReference w:id="211"/>
      </w:r>
      <w:r w:rsidRPr="00F24F69">
        <w:rPr>
          <w:szCs w:val="20"/>
        </w:rPr>
        <w:t>, la</w:t>
      </w:r>
      <w:r w:rsidRPr="00F24F69">
        <w:t xml:space="preserve"> Corte Interamericana estimó que circunstancias similares habían causado a la víctima un grave perjuicio moral que debía ser valorado en toda su dimensión a la hora de fijar una indemnización por ese concepto. A la luz de este criterio, la Corte considera que el señor Walter </w:t>
      </w:r>
      <w:proofErr w:type="spellStart"/>
      <w:r w:rsidRPr="00F24F69">
        <w:t>Munárriz</w:t>
      </w:r>
      <w:proofErr w:type="spellEnd"/>
      <w:r w:rsidRPr="00F24F69">
        <w:t xml:space="preserve"> Escobar debe ser compensado por concepto de daño inmaterial y </w:t>
      </w:r>
      <w:r w:rsidR="00877AC1" w:rsidRPr="00F24F69">
        <w:t>estima razonable</w:t>
      </w:r>
      <w:r w:rsidRPr="00F24F69">
        <w:t xml:space="preserve"> el pago de US$ </w:t>
      </w:r>
      <w:r w:rsidR="00923A9B" w:rsidRPr="00F24F69">
        <w:t>10</w:t>
      </w:r>
      <w:r w:rsidR="006C2579" w:rsidRPr="00F24F69">
        <w:t>0.000</w:t>
      </w:r>
      <w:r w:rsidR="000B46FB" w:rsidRPr="00F24F69">
        <w:t>,00</w:t>
      </w:r>
      <w:r w:rsidR="006C2579" w:rsidRPr="00F24F69">
        <w:t xml:space="preserve"> (</w:t>
      </w:r>
      <w:r w:rsidR="00923A9B" w:rsidRPr="00F24F69">
        <w:t>cien</w:t>
      </w:r>
      <w:r w:rsidR="006C2579" w:rsidRPr="00F24F69">
        <w:t xml:space="preserve"> mil dólares de los Estados Unidos de América)</w:t>
      </w:r>
      <w:r w:rsidRPr="00F24F69">
        <w:t xml:space="preserve">. Este monto deberá ser </w:t>
      </w:r>
      <w:r w:rsidR="002C3990" w:rsidRPr="00F24F69">
        <w:t xml:space="preserve">entregado a la señora Gladys Escobar </w:t>
      </w:r>
      <w:proofErr w:type="spellStart"/>
      <w:r w:rsidR="002C3990" w:rsidRPr="00F24F69">
        <w:t>Candiotti</w:t>
      </w:r>
      <w:proofErr w:type="spellEnd"/>
      <w:r w:rsidR="002C3990" w:rsidRPr="00F24F69">
        <w:t>.</w:t>
      </w:r>
      <w:bookmarkEnd w:id="333"/>
    </w:p>
    <w:p w14:paraId="7982350A" w14:textId="77777777" w:rsidR="00F74016" w:rsidRPr="00F24F69" w:rsidRDefault="00F74016" w:rsidP="00F74016">
      <w:pPr>
        <w:pStyle w:val="Footer"/>
        <w:tabs>
          <w:tab w:val="clear" w:pos="4320"/>
          <w:tab w:val="clear" w:pos="8640"/>
        </w:tabs>
        <w:rPr>
          <w:lang w:val="es-CR" w:eastAsia="es-MX"/>
        </w:rPr>
      </w:pPr>
    </w:p>
    <w:p w14:paraId="61EBEE71" w14:textId="7C1F9D62" w:rsidR="003F4A7E" w:rsidRPr="00F24F69" w:rsidRDefault="003F4A7E" w:rsidP="004720A2">
      <w:pPr>
        <w:pStyle w:val="PrrafodeSentencia"/>
      </w:pPr>
      <w:bookmarkStart w:id="334" w:name="_Ref524880801"/>
      <w:r w:rsidRPr="00F24F69">
        <w:t xml:space="preserve">En segundo término, la Corte estima que Gladys Escobar </w:t>
      </w:r>
      <w:proofErr w:type="spellStart"/>
      <w:r w:rsidRPr="00F24F69">
        <w:t>Candiotti</w:t>
      </w:r>
      <w:proofErr w:type="spellEnd"/>
      <w:r w:rsidRPr="00F24F69">
        <w:t xml:space="preserve">, Gladys </w:t>
      </w:r>
      <w:proofErr w:type="spellStart"/>
      <w:r w:rsidRPr="00F24F69">
        <w:t>Munárriz</w:t>
      </w:r>
      <w:proofErr w:type="spellEnd"/>
      <w:r w:rsidRPr="00F24F69">
        <w:t xml:space="preserve"> Escobar, Eric </w:t>
      </w:r>
      <w:proofErr w:type="spellStart"/>
      <w:r w:rsidRPr="00F24F69">
        <w:t>Munárriz</w:t>
      </w:r>
      <w:proofErr w:type="spellEnd"/>
      <w:r w:rsidRPr="00F24F69">
        <w:t xml:space="preserve"> Escobar, Amparo </w:t>
      </w:r>
      <w:proofErr w:type="spellStart"/>
      <w:r w:rsidRPr="00F24F69">
        <w:t>Munárriz</w:t>
      </w:r>
      <w:proofErr w:type="spellEnd"/>
      <w:r w:rsidRPr="00F24F69">
        <w:t xml:space="preserve"> Escobar, </w:t>
      </w:r>
      <w:r w:rsidR="000D146B">
        <w:t>Alain</w:t>
      </w:r>
      <w:r w:rsidRPr="00F24F69">
        <w:t xml:space="preserve"> </w:t>
      </w:r>
      <w:proofErr w:type="spellStart"/>
      <w:r w:rsidRPr="00F24F69">
        <w:t>Munárriz</w:t>
      </w:r>
      <w:proofErr w:type="spellEnd"/>
      <w:r w:rsidRPr="00F24F69">
        <w:t xml:space="preserve"> Escobar y Junior </w:t>
      </w:r>
      <w:proofErr w:type="spellStart"/>
      <w:r w:rsidRPr="00F24F69">
        <w:t>Munárriz</w:t>
      </w:r>
      <w:proofErr w:type="spellEnd"/>
      <w:r w:rsidRPr="00F24F69">
        <w:t xml:space="preserve"> Escobar, se vieron afectados como consecuencia de la desaparición forzada del señor Walter </w:t>
      </w:r>
      <w:proofErr w:type="spellStart"/>
      <w:r w:rsidRPr="00F24F69">
        <w:t>Munárriz</w:t>
      </w:r>
      <w:proofErr w:type="spellEnd"/>
      <w:r w:rsidRPr="00F24F69">
        <w:t xml:space="preserve"> Escobar y han experimentado grandes sufrimientos que repercutieron en sus proyectos de vida. Por lo anterior, la Corte </w:t>
      </w:r>
      <w:r w:rsidR="00877AC1" w:rsidRPr="00F24F69">
        <w:t xml:space="preserve">estima razonable </w:t>
      </w:r>
      <w:r w:rsidRPr="00F24F69">
        <w:t>fija</w:t>
      </w:r>
      <w:r w:rsidR="00877AC1" w:rsidRPr="00F24F69">
        <w:t xml:space="preserve">r </w:t>
      </w:r>
      <w:r w:rsidR="004720A2" w:rsidRPr="00F24F69">
        <w:t xml:space="preserve">por concepto de daño inmaterial </w:t>
      </w:r>
      <w:r w:rsidRPr="00F24F69">
        <w:t xml:space="preserve">la cantidad de </w:t>
      </w:r>
      <w:r w:rsidR="004720A2" w:rsidRPr="00F24F69">
        <w:t xml:space="preserve">US$50.000,00 (cincuenta mil dólares de los Estados Unidos de América) a favor de la madre de Walter </w:t>
      </w:r>
      <w:proofErr w:type="spellStart"/>
      <w:r w:rsidR="004720A2" w:rsidRPr="00F24F69">
        <w:t>Munárriz</w:t>
      </w:r>
      <w:proofErr w:type="spellEnd"/>
      <w:r w:rsidR="004720A2" w:rsidRPr="00F24F69">
        <w:t xml:space="preserve"> Escobar, Gladys Escobar </w:t>
      </w:r>
      <w:proofErr w:type="spellStart"/>
      <w:r w:rsidR="004720A2" w:rsidRPr="00F24F69">
        <w:t>Candiotti</w:t>
      </w:r>
      <w:proofErr w:type="spellEnd"/>
      <w:r w:rsidR="004720A2" w:rsidRPr="00F24F69">
        <w:t xml:space="preserve">, y </w:t>
      </w:r>
      <w:r w:rsidRPr="00F24F69">
        <w:t xml:space="preserve">US$ </w:t>
      </w:r>
      <w:r w:rsidR="004720A2" w:rsidRPr="00F24F69">
        <w:t>2</w:t>
      </w:r>
      <w:r w:rsidR="000B46FB" w:rsidRPr="00F24F69">
        <w:t>5.000,00 (</w:t>
      </w:r>
      <w:r w:rsidR="004720A2" w:rsidRPr="00F24F69">
        <w:t>veinti</w:t>
      </w:r>
      <w:r w:rsidR="000B46FB" w:rsidRPr="00F24F69">
        <w:t>cinco mil dólares de los Estados Unidos de América)</w:t>
      </w:r>
      <w:r w:rsidRPr="00F24F69">
        <w:t xml:space="preserve">, </w:t>
      </w:r>
      <w:r w:rsidR="004720A2" w:rsidRPr="00F24F69">
        <w:t xml:space="preserve">a favor de cada uno de los hermanos de Walter </w:t>
      </w:r>
      <w:proofErr w:type="spellStart"/>
      <w:r w:rsidR="004720A2" w:rsidRPr="00F24F69">
        <w:t>Munárriz</w:t>
      </w:r>
      <w:proofErr w:type="spellEnd"/>
      <w:r w:rsidR="004720A2" w:rsidRPr="00F24F69">
        <w:t xml:space="preserve"> Escobar, Gladys </w:t>
      </w:r>
      <w:proofErr w:type="spellStart"/>
      <w:r w:rsidR="004720A2" w:rsidRPr="00F24F69">
        <w:t>Munárriz</w:t>
      </w:r>
      <w:proofErr w:type="spellEnd"/>
      <w:r w:rsidR="004720A2" w:rsidRPr="00F24F69">
        <w:t xml:space="preserve"> Escobar, Eric </w:t>
      </w:r>
      <w:proofErr w:type="spellStart"/>
      <w:r w:rsidR="004720A2" w:rsidRPr="00F24F69">
        <w:t>Munárriz</w:t>
      </w:r>
      <w:proofErr w:type="spellEnd"/>
      <w:r w:rsidR="004720A2" w:rsidRPr="00F24F69">
        <w:t xml:space="preserve"> Escobar, Amparo </w:t>
      </w:r>
      <w:proofErr w:type="spellStart"/>
      <w:r w:rsidR="004720A2" w:rsidRPr="00F24F69">
        <w:t>Munárriz</w:t>
      </w:r>
      <w:proofErr w:type="spellEnd"/>
      <w:r w:rsidR="004720A2" w:rsidRPr="00F24F69">
        <w:t xml:space="preserve"> Escobar, </w:t>
      </w:r>
      <w:r w:rsidR="000D146B">
        <w:t>Alain</w:t>
      </w:r>
      <w:r w:rsidR="004720A2" w:rsidRPr="00F24F69">
        <w:t xml:space="preserve"> </w:t>
      </w:r>
      <w:proofErr w:type="spellStart"/>
      <w:r w:rsidR="004720A2" w:rsidRPr="00F24F69">
        <w:t>Munárriz</w:t>
      </w:r>
      <w:proofErr w:type="spellEnd"/>
      <w:r w:rsidR="004720A2" w:rsidRPr="00F24F69">
        <w:t xml:space="preserve"> Escobar y Junior </w:t>
      </w:r>
      <w:proofErr w:type="spellStart"/>
      <w:r w:rsidR="004720A2" w:rsidRPr="00F24F69">
        <w:t>Munárriz</w:t>
      </w:r>
      <w:proofErr w:type="spellEnd"/>
      <w:r w:rsidR="004720A2" w:rsidRPr="00F24F69">
        <w:t xml:space="preserve"> Escobar.</w:t>
      </w:r>
      <w:bookmarkEnd w:id="334"/>
    </w:p>
    <w:p w14:paraId="372E8FC4" w14:textId="77777777" w:rsidR="00E85103" w:rsidRPr="00F24F69" w:rsidRDefault="00E85103" w:rsidP="00E85103">
      <w:pPr>
        <w:pStyle w:val="PrrafodeSentencia"/>
        <w:numPr>
          <w:ilvl w:val="0"/>
          <w:numId w:val="0"/>
        </w:numPr>
        <w:rPr>
          <w:rFonts w:eastAsia="Times New Roman" w:cs="Cambria"/>
          <w:spacing w:val="0"/>
          <w:szCs w:val="20"/>
          <w:lang w:eastAsia="en-US"/>
        </w:rPr>
      </w:pPr>
    </w:p>
    <w:p w14:paraId="0456BA7C" w14:textId="3E3D4400" w:rsidR="003F4A7E" w:rsidRPr="00F24F69" w:rsidRDefault="003F4A7E" w:rsidP="00FB09A4">
      <w:pPr>
        <w:pStyle w:val="Heading2"/>
        <w:numPr>
          <w:ilvl w:val="0"/>
          <w:numId w:val="25"/>
        </w:numPr>
        <w:ind w:left="567" w:firstLine="0"/>
      </w:pPr>
      <w:bookmarkStart w:id="335" w:name="_Toc526152731"/>
      <w:r w:rsidRPr="00F24F69">
        <w:t>Costas y gastos</w:t>
      </w:r>
      <w:bookmarkEnd w:id="335"/>
    </w:p>
    <w:p w14:paraId="0E3CE71D" w14:textId="77777777" w:rsidR="003F4A7E" w:rsidRPr="00F24F69" w:rsidRDefault="003F4A7E" w:rsidP="003F4A7E">
      <w:pPr>
        <w:jc w:val="both"/>
        <w:rPr>
          <w:rFonts w:cs="Cambria"/>
          <w:szCs w:val="20"/>
          <w:lang w:val="es-CR"/>
        </w:rPr>
      </w:pPr>
    </w:p>
    <w:p w14:paraId="5D71FCF6" w14:textId="5703FF0B" w:rsidR="00FB09A4" w:rsidRPr="00F24F69" w:rsidRDefault="003F4A7E" w:rsidP="003F4A7E">
      <w:pPr>
        <w:pStyle w:val="PrrafodeSentencia"/>
        <w:rPr>
          <w:b/>
        </w:rPr>
      </w:pPr>
      <w:r w:rsidRPr="00F24F69">
        <w:t xml:space="preserve">Los </w:t>
      </w:r>
      <w:r w:rsidRPr="00F24F69">
        <w:rPr>
          <w:b/>
          <w:i/>
        </w:rPr>
        <w:t>representantes</w:t>
      </w:r>
      <w:r w:rsidRPr="00F24F69">
        <w:t xml:space="preserve"> indicaron que “desde el mes de abril de 1999 Gladys Escobar </w:t>
      </w:r>
      <w:proofErr w:type="spellStart"/>
      <w:r w:rsidRPr="00F24F69">
        <w:t>Candiotti</w:t>
      </w:r>
      <w:proofErr w:type="spellEnd"/>
      <w:r w:rsidRPr="00F24F69">
        <w:t xml:space="preserve"> y su familia han contado con el apoyo de la Comisión de Derechos Humanos (COMISEDH)</w:t>
      </w:r>
      <w:r w:rsidR="00F74016" w:rsidRPr="00F24F69">
        <w:t xml:space="preserve">” quien no ha cobrado ningún tipo de honorarios por llevar el caso </w:t>
      </w:r>
      <w:r w:rsidRPr="00F24F69">
        <w:t xml:space="preserve">ante las autoridades de la jurisdicción interna y los organismos del </w:t>
      </w:r>
      <w:r w:rsidR="00F74016" w:rsidRPr="00F24F69">
        <w:t>s</w:t>
      </w:r>
      <w:r w:rsidRPr="00F24F69">
        <w:t xml:space="preserve">istema </w:t>
      </w:r>
      <w:r w:rsidR="00F74016" w:rsidRPr="00F24F69">
        <w:t>i</w:t>
      </w:r>
      <w:r w:rsidRPr="00F24F69">
        <w:t>nteramericano. “No obstante, COMISEDH ha incurrido en diversos gastos propios de los procesos judiciales como la contratación de abogados, gastos de transporte, pasajes y viáticos de los abogados a la ciudad de Huancavelica, gastos de transporte y alojamiento de la víctima en la ciudad de Lima, entre otros gastos administrativos”. Por ello, solicitaron a la “Corte que fije una suma en equidad tomando en cuenta los años que han transcurrido desde que se inició el conocimient</w:t>
      </w:r>
      <w:r w:rsidR="00F74016" w:rsidRPr="00F24F69">
        <w:t>o de los casos a nivel interno</w:t>
      </w:r>
      <w:r w:rsidRPr="00F24F69">
        <w:t xml:space="preserve">”. </w:t>
      </w:r>
    </w:p>
    <w:p w14:paraId="6782B24B" w14:textId="77777777" w:rsidR="00FB09A4" w:rsidRPr="00F24F69" w:rsidRDefault="00FB09A4" w:rsidP="00FB09A4">
      <w:pPr>
        <w:rPr>
          <w:lang w:val="es-CR" w:eastAsia="es-MX"/>
        </w:rPr>
      </w:pPr>
    </w:p>
    <w:p w14:paraId="79F5472B" w14:textId="2318E31F" w:rsidR="00FB09A4" w:rsidRDefault="003F4A7E" w:rsidP="00FB09A4">
      <w:pPr>
        <w:pStyle w:val="PrrafodeSentencia"/>
        <w:rPr>
          <w:b/>
          <w:szCs w:val="20"/>
        </w:rPr>
      </w:pPr>
      <w:r w:rsidRPr="00BC0586">
        <w:rPr>
          <w:szCs w:val="20"/>
        </w:rPr>
        <w:t xml:space="preserve">El </w:t>
      </w:r>
      <w:r w:rsidRPr="00BC0586">
        <w:rPr>
          <w:b/>
          <w:i/>
          <w:szCs w:val="20"/>
        </w:rPr>
        <w:t>Estado</w:t>
      </w:r>
      <w:r w:rsidR="00F74016" w:rsidRPr="00BC0586">
        <w:rPr>
          <w:szCs w:val="20"/>
        </w:rPr>
        <w:t xml:space="preserve">  indicó </w:t>
      </w:r>
      <w:r w:rsidRPr="00BC0586">
        <w:rPr>
          <w:szCs w:val="20"/>
        </w:rPr>
        <w:t>que los gastos y costas solicitados deben estar relacionadas con gastos que permitieron a las presuntas víctimas o a sus representantes a</w:t>
      </w:r>
      <w:r w:rsidR="001A620D">
        <w:rPr>
          <w:szCs w:val="20"/>
        </w:rPr>
        <w:t>cudir al sistema interamericano</w:t>
      </w:r>
      <w:r w:rsidRPr="00BC0586">
        <w:rPr>
          <w:szCs w:val="20"/>
        </w:rPr>
        <w:t xml:space="preserve">. </w:t>
      </w:r>
    </w:p>
    <w:p w14:paraId="64E22902" w14:textId="77777777" w:rsidR="00BC0586" w:rsidRPr="00BC0586" w:rsidRDefault="00BC0586" w:rsidP="00BC0586">
      <w:pPr>
        <w:rPr>
          <w:lang w:val="es-CR" w:eastAsia="es-MX"/>
        </w:rPr>
      </w:pPr>
    </w:p>
    <w:p w14:paraId="6ABDD452" w14:textId="77777777" w:rsidR="00F74016" w:rsidRDefault="003F4A7E" w:rsidP="003F4A7E">
      <w:pPr>
        <w:pStyle w:val="PrrafodeSentencia"/>
        <w:rPr>
          <w:szCs w:val="20"/>
        </w:rPr>
      </w:pPr>
      <w:r w:rsidRPr="00FB09A4">
        <w:rPr>
          <w:szCs w:val="20"/>
        </w:rPr>
        <w:t xml:space="preserve">La Corte reitera que, conforme a </w:t>
      </w:r>
      <w:r w:rsidRPr="00F74016">
        <w:rPr>
          <w:szCs w:val="20"/>
        </w:rPr>
        <w:t>su jurisprudencia</w:t>
      </w:r>
      <w:r w:rsidRPr="00F74016">
        <w:rPr>
          <w:rStyle w:val="FootnoteReference"/>
          <w:sz w:val="20"/>
          <w:szCs w:val="20"/>
        </w:rPr>
        <w:footnoteReference w:id="212"/>
      </w:r>
      <w:r w:rsidRPr="00F74016">
        <w:rPr>
          <w:szCs w:val="2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w:t>
      </w:r>
      <w:r w:rsidRPr="00F74016">
        <w:rPr>
          <w:szCs w:val="20"/>
        </w:rPr>
        <w:lastRenderedPageBreak/>
        <w:t>realizada con base en el principio de equidad y tomando en cuenta los gastos señalados por las partes, siempre que su quantum sea razonable</w:t>
      </w:r>
      <w:r w:rsidRPr="00F74016">
        <w:rPr>
          <w:rStyle w:val="FootnoteReference"/>
          <w:sz w:val="20"/>
          <w:szCs w:val="20"/>
        </w:rPr>
        <w:footnoteReference w:id="213"/>
      </w:r>
      <w:r w:rsidRPr="00F74016">
        <w:rPr>
          <w:szCs w:val="20"/>
        </w:rPr>
        <w:t xml:space="preserve">. </w:t>
      </w:r>
    </w:p>
    <w:p w14:paraId="5107C624" w14:textId="77777777" w:rsidR="00F74016" w:rsidRPr="00F74016" w:rsidRDefault="00F74016" w:rsidP="00F74016">
      <w:pPr>
        <w:rPr>
          <w:lang w:val="es-CR" w:eastAsia="es-MX"/>
        </w:rPr>
      </w:pPr>
    </w:p>
    <w:p w14:paraId="32967856" w14:textId="0F8734F8" w:rsidR="00FB09A4" w:rsidRPr="00F24F69" w:rsidRDefault="003F4A7E" w:rsidP="003F4A7E">
      <w:pPr>
        <w:pStyle w:val="PrrafodeSentencia"/>
        <w:rPr>
          <w:szCs w:val="20"/>
        </w:rPr>
      </w:pPr>
      <w:r w:rsidRPr="00F74016">
        <w:rPr>
          <w:szCs w:val="20"/>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w:t>
      </w:r>
      <w:r w:rsidRPr="00FB09A4">
        <w:rPr>
          <w:szCs w:val="20"/>
        </w:rPr>
        <w:t xml:space="preserve">, sin </w:t>
      </w:r>
      <w:r w:rsidRPr="00F74016">
        <w:rPr>
          <w:szCs w:val="20"/>
        </w:rPr>
        <w:t>perjuicio de que tales pretensiones se actualicen en un momento posterior, conforme a las nuevas costas y gastos en que se haya incurrido con ocasión del procedimiento ante esta Corte</w:t>
      </w:r>
      <w:r w:rsidRPr="00F74016">
        <w:rPr>
          <w:rStyle w:val="FootnoteReference"/>
          <w:sz w:val="20"/>
          <w:szCs w:val="20"/>
        </w:rPr>
        <w:footnoteReference w:id="214"/>
      </w:r>
      <w:r w:rsidRPr="00F74016">
        <w:rPr>
          <w:szCs w:val="20"/>
        </w:rPr>
        <w:t xml:space="preserve">.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w:t>
      </w:r>
      <w:r w:rsidRPr="00F24F69">
        <w:rPr>
          <w:szCs w:val="20"/>
        </w:rPr>
        <w:t>rubros y la justificación de los mismos</w:t>
      </w:r>
      <w:r w:rsidRPr="00F24F69">
        <w:rPr>
          <w:rStyle w:val="FootnoteReference"/>
          <w:sz w:val="20"/>
          <w:szCs w:val="20"/>
        </w:rPr>
        <w:footnoteReference w:id="215"/>
      </w:r>
      <w:r w:rsidRPr="00F24F69">
        <w:rPr>
          <w:szCs w:val="20"/>
        </w:rPr>
        <w:t>.</w:t>
      </w:r>
    </w:p>
    <w:p w14:paraId="54331A4A" w14:textId="77777777" w:rsidR="00FB09A4" w:rsidRPr="00F24F69" w:rsidRDefault="00FB09A4" w:rsidP="00FB09A4">
      <w:pPr>
        <w:rPr>
          <w:lang w:val="es-CR" w:eastAsia="es-MX"/>
        </w:rPr>
      </w:pPr>
    </w:p>
    <w:p w14:paraId="6A14C7F9" w14:textId="73AE20CB" w:rsidR="003F4A7E" w:rsidRPr="00FB09A4" w:rsidRDefault="003F4A7E" w:rsidP="003F4A7E">
      <w:pPr>
        <w:pStyle w:val="PrrafodeSentencia"/>
        <w:rPr>
          <w:b/>
        </w:rPr>
      </w:pPr>
      <w:bookmarkStart w:id="336" w:name="_Ref524880886"/>
      <w:r w:rsidRPr="00F24F69">
        <w:rPr>
          <w:szCs w:val="20"/>
        </w:rPr>
        <w:t xml:space="preserve">En el presente caso, no consta en el expediente respaldo probatorio alguno con relación a las costas y gastos en los cuales incurrieron las víctimas o sus representantes. Ante la falta de comprobantes de estos gastos, el Tribunal </w:t>
      </w:r>
      <w:r w:rsidR="00877AC1" w:rsidRPr="00F24F69">
        <w:rPr>
          <w:szCs w:val="20"/>
        </w:rPr>
        <w:t xml:space="preserve">estima razonable </w:t>
      </w:r>
      <w:r w:rsidRPr="00F24F69">
        <w:rPr>
          <w:szCs w:val="20"/>
        </w:rPr>
        <w:t>que el Estado deb</w:t>
      </w:r>
      <w:r w:rsidR="0008242D" w:rsidRPr="00F24F69">
        <w:rPr>
          <w:szCs w:val="20"/>
        </w:rPr>
        <w:t>a</w:t>
      </w:r>
      <w:r w:rsidRPr="00F24F69">
        <w:rPr>
          <w:szCs w:val="20"/>
        </w:rPr>
        <w:t xml:space="preserve"> ent</w:t>
      </w:r>
      <w:r w:rsidR="00F74016" w:rsidRPr="00F24F69">
        <w:rPr>
          <w:szCs w:val="20"/>
        </w:rPr>
        <w:t xml:space="preserve">regar la cantidad total de US$ </w:t>
      </w:r>
      <w:r w:rsidR="00030251" w:rsidRPr="00F24F69">
        <w:rPr>
          <w:szCs w:val="20"/>
        </w:rPr>
        <w:t>3</w:t>
      </w:r>
      <w:r w:rsidR="00446CE4" w:rsidRPr="00F24F69">
        <w:rPr>
          <w:szCs w:val="20"/>
        </w:rPr>
        <w:t>0</w:t>
      </w:r>
      <w:r w:rsidR="00552103" w:rsidRPr="00F24F69">
        <w:rPr>
          <w:szCs w:val="20"/>
        </w:rPr>
        <w:t>.000,00 (</w:t>
      </w:r>
      <w:r w:rsidR="00030251" w:rsidRPr="00F24F69">
        <w:rPr>
          <w:szCs w:val="20"/>
        </w:rPr>
        <w:t>treinta</w:t>
      </w:r>
      <w:r w:rsidR="00552103" w:rsidRPr="00F24F69">
        <w:rPr>
          <w:szCs w:val="20"/>
        </w:rPr>
        <w:t xml:space="preserve"> mil dólares </w:t>
      </w:r>
      <w:r w:rsidR="00A0601D" w:rsidRPr="00F24F69">
        <w:rPr>
          <w:szCs w:val="20"/>
        </w:rPr>
        <w:t>de Estados Unidos de América</w:t>
      </w:r>
      <w:r w:rsidR="00552103" w:rsidRPr="00F24F69">
        <w:rPr>
          <w:szCs w:val="20"/>
        </w:rPr>
        <w:t>)</w:t>
      </w:r>
      <w:r w:rsidRPr="00F24F69">
        <w:rPr>
          <w:szCs w:val="20"/>
        </w:rPr>
        <w:t xml:space="preserve"> por concepto de costas y gastos en el litigio del presente caso. Ese monto deberá ser pagado directamente a los representantes de las víctimas en el presente caso, la organización COMISEDH. En la etapa de supervisión de cumplimiento de la presente Sentencia, la Corte podrá disponer el reembolso por parte del Estado a</w:t>
      </w:r>
      <w:r w:rsidRPr="00FB09A4">
        <w:rPr>
          <w:szCs w:val="20"/>
        </w:rPr>
        <w:t xml:space="preserve"> las víctimas o a sus representantes de gastos posteriores razonables y debidamente comprobados</w:t>
      </w:r>
      <w:r w:rsidRPr="001415AA">
        <w:rPr>
          <w:rStyle w:val="FootnoteReference"/>
          <w:sz w:val="20"/>
          <w:szCs w:val="20"/>
        </w:rPr>
        <w:footnoteReference w:id="216"/>
      </w:r>
      <w:r w:rsidRPr="00FB09A4">
        <w:rPr>
          <w:szCs w:val="20"/>
        </w:rPr>
        <w:t>.</w:t>
      </w:r>
      <w:bookmarkEnd w:id="336"/>
    </w:p>
    <w:p w14:paraId="3A4886D4" w14:textId="77777777" w:rsidR="003F4A7E" w:rsidRPr="008232E9" w:rsidRDefault="003F4A7E" w:rsidP="003F4A7E">
      <w:pPr>
        <w:jc w:val="both"/>
        <w:rPr>
          <w:szCs w:val="20"/>
          <w:lang w:val="es-CR"/>
        </w:rPr>
      </w:pPr>
    </w:p>
    <w:p w14:paraId="0B695806" w14:textId="404A1CA9" w:rsidR="003F4A7E" w:rsidRPr="00E14FF6" w:rsidRDefault="003F4A7E" w:rsidP="00FB09A4">
      <w:pPr>
        <w:pStyle w:val="Heading2"/>
        <w:numPr>
          <w:ilvl w:val="0"/>
          <w:numId w:val="25"/>
        </w:numPr>
        <w:ind w:left="567" w:firstLine="0"/>
      </w:pPr>
      <w:bookmarkStart w:id="337" w:name="_Toc526152732"/>
      <w:r w:rsidRPr="00E14FF6">
        <w:t>Reintegro de los gastos al Fondo de Asistencia Legal de Víctimas</w:t>
      </w:r>
      <w:bookmarkEnd w:id="337"/>
    </w:p>
    <w:p w14:paraId="63628BF6" w14:textId="77777777" w:rsidR="003F4A7E" w:rsidRPr="008232E9" w:rsidRDefault="003F4A7E" w:rsidP="003F4A7E">
      <w:pPr>
        <w:pStyle w:val="ListParagraph"/>
        <w:jc w:val="both"/>
        <w:rPr>
          <w:szCs w:val="20"/>
          <w:lang w:val="es-CR"/>
        </w:rPr>
      </w:pPr>
    </w:p>
    <w:p w14:paraId="01713F4B" w14:textId="3A573EE7" w:rsidR="00CD0A01" w:rsidRDefault="00CD0A01" w:rsidP="00CD0A01">
      <w:pPr>
        <w:pStyle w:val="PrrafodeSentencia"/>
      </w:pPr>
      <w:r>
        <w:t xml:space="preserve"> En el presente caso, mediante Resolución de </w:t>
      </w:r>
      <w:r w:rsidRPr="003633D2">
        <w:t>16 de febrero de 2018</w:t>
      </w:r>
      <w:r>
        <w:t xml:space="preserve">, el Presidente de la Corte otorgó, con cargo al Fondo de Asistencia Legal de Víctimas de la Corte, el apoyo económico necesario para cubrir los gastos de viaje y estadía necesarios para que la señora </w:t>
      </w:r>
      <w:r w:rsidR="00AB2739">
        <w:t>Gladys</w:t>
      </w:r>
      <w:r w:rsidRPr="008232E9">
        <w:t xml:space="preserve"> Escobar </w:t>
      </w:r>
      <w:proofErr w:type="spellStart"/>
      <w:r w:rsidRPr="008232E9">
        <w:t>Candiotti</w:t>
      </w:r>
      <w:proofErr w:type="spellEnd"/>
      <w:r>
        <w:t xml:space="preserve">  pudiera participar en la audiencia pública. </w:t>
      </w:r>
    </w:p>
    <w:p w14:paraId="3F4FAD3A" w14:textId="77777777" w:rsidR="00CD0A01" w:rsidRPr="00CD0A01" w:rsidRDefault="00CD0A01" w:rsidP="00CD0A01">
      <w:pPr>
        <w:rPr>
          <w:lang w:val="es-CR" w:eastAsia="es-MX"/>
        </w:rPr>
      </w:pPr>
    </w:p>
    <w:p w14:paraId="5B30F85D" w14:textId="3B94B639" w:rsidR="00CD0A01" w:rsidRDefault="00443FED" w:rsidP="00CD0A01">
      <w:pPr>
        <w:pStyle w:val="PrrafodeSentencia"/>
        <w:rPr>
          <w:b/>
        </w:rPr>
      </w:pPr>
      <w:r>
        <w:t xml:space="preserve">El 22 de junio </w:t>
      </w:r>
      <w:r w:rsidR="00CD0A01">
        <w:t xml:space="preserve">de 2018 le fue remitido al Estado un informe de 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 </w:t>
      </w:r>
      <w:r w:rsidR="00AA69FA">
        <w:t>1.100,76</w:t>
      </w:r>
      <w:r w:rsidR="00CD0A01">
        <w:t xml:space="preserve"> (</w:t>
      </w:r>
      <w:r w:rsidR="00AA69FA">
        <w:t>mil cien</w:t>
      </w:r>
      <w:r w:rsidR="00CD0A01">
        <w:t xml:space="preserve"> dólares con </w:t>
      </w:r>
      <w:r w:rsidR="00AA69FA">
        <w:t>setenta y seis</w:t>
      </w:r>
      <w:r w:rsidR="00CD0A01">
        <w:t xml:space="preserve"> centavos de los Estados Unidos de América).</w:t>
      </w:r>
      <w:r w:rsidR="00AA69FA">
        <w:t xml:space="preserve"> </w:t>
      </w:r>
    </w:p>
    <w:p w14:paraId="0A95E297" w14:textId="77777777" w:rsidR="00BC0586" w:rsidRPr="00BC0586" w:rsidRDefault="00BC0586" w:rsidP="00BC0586">
      <w:pPr>
        <w:rPr>
          <w:lang w:val="es-CR" w:eastAsia="es-MX"/>
        </w:rPr>
      </w:pPr>
    </w:p>
    <w:p w14:paraId="7EB86215" w14:textId="2FC170E3" w:rsidR="00A70A17" w:rsidRDefault="00AA69FA" w:rsidP="00A70A17">
      <w:pPr>
        <w:pStyle w:val="PrrafodeSentencia"/>
        <w:rPr>
          <w:rFonts w:cs="Times New Roman"/>
          <w:b/>
          <w:szCs w:val="20"/>
        </w:rPr>
      </w:pPr>
      <w:r w:rsidRPr="00AA69FA">
        <w:rPr>
          <w:szCs w:val="20"/>
        </w:rPr>
        <w:t xml:space="preserve">El </w:t>
      </w:r>
      <w:r w:rsidRPr="00AA69FA">
        <w:rPr>
          <w:b/>
          <w:i/>
          <w:szCs w:val="20"/>
        </w:rPr>
        <w:t>Estado</w:t>
      </w:r>
      <w:r w:rsidRPr="00AA69FA">
        <w:rPr>
          <w:szCs w:val="20"/>
        </w:rPr>
        <w:t xml:space="preserve"> alegó que </w:t>
      </w:r>
      <w:r w:rsidRPr="00AA69FA">
        <w:rPr>
          <w:rFonts w:cs="Times New Roman"/>
          <w:szCs w:val="20"/>
        </w:rPr>
        <w:t xml:space="preserve">de la documentación remitida “no se evidencia información documentada que acredite el detalle de los gastos efectivamente realizados por concepto de hospedaje, alimentación </w:t>
      </w:r>
      <w:r w:rsidRPr="00AA69FA">
        <w:rPr>
          <w:rFonts w:cs="Arial"/>
          <w:szCs w:val="20"/>
        </w:rPr>
        <w:t xml:space="preserve">y </w:t>
      </w:r>
      <w:r w:rsidRPr="00AA69FA">
        <w:rPr>
          <w:rFonts w:cs="Times New Roman"/>
          <w:szCs w:val="20"/>
        </w:rPr>
        <w:t>terminales</w:t>
      </w:r>
      <w:r w:rsidR="00A70A17">
        <w:rPr>
          <w:rFonts w:cs="Times New Roman"/>
          <w:szCs w:val="20"/>
        </w:rPr>
        <w:t>”</w:t>
      </w:r>
      <w:r w:rsidRPr="00AA69FA">
        <w:rPr>
          <w:rFonts w:cs="Times New Roman"/>
          <w:szCs w:val="20"/>
        </w:rPr>
        <w:t xml:space="preserve">. Indicó que lo anterior “debe ser precisado con la </w:t>
      </w:r>
      <w:r w:rsidRPr="00AA69FA">
        <w:rPr>
          <w:rFonts w:cs="Times New Roman"/>
          <w:szCs w:val="20"/>
        </w:rPr>
        <w:lastRenderedPageBreak/>
        <w:t xml:space="preserve">finalidad que se pueda calcular debidamente el monto de las erogaciones efectivamente realizadas”. </w:t>
      </w:r>
    </w:p>
    <w:p w14:paraId="282ECB2D" w14:textId="77777777" w:rsidR="00A70A17" w:rsidRDefault="00A70A17" w:rsidP="00A70A17">
      <w:pPr>
        <w:rPr>
          <w:lang w:val="es-CR" w:eastAsia="es-MX"/>
        </w:rPr>
      </w:pPr>
    </w:p>
    <w:p w14:paraId="250A0D9C" w14:textId="338F13F9" w:rsidR="00AA69FA" w:rsidRPr="00A70A17" w:rsidRDefault="00AA69FA" w:rsidP="00AA69FA">
      <w:pPr>
        <w:pStyle w:val="PrrafodeSentencia"/>
      </w:pPr>
      <w:bookmarkStart w:id="338" w:name="_Ref524881071"/>
      <w:r w:rsidRPr="00A70A17">
        <w:rPr>
          <w:szCs w:val="20"/>
        </w:rPr>
        <w:t xml:space="preserve">En cuanto a las objeciones del Estado respecto a la supuesta falta de documentación que sustente los montos erogados por concepto de </w:t>
      </w:r>
      <w:r w:rsidR="00A70A17" w:rsidRPr="00AA69FA">
        <w:rPr>
          <w:rFonts w:cs="Times New Roman"/>
          <w:szCs w:val="20"/>
        </w:rPr>
        <w:t xml:space="preserve">hospedaje, alimentación </w:t>
      </w:r>
      <w:r w:rsidRPr="00A70A17">
        <w:rPr>
          <w:szCs w:val="20"/>
        </w:rPr>
        <w:t xml:space="preserve">y gastos terminales, la Corte recuerda que de conformidad con el artículo 6 del Reglamento de la Corte sobre el Funcionamiento del Fondo de Asistencia Legal de Víctimas, “a falta de disposición en [dicho] Reglamento, o en caso de duda sobre su interpretación, la Corte decidirá”. </w:t>
      </w:r>
      <w:r w:rsidR="00A70A17">
        <w:rPr>
          <w:szCs w:val="20"/>
        </w:rPr>
        <w:t xml:space="preserve">En este sentido, </w:t>
      </w:r>
      <w:r w:rsidRPr="00A70A17">
        <w:rPr>
          <w:szCs w:val="20"/>
        </w:rPr>
        <w:t>este Tribunal ha establecido como política entregar a las personas cubiertas por el mismo, un monto fijo de viáticos, lo cual incluye hospedaje y alimentación, tomando como base de referencia la tabla de viáticos vigente de la OEA aplicable a la ciudad de San José, Costa Rica, sin necesidad de que presenten facturas que demuestren los gastos efectuados. Lo anterior, dado que esta tabla refleja el monto que, según la OEA, razonablemente desembolsaría una persona en hospedaje y alimentación en dicha ciudad. Asimismo, el procedimiento de pedir facturas a los beneficiarios del Fondo de Asistencia por los viáticos recibidos presentaría serios obstáculos para la correcta y expedita administración del Fondo de Asistencia. También por esta razón es que en cuanto a los gastos terminales, es decir, los gastos por trasporte para el traslado hacia y desde la estación terminal y otros gastos incidentales, el Tribunal únicamente requiere que se comprueben aquellos gastos realizados desde el punto de origen hasta la sede del Tribunal en San José, Costa Rica, siendo razonable que el mismo monto sea desembolsado en el viaje de retorno</w:t>
      </w:r>
      <w:r w:rsidR="00A70A17" w:rsidRPr="00A70A17">
        <w:rPr>
          <w:rStyle w:val="FootnoteReference"/>
          <w:sz w:val="20"/>
          <w:szCs w:val="20"/>
        </w:rPr>
        <w:footnoteReference w:id="217"/>
      </w:r>
      <w:r w:rsidRPr="00A70A17">
        <w:rPr>
          <w:szCs w:val="20"/>
        </w:rPr>
        <w:t>. Por tanto, la Corte desestima las objeciones del Estado.</w:t>
      </w:r>
      <w:bookmarkEnd w:id="338"/>
    </w:p>
    <w:p w14:paraId="36CDCFE0" w14:textId="77777777" w:rsidR="00CA5674" w:rsidRPr="00CD0A01" w:rsidRDefault="00CA5674" w:rsidP="00CD0A01">
      <w:pPr>
        <w:rPr>
          <w:lang w:val="es-CR" w:eastAsia="es-MX"/>
        </w:rPr>
      </w:pPr>
    </w:p>
    <w:p w14:paraId="25399AF2" w14:textId="4E734933" w:rsidR="00CD0A01" w:rsidRPr="00CD0A01" w:rsidRDefault="00CD0A01" w:rsidP="00CD0A01">
      <w:pPr>
        <w:pStyle w:val="PrrafodeSentencia"/>
      </w:pPr>
      <w:bookmarkStart w:id="339" w:name="_Ref524881073"/>
      <w:r>
        <w:t xml:space="preserve">En razón de las violaciones declaradas en la presente Sentencia, la Corte ordena al Estado el reintegro a dicho Fondo de la cantidad de US$ </w:t>
      </w:r>
      <w:r w:rsidR="00A70A17">
        <w:t xml:space="preserve">1.100,76 (mil cien dólares con setenta y seis centavos de los Estados Unidos de América) </w:t>
      </w:r>
      <w:r>
        <w:t>por los gastos incurridos. Este monto deberá ser reintegrado en el plazo de seis meses, contados a partir de la notificación del presente Fallo.</w:t>
      </w:r>
      <w:bookmarkEnd w:id="339"/>
    </w:p>
    <w:p w14:paraId="3DA7E0D0" w14:textId="77777777" w:rsidR="003F4A7E" w:rsidRPr="008232E9" w:rsidRDefault="003F4A7E" w:rsidP="003F4A7E">
      <w:pPr>
        <w:pStyle w:val="ListParagraph"/>
        <w:jc w:val="both"/>
        <w:rPr>
          <w:rFonts w:eastAsia="Batang"/>
          <w:bCs/>
          <w:i/>
          <w:szCs w:val="20"/>
          <w:lang w:val="es-CR"/>
        </w:rPr>
      </w:pPr>
    </w:p>
    <w:p w14:paraId="6C6850A5" w14:textId="70AA2DDC" w:rsidR="003F4A7E" w:rsidRPr="00E14FF6" w:rsidRDefault="003F4A7E" w:rsidP="00FB09A4">
      <w:pPr>
        <w:pStyle w:val="Heading2"/>
        <w:numPr>
          <w:ilvl w:val="0"/>
          <w:numId w:val="25"/>
        </w:numPr>
        <w:ind w:left="567" w:firstLine="0"/>
      </w:pPr>
      <w:bookmarkStart w:id="340" w:name="_Toc526152733"/>
      <w:r w:rsidRPr="00E14FF6">
        <w:t>Modalidad de cumplimiento de los pagos ordenados</w:t>
      </w:r>
      <w:bookmarkEnd w:id="340"/>
    </w:p>
    <w:p w14:paraId="78EAB5E9" w14:textId="77777777" w:rsidR="003F4A7E" w:rsidRPr="008232E9" w:rsidRDefault="003F4A7E" w:rsidP="003F4A7E">
      <w:pPr>
        <w:pStyle w:val="ListParagraph"/>
        <w:jc w:val="both"/>
        <w:rPr>
          <w:szCs w:val="20"/>
          <w:lang w:val="es-CR"/>
        </w:rPr>
      </w:pPr>
    </w:p>
    <w:p w14:paraId="33480773" w14:textId="77777777" w:rsidR="00CA5674" w:rsidRDefault="003F4A7E" w:rsidP="003F4A7E">
      <w:pPr>
        <w:pStyle w:val="PrrafodeSentencia"/>
      </w:pPr>
      <w:bookmarkStart w:id="341" w:name="_Ref524881107"/>
      <w:r w:rsidRPr="008232E9">
        <w:t>El Estado deberá efectuar el pago de las indemnizaciones por concepto de daño material e inmaterial y el reintegro de costas y gastos establecidos en la presente Sentencia directamente a las personas y organizaciones indicadas en la misma, en un plazo de un año contado a partir de la notificación del fallo, sin perjuicio de que pueda desarrollar el pago completo en un plazo menor.</w:t>
      </w:r>
      <w:bookmarkEnd w:id="341"/>
      <w:r w:rsidRPr="008232E9">
        <w:t xml:space="preserve"> </w:t>
      </w:r>
    </w:p>
    <w:p w14:paraId="16055DC8" w14:textId="77777777" w:rsidR="00CA5674" w:rsidRPr="00CA5674" w:rsidRDefault="00CA5674" w:rsidP="00CA5674">
      <w:pPr>
        <w:rPr>
          <w:lang w:val="es-CR" w:eastAsia="es-MX"/>
        </w:rPr>
      </w:pPr>
    </w:p>
    <w:p w14:paraId="237120D8" w14:textId="717AF0B6" w:rsidR="00FB09A4" w:rsidRDefault="003F4A7E" w:rsidP="003F4A7E">
      <w:pPr>
        <w:pStyle w:val="PrrafodeSentencia"/>
      </w:pPr>
      <w:r w:rsidRPr="008232E9">
        <w:t xml:space="preserve">En caso de que los beneficiarios, hayan fallecido o fallezcan antes de que les sea entregada la indemnización respectiva, </w:t>
      </w:r>
      <w:r w:rsidR="00CA5674">
        <w:t>e</w:t>
      </w:r>
      <w:r w:rsidRPr="008232E9">
        <w:t>sta se distribuirá directamente a sus derechohabientes, conforme al derecho interno aplicable.</w:t>
      </w:r>
    </w:p>
    <w:p w14:paraId="2C532ABE" w14:textId="77777777" w:rsidR="00FB09A4" w:rsidRPr="00FB09A4" w:rsidRDefault="00FB09A4" w:rsidP="00FB09A4">
      <w:pPr>
        <w:rPr>
          <w:lang w:val="es-CR" w:eastAsia="es-MX"/>
        </w:rPr>
      </w:pPr>
    </w:p>
    <w:p w14:paraId="72266F6F" w14:textId="77777777" w:rsidR="00FB09A4" w:rsidRDefault="003F4A7E" w:rsidP="003F4A7E">
      <w:pPr>
        <w:pStyle w:val="PrrafodeSentencia"/>
        <w:rPr>
          <w:szCs w:val="20"/>
        </w:rPr>
      </w:pPr>
      <w:r w:rsidRPr="00FB09A4">
        <w:rPr>
          <w:szCs w:val="20"/>
        </w:rPr>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0D9B825C" w14:textId="77777777" w:rsidR="00FB09A4" w:rsidRPr="00FB09A4" w:rsidRDefault="00FB09A4" w:rsidP="00FB09A4">
      <w:pPr>
        <w:rPr>
          <w:lang w:val="es-CR" w:eastAsia="es-MX"/>
        </w:rPr>
      </w:pPr>
    </w:p>
    <w:p w14:paraId="44B12359" w14:textId="77777777" w:rsidR="00FB09A4" w:rsidRDefault="003F4A7E" w:rsidP="003F4A7E">
      <w:pPr>
        <w:pStyle w:val="PrrafodeSentencia"/>
        <w:rPr>
          <w:szCs w:val="20"/>
        </w:rPr>
      </w:pPr>
      <w:r w:rsidRPr="00FB09A4">
        <w:rPr>
          <w:szCs w:val="20"/>
        </w:rPr>
        <w:t xml:space="preserve">Si por causas atribuibles a los beneficiarios de las indemnizaciones o a sus derechohabientes no fuese posible el pago de las cantidades determinadas dentro del plazo indicado, el Estado consignará dichos montos a favor de los beneficiarios en una cuenta o certificado de depósito en una institución financiera peruana solvente, en dólares de los Estados </w:t>
      </w:r>
      <w:r w:rsidRPr="00FB09A4">
        <w:rPr>
          <w:szCs w:val="20"/>
        </w:rPr>
        <w:lastRenderedPageBreak/>
        <w:t xml:space="preserve">Unidos de </w:t>
      </w:r>
      <w:r w:rsidR="00EB241B" w:rsidRPr="00FB09A4">
        <w:rPr>
          <w:szCs w:val="20"/>
        </w:rPr>
        <w:t>América</w:t>
      </w:r>
      <w:r w:rsidRPr="00FB09A4">
        <w:rPr>
          <w:szCs w:val="20"/>
        </w:rPr>
        <w:t>, y en las condiciones financieras más favorables que permitan la legislación y la práctica bancaria. Si no se reclama la indemnización correspondiente una vez transcurridos diez años, las cantidades serán devueltas al Estado con los intereses devengados.</w:t>
      </w:r>
    </w:p>
    <w:p w14:paraId="2B6E3FF7" w14:textId="77777777" w:rsidR="00FB09A4" w:rsidRPr="00FB09A4" w:rsidRDefault="00FB09A4" w:rsidP="00FB09A4">
      <w:pPr>
        <w:rPr>
          <w:lang w:val="es-CR" w:eastAsia="es-MX"/>
        </w:rPr>
      </w:pPr>
    </w:p>
    <w:p w14:paraId="6828EE75" w14:textId="77777777" w:rsidR="00BF6D8F" w:rsidRDefault="003F4A7E" w:rsidP="003F4A7E">
      <w:pPr>
        <w:pStyle w:val="PrrafodeSentencia"/>
        <w:rPr>
          <w:szCs w:val="20"/>
        </w:rPr>
      </w:pPr>
      <w:r w:rsidRPr="00FB09A4">
        <w:rPr>
          <w:szCs w:val="20"/>
        </w:rPr>
        <w:t xml:space="preserve">Las cantidades asignadas como indemnización por daño material e inmaterial, y como reintegro de costas y gastos deberán ser entregadas a las personas y organizaciones indicadas en forma íntegra, conforme a lo establecido en esta Sentencia, sin reducciones derivadas de eventuales cargas fiscales. </w:t>
      </w:r>
    </w:p>
    <w:p w14:paraId="626AE1A2" w14:textId="77777777" w:rsidR="00BF6D8F" w:rsidRPr="00BF6D8F" w:rsidRDefault="00BF6D8F" w:rsidP="00BF6D8F">
      <w:pPr>
        <w:rPr>
          <w:lang w:val="es-CR" w:eastAsia="es-MX"/>
        </w:rPr>
      </w:pPr>
    </w:p>
    <w:p w14:paraId="209E332B" w14:textId="6ABB4F9D" w:rsidR="00690161" w:rsidRDefault="003F4A7E" w:rsidP="00EE5E64">
      <w:pPr>
        <w:pStyle w:val="PrrafodeSentencia"/>
        <w:rPr>
          <w:szCs w:val="20"/>
        </w:rPr>
      </w:pPr>
      <w:bookmarkStart w:id="342" w:name="_Ref524881108"/>
      <w:r w:rsidRPr="00FB09A4">
        <w:rPr>
          <w:szCs w:val="20"/>
        </w:rPr>
        <w:t xml:space="preserve">En caso de que el Estado incurriera en mora, </w:t>
      </w:r>
      <w:r w:rsidR="00BF6D8F">
        <w:t xml:space="preserve">incluyendo en el reintegro de los gastos al Fondo de Asistencia Legal de Víctimas, </w:t>
      </w:r>
      <w:r w:rsidRPr="00FB09A4">
        <w:rPr>
          <w:szCs w:val="20"/>
        </w:rPr>
        <w:t>deberá pagar un interés sobre la cantidad adeudada correspondiente al interés bancario moratorio en Perú.</w:t>
      </w:r>
      <w:bookmarkEnd w:id="342"/>
    </w:p>
    <w:p w14:paraId="5A3C10B9" w14:textId="77777777" w:rsidR="00BF670E" w:rsidRDefault="00BF670E" w:rsidP="00BF670E">
      <w:pPr>
        <w:rPr>
          <w:lang w:val="es-CR" w:eastAsia="es-MX"/>
        </w:rPr>
      </w:pPr>
    </w:p>
    <w:p w14:paraId="1EE13666" w14:textId="77777777" w:rsidR="00BF670E" w:rsidRPr="00BF670E" w:rsidRDefault="00BF670E" w:rsidP="00BF670E">
      <w:pPr>
        <w:pStyle w:val="Heading1"/>
        <w:spacing w:before="0"/>
        <w:jc w:val="center"/>
      </w:pPr>
      <w:bookmarkStart w:id="343" w:name="_Toc375517156"/>
      <w:bookmarkStart w:id="344" w:name="_Toc459158160"/>
      <w:bookmarkStart w:id="345" w:name="_Toc480194747"/>
      <w:bookmarkStart w:id="346" w:name="_Toc499146743"/>
      <w:bookmarkStart w:id="347" w:name="_Toc514063484"/>
      <w:bookmarkStart w:id="348" w:name="_Toc526152734"/>
      <w:r w:rsidRPr="00BF670E">
        <w:t>X</w:t>
      </w:r>
      <w:r w:rsidRPr="00BF670E">
        <w:br/>
        <w:t>PUNTOS RESOLUTIVOS</w:t>
      </w:r>
      <w:bookmarkEnd w:id="343"/>
      <w:bookmarkEnd w:id="344"/>
      <w:bookmarkEnd w:id="345"/>
      <w:bookmarkEnd w:id="346"/>
      <w:bookmarkEnd w:id="347"/>
      <w:bookmarkEnd w:id="348"/>
    </w:p>
    <w:p w14:paraId="40F0B102" w14:textId="77777777" w:rsidR="00BF670E" w:rsidRPr="00ED2F65" w:rsidRDefault="00BF670E" w:rsidP="00BF670E">
      <w:pPr>
        <w:tabs>
          <w:tab w:val="left" w:pos="567"/>
        </w:tabs>
        <w:rPr>
          <w:spacing w:val="-4"/>
          <w:lang w:val="es-ES" w:eastAsia="es-MX"/>
        </w:rPr>
      </w:pPr>
    </w:p>
    <w:p w14:paraId="6CC37E47" w14:textId="612DEEFA" w:rsidR="00BF670E" w:rsidRPr="00ED2F65" w:rsidRDefault="00BF670E" w:rsidP="00BF670E">
      <w:pPr>
        <w:pStyle w:val="PrrafodeSentencia"/>
      </w:pPr>
      <w:r w:rsidRPr="00ED2F65">
        <w:t xml:space="preserve">Por tanto, </w:t>
      </w:r>
    </w:p>
    <w:p w14:paraId="22D060DB" w14:textId="77777777" w:rsidR="00BF670E" w:rsidRPr="00ED2F65" w:rsidRDefault="00BF670E" w:rsidP="00BF670E">
      <w:pPr>
        <w:pStyle w:val="Default"/>
        <w:tabs>
          <w:tab w:val="left" w:pos="567"/>
        </w:tabs>
        <w:jc w:val="both"/>
        <w:rPr>
          <w:color w:val="auto"/>
          <w:spacing w:val="-4"/>
          <w:sz w:val="16"/>
          <w:szCs w:val="20"/>
        </w:rPr>
      </w:pPr>
    </w:p>
    <w:p w14:paraId="2F207D2A" w14:textId="77777777" w:rsidR="00BF670E" w:rsidRPr="00ED2F65" w:rsidRDefault="00BF670E" w:rsidP="00BF670E">
      <w:pPr>
        <w:pStyle w:val="Default"/>
        <w:tabs>
          <w:tab w:val="left" w:pos="567"/>
        </w:tabs>
        <w:jc w:val="both"/>
        <w:rPr>
          <w:color w:val="auto"/>
          <w:spacing w:val="-4"/>
          <w:sz w:val="20"/>
          <w:szCs w:val="20"/>
        </w:rPr>
      </w:pPr>
      <w:r w:rsidRPr="00ED2F65">
        <w:rPr>
          <w:b/>
          <w:bCs/>
          <w:color w:val="auto"/>
          <w:spacing w:val="-4"/>
          <w:sz w:val="20"/>
          <w:szCs w:val="20"/>
        </w:rPr>
        <w:t xml:space="preserve">LA CORTE </w:t>
      </w:r>
    </w:p>
    <w:p w14:paraId="0C6E724D" w14:textId="77777777" w:rsidR="00BF670E" w:rsidRPr="00ED2F65" w:rsidRDefault="00BF670E" w:rsidP="00BF670E">
      <w:pPr>
        <w:pStyle w:val="Default"/>
        <w:tabs>
          <w:tab w:val="left" w:pos="567"/>
        </w:tabs>
        <w:jc w:val="both"/>
        <w:rPr>
          <w:b/>
          <w:bCs/>
          <w:color w:val="auto"/>
          <w:spacing w:val="-4"/>
          <w:sz w:val="16"/>
          <w:szCs w:val="20"/>
        </w:rPr>
      </w:pPr>
    </w:p>
    <w:p w14:paraId="0423B6BD" w14:textId="77777777" w:rsidR="00BF670E" w:rsidRPr="00ED2F65" w:rsidRDefault="00BF670E" w:rsidP="00BF670E">
      <w:pPr>
        <w:pStyle w:val="Default"/>
        <w:tabs>
          <w:tab w:val="left" w:pos="567"/>
        </w:tabs>
        <w:jc w:val="both"/>
        <w:rPr>
          <w:color w:val="auto"/>
          <w:spacing w:val="-4"/>
          <w:sz w:val="20"/>
          <w:szCs w:val="20"/>
        </w:rPr>
      </w:pPr>
      <w:r w:rsidRPr="00ED2F65">
        <w:rPr>
          <w:b/>
          <w:bCs/>
          <w:color w:val="auto"/>
          <w:spacing w:val="-4"/>
          <w:sz w:val="20"/>
          <w:szCs w:val="20"/>
        </w:rPr>
        <w:t xml:space="preserve">DECIDE, </w:t>
      </w:r>
    </w:p>
    <w:p w14:paraId="69261E11" w14:textId="77777777" w:rsidR="00BF670E" w:rsidRPr="00C670DA" w:rsidRDefault="00BF670E" w:rsidP="00BF670E">
      <w:pPr>
        <w:pStyle w:val="Default"/>
        <w:tabs>
          <w:tab w:val="left" w:pos="567"/>
        </w:tabs>
        <w:jc w:val="both"/>
        <w:rPr>
          <w:color w:val="auto"/>
          <w:spacing w:val="-4"/>
          <w:sz w:val="16"/>
          <w:szCs w:val="20"/>
          <w:lang w:val="es-ES_tradnl"/>
        </w:rPr>
      </w:pPr>
    </w:p>
    <w:p w14:paraId="765C4EDC" w14:textId="241B0F71" w:rsidR="00BF670E" w:rsidRPr="00ED2F65" w:rsidRDefault="00BF670E" w:rsidP="00BF670E">
      <w:pPr>
        <w:pStyle w:val="Default"/>
        <w:tabs>
          <w:tab w:val="left" w:pos="567"/>
        </w:tabs>
        <w:jc w:val="both"/>
        <w:rPr>
          <w:color w:val="auto"/>
          <w:spacing w:val="-4"/>
          <w:sz w:val="20"/>
          <w:szCs w:val="20"/>
        </w:rPr>
      </w:pPr>
      <w:r w:rsidRPr="00C670DA">
        <w:rPr>
          <w:color w:val="auto"/>
          <w:spacing w:val="-4"/>
          <w:sz w:val="20"/>
          <w:szCs w:val="20"/>
          <w:lang w:val="es-ES_tradnl"/>
        </w:rPr>
        <w:t xml:space="preserve">Por </w:t>
      </w:r>
      <w:r w:rsidR="00030251" w:rsidRPr="00030251">
        <w:rPr>
          <w:color w:val="auto"/>
          <w:spacing w:val="-4"/>
          <w:sz w:val="20"/>
          <w:szCs w:val="20"/>
          <w:lang w:val="es-MX"/>
        </w:rPr>
        <w:t>unanimidad</w:t>
      </w:r>
      <w:r w:rsidRPr="00ED2F65">
        <w:rPr>
          <w:color w:val="auto"/>
          <w:spacing w:val="-4"/>
          <w:sz w:val="20"/>
          <w:szCs w:val="20"/>
        </w:rPr>
        <w:t xml:space="preserve">, </w:t>
      </w:r>
    </w:p>
    <w:p w14:paraId="4E4A4236" w14:textId="77777777" w:rsidR="00BF670E" w:rsidRPr="00ED2F65" w:rsidRDefault="00BF670E" w:rsidP="00BF670E">
      <w:pPr>
        <w:pStyle w:val="Default"/>
        <w:tabs>
          <w:tab w:val="left" w:pos="567"/>
        </w:tabs>
        <w:jc w:val="both"/>
        <w:rPr>
          <w:color w:val="auto"/>
          <w:spacing w:val="-4"/>
          <w:sz w:val="20"/>
          <w:szCs w:val="20"/>
        </w:rPr>
      </w:pPr>
    </w:p>
    <w:p w14:paraId="11DAE7DD" w14:textId="2D4EA28C" w:rsidR="00BF670E" w:rsidRPr="00ED2F65" w:rsidRDefault="006657C7" w:rsidP="00BF670E">
      <w:pPr>
        <w:pStyle w:val="ListParagraph"/>
        <w:widowControl w:val="0"/>
        <w:numPr>
          <w:ilvl w:val="0"/>
          <w:numId w:val="30"/>
        </w:numPr>
        <w:tabs>
          <w:tab w:val="left" w:pos="567"/>
        </w:tabs>
        <w:autoSpaceDE w:val="0"/>
        <w:autoSpaceDN w:val="0"/>
        <w:adjustRightInd w:val="0"/>
        <w:ind w:left="0" w:right="22" w:firstLine="0"/>
        <w:jc w:val="both"/>
        <w:rPr>
          <w:lang w:val="es-ES_tradnl"/>
        </w:rPr>
      </w:pPr>
      <w:bookmarkStart w:id="349" w:name="_Toc502891634"/>
      <w:r>
        <w:rPr>
          <w:lang w:val="es-CR"/>
        </w:rPr>
        <w:t xml:space="preserve">Desestimar la excepción preliminar interpuesta por el Estado relativa a la alegada falta de competencia </w:t>
      </w:r>
      <w:proofErr w:type="spellStart"/>
      <w:r>
        <w:rPr>
          <w:i/>
          <w:lang w:val="es-CR"/>
        </w:rPr>
        <w:t>ratione</w:t>
      </w:r>
      <w:proofErr w:type="spellEnd"/>
      <w:r>
        <w:rPr>
          <w:i/>
          <w:lang w:val="es-CR"/>
        </w:rPr>
        <w:t xml:space="preserve"> </w:t>
      </w:r>
      <w:proofErr w:type="spellStart"/>
      <w:r>
        <w:rPr>
          <w:i/>
          <w:lang w:val="es-CR"/>
        </w:rPr>
        <w:t>temporis</w:t>
      </w:r>
      <w:proofErr w:type="spellEnd"/>
      <w:r>
        <w:rPr>
          <w:i/>
          <w:lang w:val="es-CR"/>
        </w:rPr>
        <w:t xml:space="preserve"> </w:t>
      </w:r>
      <w:r>
        <w:rPr>
          <w:lang w:val="es-CR"/>
        </w:rPr>
        <w:t xml:space="preserve">de la Corte Interamericana respecto a la Convención Interamericana sobre Desaparición Forzada de Personas, en los términos de los párrafos </w:t>
      </w:r>
      <w:r w:rsidR="00497435">
        <w:rPr>
          <w:lang w:val="es-CR"/>
        </w:rPr>
        <w:fldChar w:fldCharType="begin"/>
      </w:r>
      <w:r w:rsidR="00497435">
        <w:rPr>
          <w:lang w:val="es-CR"/>
        </w:rPr>
        <w:instrText xml:space="preserve"> REF _Ref524880356 \r \h </w:instrText>
      </w:r>
      <w:r w:rsidR="00497435">
        <w:rPr>
          <w:lang w:val="es-CR"/>
        </w:rPr>
      </w:r>
      <w:r w:rsidR="00497435">
        <w:rPr>
          <w:lang w:val="es-CR"/>
        </w:rPr>
        <w:fldChar w:fldCharType="separate"/>
      </w:r>
      <w:r w:rsidR="00087178">
        <w:rPr>
          <w:lang w:val="es-CR"/>
        </w:rPr>
        <w:t>18</w:t>
      </w:r>
      <w:r w:rsidR="00497435">
        <w:rPr>
          <w:lang w:val="es-CR"/>
        </w:rPr>
        <w:fldChar w:fldCharType="end"/>
      </w:r>
      <w:r w:rsidR="00497435">
        <w:rPr>
          <w:lang w:val="es-CR"/>
        </w:rPr>
        <w:t xml:space="preserve"> a </w:t>
      </w:r>
      <w:r w:rsidR="00497435">
        <w:rPr>
          <w:lang w:val="es-CR"/>
        </w:rPr>
        <w:fldChar w:fldCharType="begin"/>
      </w:r>
      <w:r w:rsidR="00497435">
        <w:rPr>
          <w:lang w:val="es-CR"/>
        </w:rPr>
        <w:instrText xml:space="preserve"> REF _Ref524880357 \r \h </w:instrText>
      </w:r>
      <w:r w:rsidR="00497435">
        <w:rPr>
          <w:lang w:val="es-CR"/>
        </w:rPr>
      </w:r>
      <w:r w:rsidR="00497435">
        <w:rPr>
          <w:lang w:val="es-CR"/>
        </w:rPr>
        <w:fldChar w:fldCharType="separate"/>
      </w:r>
      <w:r w:rsidR="00087178">
        <w:rPr>
          <w:lang w:val="es-CR"/>
        </w:rPr>
        <w:t>20</w:t>
      </w:r>
      <w:r w:rsidR="00497435">
        <w:rPr>
          <w:lang w:val="es-CR"/>
        </w:rPr>
        <w:fldChar w:fldCharType="end"/>
      </w:r>
      <w:r w:rsidR="001A620D">
        <w:rPr>
          <w:lang w:val="es-CR"/>
        </w:rPr>
        <w:t xml:space="preserve"> </w:t>
      </w:r>
      <w:r>
        <w:rPr>
          <w:lang w:val="es-CR"/>
        </w:rPr>
        <w:t xml:space="preserve">de </w:t>
      </w:r>
      <w:r w:rsidR="00BF670E" w:rsidRPr="00ED2F65">
        <w:rPr>
          <w:lang w:val="es-ES_tradnl"/>
        </w:rPr>
        <w:t>esta Sentencia.</w:t>
      </w:r>
      <w:bookmarkStart w:id="350" w:name="_Toc502891635"/>
      <w:bookmarkEnd w:id="349"/>
    </w:p>
    <w:p w14:paraId="15FDBF63" w14:textId="77777777" w:rsidR="00BF670E" w:rsidRPr="00ED2F65" w:rsidRDefault="00BF670E" w:rsidP="00BF670E">
      <w:pPr>
        <w:pStyle w:val="ListParagraph"/>
        <w:tabs>
          <w:tab w:val="left" w:pos="567"/>
        </w:tabs>
        <w:ind w:left="0"/>
        <w:rPr>
          <w:lang w:val="es-ES_tradnl"/>
        </w:rPr>
      </w:pPr>
    </w:p>
    <w:p w14:paraId="42A3F1FC" w14:textId="77777777" w:rsidR="00BF670E" w:rsidRPr="00ED2F65" w:rsidRDefault="00BF670E" w:rsidP="00BF670E">
      <w:pPr>
        <w:tabs>
          <w:tab w:val="left" w:pos="567"/>
          <w:tab w:val="num" w:pos="630"/>
          <w:tab w:val="left" w:pos="720"/>
        </w:tabs>
        <w:rPr>
          <w:rFonts w:cs="Verdana"/>
          <w:b/>
          <w:spacing w:val="-4"/>
          <w:szCs w:val="20"/>
          <w:lang w:val="es-CR"/>
        </w:rPr>
      </w:pPr>
      <w:r w:rsidRPr="00ED2F65">
        <w:rPr>
          <w:rFonts w:cs="Verdana"/>
          <w:b/>
          <w:spacing w:val="-4"/>
          <w:szCs w:val="20"/>
          <w:lang w:val="es-CR"/>
        </w:rPr>
        <w:t>DECLARA,</w:t>
      </w:r>
    </w:p>
    <w:p w14:paraId="26873328" w14:textId="77777777" w:rsidR="00BF670E" w:rsidRPr="00ED2F65" w:rsidRDefault="00BF670E" w:rsidP="00BF670E">
      <w:pPr>
        <w:tabs>
          <w:tab w:val="left" w:pos="567"/>
          <w:tab w:val="num" w:pos="630"/>
          <w:tab w:val="left" w:pos="720"/>
        </w:tabs>
        <w:rPr>
          <w:rFonts w:cs="Verdana"/>
          <w:b/>
          <w:spacing w:val="-4"/>
          <w:sz w:val="16"/>
          <w:szCs w:val="20"/>
          <w:lang w:val="es-CR"/>
        </w:rPr>
      </w:pPr>
    </w:p>
    <w:p w14:paraId="2BC23A82" w14:textId="5F6C4877" w:rsidR="00BF670E" w:rsidRPr="00ED2F65" w:rsidRDefault="00BF670E" w:rsidP="00BF670E">
      <w:pPr>
        <w:pStyle w:val="Default"/>
        <w:tabs>
          <w:tab w:val="left" w:pos="567"/>
        </w:tabs>
        <w:jc w:val="both"/>
        <w:rPr>
          <w:color w:val="auto"/>
          <w:spacing w:val="-4"/>
          <w:sz w:val="20"/>
          <w:szCs w:val="20"/>
          <w:lang w:val="es-ES_tradnl"/>
        </w:rPr>
      </w:pPr>
      <w:r w:rsidRPr="00ED2F65">
        <w:rPr>
          <w:color w:val="auto"/>
          <w:spacing w:val="-4"/>
          <w:sz w:val="20"/>
          <w:szCs w:val="20"/>
          <w:lang w:val="es-ES_tradnl"/>
        </w:rPr>
        <w:t>Por</w:t>
      </w:r>
      <w:r w:rsidRPr="00C670DA">
        <w:rPr>
          <w:color w:val="auto"/>
          <w:spacing w:val="-4"/>
          <w:sz w:val="20"/>
          <w:szCs w:val="20"/>
        </w:rPr>
        <w:t xml:space="preserve"> </w:t>
      </w:r>
      <w:r w:rsidR="00030251" w:rsidRPr="00030251">
        <w:rPr>
          <w:color w:val="auto"/>
          <w:spacing w:val="-4"/>
          <w:sz w:val="20"/>
          <w:szCs w:val="20"/>
          <w:lang w:val="es-MX"/>
        </w:rPr>
        <w:t>unanimidad</w:t>
      </w:r>
      <w:r w:rsidRPr="00ED2F65">
        <w:rPr>
          <w:color w:val="auto"/>
          <w:spacing w:val="-4"/>
          <w:sz w:val="20"/>
          <w:szCs w:val="20"/>
          <w:lang w:val="es-ES_tradnl"/>
        </w:rPr>
        <w:t>, que</w:t>
      </w:r>
    </w:p>
    <w:p w14:paraId="554B50D0" w14:textId="77777777" w:rsidR="00BF670E" w:rsidRPr="00ED2F65" w:rsidRDefault="00BF670E" w:rsidP="00BF670E">
      <w:pPr>
        <w:pStyle w:val="PrrafodeSentencia"/>
        <w:numPr>
          <w:ilvl w:val="0"/>
          <w:numId w:val="0"/>
        </w:numPr>
      </w:pPr>
      <w:bookmarkStart w:id="351" w:name="_Toc502891636"/>
      <w:bookmarkEnd w:id="350"/>
    </w:p>
    <w:p w14:paraId="432FAA5B" w14:textId="083F4567" w:rsidR="003C52A6" w:rsidRPr="00AB0DA7" w:rsidRDefault="00EE2542" w:rsidP="00AB0DA7">
      <w:pPr>
        <w:pStyle w:val="PrrafodeSentencia"/>
        <w:numPr>
          <w:ilvl w:val="0"/>
          <w:numId w:val="30"/>
        </w:numPr>
        <w:ind w:left="0" w:firstLine="0"/>
        <w:rPr>
          <w:lang w:val="es-ES_tradnl"/>
        </w:rPr>
      </w:pPr>
      <w:r>
        <w:t>E</w:t>
      </w:r>
      <w:r w:rsidRPr="00DC0821">
        <w:t xml:space="preserve">l Estado es responsable </w:t>
      </w:r>
      <w:r>
        <w:t xml:space="preserve">por la desaparición forzada de Walter </w:t>
      </w:r>
      <w:proofErr w:type="spellStart"/>
      <w:r>
        <w:t>Munárriz</w:t>
      </w:r>
      <w:proofErr w:type="spellEnd"/>
      <w:r>
        <w:t xml:space="preserve"> Escobar y, en consecuencia, por </w:t>
      </w:r>
      <w:r w:rsidRPr="00DC0821">
        <w:t xml:space="preserve">la violación de los </w:t>
      </w:r>
      <w:r w:rsidR="00AB0DA7">
        <w:rPr>
          <w:lang w:val="es-ES"/>
        </w:rPr>
        <w:t>derecho</w:t>
      </w:r>
      <w:r>
        <w:t>s a la libertad personal, integridad personal, vida y al reconocimiento de la personalidad jurídica,</w:t>
      </w:r>
      <w:r w:rsidRPr="00AB0DA7">
        <w:rPr>
          <w:lang w:val="es-ES"/>
        </w:rPr>
        <w:t xml:space="preserve"> reconocidos en los artículos 7, 5.1, 5.2, 4.1, y 3 de la Convención Americana, en relación con el artículo 1.1 de la misma y con lo dispuesto en el artículo </w:t>
      </w:r>
      <w:proofErr w:type="spellStart"/>
      <w:r w:rsidRPr="00AB0DA7">
        <w:rPr>
          <w:lang w:val="es-ES"/>
        </w:rPr>
        <w:t>I.a</w:t>
      </w:r>
      <w:proofErr w:type="spellEnd"/>
      <w:r w:rsidRPr="00AB0DA7">
        <w:rPr>
          <w:lang w:val="es-ES"/>
        </w:rPr>
        <w:t xml:space="preserve"> de la Convención Interamericana sobre Desaparición Forzada, en perjuicio de Walter </w:t>
      </w:r>
      <w:proofErr w:type="spellStart"/>
      <w:r w:rsidRPr="00AB0DA7">
        <w:rPr>
          <w:lang w:val="es-ES"/>
        </w:rPr>
        <w:t>Munárriz</w:t>
      </w:r>
      <w:proofErr w:type="spellEnd"/>
      <w:r w:rsidRPr="00AB0DA7">
        <w:rPr>
          <w:lang w:val="es-ES"/>
        </w:rPr>
        <w:t xml:space="preserve"> Escobar, en los términos de los párrafos </w:t>
      </w:r>
      <w:r w:rsidR="00497435">
        <w:rPr>
          <w:lang w:val="es-ES"/>
        </w:rPr>
        <w:fldChar w:fldCharType="begin"/>
      </w:r>
      <w:r w:rsidR="00497435">
        <w:rPr>
          <w:lang w:val="es-ES"/>
        </w:rPr>
        <w:instrText xml:space="preserve"> REF _Ref522527104 \r \h </w:instrText>
      </w:r>
      <w:r w:rsidR="00497435">
        <w:rPr>
          <w:lang w:val="es-ES"/>
        </w:rPr>
      </w:r>
      <w:r w:rsidR="00497435">
        <w:rPr>
          <w:lang w:val="es-ES"/>
        </w:rPr>
        <w:fldChar w:fldCharType="separate"/>
      </w:r>
      <w:r w:rsidR="00087178">
        <w:rPr>
          <w:lang w:val="es-ES"/>
        </w:rPr>
        <w:t>63</w:t>
      </w:r>
      <w:r w:rsidR="00497435">
        <w:rPr>
          <w:lang w:val="es-ES"/>
        </w:rPr>
        <w:fldChar w:fldCharType="end"/>
      </w:r>
      <w:r w:rsidR="00497435">
        <w:rPr>
          <w:lang w:val="es-ES"/>
        </w:rPr>
        <w:t xml:space="preserve"> a </w:t>
      </w:r>
      <w:r w:rsidR="00497435">
        <w:rPr>
          <w:lang w:val="es-ES"/>
        </w:rPr>
        <w:fldChar w:fldCharType="begin"/>
      </w:r>
      <w:r w:rsidR="00497435">
        <w:rPr>
          <w:lang w:val="es-ES"/>
        </w:rPr>
        <w:instrText xml:space="preserve"> REF _Ref524880423 \r \h </w:instrText>
      </w:r>
      <w:r w:rsidR="00497435">
        <w:rPr>
          <w:lang w:val="es-ES"/>
        </w:rPr>
      </w:r>
      <w:r w:rsidR="00497435">
        <w:rPr>
          <w:lang w:val="es-ES"/>
        </w:rPr>
        <w:fldChar w:fldCharType="separate"/>
      </w:r>
      <w:r w:rsidR="00087178">
        <w:rPr>
          <w:lang w:val="es-ES"/>
        </w:rPr>
        <w:t>86</w:t>
      </w:r>
      <w:r w:rsidR="00497435">
        <w:rPr>
          <w:lang w:val="es-ES"/>
        </w:rPr>
        <w:fldChar w:fldCharType="end"/>
      </w:r>
      <w:r w:rsidR="00497435">
        <w:rPr>
          <w:lang w:val="es-ES"/>
        </w:rPr>
        <w:t xml:space="preserve"> </w:t>
      </w:r>
      <w:r w:rsidR="00BF670E" w:rsidRPr="00AB0DA7">
        <w:rPr>
          <w:lang w:val="es-ES_tradnl"/>
        </w:rPr>
        <w:t>de esta Sentencia.</w:t>
      </w:r>
    </w:p>
    <w:p w14:paraId="4843677D" w14:textId="77777777" w:rsidR="003C52A6" w:rsidRPr="003C52A6" w:rsidRDefault="003C52A6" w:rsidP="003C52A6">
      <w:pPr>
        <w:rPr>
          <w:lang w:val="es-ES_tradnl" w:eastAsia="es-MX"/>
        </w:rPr>
      </w:pPr>
    </w:p>
    <w:p w14:paraId="7DE48859" w14:textId="197AC97E" w:rsidR="003C52A6" w:rsidRDefault="003C52A6" w:rsidP="003C52A6">
      <w:pPr>
        <w:pStyle w:val="PrrafodeSentencia"/>
        <w:numPr>
          <w:ilvl w:val="0"/>
          <w:numId w:val="30"/>
        </w:numPr>
        <w:ind w:left="0" w:firstLine="0"/>
      </w:pPr>
      <w:r w:rsidRPr="003C52A6">
        <w:t xml:space="preserve">El Estado es responsable por la violación de los derechos a las garantías judiciales y a la protección judicial, reconocidos en </w:t>
      </w:r>
      <w:r>
        <w:t xml:space="preserve">los artículos 8.1 y 25.1 de la Convención, en relación </w:t>
      </w:r>
      <w:r w:rsidRPr="00003B36">
        <w:t xml:space="preserve">con </w:t>
      </w:r>
      <w:r w:rsidR="000219F9">
        <w:t xml:space="preserve">el artículo </w:t>
      </w:r>
      <w:r w:rsidRPr="00003B36">
        <w:t xml:space="preserve">1.1 del mismo instrumento y </w:t>
      </w:r>
      <w:r w:rsidR="000219F9">
        <w:rPr>
          <w:lang w:val="es-ES"/>
        </w:rPr>
        <w:t>el</w:t>
      </w:r>
      <w:r w:rsidRPr="00003B36">
        <w:rPr>
          <w:lang w:val="es-ES"/>
        </w:rPr>
        <w:t xml:space="preserve"> artículo </w:t>
      </w:r>
      <w:proofErr w:type="spellStart"/>
      <w:r w:rsidRPr="00003B36">
        <w:rPr>
          <w:lang w:val="es-ES"/>
        </w:rPr>
        <w:t>I.b</w:t>
      </w:r>
      <w:proofErr w:type="spellEnd"/>
      <w:r w:rsidRPr="00003B36">
        <w:rPr>
          <w:lang w:val="es-ES"/>
        </w:rPr>
        <w:t xml:space="preserve"> de la Convención Interamericana sobre Desaparición Forzada, </w:t>
      </w:r>
      <w:r w:rsidRPr="00003B36">
        <w:t xml:space="preserve">en perjuicio del señor </w:t>
      </w:r>
      <w:proofErr w:type="spellStart"/>
      <w:r>
        <w:t>Munárriz</w:t>
      </w:r>
      <w:proofErr w:type="spellEnd"/>
      <w:r>
        <w:t xml:space="preserve"> Escobar</w:t>
      </w:r>
      <w:r w:rsidRPr="00003B36">
        <w:t xml:space="preserve"> y de sus familiares, Gladys Escobar </w:t>
      </w:r>
      <w:proofErr w:type="spellStart"/>
      <w:r w:rsidRPr="00003B36">
        <w:t>Candiotti</w:t>
      </w:r>
      <w:proofErr w:type="spellEnd"/>
      <w:r w:rsidRPr="00003B36">
        <w:t xml:space="preserve">, Eric </w:t>
      </w:r>
      <w:proofErr w:type="spellStart"/>
      <w:r w:rsidRPr="00003B36">
        <w:t>Munárriz</w:t>
      </w:r>
      <w:proofErr w:type="spellEnd"/>
      <w:r w:rsidRPr="00003B36">
        <w:t xml:space="preserve"> Escobar, Gladys </w:t>
      </w:r>
      <w:proofErr w:type="spellStart"/>
      <w:r w:rsidRPr="00003B36">
        <w:t>Munárriz</w:t>
      </w:r>
      <w:proofErr w:type="spellEnd"/>
      <w:r w:rsidRPr="00003B36">
        <w:t xml:space="preserve"> Escobar, Amparo </w:t>
      </w:r>
      <w:proofErr w:type="spellStart"/>
      <w:r w:rsidRPr="00003B36">
        <w:t>Munárriz</w:t>
      </w:r>
      <w:proofErr w:type="spellEnd"/>
      <w:r w:rsidRPr="00003B36">
        <w:t xml:space="preserve"> Escobar, Junior </w:t>
      </w:r>
      <w:proofErr w:type="spellStart"/>
      <w:r w:rsidRPr="00003B36">
        <w:t>Munárriz</w:t>
      </w:r>
      <w:proofErr w:type="spellEnd"/>
      <w:r w:rsidRPr="00003B36">
        <w:t xml:space="preserve"> Escobar y </w:t>
      </w:r>
      <w:r w:rsidR="000D146B">
        <w:t>Alain</w:t>
      </w:r>
      <w:r w:rsidRPr="00003B36">
        <w:t xml:space="preserve"> </w:t>
      </w:r>
      <w:proofErr w:type="spellStart"/>
      <w:r w:rsidRPr="00003B36">
        <w:t>Munárriz</w:t>
      </w:r>
      <w:proofErr w:type="spellEnd"/>
      <w:r w:rsidRPr="00003B36">
        <w:t xml:space="preserve"> Escobar</w:t>
      </w:r>
      <w:r>
        <w:t xml:space="preserve">. </w:t>
      </w:r>
      <w:r w:rsidRPr="003C52A6">
        <w:t>Además, el Estado violó el derecho a conocer la verdad de estos familiares de la víctima desaparecida. Todo ello, en los términos de los párrafos</w:t>
      </w:r>
      <w:r w:rsidR="00497435">
        <w:t xml:space="preserve"> </w:t>
      </w:r>
      <w:r w:rsidR="00306DB9">
        <w:fldChar w:fldCharType="begin"/>
      </w:r>
      <w:r w:rsidR="00306DB9">
        <w:instrText xml:space="preserve"> REF _Ref524711191 \r \h </w:instrText>
      </w:r>
      <w:r w:rsidR="00306DB9">
        <w:fldChar w:fldCharType="separate"/>
      </w:r>
      <w:r w:rsidR="00087178">
        <w:t>97</w:t>
      </w:r>
      <w:r w:rsidR="00306DB9">
        <w:fldChar w:fldCharType="end"/>
      </w:r>
      <w:r w:rsidR="00497435">
        <w:t xml:space="preserve"> </w:t>
      </w:r>
      <w:r w:rsidRPr="003C52A6">
        <w:t>a</w:t>
      </w:r>
      <w:r>
        <w:t xml:space="preserve"> </w:t>
      </w:r>
      <w:r w:rsidR="00497435">
        <w:fldChar w:fldCharType="begin"/>
      </w:r>
      <w:r w:rsidR="00497435">
        <w:instrText xml:space="preserve"> REF _Ref524880464 \r \h </w:instrText>
      </w:r>
      <w:r w:rsidR="00497435">
        <w:fldChar w:fldCharType="separate"/>
      </w:r>
      <w:r w:rsidR="00087178">
        <w:t>111</w:t>
      </w:r>
      <w:r w:rsidR="00497435">
        <w:fldChar w:fldCharType="end"/>
      </w:r>
      <w:r w:rsidRPr="003C52A6">
        <w:t xml:space="preserve"> de esta Sentencia.</w:t>
      </w:r>
    </w:p>
    <w:p w14:paraId="008E3F9C" w14:textId="77777777" w:rsidR="003C52A6" w:rsidRPr="003C52A6" w:rsidRDefault="003C52A6" w:rsidP="003C52A6">
      <w:pPr>
        <w:rPr>
          <w:lang w:val="es-CR" w:eastAsia="es-MX"/>
        </w:rPr>
      </w:pPr>
    </w:p>
    <w:p w14:paraId="3F05B48C" w14:textId="5B83C5C2" w:rsidR="003C52A6" w:rsidRPr="000219F9" w:rsidRDefault="003C52A6" w:rsidP="003C52A6">
      <w:pPr>
        <w:pStyle w:val="PrrafodeSentencia"/>
        <w:numPr>
          <w:ilvl w:val="0"/>
          <w:numId w:val="30"/>
        </w:numPr>
        <w:ind w:left="0" w:firstLine="0"/>
      </w:pPr>
      <w:r w:rsidRPr="003C52A6">
        <w:t xml:space="preserve">El Estado es responsable por la violación del derecho a la integridad personal, reconocido en el artículo </w:t>
      </w:r>
      <w:r w:rsidRPr="000219F9">
        <w:t xml:space="preserve">5.1 y 5.2 de la Convención Americana, en relación con el artículo 1.1 del mismo instrumento, en perjuicio de Gladys Escobar </w:t>
      </w:r>
      <w:proofErr w:type="spellStart"/>
      <w:r w:rsidRPr="000219F9">
        <w:t>Candiotti</w:t>
      </w:r>
      <w:proofErr w:type="spellEnd"/>
      <w:r w:rsidRPr="000219F9">
        <w:t xml:space="preserve">, Eric </w:t>
      </w:r>
      <w:proofErr w:type="spellStart"/>
      <w:r w:rsidRPr="000219F9">
        <w:t>Munárriz</w:t>
      </w:r>
      <w:proofErr w:type="spellEnd"/>
      <w:r w:rsidRPr="000219F9">
        <w:t xml:space="preserve"> Escobar, Gladys </w:t>
      </w:r>
      <w:proofErr w:type="spellStart"/>
      <w:r w:rsidRPr="000219F9">
        <w:t>Munárriz</w:t>
      </w:r>
      <w:proofErr w:type="spellEnd"/>
      <w:r w:rsidRPr="000219F9">
        <w:t xml:space="preserve"> Escobar, Amparo </w:t>
      </w:r>
      <w:proofErr w:type="spellStart"/>
      <w:r w:rsidRPr="000219F9">
        <w:t>Munárriz</w:t>
      </w:r>
      <w:proofErr w:type="spellEnd"/>
      <w:r w:rsidRPr="000219F9">
        <w:t xml:space="preserve"> Escobar, Junior </w:t>
      </w:r>
      <w:proofErr w:type="spellStart"/>
      <w:r w:rsidRPr="000219F9">
        <w:t>Munárriz</w:t>
      </w:r>
      <w:proofErr w:type="spellEnd"/>
      <w:r w:rsidRPr="000219F9">
        <w:t xml:space="preserve"> Escobar y </w:t>
      </w:r>
      <w:r w:rsidR="000D146B">
        <w:t>Alain</w:t>
      </w:r>
      <w:r w:rsidRPr="000219F9">
        <w:t xml:space="preserve"> </w:t>
      </w:r>
      <w:proofErr w:type="spellStart"/>
      <w:r w:rsidRPr="000219F9">
        <w:t>Munárriz</w:t>
      </w:r>
      <w:proofErr w:type="spellEnd"/>
      <w:r w:rsidRPr="000219F9">
        <w:t xml:space="preserve"> Escobar, en los términos de los párrafos </w:t>
      </w:r>
      <w:r w:rsidR="00497435">
        <w:fldChar w:fldCharType="begin"/>
      </w:r>
      <w:r w:rsidR="00497435">
        <w:instrText xml:space="preserve"> REF _Ref524880502 \r \h </w:instrText>
      </w:r>
      <w:r w:rsidR="00497435">
        <w:fldChar w:fldCharType="separate"/>
      </w:r>
      <w:r w:rsidR="00087178">
        <w:t>114</w:t>
      </w:r>
      <w:r w:rsidR="00497435">
        <w:fldChar w:fldCharType="end"/>
      </w:r>
      <w:r w:rsidRPr="000219F9">
        <w:t xml:space="preserve"> a </w:t>
      </w:r>
      <w:r w:rsidR="00497435">
        <w:fldChar w:fldCharType="begin"/>
      </w:r>
      <w:r w:rsidR="00497435">
        <w:instrText xml:space="preserve"> REF _Ref524880520 \r \h </w:instrText>
      </w:r>
      <w:r w:rsidR="00497435">
        <w:fldChar w:fldCharType="separate"/>
      </w:r>
      <w:r w:rsidR="00087178">
        <w:t>115</w:t>
      </w:r>
      <w:r w:rsidR="00497435">
        <w:fldChar w:fldCharType="end"/>
      </w:r>
      <w:r w:rsidRPr="000219F9">
        <w:t xml:space="preserve"> de esta Sentencia. </w:t>
      </w:r>
    </w:p>
    <w:p w14:paraId="45F131FC" w14:textId="77777777" w:rsidR="001F4835" w:rsidRPr="000219F9" w:rsidRDefault="001F4835" w:rsidP="001F4835">
      <w:pPr>
        <w:rPr>
          <w:lang w:val="es-CR" w:eastAsia="es-MX"/>
        </w:rPr>
      </w:pPr>
    </w:p>
    <w:p w14:paraId="545987C0" w14:textId="313B851D" w:rsidR="001F4835" w:rsidRPr="000219F9" w:rsidRDefault="001F4835" w:rsidP="00F845BC">
      <w:pPr>
        <w:pStyle w:val="ListParagraph"/>
        <w:numPr>
          <w:ilvl w:val="0"/>
          <w:numId w:val="30"/>
        </w:numPr>
        <w:tabs>
          <w:tab w:val="left" w:pos="567"/>
        </w:tabs>
        <w:ind w:left="0" w:firstLine="0"/>
        <w:jc w:val="both"/>
        <w:rPr>
          <w:lang w:val="es-CR" w:eastAsia="es-MX"/>
        </w:rPr>
      </w:pPr>
      <w:r w:rsidRPr="000219F9">
        <w:rPr>
          <w:lang w:val="es-CR" w:eastAsia="es-MX"/>
        </w:rPr>
        <w:t xml:space="preserve">El Estado no </w:t>
      </w:r>
      <w:r w:rsidR="008900CC" w:rsidRPr="000219F9">
        <w:rPr>
          <w:lang w:val="es-CR" w:eastAsia="es-MX"/>
        </w:rPr>
        <w:t xml:space="preserve">es responsable por la </w:t>
      </w:r>
      <w:r w:rsidRPr="000219F9">
        <w:rPr>
          <w:lang w:val="es-CR" w:eastAsia="es-MX"/>
        </w:rPr>
        <w:t>viol</w:t>
      </w:r>
      <w:r w:rsidR="008900CC" w:rsidRPr="000219F9">
        <w:rPr>
          <w:lang w:val="es-CR" w:eastAsia="es-MX"/>
        </w:rPr>
        <w:t>ación de</w:t>
      </w:r>
      <w:r w:rsidRPr="000219F9">
        <w:rPr>
          <w:lang w:val="es-CR" w:eastAsia="es-MX"/>
        </w:rPr>
        <w:t xml:space="preserve"> los </w:t>
      </w:r>
      <w:r w:rsidRPr="000219F9">
        <w:t>artículos 1</w:t>
      </w:r>
      <w:r w:rsidR="006E595D">
        <w:t>,</w:t>
      </w:r>
      <w:r w:rsidRPr="000219F9">
        <w:t xml:space="preserve"> 6</w:t>
      </w:r>
      <w:r w:rsidR="006E595D">
        <w:t xml:space="preserve"> y 8</w:t>
      </w:r>
      <w:r w:rsidRPr="000219F9">
        <w:t xml:space="preserve"> de la Convención Interamericana para Prevenir y Sancionar la Tortura, en los términos del párrafo </w:t>
      </w:r>
      <w:r w:rsidR="00BB2976">
        <w:rPr>
          <w:lang w:val="es-ES"/>
        </w:rPr>
        <w:fldChar w:fldCharType="begin"/>
      </w:r>
      <w:r w:rsidR="00BB2976">
        <w:instrText xml:space="preserve"> REF _Ref524880480 \r \h </w:instrText>
      </w:r>
      <w:r w:rsidR="00BB2976">
        <w:rPr>
          <w:lang w:val="es-ES"/>
        </w:rPr>
      </w:r>
      <w:r w:rsidR="00BB2976">
        <w:rPr>
          <w:lang w:val="es-ES"/>
        </w:rPr>
        <w:fldChar w:fldCharType="separate"/>
      </w:r>
      <w:r w:rsidR="00087178">
        <w:t>87</w:t>
      </w:r>
      <w:r w:rsidR="00BB2976">
        <w:rPr>
          <w:lang w:val="es-ES"/>
        </w:rPr>
        <w:fldChar w:fldCharType="end"/>
      </w:r>
      <w:r w:rsidRPr="000219F9">
        <w:t xml:space="preserve"> de esta Sentencia.</w:t>
      </w:r>
    </w:p>
    <w:p w14:paraId="75C7F52A" w14:textId="77777777" w:rsidR="008900CC" w:rsidRPr="000219F9" w:rsidRDefault="008900CC" w:rsidP="008900CC">
      <w:pPr>
        <w:pStyle w:val="ListParagraph"/>
        <w:rPr>
          <w:lang w:val="es-CR" w:eastAsia="es-MX"/>
        </w:rPr>
      </w:pPr>
    </w:p>
    <w:p w14:paraId="480BC4DB" w14:textId="001146B2" w:rsidR="008900CC" w:rsidRPr="000219F9" w:rsidRDefault="008900CC" w:rsidP="008900CC">
      <w:pPr>
        <w:pStyle w:val="ListParagraph"/>
        <w:numPr>
          <w:ilvl w:val="0"/>
          <w:numId w:val="30"/>
        </w:numPr>
        <w:tabs>
          <w:tab w:val="left" w:pos="567"/>
        </w:tabs>
        <w:ind w:left="0" w:firstLine="0"/>
        <w:jc w:val="both"/>
        <w:rPr>
          <w:lang w:val="es-CR" w:eastAsia="es-MX"/>
        </w:rPr>
      </w:pPr>
      <w:r w:rsidRPr="000219F9">
        <w:rPr>
          <w:lang w:val="es-CR" w:eastAsia="es-MX"/>
        </w:rPr>
        <w:t xml:space="preserve">El Estado no es responsable por la violación de los artículos 2 de la Convención Americana </w:t>
      </w:r>
      <w:r w:rsidRPr="000219F9">
        <w:t xml:space="preserve">y III de la Convención Interamericana sobre Desaparición Forzada de Personas, en los términos del párrafo </w:t>
      </w:r>
      <w:r w:rsidR="00F808FF">
        <w:fldChar w:fldCharType="begin"/>
      </w:r>
      <w:r w:rsidR="00F808FF">
        <w:instrText xml:space="preserve"> REF _Ref524880571 \r \h </w:instrText>
      </w:r>
      <w:r w:rsidR="00F808FF">
        <w:fldChar w:fldCharType="separate"/>
      </w:r>
      <w:r w:rsidR="00087178">
        <w:t>112</w:t>
      </w:r>
      <w:r w:rsidR="00F808FF">
        <w:fldChar w:fldCharType="end"/>
      </w:r>
      <w:r w:rsidRPr="000219F9">
        <w:t xml:space="preserve"> de esta Sentencia.</w:t>
      </w:r>
    </w:p>
    <w:p w14:paraId="53A0BDAE" w14:textId="77777777" w:rsidR="00BF670E" w:rsidRPr="000219F9" w:rsidRDefault="00BF670E" w:rsidP="00BF670E">
      <w:pPr>
        <w:pStyle w:val="ListParagraph"/>
        <w:tabs>
          <w:tab w:val="left" w:pos="567"/>
        </w:tabs>
        <w:ind w:left="0"/>
        <w:rPr>
          <w:lang w:val="es-ES_tradnl"/>
        </w:rPr>
      </w:pPr>
    </w:p>
    <w:p w14:paraId="5899A722" w14:textId="77777777" w:rsidR="00BF670E" w:rsidRPr="00ED2F65" w:rsidRDefault="00BF670E" w:rsidP="00BF670E">
      <w:pPr>
        <w:tabs>
          <w:tab w:val="left" w:pos="567"/>
          <w:tab w:val="left" w:pos="720"/>
        </w:tabs>
        <w:rPr>
          <w:rFonts w:cs="Verdana"/>
          <w:b/>
          <w:spacing w:val="-4"/>
          <w:szCs w:val="20"/>
          <w:lang w:val="es-CR"/>
        </w:rPr>
      </w:pPr>
      <w:r w:rsidRPr="000219F9">
        <w:rPr>
          <w:rFonts w:cs="Verdana"/>
          <w:b/>
          <w:spacing w:val="-4"/>
          <w:szCs w:val="20"/>
          <w:lang w:val="es-CR"/>
        </w:rPr>
        <w:t>Y DISPONE,</w:t>
      </w:r>
    </w:p>
    <w:p w14:paraId="19ADA4E9" w14:textId="77777777" w:rsidR="00BF670E" w:rsidRPr="00ED2F65" w:rsidRDefault="00BF670E" w:rsidP="00BF670E">
      <w:pPr>
        <w:tabs>
          <w:tab w:val="left" w:pos="567"/>
          <w:tab w:val="left" w:pos="720"/>
        </w:tabs>
        <w:rPr>
          <w:rFonts w:cs="Verdana"/>
          <w:b/>
          <w:spacing w:val="-4"/>
          <w:sz w:val="16"/>
          <w:szCs w:val="20"/>
          <w:lang w:val="es-CR"/>
        </w:rPr>
      </w:pPr>
    </w:p>
    <w:p w14:paraId="359C4527" w14:textId="7E862E8C" w:rsidR="00BF670E" w:rsidRPr="00ED2F65" w:rsidRDefault="00BF670E" w:rsidP="00BF670E">
      <w:pPr>
        <w:tabs>
          <w:tab w:val="left" w:pos="567"/>
          <w:tab w:val="left" w:pos="720"/>
        </w:tabs>
        <w:rPr>
          <w:rFonts w:cs="Verdana"/>
          <w:spacing w:val="-4"/>
          <w:szCs w:val="20"/>
          <w:lang w:val="es-CR"/>
        </w:rPr>
      </w:pPr>
      <w:r w:rsidRPr="00ED2F65">
        <w:rPr>
          <w:rFonts w:cs="Verdana"/>
          <w:spacing w:val="-4"/>
          <w:szCs w:val="20"/>
          <w:lang w:val="es-CR"/>
        </w:rPr>
        <w:t xml:space="preserve">Por </w:t>
      </w:r>
      <w:r w:rsidR="00030251">
        <w:rPr>
          <w:spacing w:val="-4"/>
          <w:szCs w:val="20"/>
          <w:lang w:val="es-CR"/>
        </w:rPr>
        <w:t>unanimidad</w:t>
      </w:r>
      <w:r w:rsidRPr="00ED2F65">
        <w:rPr>
          <w:spacing w:val="-4"/>
          <w:szCs w:val="20"/>
          <w:lang w:val="es-CR"/>
        </w:rPr>
        <w:t>,</w:t>
      </w:r>
      <w:r w:rsidRPr="00ED2F65">
        <w:rPr>
          <w:rFonts w:cs="Verdana"/>
          <w:spacing w:val="-4"/>
          <w:szCs w:val="20"/>
          <w:lang w:val="es-CR"/>
        </w:rPr>
        <w:t xml:space="preserve"> que:</w:t>
      </w:r>
    </w:p>
    <w:p w14:paraId="4715C016" w14:textId="77777777" w:rsidR="00BF670E" w:rsidRPr="00ED2F65" w:rsidRDefault="00BF670E" w:rsidP="00BF670E">
      <w:pPr>
        <w:pStyle w:val="ListParagraph"/>
        <w:tabs>
          <w:tab w:val="left" w:pos="567"/>
        </w:tabs>
        <w:ind w:left="0"/>
        <w:rPr>
          <w:lang w:val="es-ES_tradnl"/>
        </w:rPr>
      </w:pPr>
    </w:p>
    <w:p w14:paraId="0328870D" w14:textId="77777777" w:rsidR="00913F68" w:rsidRDefault="00BF670E" w:rsidP="001F4835">
      <w:pPr>
        <w:pStyle w:val="ListParagraph"/>
        <w:widowControl w:val="0"/>
        <w:numPr>
          <w:ilvl w:val="0"/>
          <w:numId w:val="30"/>
        </w:numPr>
        <w:tabs>
          <w:tab w:val="left" w:pos="567"/>
        </w:tabs>
        <w:autoSpaceDE w:val="0"/>
        <w:autoSpaceDN w:val="0"/>
        <w:adjustRightInd w:val="0"/>
        <w:spacing w:after="40"/>
        <w:ind w:left="0" w:right="22" w:firstLine="0"/>
        <w:jc w:val="both"/>
        <w:rPr>
          <w:lang w:val="es-ES_tradnl"/>
        </w:rPr>
      </w:pPr>
      <w:r w:rsidRPr="00ED2F65">
        <w:rPr>
          <w:lang w:val="es-ES_tradnl"/>
        </w:rPr>
        <w:t>Esta Sentencia constituye, por sí misma, una forma de reparación.</w:t>
      </w:r>
      <w:bookmarkEnd w:id="351"/>
      <w:r w:rsidRPr="00ED2F65">
        <w:rPr>
          <w:lang w:val="es-ES_tradnl"/>
        </w:rPr>
        <w:t xml:space="preserve"> </w:t>
      </w:r>
    </w:p>
    <w:p w14:paraId="20C19725" w14:textId="77777777" w:rsidR="00913F68" w:rsidRDefault="00913F68" w:rsidP="00913F68">
      <w:pPr>
        <w:pStyle w:val="ListParagraph"/>
        <w:widowControl w:val="0"/>
        <w:tabs>
          <w:tab w:val="left" w:pos="567"/>
        </w:tabs>
        <w:autoSpaceDE w:val="0"/>
        <w:autoSpaceDN w:val="0"/>
        <w:adjustRightInd w:val="0"/>
        <w:spacing w:after="40"/>
        <w:ind w:left="0" w:right="22"/>
        <w:jc w:val="both"/>
        <w:rPr>
          <w:lang w:val="es-ES_tradnl"/>
        </w:rPr>
      </w:pPr>
    </w:p>
    <w:p w14:paraId="49CC250E" w14:textId="7AFEC2BD" w:rsidR="00913F68" w:rsidRPr="00F24F69" w:rsidRDefault="00913F68" w:rsidP="00913F68">
      <w:pPr>
        <w:pStyle w:val="ListParagraph"/>
        <w:widowControl w:val="0"/>
        <w:numPr>
          <w:ilvl w:val="0"/>
          <w:numId w:val="30"/>
        </w:numPr>
        <w:tabs>
          <w:tab w:val="left" w:pos="567"/>
        </w:tabs>
        <w:autoSpaceDE w:val="0"/>
        <w:autoSpaceDN w:val="0"/>
        <w:adjustRightInd w:val="0"/>
        <w:spacing w:after="40"/>
        <w:ind w:left="0" w:right="22" w:firstLine="0"/>
        <w:jc w:val="both"/>
        <w:rPr>
          <w:lang w:val="es-ES_tradnl"/>
        </w:rPr>
      </w:pPr>
      <w:r w:rsidRPr="00913F68">
        <w:rPr>
          <w:szCs w:val="20"/>
        </w:rPr>
        <w:t xml:space="preserve">El Estado debe continuar y llevar a cabo, en un plazo razonable y con la mayor diligencia, </w:t>
      </w:r>
      <w:r w:rsidRPr="00F24F69">
        <w:rPr>
          <w:szCs w:val="20"/>
        </w:rPr>
        <w:t xml:space="preserve">las investigaciones que sean necesarias para identificar, juzgar y, en su caso, sancionar a los responsables de la desaparición forzada de Walter </w:t>
      </w:r>
      <w:proofErr w:type="spellStart"/>
      <w:r w:rsidRPr="00F24F69">
        <w:rPr>
          <w:szCs w:val="20"/>
        </w:rPr>
        <w:t>Munárriz</w:t>
      </w:r>
      <w:proofErr w:type="spellEnd"/>
      <w:r w:rsidRPr="00F24F69">
        <w:rPr>
          <w:szCs w:val="20"/>
        </w:rPr>
        <w:t xml:space="preserve"> Escobar, en los términos de lo establecido en </w:t>
      </w:r>
      <w:r w:rsidR="00F808FF">
        <w:rPr>
          <w:szCs w:val="20"/>
        </w:rPr>
        <w:t xml:space="preserve">el párrafo </w:t>
      </w:r>
      <w:r w:rsidR="00F808FF">
        <w:rPr>
          <w:szCs w:val="20"/>
        </w:rPr>
        <w:fldChar w:fldCharType="begin"/>
      </w:r>
      <w:r w:rsidR="00F808FF">
        <w:rPr>
          <w:szCs w:val="20"/>
        </w:rPr>
        <w:instrText xml:space="preserve"> REF _Ref524880604 \r \h </w:instrText>
      </w:r>
      <w:r w:rsidR="00F808FF">
        <w:rPr>
          <w:szCs w:val="20"/>
        </w:rPr>
      </w:r>
      <w:r w:rsidR="00F808FF">
        <w:rPr>
          <w:szCs w:val="20"/>
        </w:rPr>
        <w:fldChar w:fldCharType="separate"/>
      </w:r>
      <w:r w:rsidR="00087178">
        <w:rPr>
          <w:szCs w:val="20"/>
        </w:rPr>
        <w:t>122</w:t>
      </w:r>
      <w:r w:rsidR="00F808FF">
        <w:rPr>
          <w:szCs w:val="20"/>
        </w:rPr>
        <w:fldChar w:fldCharType="end"/>
      </w:r>
      <w:r w:rsidR="00F808FF">
        <w:rPr>
          <w:szCs w:val="20"/>
        </w:rPr>
        <w:t>.</w:t>
      </w:r>
    </w:p>
    <w:p w14:paraId="4356123C" w14:textId="77777777" w:rsidR="00913F68" w:rsidRPr="00F24F69" w:rsidRDefault="00913F68" w:rsidP="00913F68">
      <w:pPr>
        <w:pStyle w:val="ListParagraph"/>
        <w:rPr>
          <w:szCs w:val="20"/>
        </w:rPr>
      </w:pPr>
    </w:p>
    <w:p w14:paraId="24A6B7F6" w14:textId="474DF410" w:rsidR="00913F68" w:rsidRPr="00F24F69" w:rsidRDefault="00913F68" w:rsidP="00913F68">
      <w:pPr>
        <w:pStyle w:val="ListParagraph"/>
        <w:widowControl w:val="0"/>
        <w:numPr>
          <w:ilvl w:val="0"/>
          <w:numId w:val="30"/>
        </w:numPr>
        <w:tabs>
          <w:tab w:val="left" w:pos="567"/>
        </w:tabs>
        <w:autoSpaceDE w:val="0"/>
        <w:autoSpaceDN w:val="0"/>
        <w:adjustRightInd w:val="0"/>
        <w:spacing w:after="40"/>
        <w:ind w:left="0" w:right="22" w:firstLine="0"/>
        <w:jc w:val="both"/>
        <w:rPr>
          <w:lang w:val="es-ES_tradnl"/>
        </w:rPr>
      </w:pPr>
      <w:r w:rsidRPr="00F24F69">
        <w:rPr>
          <w:szCs w:val="20"/>
        </w:rPr>
        <w:t xml:space="preserve">El Estado debe realizar, a la mayor brevedad, una búsqueda </w:t>
      </w:r>
      <w:r w:rsidRPr="00F24F69">
        <w:rPr>
          <w:rFonts w:cs="Verdana-Italic"/>
          <w:iCs/>
          <w:szCs w:val="20"/>
          <w:lang w:bidi="en-US"/>
        </w:rPr>
        <w:t xml:space="preserve">rigurosa, </w:t>
      </w:r>
      <w:r w:rsidRPr="00F24F69">
        <w:rPr>
          <w:szCs w:val="20"/>
        </w:rPr>
        <w:t>sistemática y con los recursos humanos</w:t>
      </w:r>
      <w:r w:rsidR="006939BE" w:rsidRPr="00F24F69">
        <w:rPr>
          <w:szCs w:val="20"/>
        </w:rPr>
        <w:t>, técnicos</w:t>
      </w:r>
      <w:r w:rsidRPr="00F24F69">
        <w:rPr>
          <w:szCs w:val="20"/>
        </w:rPr>
        <w:t xml:space="preserve"> y económicos adecuados, en la cual realice todos los esfuerzos para determinar el paradero de Walter </w:t>
      </w:r>
      <w:proofErr w:type="spellStart"/>
      <w:r w:rsidRPr="00F24F69">
        <w:rPr>
          <w:szCs w:val="20"/>
        </w:rPr>
        <w:t>Munárriz</w:t>
      </w:r>
      <w:proofErr w:type="spellEnd"/>
      <w:r w:rsidRPr="00F24F69">
        <w:rPr>
          <w:szCs w:val="20"/>
        </w:rPr>
        <w:t xml:space="preserve"> Escobar, la cual deberá realizarse de conformidad con lo establecido en los párrafos </w:t>
      </w:r>
      <w:r w:rsidR="00F808FF">
        <w:rPr>
          <w:szCs w:val="20"/>
        </w:rPr>
        <w:fldChar w:fldCharType="begin"/>
      </w:r>
      <w:r w:rsidR="00F808FF">
        <w:rPr>
          <w:szCs w:val="20"/>
        </w:rPr>
        <w:instrText xml:space="preserve"> REF _Ref524880626 \r \h </w:instrText>
      </w:r>
      <w:r w:rsidR="00F808FF">
        <w:rPr>
          <w:szCs w:val="20"/>
        </w:rPr>
      </w:r>
      <w:r w:rsidR="00F808FF">
        <w:rPr>
          <w:szCs w:val="20"/>
        </w:rPr>
        <w:fldChar w:fldCharType="separate"/>
      </w:r>
      <w:r w:rsidR="00087178">
        <w:rPr>
          <w:szCs w:val="20"/>
        </w:rPr>
        <w:t>124</w:t>
      </w:r>
      <w:r w:rsidR="00F808FF">
        <w:rPr>
          <w:szCs w:val="20"/>
        </w:rPr>
        <w:fldChar w:fldCharType="end"/>
      </w:r>
      <w:r w:rsidR="00F808FF">
        <w:rPr>
          <w:szCs w:val="20"/>
        </w:rPr>
        <w:t xml:space="preserve"> y </w:t>
      </w:r>
      <w:r w:rsidR="00F808FF">
        <w:rPr>
          <w:szCs w:val="20"/>
        </w:rPr>
        <w:fldChar w:fldCharType="begin"/>
      </w:r>
      <w:r w:rsidR="00F808FF">
        <w:rPr>
          <w:szCs w:val="20"/>
        </w:rPr>
        <w:instrText xml:space="preserve"> REF _Ref524880628 \r \h </w:instrText>
      </w:r>
      <w:r w:rsidR="00F808FF">
        <w:rPr>
          <w:szCs w:val="20"/>
        </w:rPr>
      </w:r>
      <w:r w:rsidR="00F808FF">
        <w:rPr>
          <w:szCs w:val="20"/>
        </w:rPr>
        <w:fldChar w:fldCharType="separate"/>
      </w:r>
      <w:r w:rsidR="00087178">
        <w:rPr>
          <w:szCs w:val="20"/>
        </w:rPr>
        <w:t>125</w:t>
      </w:r>
      <w:r w:rsidR="00F808FF">
        <w:rPr>
          <w:szCs w:val="20"/>
        </w:rPr>
        <w:fldChar w:fldCharType="end"/>
      </w:r>
      <w:r w:rsidRPr="00F24F69">
        <w:rPr>
          <w:szCs w:val="20"/>
        </w:rPr>
        <w:t>.</w:t>
      </w:r>
    </w:p>
    <w:p w14:paraId="70F308AC" w14:textId="77777777" w:rsidR="00913F68" w:rsidRPr="00F24F69" w:rsidRDefault="00913F68" w:rsidP="00913F68">
      <w:pPr>
        <w:pStyle w:val="ListParagraph"/>
        <w:widowControl w:val="0"/>
        <w:tabs>
          <w:tab w:val="left" w:pos="567"/>
        </w:tabs>
        <w:autoSpaceDE w:val="0"/>
        <w:autoSpaceDN w:val="0"/>
        <w:adjustRightInd w:val="0"/>
        <w:spacing w:after="40"/>
        <w:ind w:left="0" w:right="22"/>
        <w:jc w:val="both"/>
        <w:rPr>
          <w:lang w:val="es-ES_tradnl"/>
        </w:rPr>
      </w:pPr>
    </w:p>
    <w:p w14:paraId="2AEC2625" w14:textId="550D55B8" w:rsidR="00913F68" w:rsidRPr="00F24F69" w:rsidRDefault="00913F68" w:rsidP="00913F68">
      <w:pPr>
        <w:pStyle w:val="Default"/>
        <w:numPr>
          <w:ilvl w:val="0"/>
          <w:numId w:val="30"/>
        </w:numPr>
        <w:tabs>
          <w:tab w:val="left" w:pos="567"/>
        </w:tabs>
        <w:ind w:left="0" w:firstLine="0"/>
        <w:jc w:val="both"/>
        <w:rPr>
          <w:sz w:val="20"/>
          <w:szCs w:val="20"/>
          <w:lang w:val="es-MX"/>
        </w:rPr>
      </w:pPr>
      <w:r w:rsidRPr="00F24F69">
        <w:rPr>
          <w:rFonts w:eastAsia="Times"/>
          <w:sz w:val="20"/>
          <w:szCs w:val="20"/>
          <w:lang w:val="es-MX"/>
        </w:rPr>
        <w:t>El Estado debe brindar el tratamiento psicológico o psiquiátrico, a las víctimas que así lo soliciten en los términos de los párrafos</w:t>
      </w:r>
      <w:r w:rsidR="00F808FF">
        <w:rPr>
          <w:rFonts w:eastAsia="Times"/>
          <w:sz w:val="20"/>
          <w:szCs w:val="20"/>
          <w:lang w:val="es-MX"/>
        </w:rPr>
        <w:t xml:space="preserve"> </w:t>
      </w:r>
      <w:r w:rsidR="00F808FF">
        <w:rPr>
          <w:rFonts w:eastAsia="Times"/>
          <w:sz w:val="20"/>
          <w:szCs w:val="20"/>
          <w:lang w:val="es-MX"/>
        </w:rPr>
        <w:fldChar w:fldCharType="begin"/>
      </w:r>
      <w:r w:rsidR="00F808FF">
        <w:rPr>
          <w:rFonts w:eastAsia="Times"/>
          <w:sz w:val="20"/>
          <w:szCs w:val="20"/>
          <w:lang w:val="es-MX"/>
        </w:rPr>
        <w:instrText xml:space="preserve"> REF _Ref524880658 \r \h </w:instrText>
      </w:r>
      <w:r w:rsidR="00F808FF">
        <w:rPr>
          <w:rFonts w:eastAsia="Times"/>
          <w:sz w:val="20"/>
          <w:szCs w:val="20"/>
          <w:lang w:val="es-MX"/>
        </w:rPr>
      </w:r>
      <w:r w:rsidR="00F808FF">
        <w:rPr>
          <w:rFonts w:eastAsia="Times"/>
          <w:sz w:val="20"/>
          <w:szCs w:val="20"/>
          <w:lang w:val="es-MX"/>
        </w:rPr>
        <w:fldChar w:fldCharType="separate"/>
      </w:r>
      <w:r w:rsidR="00087178">
        <w:rPr>
          <w:rFonts w:eastAsia="Times"/>
          <w:sz w:val="20"/>
          <w:szCs w:val="20"/>
          <w:lang w:val="es-MX"/>
        </w:rPr>
        <w:t>129</w:t>
      </w:r>
      <w:r w:rsidR="00F808FF">
        <w:rPr>
          <w:rFonts w:eastAsia="Times"/>
          <w:sz w:val="20"/>
          <w:szCs w:val="20"/>
          <w:lang w:val="es-MX"/>
        </w:rPr>
        <w:fldChar w:fldCharType="end"/>
      </w:r>
      <w:r w:rsidR="00F808FF">
        <w:rPr>
          <w:rFonts w:eastAsia="Times"/>
          <w:sz w:val="20"/>
          <w:szCs w:val="20"/>
          <w:lang w:val="es-MX"/>
        </w:rPr>
        <w:t xml:space="preserve"> y </w:t>
      </w:r>
      <w:r w:rsidR="00F808FF">
        <w:rPr>
          <w:rFonts w:eastAsia="Times"/>
          <w:sz w:val="20"/>
          <w:szCs w:val="20"/>
          <w:lang w:val="es-MX"/>
        </w:rPr>
        <w:fldChar w:fldCharType="begin"/>
      </w:r>
      <w:r w:rsidR="00F808FF">
        <w:rPr>
          <w:rFonts w:eastAsia="Times"/>
          <w:sz w:val="20"/>
          <w:szCs w:val="20"/>
          <w:lang w:val="es-MX"/>
        </w:rPr>
        <w:instrText xml:space="preserve"> REF _Ref524880659 \r \h </w:instrText>
      </w:r>
      <w:r w:rsidR="00F808FF">
        <w:rPr>
          <w:rFonts w:eastAsia="Times"/>
          <w:sz w:val="20"/>
          <w:szCs w:val="20"/>
          <w:lang w:val="es-MX"/>
        </w:rPr>
      </w:r>
      <w:r w:rsidR="00F808FF">
        <w:rPr>
          <w:rFonts w:eastAsia="Times"/>
          <w:sz w:val="20"/>
          <w:szCs w:val="20"/>
          <w:lang w:val="es-MX"/>
        </w:rPr>
        <w:fldChar w:fldCharType="separate"/>
      </w:r>
      <w:r w:rsidR="00087178">
        <w:rPr>
          <w:rFonts w:eastAsia="Times"/>
          <w:sz w:val="20"/>
          <w:szCs w:val="20"/>
          <w:lang w:val="es-MX"/>
        </w:rPr>
        <w:t>130</w:t>
      </w:r>
      <w:r w:rsidR="00F808FF">
        <w:rPr>
          <w:rFonts w:eastAsia="Times"/>
          <w:sz w:val="20"/>
          <w:szCs w:val="20"/>
          <w:lang w:val="es-MX"/>
        </w:rPr>
        <w:fldChar w:fldCharType="end"/>
      </w:r>
      <w:r w:rsidRPr="00F24F69">
        <w:rPr>
          <w:rFonts w:eastAsia="Times"/>
          <w:sz w:val="20"/>
          <w:szCs w:val="20"/>
          <w:lang w:val="es-MX"/>
        </w:rPr>
        <w:t xml:space="preserve"> de esta Sentencia. </w:t>
      </w:r>
    </w:p>
    <w:p w14:paraId="24A7C08A" w14:textId="77777777" w:rsidR="00913F68" w:rsidRPr="00F24F69" w:rsidRDefault="00913F68" w:rsidP="00913F68">
      <w:pPr>
        <w:pStyle w:val="ListParagraph"/>
        <w:rPr>
          <w:szCs w:val="20"/>
        </w:rPr>
      </w:pPr>
    </w:p>
    <w:p w14:paraId="5417083D" w14:textId="323CFA97" w:rsidR="00913F68" w:rsidRPr="00F24F69" w:rsidRDefault="00913F68" w:rsidP="00913F68">
      <w:pPr>
        <w:pStyle w:val="Default"/>
        <w:numPr>
          <w:ilvl w:val="0"/>
          <w:numId w:val="30"/>
        </w:numPr>
        <w:tabs>
          <w:tab w:val="left" w:pos="567"/>
        </w:tabs>
        <w:ind w:left="0" w:firstLine="0"/>
        <w:jc w:val="both"/>
        <w:rPr>
          <w:sz w:val="20"/>
          <w:szCs w:val="20"/>
          <w:lang w:val="es-MX"/>
        </w:rPr>
      </w:pPr>
      <w:r w:rsidRPr="00F24F69">
        <w:rPr>
          <w:sz w:val="20"/>
          <w:szCs w:val="20"/>
        </w:rPr>
        <w:t xml:space="preserve">El Estado debe realizar las publicaciones indicadas en el párrafo </w:t>
      </w:r>
      <w:r w:rsidRPr="00F24F69">
        <w:rPr>
          <w:sz w:val="20"/>
          <w:szCs w:val="20"/>
        </w:rPr>
        <w:fldChar w:fldCharType="begin"/>
      </w:r>
      <w:r w:rsidRPr="00F24F69">
        <w:rPr>
          <w:sz w:val="20"/>
          <w:szCs w:val="20"/>
        </w:rPr>
        <w:instrText xml:space="preserve"> REF _Ref521518604 \r \h  \* MERGEFORMAT </w:instrText>
      </w:r>
      <w:r w:rsidRPr="00F24F69">
        <w:rPr>
          <w:sz w:val="20"/>
          <w:szCs w:val="20"/>
        </w:rPr>
      </w:r>
      <w:r w:rsidRPr="00F24F69">
        <w:rPr>
          <w:sz w:val="20"/>
          <w:szCs w:val="20"/>
        </w:rPr>
        <w:fldChar w:fldCharType="separate"/>
      </w:r>
      <w:r w:rsidR="00087178">
        <w:rPr>
          <w:sz w:val="20"/>
          <w:szCs w:val="20"/>
        </w:rPr>
        <w:t>132</w:t>
      </w:r>
      <w:r w:rsidRPr="00F24F69">
        <w:rPr>
          <w:sz w:val="20"/>
          <w:szCs w:val="20"/>
        </w:rPr>
        <w:fldChar w:fldCharType="end"/>
      </w:r>
      <w:r w:rsidRPr="00F24F69">
        <w:rPr>
          <w:sz w:val="20"/>
          <w:szCs w:val="20"/>
        </w:rPr>
        <w:t xml:space="preserve"> de esta Sentencia, de conformidad con lo establecido en dicho párrafo y el siguiente. </w:t>
      </w:r>
    </w:p>
    <w:p w14:paraId="58C3908E" w14:textId="77777777" w:rsidR="00913F68" w:rsidRPr="00F24F69" w:rsidRDefault="00913F68" w:rsidP="00913F68">
      <w:pPr>
        <w:pStyle w:val="ListParagraph"/>
        <w:rPr>
          <w:szCs w:val="20"/>
        </w:rPr>
      </w:pPr>
    </w:p>
    <w:p w14:paraId="61552C8F" w14:textId="1CD0BA5A" w:rsidR="00913F68" w:rsidRPr="00913F68" w:rsidRDefault="00913F68" w:rsidP="00913F68">
      <w:pPr>
        <w:pStyle w:val="Default"/>
        <w:numPr>
          <w:ilvl w:val="0"/>
          <w:numId w:val="30"/>
        </w:numPr>
        <w:tabs>
          <w:tab w:val="left" w:pos="567"/>
        </w:tabs>
        <w:ind w:left="0" w:firstLine="0"/>
        <w:jc w:val="both"/>
        <w:rPr>
          <w:sz w:val="20"/>
          <w:szCs w:val="20"/>
          <w:lang w:val="es-MX"/>
        </w:rPr>
      </w:pPr>
      <w:r w:rsidRPr="00F24F69">
        <w:rPr>
          <w:sz w:val="20"/>
          <w:szCs w:val="20"/>
        </w:rPr>
        <w:t>El Estado debe realizar un acto público de reconocimiento de responsabilidad internacional, en relación con los hechos</w:t>
      </w:r>
      <w:r w:rsidRPr="00913F68">
        <w:rPr>
          <w:sz w:val="20"/>
          <w:szCs w:val="20"/>
        </w:rPr>
        <w:t xml:space="preserve"> de este caso, en los términos del párrafo </w:t>
      </w:r>
      <w:r w:rsidR="00F808FF">
        <w:rPr>
          <w:sz w:val="20"/>
          <w:szCs w:val="20"/>
        </w:rPr>
        <w:fldChar w:fldCharType="begin"/>
      </w:r>
      <w:r w:rsidR="00F808FF">
        <w:rPr>
          <w:sz w:val="20"/>
          <w:szCs w:val="20"/>
        </w:rPr>
        <w:instrText xml:space="preserve"> REF _Ref524880691 \r \h </w:instrText>
      </w:r>
      <w:r w:rsidR="00F808FF">
        <w:rPr>
          <w:sz w:val="20"/>
          <w:szCs w:val="20"/>
        </w:rPr>
      </w:r>
      <w:r w:rsidR="00F808FF">
        <w:rPr>
          <w:sz w:val="20"/>
          <w:szCs w:val="20"/>
        </w:rPr>
        <w:fldChar w:fldCharType="separate"/>
      </w:r>
      <w:r w:rsidR="00087178">
        <w:rPr>
          <w:sz w:val="20"/>
          <w:szCs w:val="20"/>
        </w:rPr>
        <w:t>134</w:t>
      </w:r>
      <w:r w:rsidR="00F808FF">
        <w:rPr>
          <w:sz w:val="20"/>
          <w:szCs w:val="20"/>
        </w:rPr>
        <w:fldChar w:fldCharType="end"/>
      </w:r>
      <w:r w:rsidRPr="00913F68">
        <w:rPr>
          <w:sz w:val="20"/>
          <w:szCs w:val="20"/>
        </w:rPr>
        <w:t xml:space="preserve"> de esta Sentencia.</w:t>
      </w:r>
    </w:p>
    <w:p w14:paraId="7BE435C1" w14:textId="77777777" w:rsidR="00913F68" w:rsidRPr="00913F68" w:rsidRDefault="00913F68" w:rsidP="00913F68">
      <w:pPr>
        <w:pStyle w:val="ListParagraph"/>
        <w:rPr>
          <w:szCs w:val="20"/>
        </w:rPr>
      </w:pPr>
    </w:p>
    <w:p w14:paraId="601A7711" w14:textId="0CCCAFE8" w:rsidR="00913F68" w:rsidRPr="00913F68" w:rsidRDefault="00913F68" w:rsidP="00913F68">
      <w:pPr>
        <w:pStyle w:val="Default"/>
        <w:numPr>
          <w:ilvl w:val="0"/>
          <w:numId w:val="30"/>
        </w:numPr>
        <w:tabs>
          <w:tab w:val="left" w:pos="567"/>
        </w:tabs>
        <w:ind w:left="0" w:firstLine="0"/>
        <w:jc w:val="both"/>
        <w:rPr>
          <w:sz w:val="20"/>
          <w:szCs w:val="20"/>
          <w:lang w:val="es-MX"/>
        </w:rPr>
      </w:pPr>
      <w:r w:rsidRPr="00913F68">
        <w:rPr>
          <w:sz w:val="20"/>
          <w:szCs w:val="20"/>
          <w:lang w:val="es-MX"/>
        </w:rPr>
        <w:t xml:space="preserve">El </w:t>
      </w:r>
      <w:r w:rsidRPr="00913F68">
        <w:rPr>
          <w:sz w:val="20"/>
          <w:szCs w:val="20"/>
        </w:rPr>
        <w:t>Estado debe pagar las cantidades fijadas en los párrafos</w:t>
      </w:r>
      <w:r w:rsidR="00F808FF">
        <w:rPr>
          <w:sz w:val="20"/>
          <w:szCs w:val="20"/>
        </w:rPr>
        <w:t xml:space="preserve"> </w:t>
      </w:r>
      <w:r w:rsidR="00DF1F3A">
        <w:rPr>
          <w:sz w:val="20"/>
          <w:szCs w:val="20"/>
        </w:rPr>
        <w:fldChar w:fldCharType="begin"/>
      </w:r>
      <w:r w:rsidR="00DF1F3A">
        <w:rPr>
          <w:sz w:val="20"/>
          <w:szCs w:val="20"/>
        </w:rPr>
        <w:instrText xml:space="preserve"> REF _Ref525053004 \r \h </w:instrText>
      </w:r>
      <w:r w:rsidR="00DF1F3A">
        <w:rPr>
          <w:sz w:val="20"/>
          <w:szCs w:val="20"/>
        </w:rPr>
      </w:r>
      <w:r w:rsidR="00DF1F3A">
        <w:rPr>
          <w:sz w:val="20"/>
          <w:szCs w:val="20"/>
        </w:rPr>
        <w:fldChar w:fldCharType="separate"/>
      </w:r>
      <w:r w:rsidR="00087178">
        <w:rPr>
          <w:sz w:val="20"/>
          <w:szCs w:val="20"/>
        </w:rPr>
        <w:t>141</w:t>
      </w:r>
      <w:r w:rsidR="00DF1F3A">
        <w:rPr>
          <w:sz w:val="20"/>
          <w:szCs w:val="20"/>
        </w:rPr>
        <w:fldChar w:fldCharType="end"/>
      </w:r>
      <w:r w:rsidR="00DF1F3A">
        <w:rPr>
          <w:sz w:val="20"/>
          <w:szCs w:val="20"/>
        </w:rPr>
        <w:t xml:space="preserve">, </w:t>
      </w:r>
      <w:r w:rsidR="00F808FF">
        <w:rPr>
          <w:sz w:val="20"/>
          <w:szCs w:val="20"/>
        </w:rPr>
        <w:fldChar w:fldCharType="begin"/>
      </w:r>
      <w:r w:rsidR="00F808FF">
        <w:rPr>
          <w:sz w:val="20"/>
          <w:szCs w:val="20"/>
        </w:rPr>
        <w:instrText xml:space="preserve"> REF _Ref524880763 \r \h </w:instrText>
      </w:r>
      <w:r w:rsidR="00F808FF">
        <w:rPr>
          <w:sz w:val="20"/>
          <w:szCs w:val="20"/>
        </w:rPr>
      </w:r>
      <w:r w:rsidR="00F808FF">
        <w:rPr>
          <w:sz w:val="20"/>
          <w:szCs w:val="20"/>
        </w:rPr>
        <w:fldChar w:fldCharType="separate"/>
      </w:r>
      <w:r w:rsidR="00087178">
        <w:rPr>
          <w:sz w:val="20"/>
          <w:szCs w:val="20"/>
        </w:rPr>
        <w:t>143</w:t>
      </w:r>
      <w:r w:rsidR="00F808FF">
        <w:rPr>
          <w:sz w:val="20"/>
          <w:szCs w:val="20"/>
        </w:rPr>
        <w:fldChar w:fldCharType="end"/>
      </w:r>
      <w:r w:rsidR="00F808FF">
        <w:rPr>
          <w:sz w:val="20"/>
          <w:szCs w:val="20"/>
        </w:rPr>
        <w:t xml:space="preserve">, </w:t>
      </w:r>
      <w:r w:rsidR="00F808FF">
        <w:rPr>
          <w:sz w:val="20"/>
          <w:szCs w:val="20"/>
        </w:rPr>
        <w:fldChar w:fldCharType="begin"/>
      </w:r>
      <w:r w:rsidR="00F808FF">
        <w:rPr>
          <w:sz w:val="20"/>
          <w:szCs w:val="20"/>
        </w:rPr>
        <w:instrText xml:space="preserve"> REF _Ref524880799 \r \h </w:instrText>
      </w:r>
      <w:r w:rsidR="00F808FF">
        <w:rPr>
          <w:sz w:val="20"/>
          <w:szCs w:val="20"/>
        </w:rPr>
      </w:r>
      <w:r w:rsidR="00F808FF">
        <w:rPr>
          <w:sz w:val="20"/>
          <w:szCs w:val="20"/>
        </w:rPr>
        <w:fldChar w:fldCharType="separate"/>
      </w:r>
      <w:r w:rsidR="00087178">
        <w:rPr>
          <w:sz w:val="20"/>
          <w:szCs w:val="20"/>
        </w:rPr>
        <w:t>146</w:t>
      </w:r>
      <w:r w:rsidR="00F808FF">
        <w:rPr>
          <w:sz w:val="20"/>
          <w:szCs w:val="20"/>
        </w:rPr>
        <w:fldChar w:fldCharType="end"/>
      </w:r>
      <w:r w:rsidR="00F808FF">
        <w:rPr>
          <w:sz w:val="20"/>
          <w:szCs w:val="20"/>
        </w:rPr>
        <w:t xml:space="preserve">, </w:t>
      </w:r>
      <w:r w:rsidR="00F808FF">
        <w:rPr>
          <w:sz w:val="20"/>
          <w:szCs w:val="20"/>
        </w:rPr>
        <w:fldChar w:fldCharType="begin"/>
      </w:r>
      <w:r w:rsidR="00F808FF">
        <w:rPr>
          <w:sz w:val="20"/>
          <w:szCs w:val="20"/>
        </w:rPr>
        <w:instrText xml:space="preserve"> REF _Ref524880801 \r \h </w:instrText>
      </w:r>
      <w:r w:rsidR="00F808FF">
        <w:rPr>
          <w:sz w:val="20"/>
          <w:szCs w:val="20"/>
        </w:rPr>
      </w:r>
      <w:r w:rsidR="00F808FF">
        <w:rPr>
          <w:sz w:val="20"/>
          <w:szCs w:val="20"/>
        </w:rPr>
        <w:fldChar w:fldCharType="separate"/>
      </w:r>
      <w:r w:rsidR="00087178">
        <w:rPr>
          <w:sz w:val="20"/>
          <w:szCs w:val="20"/>
        </w:rPr>
        <w:t>147</w:t>
      </w:r>
      <w:r w:rsidR="00F808FF">
        <w:rPr>
          <w:sz w:val="20"/>
          <w:szCs w:val="20"/>
        </w:rPr>
        <w:fldChar w:fldCharType="end"/>
      </w:r>
      <w:r w:rsidR="00F808FF">
        <w:rPr>
          <w:sz w:val="20"/>
          <w:szCs w:val="20"/>
        </w:rPr>
        <w:t xml:space="preserve"> y </w:t>
      </w:r>
      <w:r w:rsidR="00F808FF">
        <w:rPr>
          <w:sz w:val="20"/>
          <w:szCs w:val="20"/>
        </w:rPr>
        <w:fldChar w:fldCharType="begin"/>
      </w:r>
      <w:r w:rsidR="00F808FF">
        <w:rPr>
          <w:sz w:val="20"/>
          <w:szCs w:val="20"/>
        </w:rPr>
        <w:instrText xml:space="preserve"> REF _Ref524880886 \r \h </w:instrText>
      </w:r>
      <w:r w:rsidR="00F808FF">
        <w:rPr>
          <w:sz w:val="20"/>
          <w:szCs w:val="20"/>
        </w:rPr>
      </w:r>
      <w:r w:rsidR="00F808FF">
        <w:rPr>
          <w:sz w:val="20"/>
          <w:szCs w:val="20"/>
        </w:rPr>
        <w:fldChar w:fldCharType="separate"/>
      </w:r>
      <w:r w:rsidR="00087178">
        <w:rPr>
          <w:sz w:val="20"/>
          <w:szCs w:val="20"/>
        </w:rPr>
        <w:t>152</w:t>
      </w:r>
      <w:r w:rsidR="00F808FF">
        <w:rPr>
          <w:sz w:val="20"/>
          <w:szCs w:val="20"/>
        </w:rPr>
        <w:fldChar w:fldCharType="end"/>
      </w:r>
      <w:r w:rsidR="00F808FF">
        <w:rPr>
          <w:sz w:val="20"/>
          <w:szCs w:val="20"/>
        </w:rPr>
        <w:t xml:space="preserve"> </w:t>
      </w:r>
      <w:r w:rsidRPr="00913F68">
        <w:rPr>
          <w:sz w:val="20"/>
          <w:szCs w:val="20"/>
        </w:rPr>
        <w:t>de la presente Sentencia, por concepto de indemnizaciones por daños materiales e inmateriales y por el reintegro de costas y gastos, en los términos de los referidos párrafos</w:t>
      </w:r>
      <w:r w:rsidRPr="00913F68">
        <w:rPr>
          <w:rFonts w:eastAsia="Calibri"/>
          <w:sz w:val="20"/>
          <w:szCs w:val="20"/>
        </w:rPr>
        <w:t xml:space="preserve"> y de los párrafos </w:t>
      </w:r>
      <w:r w:rsidR="00F808FF">
        <w:rPr>
          <w:rFonts w:eastAsia="Calibri"/>
          <w:sz w:val="20"/>
          <w:szCs w:val="20"/>
        </w:rPr>
        <w:fldChar w:fldCharType="begin"/>
      </w:r>
      <w:r w:rsidR="00F808FF">
        <w:rPr>
          <w:rFonts w:eastAsia="Calibri"/>
          <w:sz w:val="20"/>
          <w:szCs w:val="20"/>
        </w:rPr>
        <w:instrText xml:space="preserve"> REF _Ref524881107 \r \h </w:instrText>
      </w:r>
      <w:r w:rsidR="00F808FF">
        <w:rPr>
          <w:rFonts w:eastAsia="Calibri"/>
          <w:sz w:val="20"/>
          <w:szCs w:val="20"/>
        </w:rPr>
      </w:r>
      <w:r w:rsidR="00F808FF">
        <w:rPr>
          <w:rFonts w:eastAsia="Calibri"/>
          <w:sz w:val="20"/>
          <w:szCs w:val="20"/>
        </w:rPr>
        <w:fldChar w:fldCharType="separate"/>
      </w:r>
      <w:r w:rsidR="00087178">
        <w:rPr>
          <w:rFonts w:eastAsia="Calibri"/>
          <w:sz w:val="20"/>
          <w:szCs w:val="20"/>
        </w:rPr>
        <w:t>158</w:t>
      </w:r>
      <w:r w:rsidR="00F808FF">
        <w:rPr>
          <w:rFonts w:eastAsia="Calibri"/>
          <w:sz w:val="20"/>
          <w:szCs w:val="20"/>
        </w:rPr>
        <w:fldChar w:fldCharType="end"/>
      </w:r>
      <w:r w:rsidR="00F808FF">
        <w:rPr>
          <w:rFonts w:eastAsia="Calibri"/>
          <w:sz w:val="20"/>
          <w:szCs w:val="20"/>
        </w:rPr>
        <w:t xml:space="preserve"> a </w:t>
      </w:r>
      <w:r w:rsidR="00F808FF">
        <w:rPr>
          <w:rFonts w:eastAsia="Calibri"/>
          <w:sz w:val="20"/>
          <w:szCs w:val="20"/>
        </w:rPr>
        <w:fldChar w:fldCharType="begin"/>
      </w:r>
      <w:r w:rsidR="00F808FF">
        <w:rPr>
          <w:rFonts w:eastAsia="Calibri"/>
          <w:sz w:val="20"/>
          <w:szCs w:val="20"/>
        </w:rPr>
        <w:instrText xml:space="preserve"> REF _Ref524881108 \r \h </w:instrText>
      </w:r>
      <w:r w:rsidR="00F808FF">
        <w:rPr>
          <w:rFonts w:eastAsia="Calibri"/>
          <w:sz w:val="20"/>
          <w:szCs w:val="20"/>
        </w:rPr>
      </w:r>
      <w:r w:rsidR="00F808FF">
        <w:rPr>
          <w:rFonts w:eastAsia="Calibri"/>
          <w:sz w:val="20"/>
          <w:szCs w:val="20"/>
        </w:rPr>
        <w:fldChar w:fldCharType="separate"/>
      </w:r>
      <w:r w:rsidR="00087178">
        <w:rPr>
          <w:rFonts w:eastAsia="Calibri"/>
          <w:sz w:val="20"/>
          <w:szCs w:val="20"/>
        </w:rPr>
        <w:t>163</w:t>
      </w:r>
      <w:r w:rsidR="00F808FF">
        <w:rPr>
          <w:rFonts w:eastAsia="Calibri"/>
          <w:sz w:val="20"/>
          <w:szCs w:val="20"/>
        </w:rPr>
        <w:fldChar w:fldCharType="end"/>
      </w:r>
      <w:r w:rsidRPr="00913F68">
        <w:rPr>
          <w:rFonts w:eastAsia="Calibri"/>
          <w:sz w:val="20"/>
          <w:szCs w:val="20"/>
        </w:rPr>
        <w:t>.</w:t>
      </w:r>
    </w:p>
    <w:p w14:paraId="2614DC75" w14:textId="77777777" w:rsidR="00913F68" w:rsidRPr="00913F68" w:rsidRDefault="00913F68" w:rsidP="00913F68">
      <w:pPr>
        <w:pStyle w:val="ListParagraph"/>
        <w:rPr>
          <w:szCs w:val="20"/>
        </w:rPr>
      </w:pPr>
    </w:p>
    <w:p w14:paraId="057D1382" w14:textId="3A205981" w:rsidR="00913F68" w:rsidRPr="00913F68" w:rsidRDefault="00913F68" w:rsidP="00913F68">
      <w:pPr>
        <w:pStyle w:val="Default"/>
        <w:numPr>
          <w:ilvl w:val="0"/>
          <w:numId w:val="30"/>
        </w:numPr>
        <w:tabs>
          <w:tab w:val="left" w:pos="567"/>
        </w:tabs>
        <w:ind w:left="0" w:firstLine="0"/>
        <w:jc w:val="both"/>
        <w:rPr>
          <w:sz w:val="20"/>
          <w:szCs w:val="20"/>
          <w:lang w:val="es-MX"/>
        </w:rPr>
      </w:pPr>
      <w:r w:rsidRPr="00913F68">
        <w:rPr>
          <w:sz w:val="20"/>
          <w:szCs w:val="20"/>
        </w:rPr>
        <w:t xml:space="preserve">El Estado debe reintegrar al Fondo de Asistencia Legal de Víctimas de la Corte Interamericana de Derechos Humanos la cantidad erogada durante la tramitación del presente caso, en los términos de lo establecido en los párrafos </w:t>
      </w:r>
      <w:r w:rsidR="00F808FF">
        <w:rPr>
          <w:sz w:val="20"/>
          <w:szCs w:val="20"/>
        </w:rPr>
        <w:fldChar w:fldCharType="begin"/>
      </w:r>
      <w:r w:rsidR="00F808FF">
        <w:rPr>
          <w:sz w:val="20"/>
          <w:szCs w:val="20"/>
        </w:rPr>
        <w:instrText xml:space="preserve"> REF _Ref524881071 \r \h </w:instrText>
      </w:r>
      <w:r w:rsidR="00F808FF">
        <w:rPr>
          <w:sz w:val="20"/>
          <w:szCs w:val="20"/>
        </w:rPr>
      </w:r>
      <w:r w:rsidR="00F808FF">
        <w:rPr>
          <w:sz w:val="20"/>
          <w:szCs w:val="20"/>
        </w:rPr>
        <w:fldChar w:fldCharType="separate"/>
      </w:r>
      <w:r w:rsidR="00087178">
        <w:rPr>
          <w:sz w:val="20"/>
          <w:szCs w:val="20"/>
        </w:rPr>
        <w:t>156</w:t>
      </w:r>
      <w:r w:rsidR="00F808FF">
        <w:rPr>
          <w:sz w:val="20"/>
          <w:szCs w:val="20"/>
        </w:rPr>
        <w:fldChar w:fldCharType="end"/>
      </w:r>
      <w:r w:rsidR="00F808FF">
        <w:rPr>
          <w:sz w:val="20"/>
          <w:szCs w:val="20"/>
        </w:rPr>
        <w:t xml:space="preserve">  </w:t>
      </w:r>
      <w:r w:rsidR="00F808FF">
        <w:rPr>
          <w:sz w:val="20"/>
          <w:szCs w:val="20"/>
        </w:rPr>
        <w:fldChar w:fldCharType="begin"/>
      </w:r>
      <w:r w:rsidR="00F808FF">
        <w:rPr>
          <w:sz w:val="20"/>
          <w:szCs w:val="20"/>
        </w:rPr>
        <w:instrText xml:space="preserve"> REF _Ref524881073 \r \h </w:instrText>
      </w:r>
      <w:r w:rsidR="00F808FF">
        <w:rPr>
          <w:sz w:val="20"/>
          <w:szCs w:val="20"/>
        </w:rPr>
      </w:r>
      <w:r w:rsidR="00F808FF">
        <w:rPr>
          <w:sz w:val="20"/>
          <w:szCs w:val="20"/>
        </w:rPr>
        <w:fldChar w:fldCharType="separate"/>
      </w:r>
      <w:r w:rsidR="00087178">
        <w:rPr>
          <w:sz w:val="20"/>
          <w:szCs w:val="20"/>
        </w:rPr>
        <w:t>157</w:t>
      </w:r>
      <w:r w:rsidR="00F808FF">
        <w:rPr>
          <w:sz w:val="20"/>
          <w:szCs w:val="20"/>
        </w:rPr>
        <w:fldChar w:fldCharType="end"/>
      </w:r>
      <w:r w:rsidR="00F808FF">
        <w:rPr>
          <w:sz w:val="20"/>
          <w:szCs w:val="20"/>
        </w:rPr>
        <w:t xml:space="preserve"> </w:t>
      </w:r>
      <w:r w:rsidRPr="00913F68">
        <w:rPr>
          <w:sz w:val="20"/>
          <w:szCs w:val="20"/>
        </w:rPr>
        <w:t>de esta Sentencia.</w:t>
      </w:r>
    </w:p>
    <w:p w14:paraId="046A1B7D" w14:textId="77777777" w:rsidR="00913F68" w:rsidRPr="00913F68" w:rsidRDefault="00913F68" w:rsidP="00913F68">
      <w:pPr>
        <w:pStyle w:val="ListParagraph"/>
        <w:rPr>
          <w:szCs w:val="20"/>
        </w:rPr>
      </w:pPr>
    </w:p>
    <w:p w14:paraId="42614D33" w14:textId="77777777" w:rsidR="00913F68" w:rsidRPr="00913F68" w:rsidRDefault="00913F68" w:rsidP="00913F68">
      <w:pPr>
        <w:pStyle w:val="Default"/>
        <w:numPr>
          <w:ilvl w:val="0"/>
          <w:numId w:val="30"/>
        </w:numPr>
        <w:tabs>
          <w:tab w:val="left" w:pos="567"/>
        </w:tabs>
        <w:ind w:left="0" w:firstLine="0"/>
        <w:jc w:val="both"/>
        <w:rPr>
          <w:sz w:val="20"/>
          <w:szCs w:val="20"/>
          <w:lang w:val="es-MX"/>
        </w:rPr>
      </w:pPr>
      <w:r w:rsidRPr="00913F68">
        <w:rPr>
          <w:sz w:val="20"/>
          <w:szCs w:val="20"/>
        </w:rPr>
        <w:t>El Estado debe rendir al Tribunal un informe, dentro del plazo de un año contado a partir de la notificación de esta Sentencia, sobre las medidas adoptadas para cumplir con la misma.</w:t>
      </w:r>
    </w:p>
    <w:p w14:paraId="6A0E85D4" w14:textId="77777777" w:rsidR="00913F68" w:rsidRPr="00913F68" w:rsidRDefault="00913F68" w:rsidP="00913F68">
      <w:pPr>
        <w:pStyle w:val="ListParagraph"/>
        <w:rPr>
          <w:szCs w:val="20"/>
        </w:rPr>
      </w:pPr>
    </w:p>
    <w:p w14:paraId="5C64ACEF" w14:textId="37A0CB6B" w:rsidR="00BF670E" w:rsidRPr="00D85B1A" w:rsidRDefault="00913F68" w:rsidP="00BF670E">
      <w:pPr>
        <w:pStyle w:val="Default"/>
        <w:numPr>
          <w:ilvl w:val="0"/>
          <w:numId w:val="30"/>
        </w:numPr>
        <w:tabs>
          <w:tab w:val="left" w:pos="567"/>
        </w:tabs>
        <w:ind w:left="0" w:firstLine="0"/>
        <w:jc w:val="both"/>
        <w:rPr>
          <w:sz w:val="20"/>
          <w:szCs w:val="20"/>
          <w:lang w:val="es-MX"/>
        </w:rPr>
      </w:pPr>
      <w:r w:rsidRPr="00913F68">
        <w:rPr>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08B67EBB" w14:textId="77777777" w:rsidR="00D85B1A" w:rsidRDefault="00D85B1A" w:rsidP="00D85B1A">
      <w:pPr>
        <w:pStyle w:val="ListParagraph"/>
        <w:rPr>
          <w:szCs w:val="20"/>
        </w:rPr>
      </w:pPr>
    </w:p>
    <w:p w14:paraId="04850008" w14:textId="77777777" w:rsidR="00D85B1A" w:rsidRPr="00116E08" w:rsidRDefault="00D85B1A" w:rsidP="00D85B1A">
      <w:pPr>
        <w:keepNext/>
        <w:jc w:val="both"/>
        <w:outlineLvl w:val="0"/>
        <w:rPr>
          <w:rFonts w:eastAsia="Times"/>
          <w:szCs w:val="20"/>
        </w:rPr>
      </w:pPr>
      <w:r w:rsidRPr="00116E08">
        <w:rPr>
          <w:rFonts w:eastAsia="Times"/>
          <w:szCs w:val="20"/>
          <w:lang w:val="es-ES"/>
        </w:rPr>
        <w:t xml:space="preserve">Corte IDH. Caso </w:t>
      </w:r>
      <w:proofErr w:type="spellStart"/>
      <w:r w:rsidRPr="00116E08">
        <w:rPr>
          <w:rFonts w:eastAsia="Times"/>
          <w:szCs w:val="20"/>
          <w:lang w:val="es-ES"/>
        </w:rPr>
        <w:t>Munárriz</w:t>
      </w:r>
      <w:proofErr w:type="spellEnd"/>
      <w:r w:rsidRPr="00116E08">
        <w:rPr>
          <w:rFonts w:eastAsia="Times"/>
          <w:szCs w:val="20"/>
          <w:lang w:val="es-ES"/>
        </w:rPr>
        <w:t xml:space="preserve"> Escobar y otros Vs. Perú. Excepción Preliminar, Fondo, Reparaciones y Costas. Sentencia de 20 de agosto de 2018.</w:t>
      </w:r>
    </w:p>
    <w:p w14:paraId="7D5EE601" w14:textId="77777777" w:rsidR="00D85B1A" w:rsidRPr="00116E08" w:rsidRDefault="00D85B1A" w:rsidP="00D85B1A">
      <w:pPr>
        <w:jc w:val="center"/>
        <w:rPr>
          <w:rFonts w:eastAsia="Times"/>
          <w:szCs w:val="20"/>
          <w:lang w:val="es-ES"/>
        </w:rPr>
      </w:pPr>
    </w:p>
    <w:p w14:paraId="3CAAAFEC" w14:textId="77777777" w:rsidR="00D85B1A" w:rsidRPr="00116E08" w:rsidRDefault="00D85B1A" w:rsidP="00D85B1A">
      <w:pPr>
        <w:jc w:val="center"/>
        <w:rPr>
          <w:rFonts w:eastAsia="Times"/>
          <w:szCs w:val="20"/>
          <w:lang w:val="es-ES"/>
        </w:rPr>
      </w:pPr>
    </w:p>
    <w:p w14:paraId="7B2BB870" w14:textId="77777777" w:rsidR="00D85B1A" w:rsidRPr="00116E08" w:rsidRDefault="00D85B1A" w:rsidP="00D85B1A">
      <w:pPr>
        <w:jc w:val="center"/>
        <w:rPr>
          <w:rFonts w:eastAsia="Times"/>
          <w:szCs w:val="20"/>
          <w:lang w:val="es-ES"/>
        </w:rPr>
      </w:pPr>
    </w:p>
    <w:p w14:paraId="574F9A5F" w14:textId="77777777" w:rsidR="00D85B1A" w:rsidRPr="00116E08" w:rsidRDefault="00D85B1A" w:rsidP="00D85B1A">
      <w:pPr>
        <w:jc w:val="center"/>
        <w:rPr>
          <w:rFonts w:eastAsia="Times"/>
          <w:szCs w:val="20"/>
          <w:lang w:val="es-ES"/>
        </w:rPr>
      </w:pPr>
    </w:p>
    <w:p w14:paraId="23E207C1" w14:textId="77777777" w:rsidR="00D85B1A" w:rsidRPr="00116E08" w:rsidRDefault="00D85B1A" w:rsidP="00D85B1A">
      <w:pPr>
        <w:jc w:val="center"/>
        <w:rPr>
          <w:rFonts w:eastAsia="Times"/>
          <w:szCs w:val="20"/>
          <w:lang w:val="es-ES"/>
        </w:rPr>
      </w:pPr>
    </w:p>
    <w:p w14:paraId="31503767" w14:textId="77777777" w:rsidR="00D85B1A" w:rsidRPr="00116E08" w:rsidRDefault="00D85B1A" w:rsidP="00D85B1A">
      <w:pPr>
        <w:jc w:val="center"/>
        <w:rPr>
          <w:rFonts w:eastAsia="Times"/>
          <w:szCs w:val="20"/>
          <w:lang w:val="es-ES"/>
        </w:rPr>
      </w:pPr>
      <w:r w:rsidRPr="00116E08">
        <w:rPr>
          <w:rFonts w:eastAsia="Times"/>
          <w:szCs w:val="20"/>
          <w:lang w:val="es-ES"/>
        </w:rPr>
        <w:t>Eduardo Ferrer Mac-</w:t>
      </w:r>
      <w:proofErr w:type="spellStart"/>
      <w:r w:rsidRPr="00116E08">
        <w:rPr>
          <w:rFonts w:eastAsia="Times"/>
          <w:szCs w:val="20"/>
          <w:lang w:val="es-ES"/>
        </w:rPr>
        <w:t>Gregor</w:t>
      </w:r>
      <w:proofErr w:type="spellEnd"/>
      <w:r w:rsidRPr="00116E08">
        <w:rPr>
          <w:rFonts w:eastAsia="Times"/>
          <w:szCs w:val="20"/>
          <w:lang w:val="es-ES"/>
        </w:rPr>
        <w:t xml:space="preserve"> </w:t>
      </w:r>
      <w:proofErr w:type="spellStart"/>
      <w:r w:rsidRPr="00116E08">
        <w:rPr>
          <w:rFonts w:eastAsia="Times"/>
          <w:szCs w:val="20"/>
          <w:lang w:val="es-ES"/>
        </w:rPr>
        <w:t>Poisot</w:t>
      </w:r>
      <w:proofErr w:type="spellEnd"/>
    </w:p>
    <w:p w14:paraId="6D6A3E69" w14:textId="77777777" w:rsidR="00D85B1A" w:rsidRPr="00116E08" w:rsidRDefault="00D85B1A" w:rsidP="00D85B1A">
      <w:pPr>
        <w:jc w:val="center"/>
        <w:rPr>
          <w:rFonts w:eastAsia="Times"/>
          <w:szCs w:val="20"/>
          <w:lang w:val="es-ES"/>
        </w:rPr>
      </w:pPr>
      <w:r w:rsidRPr="00116E08">
        <w:rPr>
          <w:rFonts w:eastAsia="Times"/>
          <w:szCs w:val="20"/>
          <w:lang w:val="es-ES"/>
        </w:rPr>
        <w:t xml:space="preserve">Presidente </w:t>
      </w:r>
    </w:p>
    <w:p w14:paraId="1FE933BD" w14:textId="77777777" w:rsidR="00D85B1A" w:rsidRPr="00116E08" w:rsidRDefault="00D85B1A" w:rsidP="00D85B1A">
      <w:pPr>
        <w:jc w:val="both"/>
        <w:rPr>
          <w:rFonts w:eastAsia="Times"/>
          <w:szCs w:val="20"/>
          <w:lang w:val="es-ES"/>
        </w:rPr>
      </w:pPr>
    </w:p>
    <w:p w14:paraId="50729B39" w14:textId="77777777" w:rsidR="00D85B1A" w:rsidRPr="00116E08" w:rsidRDefault="00D85B1A" w:rsidP="00D85B1A">
      <w:pPr>
        <w:jc w:val="both"/>
        <w:rPr>
          <w:rFonts w:eastAsia="Times"/>
          <w:szCs w:val="20"/>
          <w:lang w:val="es-ES"/>
        </w:rPr>
      </w:pPr>
    </w:p>
    <w:p w14:paraId="57B9B113" w14:textId="77777777" w:rsidR="00D85B1A" w:rsidRPr="00116E08" w:rsidRDefault="00D85B1A" w:rsidP="00D85B1A">
      <w:pPr>
        <w:jc w:val="both"/>
        <w:rPr>
          <w:rFonts w:eastAsia="Times"/>
          <w:szCs w:val="20"/>
          <w:lang w:val="es-ES"/>
        </w:rPr>
      </w:pPr>
    </w:p>
    <w:p w14:paraId="09CAF7CD" w14:textId="77777777" w:rsidR="00D85B1A" w:rsidRPr="00116E08" w:rsidRDefault="00D85B1A" w:rsidP="00D85B1A">
      <w:pPr>
        <w:jc w:val="both"/>
        <w:rPr>
          <w:rFonts w:eastAsia="Times"/>
          <w:szCs w:val="20"/>
          <w:lang w:val="es-ES"/>
        </w:rPr>
      </w:pPr>
    </w:p>
    <w:p w14:paraId="4A913B67" w14:textId="77777777" w:rsidR="00D85B1A" w:rsidRPr="00116E08" w:rsidRDefault="00D85B1A" w:rsidP="00D85B1A">
      <w:pPr>
        <w:jc w:val="both"/>
        <w:rPr>
          <w:rFonts w:eastAsia="Times"/>
          <w:szCs w:val="20"/>
          <w:lang w:val="es-ES"/>
        </w:rPr>
      </w:pPr>
    </w:p>
    <w:p w14:paraId="40A0C6A5" w14:textId="77777777" w:rsidR="00D85B1A" w:rsidRPr="00116E08" w:rsidRDefault="00D85B1A" w:rsidP="00D85B1A">
      <w:pPr>
        <w:rPr>
          <w:rFonts w:eastAsia="Times"/>
          <w:szCs w:val="20"/>
          <w:lang w:val="es-ES"/>
        </w:rPr>
      </w:pPr>
      <w:r w:rsidRPr="00116E08">
        <w:rPr>
          <w:rFonts w:eastAsia="Times"/>
          <w:szCs w:val="20"/>
          <w:lang w:val="es-ES"/>
        </w:rPr>
        <w:t xml:space="preserve">Humberto A. Sierra Porto </w:t>
      </w:r>
      <w:r w:rsidRPr="00116E08">
        <w:rPr>
          <w:rFonts w:eastAsia="Times"/>
          <w:szCs w:val="20"/>
          <w:lang w:val="es-ES"/>
        </w:rPr>
        <w:tab/>
      </w:r>
      <w:r w:rsidRPr="00116E08">
        <w:rPr>
          <w:rFonts w:eastAsia="Times"/>
          <w:szCs w:val="20"/>
          <w:lang w:val="es-ES"/>
        </w:rPr>
        <w:tab/>
      </w:r>
      <w:r w:rsidRPr="00116E08">
        <w:rPr>
          <w:rFonts w:eastAsia="Times"/>
          <w:szCs w:val="20"/>
          <w:lang w:val="es-ES"/>
        </w:rPr>
        <w:tab/>
      </w:r>
      <w:r w:rsidRPr="00116E08">
        <w:rPr>
          <w:rFonts w:eastAsia="Times"/>
          <w:szCs w:val="20"/>
          <w:lang w:val="es-ES"/>
        </w:rPr>
        <w:tab/>
      </w:r>
      <w:r w:rsidRPr="00116E08">
        <w:rPr>
          <w:rFonts w:eastAsia="Times"/>
          <w:szCs w:val="20"/>
          <w:lang w:val="es-ES"/>
        </w:rPr>
        <w:tab/>
      </w:r>
      <w:r w:rsidRPr="00116E08">
        <w:rPr>
          <w:rFonts w:eastAsia="Times"/>
          <w:szCs w:val="20"/>
          <w:lang w:val="es-ES"/>
        </w:rPr>
        <w:tab/>
        <w:t xml:space="preserve">    Elizabeth Odio Benito</w:t>
      </w:r>
    </w:p>
    <w:p w14:paraId="72F174D1" w14:textId="77777777" w:rsidR="00D85B1A" w:rsidRPr="00116E08" w:rsidRDefault="00D85B1A" w:rsidP="00D85B1A">
      <w:pPr>
        <w:jc w:val="both"/>
        <w:rPr>
          <w:rFonts w:eastAsia="Times"/>
          <w:szCs w:val="20"/>
          <w:lang w:val="es-ES"/>
        </w:rPr>
      </w:pPr>
    </w:p>
    <w:p w14:paraId="341B5DB4" w14:textId="77777777" w:rsidR="00D85B1A" w:rsidRPr="00116E08" w:rsidRDefault="00D85B1A" w:rsidP="00D85B1A">
      <w:pPr>
        <w:jc w:val="both"/>
        <w:rPr>
          <w:rFonts w:eastAsia="Times"/>
          <w:szCs w:val="20"/>
          <w:lang w:val="es-ES"/>
        </w:rPr>
      </w:pPr>
    </w:p>
    <w:p w14:paraId="18E68BE6" w14:textId="77777777" w:rsidR="00D85B1A" w:rsidRPr="00116E08" w:rsidRDefault="00D85B1A" w:rsidP="00D85B1A">
      <w:pPr>
        <w:jc w:val="both"/>
        <w:rPr>
          <w:rFonts w:eastAsia="Times"/>
          <w:szCs w:val="20"/>
          <w:lang w:val="es-ES"/>
        </w:rPr>
      </w:pPr>
    </w:p>
    <w:p w14:paraId="5F91B14C" w14:textId="77777777" w:rsidR="00D85B1A" w:rsidRPr="00116E08" w:rsidRDefault="00D85B1A" w:rsidP="00D85B1A">
      <w:pPr>
        <w:jc w:val="both"/>
        <w:rPr>
          <w:rFonts w:eastAsia="Times"/>
          <w:szCs w:val="20"/>
          <w:lang w:val="es-ES"/>
        </w:rPr>
      </w:pPr>
    </w:p>
    <w:p w14:paraId="734B9A08" w14:textId="77777777" w:rsidR="00D85B1A" w:rsidRPr="00116E08" w:rsidRDefault="00D85B1A" w:rsidP="00D85B1A">
      <w:pPr>
        <w:jc w:val="both"/>
        <w:rPr>
          <w:rFonts w:eastAsia="Times"/>
          <w:szCs w:val="20"/>
        </w:rPr>
      </w:pPr>
    </w:p>
    <w:p w14:paraId="3661148D" w14:textId="77777777" w:rsidR="00D85B1A" w:rsidRPr="00116E08" w:rsidRDefault="00D85B1A" w:rsidP="00D85B1A">
      <w:pPr>
        <w:rPr>
          <w:rFonts w:eastAsia="Times"/>
          <w:szCs w:val="20"/>
        </w:rPr>
      </w:pPr>
      <w:r w:rsidRPr="00116E08">
        <w:rPr>
          <w:rFonts w:eastAsia="Times"/>
          <w:szCs w:val="20"/>
        </w:rPr>
        <w:t xml:space="preserve">Eugenio Raúl </w:t>
      </w:r>
      <w:proofErr w:type="spellStart"/>
      <w:r w:rsidRPr="00116E08">
        <w:rPr>
          <w:rFonts w:eastAsia="Times"/>
          <w:szCs w:val="20"/>
        </w:rPr>
        <w:t>Zaffaroni</w:t>
      </w:r>
      <w:proofErr w:type="spellEnd"/>
      <w:r w:rsidRPr="00116E08">
        <w:rPr>
          <w:rFonts w:eastAsia="Times"/>
          <w:szCs w:val="20"/>
        </w:rPr>
        <w:t xml:space="preserve"> </w:t>
      </w:r>
      <w:r w:rsidRPr="00116E08">
        <w:rPr>
          <w:rFonts w:eastAsia="Times"/>
          <w:szCs w:val="20"/>
        </w:rPr>
        <w:tab/>
      </w:r>
      <w:r w:rsidRPr="00116E08">
        <w:rPr>
          <w:rFonts w:eastAsia="Times"/>
          <w:szCs w:val="20"/>
        </w:rPr>
        <w:tab/>
      </w:r>
      <w:r w:rsidRPr="00116E08">
        <w:rPr>
          <w:rFonts w:eastAsia="Times"/>
          <w:szCs w:val="20"/>
        </w:rPr>
        <w:tab/>
      </w:r>
      <w:r w:rsidRPr="00116E08">
        <w:rPr>
          <w:rFonts w:eastAsia="Times"/>
          <w:szCs w:val="20"/>
        </w:rPr>
        <w:tab/>
      </w:r>
      <w:r w:rsidRPr="00116E08">
        <w:rPr>
          <w:rFonts w:eastAsia="Times"/>
          <w:szCs w:val="20"/>
        </w:rPr>
        <w:tab/>
        <w:t xml:space="preserve">        L. Patricio Pazmiño Freire</w:t>
      </w:r>
    </w:p>
    <w:p w14:paraId="455E316D" w14:textId="77777777" w:rsidR="00D85B1A" w:rsidRPr="00116E08" w:rsidRDefault="00D85B1A" w:rsidP="00D85B1A">
      <w:pPr>
        <w:jc w:val="center"/>
        <w:rPr>
          <w:rFonts w:eastAsia="Times"/>
          <w:szCs w:val="20"/>
        </w:rPr>
      </w:pPr>
    </w:p>
    <w:p w14:paraId="499AF205" w14:textId="77777777" w:rsidR="00D85B1A" w:rsidRPr="00116E08" w:rsidRDefault="00D85B1A" w:rsidP="00D85B1A">
      <w:pPr>
        <w:jc w:val="center"/>
        <w:rPr>
          <w:rFonts w:eastAsia="Times"/>
          <w:szCs w:val="20"/>
        </w:rPr>
      </w:pPr>
    </w:p>
    <w:p w14:paraId="58439856" w14:textId="77777777" w:rsidR="00D85B1A" w:rsidRPr="00116E08" w:rsidRDefault="00D85B1A" w:rsidP="00D85B1A">
      <w:pPr>
        <w:jc w:val="center"/>
        <w:rPr>
          <w:rFonts w:eastAsia="Times"/>
          <w:szCs w:val="20"/>
        </w:rPr>
      </w:pPr>
    </w:p>
    <w:p w14:paraId="3437F203" w14:textId="77777777" w:rsidR="00D85B1A" w:rsidRPr="00116E08" w:rsidRDefault="00D85B1A" w:rsidP="00D85B1A">
      <w:pPr>
        <w:jc w:val="center"/>
        <w:rPr>
          <w:rFonts w:eastAsia="Times"/>
          <w:szCs w:val="20"/>
        </w:rPr>
      </w:pPr>
    </w:p>
    <w:p w14:paraId="614C1D9A" w14:textId="77777777" w:rsidR="00D85B1A" w:rsidRPr="00116E08" w:rsidRDefault="00D85B1A" w:rsidP="00D85B1A">
      <w:pPr>
        <w:jc w:val="center"/>
        <w:rPr>
          <w:rFonts w:eastAsia="Times"/>
          <w:szCs w:val="20"/>
        </w:rPr>
      </w:pPr>
    </w:p>
    <w:p w14:paraId="401885D8" w14:textId="77777777" w:rsidR="00D85B1A" w:rsidRPr="00116E08" w:rsidRDefault="00D85B1A" w:rsidP="00D85B1A">
      <w:pPr>
        <w:jc w:val="center"/>
        <w:rPr>
          <w:rFonts w:eastAsia="Times"/>
          <w:szCs w:val="20"/>
          <w:lang w:val="es-ES"/>
        </w:rPr>
      </w:pPr>
      <w:r w:rsidRPr="00116E08">
        <w:rPr>
          <w:rFonts w:eastAsia="Times"/>
          <w:szCs w:val="20"/>
          <w:lang w:val="es-ES"/>
        </w:rPr>
        <w:t>Pablo Saavedra Alessandri</w:t>
      </w:r>
    </w:p>
    <w:p w14:paraId="07D394B3" w14:textId="77777777" w:rsidR="00D85B1A" w:rsidRPr="00116E08" w:rsidRDefault="00D85B1A" w:rsidP="00D85B1A">
      <w:pPr>
        <w:jc w:val="center"/>
        <w:rPr>
          <w:rFonts w:eastAsia="Times"/>
          <w:szCs w:val="20"/>
          <w:lang w:val="es-ES"/>
        </w:rPr>
      </w:pPr>
      <w:r w:rsidRPr="00116E08">
        <w:rPr>
          <w:rFonts w:eastAsia="Times"/>
          <w:szCs w:val="20"/>
          <w:lang w:val="es-ES"/>
        </w:rPr>
        <w:t>Secretario</w:t>
      </w:r>
    </w:p>
    <w:p w14:paraId="5AFC59B6" w14:textId="77777777" w:rsidR="00D85B1A" w:rsidRPr="00116E08" w:rsidRDefault="00D85B1A" w:rsidP="00D85B1A">
      <w:pPr>
        <w:rPr>
          <w:rFonts w:eastAsia="Times"/>
          <w:szCs w:val="20"/>
          <w:lang w:val="es-ES"/>
        </w:rPr>
      </w:pPr>
    </w:p>
    <w:p w14:paraId="1E0A8E49" w14:textId="77777777" w:rsidR="00D85B1A" w:rsidRPr="00116E08" w:rsidRDefault="00D85B1A" w:rsidP="00D85B1A">
      <w:pPr>
        <w:jc w:val="both"/>
        <w:rPr>
          <w:rFonts w:eastAsia="Times"/>
          <w:szCs w:val="20"/>
          <w:lang w:val="es-ES"/>
        </w:rPr>
      </w:pPr>
    </w:p>
    <w:p w14:paraId="160140F7" w14:textId="77777777" w:rsidR="00D85B1A" w:rsidRPr="00116E08" w:rsidRDefault="00D85B1A" w:rsidP="00D85B1A">
      <w:pPr>
        <w:jc w:val="both"/>
        <w:rPr>
          <w:rFonts w:eastAsia="Times"/>
          <w:szCs w:val="20"/>
          <w:lang w:val="es-ES"/>
        </w:rPr>
      </w:pPr>
    </w:p>
    <w:p w14:paraId="49261148" w14:textId="77777777" w:rsidR="00D85B1A" w:rsidRPr="00116E08" w:rsidRDefault="00D85B1A" w:rsidP="00D85B1A">
      <w:pPr>
        <w:jc w:val="both"/>
        <w:rPr>
          <w:rFonts w:eastAsia="Times"/>
          <w:szCs w:val="20"/>
          <w:lang w:val="es-ES"/>
        </w:rPr>
      </w:pPr>
    </w:p>
    <w:p w14:paraId="5471D0EB" w14:textId="77777777" w:rsidR="00D85B1A" w:rsidRPr="00116E08" w:rsidRDefault="00D85B1A" w:rsidP="00D85B1A">
      <w:pPr>
        <w:jc w:val="both"/>
        <w:rPr>
          <w:rFonts w:eastAsia="Times"/>
          <w:szCs w:val="20"/>
          <w:lang w:val="es-ES"/>
        </w:rPr>
      </w:pPr>
    </w:p>
    <w:p w14:paraId="2D68B870" w14:textId="77777777" w:rsidR="00D85B1A" w:rsidRPr="00116E08" w:rsidRDefault="00D85B1A" w:rsidP="00D85B1A">
      <w:pPr>
        <w:jc w:val="both"/>
        <w:rPr>
          <w:rFonts w:eastAsia="Times"/>
          <w:szCs w:val="20"/>
          <w:lang w:val="es-ES"/>
        </w:rPr>
      </w:pPr>
      <w:r w:rsidRPr="00116E08">
        <w:rPr>
          <w:rFonts w:eastAsia="Times"/>
          <w:szCs w:val="20"/>
          <w:lang w:val="es-ES"/>
        </w:rPr>
        <w:t>Comuníquese y ejecútese,</w:t>
      </w:r>
    </w:p>
    <w:p w14:paraId="25787E33" w14:textId="77777777" w:rsidR="00D85B1A" w:rsidRPr="00116E08" w:rsidRDefault="00D85B1A" w:rsidP="00D85B1A">
      <w:pPr>
        <w:jc w:val="both"/>
        <w:rPr>
          <w:rFonts w:eastAsia="Times"/>
          <w:szCs w:val="20"/>
          <w:lang w:val="es-ES"/>
        </w:rPr>
      </w:pPr>
    </w:p>
    <w:p w14:paraId="1A8E3861" w14:textId="77777777" w:rsidR="00D85B1A" w:rsidRPr="00116E08" w:rsidRDefault="00D85B1A" w:rsidP="00D85B1A">
      <w:pPr>
        <w:jc w:val="both"/>
        <w:rPr>
          <w:rFonts w:eastAsia="Times"/>
          <w:szCs w:val="20"/>
          <w:lang w:val="es-ES"/>
        </w:rPr>
      </w:pPr>
    </w:p>
    <w:p w14:paraId="5D15B083" w14:textId="77777777" w:rsidR="00D85B1A" w:rsidRPr="00116E08" w:rsidRDefault="00D85B1A" w:rsidP="00D85B1A">
      <w:pPr>
        <w:jc w:val="both"/>
        <w:rPr>
          <w:rFonts w:eastAsia="Times"/>
          <w:szCs w:val="20"/>
          <w:lang w:val="es-ES"/>
        </w:rPr>
      </w:pPr>
    </w:p>
    <w:p w14:paraId="2421722D" w14:textId="77777777" w:rsidR="00D85B1A" w:rsidRPr="00116E08" w:rsidRDefault="00D85B1A" w:rsidP="00D85B1A">
      <w:pPr>
        <w:jc w:val="both"/>
        <w:rPr>
          <w:rFonts w:eastAsia="Times"/>
          <w:szCs w:val="20"/>
        </w:rPr>
      </w:pPr>
    </w:p>
    <w:p w14:paraId="3225E0FF" w14:textId="77777777" w:rsidR="00D85B1A" w:rsidRPr="00116E08" w:rsidRDefault="00D85B1A" w:rsidP="00D85B1A">
      <w:pPr>
        <w:jc w:val="both"/>
        <w:rPr>
          <w:rFonts w:eastAsia="Times"/>
          <w:szCs w:val="20"/>
        </w:rPr>
      </w:pPr>
    </w:p>
    <w:p w14:paraId="72355666" w14:textId="77777777" w:rsidR="00D85B1A" w:rsidRPr="00116E08" w:rsidRDefault="00D85B1A" w:rsidP="00D85B1A">
      <w:pPr>
        <w:ind w:left="4956"/>
        <w:jc w:val="center"/>
        <w:rPr>
          <w:rFonts w:eastAsia="Times"/>
          <w:szCs w:val="20"/>
          <w:lang w:val="es-ES"/>
        </w:rPr>
      </w:pPr>
      <w:r w:rsidRPr="00116E08">
        <w:rPr>
          <w:rFonts w:eastAsia="Times"/>
          <w:szCs w:val="20"/>
          <w:lang w:val="es-ES"/>
        </w:rPr>
        <w:t>Eduardo Ferrer Mac-</w:t>
      </w:r>
      <w:proofErr w:type="spellStart"/>
      <w:r w:rsidRPr="00116E08">
        <w:rPr>
          <w:rFonts w:eastAsia="Times"/>
          <w:szCs w:val="20"/>
          <w:lang w:val="es-ES"/>
        </w:rPr>
        <w:t>Gregor</w:t>
      </w:r>
      <w:proofErr w:type="spellEnd"/>
      <w:r w:rsidRPr="00116E08">
        <w:rPr>
          <w:rFonts w:eastAsia="Times"/>
          <w:szCs w:val="20"/>
          <w:lang w:val="es-ES"/>
        </w:rPr>
        <w:t xml:space="preserve"> </w:t>
      </w:r>
      <w:proofErr w:type="spellStart"/>
      <w:r w:rsidRPr="00116E08">
        <w:rPr>
          <w:rFonts w:eastAsia="Times"/>
          <w:szCs w:val="20"/>
          <w:lang w:val="es-ES"/>
        </w:rPr>
        <w:t>Poisot</w:t>
      </w:r>
      <w:proofErr w:type="spellEnd"/>
    </w:p>
    <w:p w14:paraId="03407700" w14:textId="77777777" w:rsidR="00D85B1A" w:rsidRPr="00116E08" w:rsidRDefault="00D85B1A" w:rsidP="00D85B1A">
      <w:pPr>
        <w:ind w:left="4956"/>
        <w:jc w:val="center"/>
        <w:rPr>
          <w:rFonts w:eastAsia="Times"/>
          <w:szCs w:val="20"/>
          <w:lang w:val="es-ES"/>
        </w:rPr>
      </w:pPr>
      <w:r w:rsidRPr="00116E08">
        <w:rPr>
          <w:rFonts w:eastAsia="Times"/>
          <w:szCs w:val="20"/>
          <w:lang w:val="es-ES"/>
        </w:rPr>
        <w:t>Presidente</w:t>
      </w:r>
    </w:p>
    <w:p w14:paraId="5B21FCB6" w14:textId="77777777" w:rsidR="00D85B1A" w:rsidRPr="00116E08" w:rsidRDefault="00D85B1A" w:rsidP="00D85B1A">
      <w:pPr>
        <w:jc w:val="both"/>
        <w:rPr>
          <w:rFonts w:eastAsia="Times"/>
          <w:szCs w:val="20"/>
          <w:lang w:val="es-ES"/>
        </w:rPr>
      </w:pPr>
    </w:p>
    <w:p w14:paraId="41E8B76C" w14:textId="77777777" w:rsidR="00D85B1A" w:rsidRPr="00116E08" w:rsidRDefault="00D85B1A" w:rsidP="00D85B1A">
      <w:pPr>
        <w:jc w:val="both"/>
        <w:rPr>
          <w:rFonts w:eastAsia="Times"/>
          <w:szCs w:val="20"/>
          <w:lang w:val="es-ES"/>
        </w:rPr>
      </w:pPr>
    </w:p>
    <w:p w14:paraId="17D18AE5" w14:textId="77777777" w:rsidR="00D85B1A" w:rsidRPr="00116E08" w:rsidRDefault="00D85B1A" w:rsidP="00D85B1A">
      <w:pPr>
        <w:jc w:val="both"/>
        <w:rPr>
          <w:rFonts w:eastAsia="Times"/>
          <w:szCs w:val="20"/>
          <w:lang w:val="es-ES"/>
        </w:rPr>
      </w:pPr>
    </w:p>
    <w:p w14:paraId="5CCA32CE" w14:textId="77777777" w:rsidR="00D85B1A" w:rsidRPr="00116E08" w:rsidRDefault="00D85B1A" w:rsidP="00D85B1A">
      <w:pPr>
        <w:jc w:val="both"/>
        <w:rPr>
          <w:rFonts w:eastAsia="Times"/>
          <w:szCs w:val="20"/>
          <w:lang w:val="es-ES"/>
        </w:rPr>
      </w:pPr>
    </w:p>
    <w:p w14:paraId="540BEAD7" w14:textId="77777777" w:rsidR="00D85B1A" w:rsidRPr="00116E08" w:rsidRDefault="00D85B1A" w:rsidP="00D85B1A">
      <w:pPr>
        <w:jc w:val="both"/>
        <w:rPr>
          <w:rFonts w:eastAsia="Times"/>
          <w:szCs w:val="20"/>
          <w:lang w:val="es-ES"/>
        </w:rPr>
      </w:pPr>
    </w:p>
    <w:p w14:paraId="683D2A6C" w14:textId="77777777" w:rsidR="00D85B1A" w:rsidRPr="00116E08" w:rsidRDefault="00D85B1A" w:rsidP="00D85B1A">
      <w:pPr>
        <w:jc w:val="both"/>
        <w:rPr>
          <w:rFonts w:eastAsia="Times"/>
          <w:szCs w:val="20"/>
          <w:lang w:val="es-ES"/>
        </w:rPr>
      </w:pPr>
      <w:r w:rsidRPr="00116E08">
        <w:rPr>
          <w:rFonts w:eastAsia="Times"/>
          <w:szCs w:val="20"/>
          <w:lang w:val="es-ES"/>
        </w:rPr>
        <w:t>Pablo Saavedra</w:t>
      </w:r>
      <w:bookmarkStart w:id="352" w:name="_GoBack"/>
      <w:bookmarkEnd w:id="352"/>
      <w:r w:rsidRPr="00116E08">
        <w:rPr>
          <w:rFonts w:eastAsia="Times"/>
          <w:szCs w:val="20"/>
          <w:lang w:val="es-ES"/>
        </w:rPr>
        <w:t xml:space="preserve"> Alessandri</w:t>
      </w:r>
    </w:p>
    <w:p w14:paraId="0D9155CB" w14:textId="77777777" w:rsidR="00D85B1A" w:rsidRPr="00116E08" w:rsidRDefault="00D85B1A" w:rsidP="00D85B1A">
      <w:pPr>
        <w:rPr>
          <w:rFonts w:eastAsia="Times"/>
          <w:szCs w:val="20"/>
        </w:rPr>
      </w:pPr>
      <w:r w:rsidRPr="00116E08">
        <w:rPr>
          <w:rFonts w:eastAsia="Times"/>
          <w:szCs w:val="20"/>
          <w:lang w:val="es-ES"/>
        </w:rPr>
        <w:tab/>
      </w:r>
      <w:r w:rsidRPr="00116E08">
        <w:rPr>
          <w:rFonts w:eastAsia="Times"/>
          <w:szCs w:val="20"/>
        </w:rPr>
        <w:t>Secretario</w:t>
      </w:r>
    </w:p>
    <w:p w14:paraId="1B94F715" w14:textId="77777777" w:rsidR="00D85B1A" w:rsidRDefault="00D85B1A" w:rsidP="00D85B1A"/>
    <w:p w14:paraId="3CD7AC28" w14:textId="77777777" w:rsidR="00D85B1A" w:rsidRDefault="00D85B1A" w:rsidP="00D85B1A"/>
    <w:p w14:paraId="53413C63" w14:textId="77777777" w:rsidR="00D85B1A" w:rsidRPr="00106B7D" w:rsidRDefault="00D85B1A" w:rsidP="00D85B1A">
      <w:pPr>
        <w:pStyle w:val="Default"/>
        <w:tabs>
          <w:tab w:val="left" w:pos="567"/>
        </w:tabs>
        <w:jc w:val="both"/>
        <w:rPr>
          <w:sz w:val="20"/>
          <w:szCs w:val="20"/>
          <w:lang w:val="es-MX"/>
        </w:rPr>
      </w:pPr>
    </w:p>
    <w:sectPr w:rsidR="00D85B1A" w:rsidRPr="00106B7D" w:rsidSect="00312F01">
      <w:headerReference w:type="default" r:id="rId9"/>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F942" w14:textId="77777777" w:rsidR="006B6A4E" w:rsidRDefault="006B6A4E" w:rsidP="003E5472">
      <w:r>
        <w:separator/>
      </w:r>
    </w:p>
  </w:endnote>
  <w:endnote w:type="continuationSeparator" w:id="0">
    <w:p w14:paraId="7AA1688D" w14:textId="77777777" w:rsidR="006B6A4E" w:rsidRDefault="006B6A4E" w:rsidP="003E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Italic">
    <w:altName w:val="Arial Unicode MS"/>
    <w:charset w:val="00"/>
    <w:family w:val="auto"/>
    <w:pitch w:val="variable"/>
    <w:sig w:usb0="00000001" w:usb1="7800205A" w:usb2="14600000" w:usb3="00000000" w:csb0="00000193"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Bold">
    <w:altName w:val="Times New Roman"/>
    <w:panose1 w:val="020B0804030504040204"/>
    <w:charset w:val="00"/>
    <w:family w:val="auto"/>
    <w:pitch w:val="variable"/>
    <w:sig w:usb0="00000001"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Sans-Light">
    <w:panose1 w:val="00000000000000000000"/>
    <w:charset w:val="00"/>
    <w:family w:val="swiss"/>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2B89C" w14:textId="77777777" w:rsidR="006B6A4E" w:rsidRDefault="006B6A4E" w:rsidP="003E5472">
      <w:r>
        <w:separator/>
      </w:r>
    </w:p>
  </w:footnote>
  <w:footnote w:type="continuationSeparator" w:id="0">
    <w:p w14:paraId="7480D4FC" w14:textId="77777777" w:rsidR="006B6A4E" w:rsidRDefault="006B6A4E" w:rsidP="003E5472">
      <w:r>
        <w:continuationSeparator/>
      </w:r>
    </w:p>
  </w:footnote>
  <w:footnote w:id="1">
    <w:p w14:paraId="60CB5C7F" w14:textId="49EC8445" w:rsidR="006B6A4E" w:rsidRDefault="006B6A4E" w:rsidP="003132E7">
      <w:pPr>
        <w:tabs>
          <w:tab w:val="left" w:pos="426"/>
        </w:tabs>
        <w:spacing w:before="120" w:after="120"/>
        <w:jc w:val="both"/>
        <w:rPr>
          <w:sz w:val="16"/>
          <w:szCs w:val="16"/>
          <w:lang w:val="es-CR"/>
        </w:rPr>
      </w:pPr>
      <w:r w:rsidRPr="001D4864">
        <w:rPr>
          <w:rStyle w:val="FootnoteReference"/>
          <w:lang w:val="es-CR"/>
        </w:rPr>
        <w:t>*</w:t>
      </w:r>
      <w:r w:rsidRPr="001D4864">
        <w:rPr>
          <w:sz w:val="16"/>
          <w:szCs w:val="16"/>
          <w:lang w:val="es-CR"/>
        </w:rPr>
        <w:t xml:space="preserve"> </w:t>
      </w:r>
      <w:r w:rsidRPr="001D4864">
        <w:rPr>
          <w:sz w:val="16"/>
          <w:szCs w:val="16"/>
          <w:lang w:val="es-CR"/>
        </w:rPr>
        <w:tab/>
        <w:t xml:space="preserve">El Juez Eduardo Vio Grossi, </w:t>
      </w:r>
      <w:r w:rsidRPr="001D4864">
        <w:rPr>
          <w:sz w:val="16"/>
          <w:szCs w:val="16"/>
          <w:lang w:val="es-ES_tradnl"/>
        </w:rPr>
        <w:t>por razones de fuerza mayor aceptadas por el Pleno del Tribunal, no participó en la deliberación y firma de la presente Sentencia.</w:t>
      </w:r>
    </w:p>
  </w:footnote>
  <w:footnote w:id="2">
    <w:p w14:paraId="57D0598E" w14:textId="7FD29E4A"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Los familiares son Gladys Justina Escobar </w:t>
      </w:r>
      <w:proofErr w:type="spellStart"/>
      <w:r w:rsidRPr="00810E28">
        <w:rPr>
          <w:szCs w:val="16"/>
        </w:rPr>
        <w:t>Candiotti</w:t>
      </w:r>
      <w:proofErr w:type="spellEnd"/>
      <w:r w:rsidRPr="00810E28">
        <w:rPr>
          <w:szCs w:val="16"/>
        </w:rPr>
        <w:t xml:space="preserve">, Gladys </w:t>
      </w:r>
      <w:proofErr w:type="spellStart"/>
      <w:r w:rsidRPr="00810E28">
        <w:rPr>
          <w:szCs w:val="16"/>
        </w:rPr>
        <w:t>Munárriz</w:t>
      </w:r>
      <w:proofErr w:type="spellEnd"/>
      <w:r w:rsidRPr="00810E28">
        <w:rPr>
          <w:szCs w:val="16"/>
        </w:rPr>
        <w:t xml:space="preserve"> Escobar, Eric </w:t>
      </w:r>
      <w:proofErr w:type="spellStart"/>
      <w:r w:rsidRPr="00810E28">
        <w:rPr>
          <w:szCs w:val="16"/>
        </w:rPr>
        <w:t>Munárriz</w:t>
      </w:r>
      <w:proofErr w:type="spellEnd"/>
      <w:r w:rsidRPr="00810E28">
        <w:rPr>
          <w:szCs w:val="16"/>
        </w:rPr>
        <w:t xml:space="preserve"> Escobar, Amparo </w:t>
      </w:r>
      <w:proofErr w:type="spellStart"/>
      <w:r w:rsidRPr="00810E28">
        <w:rPr>
          <w:szCs w:val="16"/>
        </w:rPr>
        <w:t>Munárriz</w:t>
      </w:r>
      <w:proofErr w:type="spellEnd"/>
      <w:r w:rsidRPr="00810E28">
        <w:rPr>
          <w:szCs w:val="16"/>
        </w:rPr>
        <w:t xml:space="preserve"> </w:t>
      </w:r>
      <w:r>
        <w:rPr>
          <w:szCs w:val="16"/>
        </w:rPr>
        <w:t xml:space="preserve">Escobar, Alain </w:t>
      </w:r>
      <w:proofErr w:type="spellStart"/>
      <w:r>
        <w:rPr>
          <w:szCs w:val="16"/>
        </w:rPr>
        <w:t>Munárriz</w:t>
      </w:r>
      <w:proofErr w:type="spellEnd"/>
      <w:r>
        <w:rPr>
          <w:szCs w:val="16"/>
        </w:rPr>
        <w:t xml:space="preserve"> Escobar y</w:t>
      </w:r>
      <w:r w:rsidRPr="00810E28">
        <w:rPr>
          <w:szCs w:val="16"/>
        </w:rPr>
        <w:t xml:space="preserve"> Junior </w:t>
      </w:r>
      <w:proofErr w:type="spellStart"/>
      <w:r w:rsidRPr="00810E28">
        <w:rPr>
          <w:szCs w:val="16"/>
        </w:rPr>
        <w:t>Munárriz</w:t>
      </w:r>
      <w:proofErr w:type="spellEnd"/>
      <w:r w:rsidRPr="00810E28">
        <w:rPr>
          <w:szCs w:val="16"/>
        </w:rPr>
        <w:t xml:space="preserve"> Escobar.  </w:t>
      </w:r>
    </w:p>
  </w:footnote>
  <w:footnote w:id="3">
    <w:p w14:paraId="6F088675"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pacing w:val="-4"/>
          <w:szCs w:val="16"/>
          <w:lang w:val="es-CR"/>
        </w:rPr>
        <w:t>Cfr.</w:t>
      </w:r>
      <w:r w:rsidRPr="00810E28">
        <w:rPr>
          <w:spacing w:val="-4"/>
          <w:szCs w:val="16"/>
          <w:lang w:val="es-CR"/>
        </w:rPr>
        <w:t xml:space="preserve"> CIDH, Informe No. 10/07, Petición 735-05, Admisibilidad, </w:t>
      </w:r>
      <w:r w:rsidRPr="00810E28">
        <w:rPr>
          <w:i/>
          <w:spacing w:val="-4"/>
          <w:szCs w:val="16"/>
          <w:lang w:val="es-CR"/>
        </w:rPr>
        <w:t xml:space="preserve">Walter </w:t>
      </w:r>
      <w:proofErr w:type="spellStart"/>
      <w:r w:rsidRPr="00810E28">
        <w:rPr>
          <w:i/>
          <w:spacing w:val="-4"/>
          <w:szCs w:val="16"/>
          <w:lang w:val="es-CR"/>
        </w:rPr>
        <w:t>Munárriz</w:t>
      </w:r>
      <w:proofErr w:type="spellEnd"/>
      <w:r w:rsidRPr="00810E28">
        <w:rPr>
          <w:i/>
          <w:spacing w:val="-4"/>
          <w:szCs w:val="16"/>
          <w:lang w:val="es-CR"/>
        </w:rPr>
        <w:t xml:space="preserve"> Escobar</w:t>
      </w:r>
      <w:r w:rsidRPr="00810E28">
        <w:rPr>
          <w:spacing w:val="-4"/>
          <w:szCs w:val="16"/>
          <w:lang w:val="es-CR"/>
        </w:rPr>
        <w:t>, Perú, 28 de febrero de 2007.</w:t>
      </w:r>
    </w:p>
  </w:footnote>
  <w:footnote w:id="4">
    <w:p w14:paraId="351B2998" w14:textId="2F809BCB" w:rsidR="006B6A4E" w:rsidRPr="00810E28" w:rsidRDefault="006B6A4E" w:rsidP="00810E28">
      <w:pPr>
        <w:pStyle w:val="FootnoteText"/>
        <w:tabs>
          <w:tab w:val="left" w:pos="426"/>
          <w:tab w:val="left" w:pos="567"/>
        </w:tabs>
        <w:spacing w:before="120"/>
        <w:rPr>
          <w:b/>
          <w:szCs w:val="16"/>
          <w:lang w:val="es-CR"/>
        </w:rPr>
      </w:pPr>
      <w:r w:rsidRPr="00810E28">
        <w:rPr>
          <w:rStyle w:val="FootnoteReference"/>
          <w:szCs w:val="16"/>
        </w:rPr>
        <w:footnoteRef/>
      </w:r>
      <w:r w:rsidRPr="00810E28">
        <w:rPr>
          <w:szCs w:val="16"/>
        </w:rPr>
        <w:t xml:space="preserve"> </w:t>
      </w:r>
      <w:r w:rsidRPr="00810E28">
        <w:rPr>
          <w:szCs w:val="16"/>
        </w:rPr>
        <w:tab/>
        <w:t>El Estado designó como agente titular a Iván Arturo Bazán Chacón, Procurador Público Adjunto Especializado Supranacional, y como agentes alteros a Helmut Andrés Olivera Torres y Sergio Manuel Tamayo Y</w:t>
      </w:r>
      <w:r>
        <w:rPr>
          <w:szCs w:val="16"/>
        </w:rPr>
        <w:t>á</w:t>
      </w:r>
      <w:r w:rsidRPr="00810E28">
        <w:rPr>
          <w:szCs w:val="16"/>
        </w:rPr>
        <w:t xml:space="preserve">ñez. </w:t>
      </w:r>
    </w:p>
  </w:footnote>
  <w:footnote w:id="5">
    <w:p w14:paraId="6E17860E" w14:textId="214F1D14" w:rsidR="006B6A4E" w:rsidRPr="00810E28" w:rsidRDefault="006B6A4E" w:rsidP="00810E28">
      <w:pPr>
        <w:pStyle w:val="FootnoteText"/>
        <w:tabs>
          <w:tab w:val="left" w:pos="426"/>
          <w:tab w:val="left" w:pos="567"/>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Caso </w:t>
      </w:r>
      <w:proofErr w:type="spellStart"/>
      <w:r w:rsidRPr="00810E28">
        <w:rPr>
          <w:i/>
          <w:szCs w:val="16"/>
        </w:rPr>
        <w:t>Mun</w:t>
      </w:r>
      <w:r w:rsidRPr="00810E28">
        <w:rPr>
          <w:rFonts w:cs="Verdana"/>
          <w:szCs w:val="16"/>
          <w:lang w:eastAsia="es-CR"/>
        </w:rPr>
        <w:t>á</w:t>
      </w:r>
      <w:r w:rsidRPr="00810E28">
        <w:rPr>
          <w:i/>
          <w:szCs w:val="16"/>
        </w:rPr>
        <w:t>rriz</w:t>
      </w:r>
      <w:proofErr w:type="spellEnd"/>
      <w:r w:rsidRPr="00810E28">
        <w:rPr>
          <w:i/>
          <w:szCs w:val="16"/>
        </w:rPr>
        <w:t xml:space="preserve"> Escobar y otros Vs. Perú. Fondo de Asistencia Legal de Victimas. </w:t>
      </w:r>
      <w:r w:rsidRPr="00810E28">
        <w:rPr>
          <w:szCs w:val="16"/>
        </w:rPr>
        <w:t>Resolución de</w:t>
      </w:r>
      <w:r>
        <w:rPr>
          <w:szCs w:val="16"/>
        </w:rPr>
        <w:t>l Presidente de  la Corte de</w:t>
      </w:r>
      <w:r w:rsidRPr="00810E28">
        <w:rPr>
          <w:szCs w:val="16"/>
        </w:rPr>
        <w:t xml:space="preserve"> 16 de febrero de 2018. Disponible en: </w:t>
      </w:r>
      <w:hyperlink r:id="rId1" w:history="1">
        <w:r w:rsidRPr="00810E28">
          <w:rPr>
            <w:rStyle w:val="Hyperlink"/>
            <w:szCs w:val="16"/>
          </w:rPr>
          <w:t>http://www.corteidh.or.cr/docs/asuntos/munarriz_fv_18.pdf</w:t>
        </w:r>
      </w:hyperlink>
      <w:r w:rsidRPr="00810E28">
        <w:rPr>
          <w:szCs w:val="16"/>
        </w:rPr>
        <w:t xml:space="preserve"> </w:t>
      </w:r>
    </w:p>
  </w:footnote>
  <w:footnote w:id="6">
    <w:p w14:paraId="25EC4BAC" w14:textId="582A2154" w:rsidR="006B6A4E" w:rsidRPr="00810E28" w:rsidRDefault="006B6A4E" w:rsidP="00810E28">
      <w:pPr>
        <w:pStyle w:val="FootnoteText"/>
        <w:tabs>
          <w:tab w:val="left" w:pos="426"/>
        </w:tabs>
        <w:spacing w:before="120"/>
        <w:rPr>
          <w:rFonts w:cs="Verdana"/>
          <w:spacing w:val="-4"/>
          <w:szCs w:val="16"/>
          <w:lang w:val="es-CR"/>
        </w:rPr>
      </w:pPr>
      <w:r w:rsidRPr="00810E28">
        <w:rPr>
          <w:rStyle w:val="FootnoteReference"/>
          <w:spacing w:val="-4"/>
          <w:szCs w:val="16"/>
        </w:rPr>
        <w:footnoteRef/>
      </w:r>
      <w:r w:rsidRPr="00810E28">
        <w:rPr>
          <w:spacing w:val="-4"/>
          <w:szCs w:val="16"/>
        </w:rPr>
        <w:t xml:space="preserve"> </w:t>
      </w:r>
      <w:r w:rsidRPr="00810E28">
        <w:rPr>
          <w:spacing w:val="-4"/>
          <w:szCs w:val="16"/>
        </w:rPr>
        <w:tab/>
      </w:r>
      <w:r w:rsidRPr="00810E28">
        <w:rPr>
          <w:i/>
          <w:spacing w:val="-4"/>
          <w:szCs w:val="16"/>
        </w:rPr>
        <w:t xml:space="preserve">Cfr. </w:t>
      </w:r>
      <w:r w:rsidRPr="00810E28">
        <w:rPr>
          <w:bCs/>
          <w:i/>
          <w:spacing w:val="-4"/>
          <w:szCs w:val="16"/>
          <w:lang w:val="es-CR"/>
        </w:rPr>
        <w:t xml:space="preserve">Caso </w:t>
      </w:r>
      <w:proofErr w:type="spellStart"/>
      <w:r w:rsidRPr="00810E28">
        <w:rPr>
          <w:bCs/>
          <w:i/>
          <w:spacing w:val="-4"/>
          <w:szCs w:val="16"/>
          <w:lang w:val="es-CR"/>
        </w:rPr>
        <w:t>Munárriz</w:t>
      </w:r>
      <w:proofErr w:type="spellEnd"/>
      <w:r w:rsidRPr="00810E28">
        <w:rPr>
          <w:bCs/>
          <w:i/>
          <w:spacing w:val="-4"/>
          <w:szCs w:val="16"/>
          <w:lang w:val="es-CR"/>
        </w:rPr>
        <w:t xml:space="preserve"> Escobar y otros Vs. Perú. Convocatoria de audiencia. </w:t>
      </w:r>
      <w:r w:rsidRPr="00810E28">
        <w:rPr>
          <w:bCs/>
          <w:spacing w:val="-4"/>
          <w:szCs w:val="16"/>
          <w:lang w:val="es-CR"/>
        </w:rPr>
        <w:t>Resolución del Presidente de la Corte de 24 de abril de 2018.</w:t>
      </w:r>
      <w:r w:rsidRPr="00810E28">
        <w:rPr>
          <w:spacing w:val="-4"/>
          <w:szCs w:val="16"/>
        </w:rPr>
        <w:t xml:space="preserve"> Disponible en: </w:t>
      </w:r>
      <w:hyperlink r:id="rId2" w:history="1">
        <w:r w:rsidRPr="00810E28">
          <w:rPr>
            <w:rStyle w:val="Hyperlink"/>
            <w:szCs w:val="16"/>
          </w:rPr>
          <w:t>http://www.corteidh.or.cr/docs/asuntos/munarriz_escobar_24_04_18.pdf</w:t>
        </w:r>
      </w:hyperlink>
      <w:r w:rsidRPr="00810E28">
        <w:rPr>
          <w:szCs w:val="16"/>
        </w:rPr>
        <w:t xml:space="preserve"> </w:t>
      </w:r>
    </w:p>
  </w:footnote>
  <w:footnote w:id="7">
    <w:p w14:paraId="18C07F96" w14:textId="6C910945"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A esta audiencia comparecieron: a) por la Comisió</w:t>
      </w:r>
      <w:r>
        <w:rPr>
          <w:szCs w:val="16"/>
        </w:rPr>
        <w:t>n Interamericana: Esmeralda Aro</w:t>
      </w:r>
      <w:r w:rsidRPr="00810E28">
        <w:rPr>
          <w:szCs w:val="16"/>
        </w:rPr>
        <w:t xml:space="preserve">semena de </w:t>
      </w:r>
      <w:proofErr w:type="spellStart"/>
      <w:r w:rsidRPr="00810E28">
        <w:rPr>
          <w:szCs w:val="16"/>
        </w:rPr>
        <w:t>Troitiño</w:t>
      </w:r>
      <w:proofErr w:type="spellEnd"/>
      <w:r w:rsidRPr="00810E28">
        <w:rPr>
          <w:szCs w:val="16"/>
        </w:rPr>
        <w:t xml:space="preserve">, Primera Vicepresidenta de la Comisión, Selene Soto Rodríguez y Christian </w:t>
      </w:r>
      <w:proofErr w:type="spellStart"/>
      <w:r w:rsidRPr="00810E28">
        <w:rPr>
          <w:szCs w:val="16"/>
        </w:rPr>
        <w:t>Gonzale</w:t>
      </w:r>
      <w:r>
        <w:rPr>
          <w:szCs w:val="16"/>
        </w:rPr>
        <w:t>z</w:t>
      </w:r>
      <w:proofErr w:type="spellEnd"/>
      <w:r w:rsidRPr="00810E28">
        <w:rPr>
          <w:szCs w:val="16"/>
        </w:rPr>
        <w:t xml:space="preserve"> Chacón, Asesores de la Secretaría Ejecutiva; b) por los representantes de las presuntas víctimas: Dania Coz Barón, </w:t>
      </w:r>
      <w:r w:rsidRPr="00810E28">
        <w:rPr>
          <w:szCs w:val="16"/>
          <w:lang w:val="es-CO"/>
        </w:rPr>
        <w:t xml:space="preserve">Coordinadora del Área Legal de la </w:t>
      </w:r>
      <w:r w:rsidRPr="00810E28">
        <w:rPr>
          <w:szCs w:val="16"/>
          <w:lang w:val="es-CR"/>
        </w:rPr>
        <w:t>la Comisión de Derechos Humanos (</w:t>
      </w:r>
      <w:r w:rsidRPr="00810E28">
        <w:rPr>
          <w:szCs w:val="16"/>
          <w:lang w:val="es-MX"/>
        </w:rPr>
        <w:t>COMISEDH</w:t>
      </w:r>
      <w:r w:rsidRPr="00810E28">
        <w:rPr>
          <w:szCs w:val="16"/>
          <w:lang w:val="es-CR"/>
        </w:rPr>
        <w:t xml:space="preserve">), </w:t>
      </w:r>
      <w:r w:rsidRPr="00810E28">
        <w:rPr>
          <w:szCs w:val="16"/>
        </w:rPr>
        <w:t>y c) por el Estado de Perú: la Procuradora Pública Adjunta Especializada Supranacional, Sofía Janet Donaires Vega y el abogado de la Procuraduría Pública Especializada Supranacional, Helmut Andrés Olivera Torres.</w:t>
      </w:r>
    </w:p>
  </w:footnote>
  <w:footnote w:id="8">
    <w:p w14:paraId="2BA448CB"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lang w:val="es-CR"/>
        </w:rPr>
        <w:t xml:space="preserve"> </w:t>
      </w:r>
      <w:r w:rsidRPr="00810E28">
        <w:rPr>
          <w:szCs w:val="16"/>
        </w:rPr>
        <w:tab/>
      </w:r>
      <w:r w:rsidRPr="00810E28">
        <w:rPr>
          <w:i/>
          <w:szCs w:val="16"/>
        </w:rPr>
        <w:t>Cfr. Caso Osorio Rivera y Familiares Vs. Perú. Excepciones Preliminares, Fondo, Reparaciones y Costas.</w:t>
      </w:r>
      <w:r w:rsidRPr="00810E28">
        <w:rPr>
          <w:szCs w:val="16"/>
        </w:rPr>
        <w:t xml:space="preserve"> Sentencia de 26 de noviembre de 2013. Serie C No. 274, párr. 23, y</w:t>
      </w:r>
      <w:r w:rsidRPr="00810E28">
        <w:rPr>
          <w:i/>
          <w:szCs w:val="16"/>
        </w:rPr>
        <w:t xml:space="preserve"> Caso Tenorio Roca y otros Vs. Perú. Excepciones Preliminares, Fondo, Reparaciones y Costas.</w:t>
      </w:r>
      <w:r w:rsidRPr="00810E28">
        <w:rPr>
          <w:szCs w:val="16"/>
        </w:rPr>
        <w:t xml:space="preserve"> Sentencia de 22 de junio de 2016. Serie C No. 314,</w:t>
      </w:r>
      <w:r w:rsidRPr="00810E28">
        <w:rPr>
          <w:i/>
          <w:szCs w:val="16"/>
        </w:rPr>
        <w:t xml:space="preserve"> </w:t>
      </w:r>
      <w:r w:rsidRPr="00810E28">
        <w:rPr>
          <w:szCs w:val="16"/>
        </w:rPr>
        <w:t>párr. 31.</w:t>
      </w:r>
    </w:p>
  </w:footnote>
  <w:footnote w:id="9">
    <w:p w14:paraId="58894BDE"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i/>
          <w:szCs w:val="16"/>
        </w:rPr>
        <w:t>Caso Hermanas Serrano Cruz Vs. El Salvador. Excepciones Preliminares.</w:t>
      </w:r>
      <w:r w:rsidRPr="00810E28">
        <w:rPr>
          <w:szCs w:val="16"/>
        </w:rPr>
        <w:t xml:space="preserve"> Sentencia de 23 de noviembre de 2004. Serie C No. 118, </w:t>
      </w:r>
      <w:proofErr w:type="spellStart"/>
      <w:r w:rsidRPr="00810E28">
        <w:rPr>
          <w:szCs w:val="16"/>
        </w:rPr>
        <w:t>párrs</w:t>
      </w:r>
      <w:proofErr w:type="spellEnd"/>
      <w:r w:rsidRPr="00810E28">
        <w:rPr>
          <w:szCs w:val="16"/>
        </w:rPr>
        <w:t xml:space="preserve">. 65 y 66, y </w:t>
      </w:r>
      <w:r w:rsidRPr="00810E28">
        <w:rPr>
          <w:i/>
          <w:szCs w:val="16"/>
        </w:rPr>
        <w:t>Caso Vásquez Durand y otros Vs. Ecuador. Excepciones Preliminares, Fondo, Reparaciones y Costas.</w:t>
      </w:r>
      <w:r w:rsidRPr="00810E28">
        <w:rPr>
          <w:szCs w:val="16"/>
        </w:rPr>
        <w:t xml:space="preserve"> Sentencia de 22 de junio de 2016. Serie C No. 332, párr. 25.</w:t>
      </w:r>
    </w:p>
  </w:footnote>
  <w:footnote w:id="10">
    <w:p w14:paraId="26305F5D" w14:textId="1CCF78E0" w:rsidR="006B6A4E" w:rsidRPr="00810E28" w:rsidRDefault="006B6A4E" w:rsidP="00663CE3">
      <w:pPr>
        <w:pStyle w:val="FootnoteText"/>
        <w:tabs>
          <w:tab w:val="left" w:pos="426"/>
        </w:tabs>
        <w:spacing w:before="120"/>
        <w:rPr>
          <w:szCs w:val="16"/>
          <w:lang w:val="es-CL"/>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663CE3">
        <w:rPr>
          <w:i/>
          <w:szCs w:val="16"/>
        </w:rPr>
        <w:t>Caso Radilla Pacheco Vs. México. Excepciones Preliminares, Fondo, Reparacion</w:t>
      </w:r>
      <w:r>
        <w:rPr>
          <w:i/>
          <w:szCs w:val="16"/>
        </w:rPr>
        <w:t xml:space="preserve">es y Costas. </w:t>
      </w:r>
      <w:r w:rsidRPr="00663CE3">
        <w:rPr>
          <w:szCs w:val="16"/>
        </w:rPr>
        <w:t>Sentencia de 23 de noviembre de 2009. Serie C No. 209, párr. 24</w:t>
      </w:r>
      <w:r w:rsidRPr="00810E28">
        <w:rPr>
          <w:szCs w:val="16"/>
        </w:rPr>
        <w:t xml:space="preserve">, y </w:t>
      </w:r>
      <w:r w:rsidRPr="00810E28">
        <w:rPr>
          <w:i/>
          <w:szCs w:val="16"/>
        </w:rPr>
        <w:t>Caso Vásquez Durand y otros Vs. Ecuador. Excepciones Preliminares, Fondo, Reparaciones y Costas.</w:t>
      </w:r>
      <w:r w:rsidRPr="00810E28">
        <w:rPr>
          <w:szCs w:val="16"/>
        </w:rPr>
        <w:t xml:space="preserve"> Sentencia de 22 de junio de 2016. Serie C No. 332, párr. 25.</w:t>
      </w:r>
    </w:p>
  </w:footnote>
  <w:footnote w:id="11">
    <w:p w14:paraId="38D3F825" w14:textId="6C0E2B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t xml:space="preserve">Informe 010-2006 de 7 de febrero de 2006 </w:t>
      </w:r>
      <w:r w:rsidRPr="00810E28">
        <w:rPr>
          <w:szCs w:val="16"/>
          <w:lang w:val="es-CR"/>
        </w:rPr>
        <w:t xml:space="preserve">(expediente de prueba, folio 660); Informe 046-2006 de 1 de mayo de </w:t>
      </w:r>
      <w:r w:rsidRPr="00810E28">
        <w:rPr>
          <w:szCs w:val="16"/>
        </w:rPr>
        <w:t xml:space="preserve">2006 </w:t>
      </w:r>
      <w:r w:rsidRPr="00810E28">
        <w:rPr>
          <w:szCs w:val="16"/>
          <w:lang w:val="es-CR"/>
        </w:rPr>
        <w:t xml:space="preserve">(expediente de prueba, folio 641), e Informe 125-2006 de 29 de noviembre de </w:t>
      </w:r>
      <w:r w:rsidRPr="00810E28">
        <w:rPr>
          <w:szCs w:val="16"/>
        </w:rPr>
        <w:t xml:space="preserve">2006 </w:t>
      </w:r>
      <w:r w:rsidRPr="00810E28">
        <w:rPr>
          <w:szCs w:val="16"/>
          <w:lang w:val="es-CR"/>
        </w:rPr>
        <w:t xml:space="preserve">(expediente de prueba, folio 1292). </w:t>
      </w:r>
    </w:p>
  </w:footnote>
  <w:footnote w:id="12">
    <w:p w14:paraId="36E36E85"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spacing w:val="-4"/>
          <w:szCs w:val="16"/>
          <w:lang w:val="es-CR"/>
        </w:rPr>
        <w:t xml:space="preserve">CIDH, Informe No. 10/07, Petición 735-05, Admisibilidad, </w:t>
      </w:r>
      <w:r w:rsidRPr="00810E28">
        <w:rPr>
          <w:i/>
          <w:spacing w:val="-4"/>
          <w:szCs w:val="16"/>
          <w:lang w:val="es-CR"/>
        </w:rPr>
        <w:t xml:space="preserve">Walter </w:t>
      </w:r>
      <w:proofErr w:type="spellStart"/>
      <w:r w:rsidRPr="00810E28">
        <w:rPr>
          <w:i/>
          <w:spacing w:val="-4"/>
          <w:szCs w:val="16"/>
          <w:lang w:val="es-CR"/>
        </w:rPr>
        <w:t>Munárriz</w:t>
      </w:r>
      <w:proofErr w:type="spellEnd"/>
      <w:r w:rsidRPr="00810E28">
        <w:rPr>
          <w:i/>
          <w:spacing w:val="-4"/>
          <w:szCs w:val="16"/>
          <w:lang w:val="es-CR"/>
        </w:rPr>
        <w:t xml:space="preserve"> Escobar</w:t>
      </w:r>
      <w:r w:rsidRPr="00810E28">
        <w:rPr>
          <w:spacing w:val="-4"/>
          <w:szCs w:val="16"/>
          <w:lang w:val="es-CR"/>
        </w:rPr>
        <w:t xml:space="preserve">, Perú, 28 de febrero de 2007, </w:t>
      </w:r>
      <w:proofErr w:type="spellStart"/>
      <w:r w:rsidRPr="00810E28">
        <w:rPr>
          <w:spacing w:val="-4"/>
          <w:szCs w:val="16"/>
          <w:lang w:val="es-CR"/>
        </w:rPr>
        <w:t>párrs</w:t>
      </w:r>
      <w:proofErr w:type="spellEnd"/>
      <w:r w:rsidRPr="00810E28">
        <w:rPr>
          <w:spacing w:val="-4"/>
          <w:szCs w:val="16"/>
          <w:lang w:val="es-CR"/>
        </w:rPr>
        <w:t>. 53 y 54.</w:t>
      </w:r>
    </w:p>
  </w:footnote>
  <w:footnote w:id="13">
    <w:p w14:paraId="4E13BE4E" w14:textId="7833F07B"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t xml:space="preserve">El Estado indicó que “existen indicios razonables de que se trata de un caso de desaparición forzada, independientemente de quienes sean los implicados en la comisión de este delito. Lo que </w:t>
      </w:r>
      <w:proofErr w:type="spellStart"/>
      <w:r w:rsidRPr="00810E28">
        <w:rPr>
          <w:szCs w:val="16"/>
        </w:rPr>
        <w:t>si</w:t>
      </w:r>
      <w:proofErr w:type="spellEnd"/>
      <w:r w:rsidRPr="00810E28">
        <w:rPr>
          <w:szCs w:val="16"/>
        </w:rPr>
        <w:t xml:space="preserve"> es presumible que éste haya sido cometido por agentes del Estado”. En este mismo informe el Estado señal</w:t>
      </w:r>
      <w:r>
        <w:rPr>
          <w:szCs w:val="16"/>
        </w:rPr>
        <w:t>ó</w:t>
      </w:r>
      <w:r w:rsidRPr="00810E28">
        <w:rPr>
          <w:szCs w:val="16"/>
        </w:rPr>
        <w:t xml:space="preserve"> que con respecto a la posibilidad de llegar a una solución amistosa que “si bien existen indicios razonables de que se trataría de un caso de desaparición forzada, el juzgador en sede nacional declaró la absolución de los procesados por falta de pruebas. Se reitera que esto no es impedimento para que en un momento dado se presenten pruebas que permitan se reabra el proceso penal que en la actualidad se encuentra sobreseído”. Informe 108-2007 de 9 de agosto de 2007 </w:t>
      </w:r>
      <w:r w:rsidRPr="00810E28">
        <w:rPr>
          <w:szCs w:val="16"/>
          <w:lang w:val="es-CR"/>
        </w:rPr>
        <w:t>(expediente de prueba, folio 1228).</w:t>
      </w:r>
    </w:p>
  </w:footnote>
  <w:footnote w:id="14">
    <w:p w14:paraId="667895F1"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Informe 245-2009 de 1 de octubre de 2008 </w:t>
      </w:r>
      <w:r w:rsidRPr="00810E28">
        <w:rPr>
          <w:szCs w:val="16"/>
          <w:lang w:val="es-CR"/>
        </w:rPr>
        <w:t>(expediente de prueba, folios 1107 a 1112).</w:t>
      </w:r>
    </w:p>
  </w:footnote>
  <w:footnote w:id="15">
    <w:p w14:paraId="3B1D3610"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Dicho artículo establece que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16">
    <w:p w14:paraId="6AAFD2C9" w14:textId="77777777" w:rsidR="006B6A4E" w:rsidRPr="00810E28" w:rsidRDefault="006B6A4E" w:rsidP="00810E28">
      <w:pPr>
        <w:pStyle w:val="FootnoteText"/>
        <w:tabs>
          <w:tab w:val="left" w:pos="426"/>
        </w:tabs>
        <w:spacing w:before="120"/>
        <w:rPr>
          <w:szCs w:val="16"/>
          <w:lang w:val="es-ES"/>
        </w:rPr>
      </w:pPr>
      <w:r w:rsidRPr="00810E28">
        <w:rPr>
          <w:rStyle w:val="FootnoteReference"/>
          <w:rFonts w:eastAsiaTheme="majorEastAsia"/>
          <w:szCs w:val="16"/>
        </w:rPr>
        <w:footnoteRef/>
      </w:r>
      <w:r w:rsidRPr="00810E28">
        <w:rPr>
          <w:szCs w:val="16"/>
          <w:lang w:val="es-ES"/>
        </w:rPr>
        <w:t xml:space="preserve"> </w:t>
      </w:r>
      <w:r w:rsidRPr="00810E28">
        <w:rPr>
          <w:szCs w:val="16"/>
          <w:lang w:val="es-ES"/>
        </w:rPr>
        <w:tab/>
      </w:r>
      <w:r w:rsidRPr="00810E28">
        <w:rPr>
          <w:i/>
          <w:szCs w:val="16"/>
        </w:rPr>
        <w:t xml:space="preserve">Cfr. </w:t>
      </w:r>
      <w:r w:rsidRPr="00810E28">
        <w:rPr>
          <w:i/>
          <w:szCs w:val="16"/>
          <w:lang w:val="es-ES"/>
        </w:rPr>
        <w:t>Caso Acevedo Buendía y otros (“Cesantes y Jubilados de la Contraloría”) Vs. Perú. Excepción Preliminar, Fondo, Reparaciones y Costas.</w:t>
      </w:r>
      <w:r w:rsidRPr="00810E28">
        <w:rPr>
          <w:szCs w:val="16"/>
          <w:lang w:val="es-ES"/>
        </w:rPr>
        <w:t xml:space="preserve"> Sentencia de 1 de julio de 2009 Serie C No. 198, </w:t>
      </w:r>
      <w:r w:rsidRPr="00810E28">
        <w:rPr>
          <w:szCs w:val="16"/>
        </w:rPr>
        <w:t xml:space="preserve">párr. 59, y </w:t>
      </w:r>
      <w:r w:rsidRPr="00810E28">
        <w:rPr>
          <w:i/>
          <w:szCs w:val="16"/>
        </w:rPr>
        <w:t xml:space="preserve">Caso Vásquez Durand y otros Vs. Ecuador. Excepciones Preliminares, Fondo, Reparaciones y Costas. </w:t>
      </w:r>
      <w:r w:rsidRPr="00810E28">
        <w:rPr>
          <w:szCs w:val="16"/>
        </w:rPr>
        <w:t>Sentencia de 15 de febrero de 2017. Serie C No. 332, párr. 46.</w:t>
      </w:r>
    </w:p>
  </w:footnote>
  <w:footnote w:id="17">
    <w:p w14:paraId="76365417" w14:textId="62F54E2E" w:rsidR="006B6A4E" w:rsidRPr="00810E28" w:rsidRDefault="006B6A4E" w:rsidP="00810E28">
      <w:pPr>
        <w:pStyle w:val="FootnoteText"/>
        <w:tabs>
          <w:tab w:val="left" w:pos="426"/>
        </w:tabs>
        <w:spacing w:before="120"/>
        <w:rPr>
          <w:szCs w:val="16"/>
          <w:lang w:val="es-MX"/>
        </w:rPr>
      </w:pPr>
      <w:r w:rsidRPr="00810E28">
        <w:rPr>
          <w:rStyle w:val="FootnoteReference"/>
          <w:rFonts w:eastAsia="Times"/>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i/>
          <w:szCs w:val="16"/>
          <w:lang w:val="es-ES"/>
        </w:rPr>
        <w:t xml:space="preserve">Caso </w:t>
      </w:r>
      <w:proofErr w:type="spellStart"/>
      <w:r w:rsidRPr="00810E28">
        <w:rPr>
          <w:i/>
          <w:szCs w:val="16"/>
          <w:lang w:val="es-ES"/>
        </w:rPr>
        <w:t>Gelman</w:t>
      </w:r>
      <w:proofErr w:type="spellEnd"/>
      <w:r w:rsidRPr="00810E28">
        <w:rPr>
          <w:i/>
          <w:szCs w:val="16"/>
          <w:lang w:val="es-ES"/>
        </w:rPr>
        <w:t xml:space="preserve"> Vs. Uruguay. Fondo y Reparaciones.</w:t>
      </w:r>
      <w:r w:rsidRPr="00810E28">
        <w:rPr>
          <w:szCs w:val="16"/>
          <w:lang w:val="es-ES"/>
        </w:rPr>
        <w:t xml:space="preserve"> Sentencia de 24 de febrero de 2011</w:t>
      </w:r>
      <w:r>
        <w:rPr>
          <w:szCs w:val="16"/>
          <w:lang w:val="es-ES"/>
        </w:rPr>
        <w:t>.</w:t>
      </w:r>
      <w:r w:rsidRPr="00810E28">
        <w:rPr>
          <w:szCs w:val="16"/>
          <w:lang w:val="es-ES"/>
        </w:rPr>
        <w:t xml:space="preserve"> Serie C No. 221, párr. 28, y </w:t>
      </w:r>
      <w:r w:rsidRPr="00810E28">
        <w:rPr>
          <w:i/>
          <w:szCs w:val="16"/>
        </w:rPr>
        <w:t xml:space="preserve">Caso Vásquez Durand y otros Vs. Ecuador. Excepciones Preliminares, Fondo, Reparaciones y Costas. </w:t>
      </w:r>
      <w:r w:rsidRPr="00810E28">
        <w:rPr>
          <w:szCs w:val="16"/>
        </w:rPr>
        <w:t>Sentencia de 15 de febrero de 2017. Serie C No. 332, párr. 47.</w:t>
      </w:r>
    </w:p>
  </w:footnote>
  <w:footnote w:id="18">
    <w:p w14:paraId="1D44E5DA" w14:textId="77777777" w:rsidR="006B6A4E" w:rsidRPr="00810E28" w:rsidRDefault="006B6A4E" w:rsidP="00810E28">
      <w:pPr>
        <w:pStyle w:val="FootnoteText"/>
        <w:tabs>
          <w:tab w:val="left" w:pos="426"/>
        </w:tabs>
        <w:spacing w:before="120"/>
        <w:rPr>
          <w:szCs w:val="16"/>
          <w:lang w:val="es-MX"/>
        </w:rPr>
      </w:pPr>
      <w:r w:rsidRPr="00810E28">
        <w:rPr>
          <w:rStyle w:val="FootnoteReference"/>
          <w:rFonts w:eastAsia="MS Gothic"/>
          <w:szCs w:val="16"/>
        </w:rPr>
        <w:footnoteRef/>
      </w:r>
      <w:r w:rsidRPr="00810E28">
        <w:rPr>
          <w:szCs w:val="16"/>
        </w:rPr>
        <w:t xml:space="preserve"> </w:t>
      </w:r>
      <w:r w:rsidRPr="00810E28">
        <w:rPr>
          <w:szCs w:val="16"/>
        </w:rPr>
        <w:tab/>
      </w:r>
      <w:r w:rsidRPr="00810E28">
        <w:rPr>
          <w:i/>
          <w:szCs w:val="16"/>
        </w:rPr>
        <w:t xml:space="preserve">Cfr. Caso Myrna </w:t>
      </w:r>
      <w:proofErr w:type="spellStart"/>
      <w:r w:rsidRPr="00810E28">
        <w:rPr>
          <w:i/>
          <w:szCs w:val="16"/>
        </w:rPr>
        <w:t>Mack</w:t>
      </w:r>
      <w:proofErr w:type="spellEnd"/>
      <w:r w:rsidRPr="00810E28">
        <w:rPr>
          <w:i/>
          <w:szCs w:val="16"/>
        </w:rPr>
        <w:t xml:space="preserve"> Chang Vs. Guatemala. Fondo, Reparaciones y Costas. </w:t>
      </w:r>
      <w:r w:rsidRPr="00810E28">
        <w:rPr>
          <w:szCs w:val="16"/>
        </w:rPr>
        <w:t xml:space="preserve">Sentencia de 25 de noviembre de 2003. Serie C No. 101, párr. 105, y </w:t>
      </w:r>
      <w:r w:rsidRPr="00810E28">
        <w:rPr>
          <w:i/>
          <w:szCs w:val="16"/>
        </w:rPr>
        <w:t xml:space="preserve">Caso Vásquez Durand y otros Vs. Ecuador. Excepciones Preliminares, Fondo, Reparaciones y Costas. </w:t>
      </w:r>
      <w:r w:rsidRPr="00810E28">
        <w:rPr>
          <w:szCs w:val="16"/>
        </w:rPr>
        <w:t>Sentencia de 15 de febrero de 2017. Serie C No. 332, párr. 47.</w:t>
      </w:r>
    </w:p>
  </w:footnote>
  <w:footnote w:id="19">
    <w:p w14:paraId="32E8F3F8" w14:textId="789A9A4B"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bCs/>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810E28">
        <w:rPr>
          <w:bCs/>
          <w:i/>
          <w:szCs w:val="16"/>
        </w:rPr>
        <w:t xml:space="preserve">Cfr. Caso Familia Barrios Vs. Venezuela. Fondo, Reparaciones y Costas. </w:t>
      </w:r>
      <w:r w:rsidRPr="00810E28">
        <w:rPr>
          <w:bCs/>
          <w:szCs w:val="16"/>
        </w:rPr>
        <w:t xml:space="preserve">Sentencia de 24 de noviembre de 2011. Serie C No. 237, </w:t>
      </w:r>
      <w:proofErr w:type="spellStart"/>
      <w:r w:rsidRPr="00810E28">
        <w:rPr>
          <w:bCs/>
          <w:szCs w:val="16"/>
        </w:rPr>
        <w:t>párrs</w:t>
      </w:r>
      <w:proofErr w:type="spellEnd"/>
      <w:r w:rsidRPr="00810E28">
        <w:rPr>
          <w:bCs/>
          <w:szCs w:val="16"/>
        </w:rPr>
        <w:t xml:space="preserve">. 17 y 18, y </w:t>
      </w:r>
      <w:r w:rsidRPr="00A72439">
        <w:rPr>
          <w:bCs/>
          <w:i/>
          <w:szCs w:val="16"/>
        </w:rPr>
        <w:t xml:space="preserve">Caso </w:t>
      </w:r>
      <w:proofErr w:type="spellStart"/>
      <w:r w:rsidRPr="00A72439">
        <w:rPr>
          <w:bCs/>
          <w:i/>
          <w:szCs w:val="16"/>
        </w:rPr>
        <w:t>Amrhein</w:t>
      </w:r>
      <w:proofErr w:type="spellEnd"/>
      <w:r w:rsidRPr="00A72439">
        <w:rPr>
          <w:bCs/>
          <w:i/>
          <w:szCs w:val="16"/>
        </w:rPr>
        <w:t xml:space="preserve"> y otros vs. Costa Rica. Excepciones Preliminares, Fondo, Reparaciones y Costas. </w:t>
      </w:r>
      <w:r w:rsidRPr="00A72439">
        <w:rPr>
          <w:bCs/>
          <w:szCs w:val="16"/>
        </w:rPr>
        <w:t>Sentencia de 25 de</w:t>
      </w:r>
      <w:r>
        <w:rPr>
          <w:bCs/>
          <w:szCs w:val="16"/>
        </w:rPr>
        <w:t xml:space="preserve"> abril de 2018. Serie C No. 354, párr. 138.</w:t>
      </w:r>
    </w:p>
  </w:footnote>
  <w:footnote w:id="20">
    <w:p w14:paraId="2DE4423E" w14:textId="772175E0"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i/>
          <w:szCs w:val="16"/>
        </w:rPr>
        <w:t>Caso Velásquez Rodríguez Vs. Honduras. Fondo</w:t>
      </w:r>
      <w:r w:rsidRPr="00810E28">
        <w:rPr>
          <w:szCs w:val="16"/>
        </w:rPr>
        <w:t xml:space="preserve">. Sentencia de 29 de julio de 1988. Serie C No.4, párr. 140, y </w:t>
      </w:r>
      <w:r w:rsidRPr="00A72439">
        <w:rPr>
          <w:bCs/>
          <w:i/>
          <w:szCs w:val="16"/>
        </w:rPr>
        <w:t xml:space="preserve">Caso </w:t>
      </w:r>
      <w:proofErr w:type="spellStart"/>
      <w:r w:rsidRPr="00A72439">
        <w:rPr>
          <w:bCs/>
          <w:i/>
          <w:szCs w:val="16"/>
        </w:rPr>
        <w:t>Amrhein</w:t>
      </w:r>
      <w:proofErr w:type="spellEnd"/>
      <w:r w:rsidRPr="00A72439">
        <w:rPr>
          <w:bCs/>
          <w:i/>
          <w:szCs w:val="16"/>
        </w:rPr>
        <w:t xml:space="preserve"> y otros vs. Costa Rica. Excepciones Preliminares, Fondo, Reparaciones y Costas. </w:t>
      </w:r>
      <w:r w:rsidRPr="00A72439">
        <w:rPr>
          <w:bCs/>
          <w:szCs w:val="16"/>
        </w:rPr>
        <w:t>Sentencia de 25 de</w:t>
      </w:r>
      <w:r>
        <w:rPr>
          <w:bCs/>
          <w:szCs w:val="16"/>
        </w:rPr>
        <w:t xml:space="preserve"> abril de 2018. Serie C No. 354, párr. 137.</w:t>
      </w:r>
    </w:p>
  </w:footnote>
  <w:footnote w:id="21">
    <w:p w14:paraId="2CDF0AD2" w14:textId="15197C86" w:rsidR="006B6A4E" w:rsidRPr="00810E28" w:rsidRDefault="006B6A4E" w:rsidP="00810E28">
      <w:pPr>
        <w:pStyle w:val="FootnoteText"/>
        <w:tabs>
          <w:tab w:val="left" w:pos="426"/>
        </w:tabs>
        <w:spacing w:before="120"/>
        <w:rPr>
          <w:b/>
          <w:color w:val="00B050"/>
          <w:szCs w:val="16"/>
        </w:rPr>
      </w:pPr>
      <w:r w:rsidRPr="00810E28">
        <w:rPr>
          <w:rStyle w:val="FootnoteReference"/>
          <w:szCs w:val="16"/>
        </w:rPr>
        <w:footnoteRef/>
      </w:r>
      <w:r w:rsidRPr="00810E28">
        <w:rPr>
          <w:szCs w:val="16"/>
        </w:rPr>
        <w:t xml:space="preserve"> </w:t>
      </w:r>
      <w:r w:rsidRPr="00810E28">
        <w:rPr>
          <w:szCs w:val="16"/>
        </w:rPr>
        <w:tab/>
        <w:t xml:space="preserve">El anexo 1 se refiere a la copia de los documentos de fojas 87 y 91 del expediente penal seguido por la presunta desaparición forzada del señor Walter </w:t>
      </w:r>
      <w:proofErr w:type="spellStart"/>
      <w:r w:rsidRPr="00810E28">
        <w:rPr>
          <w:szCs w:val="16"/>
        </w:rPr>
        <w:t>Munárriz</w:t>
      </w:r>
      <w:proofErr w:type="spellEnd"/>
      <w:r w:rsidRPr="00810E28">
        <w:rPr>
          <w:szCs w:val="16"/>
        </w:rPr>
        <w:t xml:space="preserve">, el anexo 2 se refiere a la copia de la comunicación de la Comisión de 19 de julio de 2017, emitida en el marco de la supervisión de cumplimiento de la sentencia recaída en el caso </w:t>
      </w:r>
      <w:proofErr w:type="spellStart"/>
      <w:r w:rsidRPr="00810E28">
        <w:rPr>
          <w:i/>
          <w:szCs w:val="16"/>
        </w:rPr>
        <w:t>Anzualdo</w:t>
      </w:r>
      <w:proofErr w:type="spellEnd"/>
      <w:r w:rsidRPr="00810E28">
        <w:rPr>
          <w:i/>
          <w:szCs w:val="16"/>
        </w:rPr>
        <w:t xml:space="preserve"> Castro vs. Perú</w:t>
      </w:r>
      <w:r w:rsidRPr="00810E28">
        <w:rPr>
          <w:szCs w:val="16"/>
        </w:rPr>
        <w:t xml:space="preserve">, y el anexo 4 se refiere a la copia de un oficio </w:t>
      </w:r>
      <w:r>
        <w:rPr>
          <w:szCs w:val="16"/>
        </w:rPr>
        <w:t>d</w:t>
      </w:r>
      <w:r w:rsidRPr="00810E28">
        <w:rPr>
          <w:szCs w:val="16"/>
        </w:rPr>
        <w:t xml:space="preserve">e </w:t>
      </w:r>
      <w:proofErr w:type="spellStart"/>
      <w:r w:rsidRPr="00810E28">
        <w:rPr>
          <w:szCs w:val="16"/>
        </w:rPr>
        <w:t>EsSalud</w:t>
      </w:r>
      <w:proofErr w:type="spellEnd"/>
      <w:r w:rsidRPr="00810E28">
        <w:rPr>
          <w:szCs w:val="16"/>
        </w:rPr>
        <w:t xml:space="preserve">. </w:t>
      </w:r>
    </w:p>
  </w:footnote>
  <w:footnote w:id="22">
    <w:p w14:paraId="0B03C05A"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lang w:val="es-CR"/>
        </w:rPr>
        <w:t xml:space="preserve"> </w:t>
      </w:r>
      <w:r w:rsidRPr="00810E28">
        <w:rPr>
          <w:szCs w:val="16"/>
          <w:lang w:val="es-CR"/>
        </w:rPr>
        <w:tab/>
      </w:r>
      <w:r w:rsidRPr="00810E28">
        <w:rPr>
          <w:szCs w:val="16"/>
        </w:rPr>
        <w:t>Los objetos de estas declaraciones se encuentran establecidos en la Resolución de la Presidencia de 24 de abril de 2018 (</w:t>
      </w:r>
      <w:r w:rsidRPr="00810E28">
        <w:rPr>
          <w:i/>
          <w:szCs w:val="16"/>
        </w:rPr>
        <w:t xml:space="preserve">supra </w:t>
      </w:r>
      <w:r w:rsidRPr="00810E28">
        <w:rPr>
          <w:szCs w:val="16"/>
        </w:rPr>
        <w:t>párr. 10).</w:t>
      </w:r>
    </w:p>
  </w:footnote>
  <w:footnote w:id="23">
    <w:p w14:paraId="1254E8AA" w14:textId="584044B0" w:rsidR="006B6A4E" w:rsidRPr="00810E28" w:rsidRDefault="006B6A4E" w:rsidP="00810E28">
      <w:pPr>
        <w:pStyle w:val="FootnoteText"/>
        <w:spacing w:before="120"/>
        <w:rPr>
          <w:b/>
          <w:szCs w:val="16"/>
          <w:lang w:val="es-CR"/>
        </w:rPr>
      </w:pPr>
      <w:r w:rsidRPr="00810E28">
        <w:rPr>
          <w:rStyle w:val="FootnoteReference"/>
          <w:szCs w:val="16"/>
        </w:rPr>
        <w:footnoteRef/>
      </w:r>
      <w:r w:rsidRPr="00810E28">
        <w:rPr>
          <w:szCs w:val="16"/>
          <w:lang w:val="es-CR"/>
        </w:rPr>
        <w:t xml:space="preserve"> </w:t>
      </w:r>
      <w:r w:rsidRPr="00810E28">
        <w:rPr>
          <w:b/>
          <w:szCs w:val="16"/>
          <w:lang w:val="es-CR"/>
        </w:rPr>
        <w:t xml:space="preserve">    </w:t>
      </w:r>
      <w:r w:rsidRPr="00810E28">
        <w:rPr>
          <w:i/>
          <w:szCs w:val="16"/>
          <w:lang w:val="es-CR"/>
        </w:rPr>
        <w:t>Cfr. Caso Díaz Peña Vs. Venezuela. Excepción Preliminar, Fondo, Reparaciones y Costas.</w:t>
      </w:r>
      <w:r w:rsidRPr="00810E28">
        <w:rPr>
          <w:b/>
          <w:szCs w:val="16"/>
          <w:lang w:val="es-CR"/>
        </w:rPr>
        <w:t xml:space="preserve"> </w:t>
      </w:r>
      <w:r w:rsidRPr="00810E28">
        <w:rPr>
          <w:szCs w:val="16"/>
          <w:lang w:val="es-CR"/>
        </w:rPr>
        <w:t>Sentencia de 26 de junio de 2012. Serie C No. 244, párr. 33, y</w:t>
      </w:r>
      <w:r w:rsidRPr="00810E28">
        <w:rPr>
          <w:b/>
          <w:szCs w:val="16"/>
          <w:lang w:val="es-CR"/>
        </w:rPr>
        <w:t xml:space="preserve"> </w:t>
      </w:r>
      <w:r w:rsidRPr="00810E28">
        <w:rPr>
          <w:rStyle w:val="Strong"/>
          <w:b w:val="0"/>
          <w:i/>
          <w:szCs w:val="16"/>
          <w:shd w:val="clear" w:color="auto" w:fill="FFFFFF"/>
          <w:lang w:val="es-CR"/>
        </w:rPr>
        <w:t>Caso Trabajadores Cesados de Petroperú y otros Vs. Perú. Excepciones Preliminares, Fondo, Reparaciones y Costas.</w:t>
      </w:r>
      <w:r w:rsidRPr="00810E28">
        <w:rPr>
          <w:rStyle w:val="Strong"/>
          <w:b w:val="0"/>
          <w:szCs w:val="16"/>
          <w:shd w:val="clear" w:color="auto" w:fill="FFFFFF"/>
          <w:lang w:val="es-CR"/>
        </w:rPr>
        <w:t xml:space="preserve"> Sentencia de 23 de noviembre de 2017. Serie C No. 344, párr. 78.</w:t>
      </w:r>
    </w:p>
  </w:footnote>
  <w:footnote w:id="24">
    <w:p w14:paraId="487E3CB2" w14:textId="77777777" w:rsidR="006B6A4E" w:rsidRPr="00810E28" w:rsidRDefault="006B6A4E" w:rsidP="00810E28">
      <w:pPr>
        <w:pStyle w:val="FootnoteText"/>
        <w:tabs>
          <w:tab w:val="left" w:pos="426"/>
        </w:tabs>
        <w:spacing w:before="120"/>
        <w:rPr>
          <w:szCs w:val="16"/>
          <w:lang w:val="es-MX"/>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Certificado de nacimiento del señor Walter </w:t>
      </w:r>
      <w:proofErr w:type="spellStart"/>
      <w:r w:rsidRPr="00810E28">
        <w:rPr>
          <w:szCs w:val="16"/>
        </w:rPr>
        <w:t>Munárriz</w:t>
      </w:r>
      <w:proofErr w:type="spellEnd"/>
      <w:r w:rsidRPr="00810E28">
        <w:rPr>
          <w:szCs w:val="16"/>
        </w:rPr>
        <w:t xml:space="preserve"> Escobar (expediente de prueba, folio 1575).</w:t>
      </w:r>
    </w:p>
  </w:footnote>
  <w:footnote w:id="25">
    <w:p w14:paraId="2DEB42D8" w14:textId="0FD5F06A"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Carta de Gladys Escobar al Defens</w:t>
      </w:r>
      <w:r>
        <w:rPr>
          <w:szCs w:val="16"/>
        </w:rPr>
        <w:t>or del pueblo Jorge Santisteban</w:t>
      </w:r>
      <w:r w:rsidRPr="00810E28">
        <w:rPr>
          <w:szCs w:val="16"/>
        </w:rPr>
        <w:t xml:space="preserve"> de 27 de abril de 1999 (</w:t>
      </w:r>
      <w:r>
        <w:rPr>
          <w:szCs w:val="16"/>
        </w:rPr>
        <w:t>expediente de p</w:t>
      </w:r>
      <w:r w:rsidRPr="00810E28">
        <w:rPr>
          <w:szCs w:val="16"/>
        </w:rPr>
        <w:t>rueba, folio 128).</w:t>
      </w:r>
    </w:p>
  </w:footnote>
  <w:footnote w:id="26">
    <w:p w14:paraId="35702B91" w14:textId="7BB2AF30"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Certificado de nacimiento de Gladys Escobar </w:t>
      </w:r>
      <w:proofErr w:type="spellStart"/>
      <w:r w:rsidRPr="00810E28">
        <w:rPr>
          <w:szCs w:val="16"/>
        </w:rPr>
        <w:t>Candiotti</w:t>
      </w:r>
      <w:proofErr w:type="spellEnd"/>
      <w:r w:rsidRPr="00810E28">
        <w:rPr>
          <w:szCs w:val="16"/>
        </w:rPr>
        <w:t xml:space="preserve"> (expediente de prueba, folio 1573); certificado de nacimiento de Gladys </w:t>
      </w:r>
      <w:proofErr w:type="spellStart"/>
      <w:r w:rsidRPr="00810E28">
        <w:rPr>
          <w:szCs w:val="16"/>
        </w:rPr>
        <w:t>Munárriz</w:t>
      </w:r>
      <w:proofErr w:type="spellEnd"/>
      <w:r w:rsidRPr="00810E28">
        <w:rPr>
          <w:szCs w:val="16"/>
        </w:rPr>
        <w:t xml:space="preserve"> Escobar (expediente de prueba, folio 1574), certificado de nacimiento de Eric </w:t>
      </w:r>
      <w:proofErr w:type="spellStart"/>
      <w:r w:rsidRPr="00810E28">
        <w:rPr>
          <w:szCs w:val="16"/>
        </w:rPr>
        <w:t>Munárriz</w:t>
      </w:r>
      <w:proofErr w:type="spellEnd"/>
      <w:r w:rsidRPr="00810E28">
        <w:rPr>
          <w:szCs w:val="16"/>
        </w:rPr>
        <w:t xml:space="preserve"> Escobar (expediente de prueba, folio 1576); certificado de nacimiento de Amparo </w:t>
      </w:r>
      <w:proofErr w:type="spellStart"/>
      <w:r w:rsidRPr="00810E28">
        <w:rPr>
          <w:szCs w:val="16"/>
        </w:rPr>
        <w:t>Munárriz</w:t>
      </w:r>
      <w:proofErr w:type="spellEnd"/>
      <w:r w:rsidRPr="00810E28">
        <w:rPr>
          <w:szCs w:val="16"/>
        </w:rPr>
        <w:t xml:space="preserve"> Escobar (expediente de prueba, folio 1577); certificado de nacimiento de Junior </w:t>
      </w:r>
      <w:proofErr w:type="spellStart"/>
      <w:r w:rsidRPr="00810E28">
        <w:rPr>
          <w:szCs w:val="16"/>
        </w:rPr>
        <w:t>Munárriz</w:t>
      </w:r>
      <w:proofErr w:type="spellEnd"/>
      <w:r w:rsidRPr="00810E28">
        <w:rPr>
          <w:szCs w:val="16"/>
        </w:rPr>
        <w:t xml:space="preserve"> Escobar (Expediente de prueba, folio 1578); certificado de nacimiento de </w:t>
      </w:r>
      <w:r>
        <w:rPr>
          <w:szCs w:val="16"/>
        </w:rPr>
        <w:t>Alain</w:t>
      </w:r>
      <w:r w:rsidRPr="00810E28">
        <w:rPr>
          <w:szCs w:val="16"/>
        </w:rPr>
        <w:t xml:space="preserve"> </w:t>
      </w:r>
      <w:proofErr w:type="spellStart"/>
      <w:r w:rsidRPr="00810E28">
        <w:rPr>
          <w:szCs w:val="16"/>
        </w:rPr>
        <w:t>Munárriz</w:t>
      </w:r>
      <w:proofErr w:type="spellEnd"/>
      <w:r w:rsidRPr="00810E28">
        <w:rPr>
          <w:szCs w:val="16"/>
        </w:rPr>
        <w:t xml:space="preserve"> Escobar (expediente de prueba, folio 1579), y </w:t>
      </w:r>
      <w:r w:rsidRPr="003E57AB">
        <w:rPr>
          <w:szCs w:val="16"/>
        </w:rPr>
        <w:t xml:space="preserve">declaración rendida </w:t>
      </w:r>
      <w:r>
        <w:rPr>
          <w:szCs w:val="16"/>
        </w:rPr>
        <w:t>por</w:t>
      </w:r>
      <w:r w:rsidRPr="003E57AB">
        <w:rPr>
          <w:szCs w:val="16"/>
        </w:rPr>
        <w:t xml:space="preserve"> Gladys </w:t>
      </w:r>
      <w:proofErr w:type="spellStart"/>
      <w:r w:rsidRPr="003E57AB">
        <w:rPr>
          <w:szCs w:val="16"/>
        </w:rPr>
        <w:t>Munárriz</w:t>
      </w:r>
      <w:proofErr w:type="spellEnd"/>
      <w:r w:rsidRPr="003E57AB">
        <w:rPr>
          <w:szCs w:val="16"/>
        </w:rPr>
        <w:t xml:space="preserve"> Escobar </w:t>
      </w:r>
      <w:r>
        <w:rPr>
          <w:szCs w:val="16"/>
        </w:rPr>
        <w:t xml:space="preserve">ante fedatario público </w:t>
      </w:r>
      <w:r w:rsidRPr="003E57AB">
        <w:rPr>
          <w:szCs w:val="16"/>
        </w:rPr>
        <w:t>el 8 de mayo de 2018 (expediente de prueba, folio 2297).</w:t>
      </w:r>
    </w:p>
  </w:footnote>
  <w:footnote w:id="27">
    <w:p w14:paraId="2B441E03" w14:textId="3F14F6CE" w:rsidR="006B6A4E" w:rsidRPr="00810E28" w:rsidRDefault="006B6A4E" w:rsidP="00810E28">
      <w:pPr>
        <w:tabs>
          <w:tab w:val="left" w:pos="426"/>
        </w:tabs>
        <w:spacing w:before="120"/>
        <w:jc w:val="both"/>
        <w:rPr>
          <w:sz w:val="16"/>
          <w:szCs w:val="16"/>
        </w:rPr>
      </w:pPr>
      <w:r w:rsidRPr="00810E28">
        <w:rPr>
          <w:rStyle w:val="FootnoteReference"/>
          <w:szCs w:val="16"/>
        </w:rPr>
        <w:footnoteRef/>
      </w:r>
      <w:r w:rsidRPr="00810E28">
        <w:rPr>
          <w:sz w:val="16"/>
          <w:szCs w:val="16"/>
        </w:rPr>
        <w:t xml:space="preserve"> </w:t>
      </w:r>
      <w:r w:rsidRPr="00810E28">
        <w:rPr>
          <w:sz w:val="16"/>
          <w:szCs w:val="16"/>
        </w:rPr>
        <w:tab/>
      </w:r>
      <w:r w:rsidRPr="00810E28">
        <w:rPr>
          <w:i/>
          <w:sz w:val="16"/>
          <w:szCs w:val="16"/>
        </w:rPr>
        <w:t>Cfr.</w:t>
      </w:r>
      <w:r w:rsidRPr="00810E28">
        <w:rPr>
          <w:sz w:val="16"/>
          <w:szCs w:val="16"/>
        </w:rPr>
        <w:t xml:space="preserve"> Oficio de 23 de marzo de 1999 de la Facultad de Ciencias de Ingeniería de la Universidad Nacional de Huancavelica (expediente de prueba, folio 1587), y</w:t>
      </w:r>
      <w:r w:rsidRPr="00810E28">
        <w:rPr>
          <w:i/>
          <w:sz w:val="16"/>
          <w:szCs w:val="16"/>
          <w:lang w:val="es-CR"/>
        </w:rPr>
        <w:t xml:space="preserve"> </w:t>
      </w:r>
      <w:r w:rsidRPr="00810E28">
        <w:rPr>
          <w:sz w:val="16"/>
          <w:szCs w:val="16"/>
        </w:rPr>
        <w:t xml:space="preserve">declaración de Gladys Escobar </w:t>
      </w:r>
      <w:proofErr w:type="spellStart"/>
      <w:r w:rsidRPr="00810E28">
        <w:rPr>
          <w:sz w:val="16"/>
          <w:szCs w:val="16"/>
        </w:rPr>
        <w:t>Candiotti</w:t>
      </w:r>
      <w:proofErr w:type="spellEnd"/>
      <w:r w:rsidRPr="00810E28">
        <w:rPr>
          <w:sz w:val="16"/>
          <w:szCs w:val="16"/>
        </w:rPr>
        <w:t xml:space="preserve"> rendida en la Audiencia Pública. </w:t>
      </w:r>
    </w:p>
  </w:footnote>
  <w:footnote w:id="28">
    <w:p w14:paraId="6F4025BD" w14:textId="24C4E92F"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(expediente de prueba, folio 56).</w:t>
      </w:r>
    </w:p>
  </w:footnote>
  <w:footnote w:id="29">
    <w:p w14:paraId="137405B4" w14:textId="7B04DB7E" w:rsidR="006B6A4E" w:rsidRPr="00810E28" w:rsidRDefault="006B6A4E" w:rsidP="00810E28">
      <w:pPr>
        <w:pStyle w:val="FootnoteText"/>
        <w:tabs>
          <w:tab w:val="left" w:pos="426"/>
        </w:tabs>
        <w:spacing w:before="120"/>
        <w:rPr>
          <w:b/>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 xml:space="preserve">(expediente de prueba, folio 58). En la Audiencia Pública la señora Gladys Escobar negó que Walter </w:t>
      </w:r>
      <w:proofErr w:type="spellStart"/>
      <w:r w:rsidRPr="00810E28">
        <w:rPr>
          <w:szCs w:val="16"/>
          <w:lang w:val="es-CR"/>
        </w:rPr>
        <w:t>Munárriz</w:t>
      </w:r>
      <w:proofErr w:type="spellEnd"/>
      <w:r w:rsidRPr="00810E28">
        <w:rPr>
          <w:szCs w:val="16"/>
          <w:lang w:val="es-CR"/>
        </w:rPr>
        <w:t xml:space="preserve"> Escobar se encontrara en estado de ebriedad. </w:t>
      </w:r>
      <w:r w:rsidRPr="00810E28">
        <w:rPr>
          <w:i/>
          <w:szCs w:val="16"/>
          <w:lang w:val="es-CR"/>
        </w:rPr>
        <w:t xml:space="preserve">Cfr. </w:t>
      </w:r>
      <w:r w:rsidRPr="00810E28">
        <w:rPr>
          <w:szCs w:val="16"/>
        </w:rPr>
        <w:t xml:space="preserve">Declaración de Gladys Escobar </w:t>
      </w:r>
      <w:proofErr w:type="spellStart"/>
      <w:r w:rsidRPr="00810E28">
        <w:rPr>
          <w:szCs w:val="16"/>
        </w:rPr>
        <w:t>Candiotti</w:t>
      </w:r>
      <w:proofErr w:type="spellEnd"/>
      <w:r w:rsidRPr="00810E28">
        <w:rPr>
          <w:szCs w:val="16"/>
        </w:rPr>
        <w:t xml:space="preserve"> rendida en la Audiencia Pública. </w:t>
      </w:r>
      <w:r w:rsidRPr="00810E28">
        <w:rPr>
          <w:szCs w:val="16"/>
          <w:lang w:val="es-CR"/>
        </w:rPr>
        <w:t xml:space="preserve">No obstante las declaraciones de </w:t>
      </w:r>
      <w:r>
        <w:rPr>
          <w:szCs w:val="16"/>
          <w:lang w:val="es-CR"/>
        </w:rPr>
        <w:t>la dueña del hospedaje, quien sí</w:t>
      </w:r>
      <w:r w:rsidRPr="00810E28">
        <w:rPr>
          <w:szCs w:val="16"/>
          <w:lang w:val="es-CR"/>
        </w:rPr>
        <w:t xml:space="preserve"> lo vio ese día, señalan que se encontraba en estado de ebriedad. Además la propia señora Gladys Escobar</w:t>
      </w:r>
      <w:r>
        <w:rPr>
          <w:szCs w:val="16"/>
          <w:lang w:val="es-CR"/>
        </w:rPr>
        <w:t xml:space="preserve"> </w:t>
      </w:r>
      <w:proofErr w:type="spellStart"/>
      <w:r w:rsidRPr="00810E28">
        <w:rPr>
          <w:szCs w:val="16"/>
        </w:rPr>
        <w:t>Candiotti</w:t>
      </w:r>
      <w:proofErr w:type="spellEnd"/>
      <w:r w:rsidRPr="00810E28">
        <w:rPr>
          <w:szCs w:val="16"/>
          <w:lang w:val="es-CR"/>
        </w:rPr>
        <w:t xml:space="preserve"> ha señalado anteriormente que Walter </w:t>
      </w:r>
      <w:proofErr w:type="spellStart"/>
      <w:r w:rsidRPr="00810E28">
        <w:rPr>
          <w:szCs w:val="16"/>
          <w:lang w:val="es-CR"/>
        </w:rPr>
        <w:t>Munárriz</w:t>
      </w:r>
      <w:proofErr w:type="spellEnd"/>
      <w:r w:rsidRPr="00810E28">
        <w:rPr>
          <w:szCs w:val="16"/>
          <w:lang w:val="es-CR"/>
        </w:rPr>
        <w:t xml:space="preserve"> Escobar se encontraba mareado. </w:t>
      </w:r>
      <w:r w:rsidRPr="00810E28">
        <w:rPr>
          <w:i/>
          <w:szCs w:val="16"/>
        </w:rPr>
        <w:t>Cfr.</w:t>
      </w:r>
      <w:r w:rsidRPr="00810E28">
        <w:rPr>
          <w:b/>
          <w:i/>
          <w:szCs w:val="16"/>
        </w:rPr>
        <w:t xml:space="preserve"> </w:t>
      </w:r>
      <w:r w:rsidRPr="00810E28">
        <w:rPr>
          <w:szCs w:val="16"/>
          <w:lang w:val="es-CR"/>
        </w:rPr>
        <w:t xml:space="preserve">Manifestación de la dueña del hospedaje ante el Inspector de la Jefatura Provincial de la Policía Nacional de 27 de marzo de 1999 (expediente de prueba, folio 72); transcripción de </w:t>
      </w:r>
      <w:r>
        <w:rPr>
          <w:szCs w:val="16"/>
          <w:lang w:val="es-CR"/>
        </w:rPr>
        <w:t xml:space="preserve">parcial de </w:t>
      </w:r>
      <w:r w:rsidRPr="00810E28">
        <w:rPr>
          <w:szCs w:val="16"/>
          <w:lang w:val="es-CR"/>
        </w:rPr>
        <w:t xml:space="preserve">la manifestación de la dueña del hospedaje en el </w:t>
      </w:r>
      <w:r w:rsidRPr="00810E28">
        <w:rPr>
          <w:szCs w:val="16"/>
        </w:rPr>
        <w:t>Parte de la Policía Nacional del Perú de 12 de abril de 1999 (expediente de prueba, folio</w:t>
      </w:r>
      <w:r>
        <w:rPr>
          <w:szCs w:val="16"/>
          <w:lang w:val="es-CR"/>
        </w:rPr>
        <w:t xml:space="preserve"> 221); </w:t>
      </w:r>
      <w:r w:rsidRPr="00810E28">
        <w:rPr>
          <w:szCs w:val="16"/>
        </w:rPr>
        <w:t xml:space="preserve">declaración de Gladys Escobar </w:t>
      </w:r>
      <w:proofErr w:type="spellStart"/>
      <w:r w:rsidRPr="00810E28">
        <w:rPr>
          <w:szCs w:val="16"/>
        </w:rPr>
        <w:t>Candiotti</w:t>
      </w:r>
      <w:proofErr w:type="spellEnd"/>
      <w:r w:rsidRPr="00810E28">
        <w:rPr>
          <w:szCs w:val="16"/>
        </w:rPr>
        <w:t xml:space="preserve"> ante la COMISEDH de 29 de abril de 1999</w:t>
      </w:r>
      <w:r w:rsidRPr="00810E28">
        <w:rPr>
          <w:b/>
          <w:szCs w:val="16"/>
        </w:rPr>
        <w:t xml:space="preserve"> </w:t>
      </w:r>
      <w:r w:rsidRPr="00810E28">
        <w:rPr>
          <w:szCs w:val="16"/>
        </w:rPr>
        <w:t xml:space="preserve">(expediente de prueba, folio 87), y transcripción </w:t>
      </w:r>
      <w:r>
        <w:rPr>
          <w:szCs w:val="16"/>
        </w:rPr>
        <w:t xml:space="preserve">parcial </w:t>
      </w:r>
      <w:r w:rsidRPr="00810E28">
        <w:rPr>
          <w:szCs w:val="16"/>
        </w:rPr>
        <w:t xml:space="preserve">de la declaración de Gladys Escobar </w:t>
      </w:r>
      <w:proofErr w:type="spellStart"/>
      <w:r w:rsidRPr="00810E28">
        <w:rPr>
          <w:szCs w:val="16"/>
        </w:rPr>
        <w:t>Candiotti</w:t>
      </w:r>
      <w:proofErr w:type="spellEnd"/>
      <w:r w:rsidRPr="00810E28">
        <w:rPr>
          <w:szCs w:val="16"/>
        </w:rPr>
        <w:t xml:space="preserve"> en el dictamen acusatorio de 1 de junio de 2000 (expediente de prueba, folio 188).</w:t>
      </w:r>
    </w:p>
  </w:footnote>
  <w:footnote w:id="30">
    <w:p w14:paraId="07EB0691" w14:textId="6D2B11DD" w:rsidR="006B6A4E" w:rsidRPr="00810E28" w:rsidRDefault="006B6A4E" w:rsidP="00810E28">
      <w:pPr>
        <w:pStyle w:val="CommentText"/>
        <w:tabs>
          <w:tab w:val="left" w:pos="426"/>
        </w:tabs>
        <w:spacing w:before="120"/>
        <w:jc w:val="both"/>
        <w:rPr>
          <w:sz w:val="16"/>
          <w:szCs w:val="16"/>
        </w:rPr>
      </w:pPr>
      <w:r w:rsidRPr="00810E28">
        <w:rPr>
          <w:rStyle w:val="FootnoteReference"/>
          <w:szCs w:val="16"/>
        </w:rPr>
        <w:footnoteRef/>
      </w:r>
      <w:r w:rsidRPr="00810E28">
        <w:rPr>
          <w:sz w:val="16"/>
          <w:szCs w:val="16"/>
        </w:rPr>
        <w:t xml:space="preserve"> </w:t>
      </w:r>
      <w:r w:rsidRPr="00810E28">
        <w:rPr>
          <w:sz w:val="16"/>
          <w:szCs w:val="16"/>
        </w:rPr>
        <w:tab/>
      </w:r>
      <w:r w:rsidRPr="00810E28">
        <w:rPr>
          <w:i/>
          <w:sz w:val="16"/>
          <w:szCs w:val="16"/>
        </w:rPr>
        <w:t xml:space="preserve">Cfr. </w:t>
      </w:r>
      <w:r w:rsidRPr="00810E28">
        <w:rPr>
          <w:sz w:val="16"/>
          <w:szCs w:val="16"/>
        </w:rPr>
        <w:t xml:space="preserve">Sentencia de la Sala Mixta de la Corte Superior de Justicia de Huancavelica de 25 de mayo de 2004 </w:t>
      </w:r>
      <w:r>
        <w:rPr>
          <w:sz w:val="16"/>
          <w:szCs w:val="16"/>
          <w:lang w:val="es-CR"/>
        </w:rPr>
        <w:t>(expediente de prueba, folio 57</w:t>
      </w:r>
      <w:r w:rsidRPr="00810E28">
        <w:rPr>
          <w:sz w:val="16"/>
          <w:szCs w:val="16"/>
          <w:lang w:val="es-CR"/>
        </w:rPr>
        <w:t xml:space="preserve">), y transcripción de la declaración de la esposa del </w:t>
      </w:r>
      <w:r w:rsidRPr="00810E28">
        <w:rPr>
          <w:sz w:val="16"/>
          <w:szCs w:val="16"/>
        </w:rPr>
        <w:t>Alférez de la Policía Nacional del Perú en Parte de la Policía Nacional de Perú de 9 de abril de 1999 (expediente de prueba, folio 2450).</w:t>
      </w:r>
    </w:p>
  </w:footnote>
  <w:footnote w:id="31">
    <w:p w14:paraId="5E67940F" w14:textId="2C22E8CC"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(expediente de prueba, folio 56).</w:t>
      </w:r>
    </w:p>
  </w:footnote>
  <w:footnote w:id="32">
    <w:p w14:paraId="46A7E3CF" w14:textId="6FFF492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(expediente de prueba, folio 57).</w:t>
      </w:r>
    </w:p>
  </w:footnote>
  <w:footnote w:id="33">
    <w:p w14:paraId="31DB464E" w14:textId="1D2D8DB1"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(expediente de prueba, folio 57).</w:t>
      </w:r>
    </w:p>
  </w:footnote>
  <w:footnote w:id="34">
    <w:p w14:paraId="4424EA77" w14:textId="72929A9D"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 xml:space="preserve">(expediente de prueba, folio 60), y </w:t>
      </w:r>
      <w:r>
        <w:rPr>
          <w:szCs w:val="16"/>
          <w:lang w:val="es-CR"/>
        </w:rPr>
        <w:t>m</w:t>
      </w:r>
      <w:r w:rsidRPr="00810E28">
        <w:rPr>
          <w:szCs w:val="16"/>
          <w:lang w:val="es-CR"/>
        </w:rPr>
        <w:t>anifestación de la dueña del hospedaje ante el Inspector de la Jefatura Provincial de la Policía Nacional de 27 de marzo de 1999 (expediente de prueba, folio 71).</w:t>
      </w:r>
    </w:p>
  </w:footnote>
  <w:footnote w:id="35">
    <w:p w14:paraId="4A0E7DCD" w14:textId="30D9F12F" w:rsidR="006B6A4E" w:rsidRPr="009D0B7B" w:rsidRDefault="006B6A4E" w:rsidP="00810E28">
      <w:pPr>
        <w:pStyle w:val="FootnoteText"/>
        <w:tabs>
          <w:tab w:val="left" w:pos="426"/>
        </w:tabs>
        <w:spacing w:before="120"/>
        <w:rPr>
          <w:b/>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 xml:space="preserve">(expediente de prueba, folio 60); manifestación de la dueña del hospedaje ante el Inspector de la Jefatura Provincial de la Policía Nacional de 27 de marzo de 1999 (expediente de prueba, folio 71), y </w:t>
      </w:r>
      <w:r>
        <w:rPr>
          <w:szCs w:val="16"/>
        </w:rPr>
        <w:t>d</w:t>
      </w:r>
      <w:r w:rsidRPr="00810E28">
        <w:rPr>
          <w:szCs w:val="16"/>
        </w:rPr>
        <w:t xml:space="preserve">eclaración de Gladys Escobar </w:t>
      </w:r>
      <w:proofErr w:type="spellStart"/>
      <w:r w:rsidRPr="00810E28">
        <w:rPr>
          <w:szCs w:val="16"/>
        </w:rPr>
        <w:t>Candiotti</w:t>
      </w:r>
      <w:proofErr w:type="spellEnd"/>
      <w:r w:rsidRPr="00810E28">
        <w:rPr>
          <w:szCs w:val="16"/>
        </w:rPr>
        <w:t xml:space="preserve"> rendida en la Audiencia Pública. </w:t>
      </w:r>
    </w:p>
  </w:footnote>
  <w:footnote w:id="36">
    <w:p w14:paraId="5851EF37" w14:textId="18813AB4"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 xml:space="preserve">(expediente de prueba, folio 60); manifestación de la dueña del hospedaje ante el Inspector de la Jefatura Provincial de la Policía Nacional de 27 de marzo de 1999 (expediente de prueba, folio 71), y acta de continuación de audiencia de 3 de enero de 2001 de la Sala Mixta de la Corte Superior de Justicia de Huancavelica (expediente de prueba, folio 243). En la Audiencia Pública la señora Gladys Escobar </w:t>
      </w:r>
      <w:proofErr w:type="spellStart"/>
      <w:r w:rsidRPr="00810E28">
        <w:rPr>
          <w:szCs w:val="16"/>
          <w:lang w:val="es-CR"/>
        </w:rPr>
        <w:t>Candiotti</w:t>
      </w:r>
      <w:proofErr w:type="spellEnd"/>
      <w:r w:rsidRPr="00810E28">
        <w:rPr>
          <w:szCs w:val="16"/>
          <w:lang w:val="es-CR"/>
        </w:rPr>
        <w:t xml:space="preserve"> negó que esto hubiese sucedido. No obstante, la Corte considera lo declarado por la propia dueña del hospedaje suficiente para dar por probado este hecho. </w:t>
      </w:r>
      <w:r w:rsidRPr="00810E28">
        <w:rPr>
          <w:i/>
          <w:szCs w:val="16"/>
          <w:lang w:val="es-CR"/>
        </w:rPr>
        <w:t xml:space="preserve">Cfr. </w:t>
      </w:r>
      <w:r w:rsidRPr="00810E28">
        <w:rPr>
          <w:szCs w:val="16"/>
        </w:rPr>
        <w:t xml:space="preserve">Declaración de Gladys Escobar </w:t>
      </w:r>
      <w:proofErr w:type="spellStart"/>
      <w:r w:rsidRPr="00810E28">
        <w:rPr>
          <w:szCs w:val="16"/>
        </w:rPr>
        <w:t>Candiotti</w:t>
      </w:r>
      <w:proofErr w:type="spellEnd"/>
      <w:r w:rsidRPr="00810E28">
        <w:rPr>
          <w:szCs w:val="16"/>
        </w:rPr>
        <w:t xml:space="preserve"> rendida en la Audiencia Pública. </w:t>
      </w:r>
    </w:p>
  </w:footnote>
  <w:footnote w:id="37">
    <w:p w14:paraId="5A52E75F" w14:textId="3453884E"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Sentencia de la Sala Mixta de la Corte Superior de Justicia de Huancavelica de 25 de mayo de 2004 </w:t>
      </w:r>
      <w:r w:rsidRPr="00810E28">
        <w:rPr>
          <w:szCs w:val="16"/>
          <w:lang w:val="es-CR"/>
        </w:rPr>
        <w:t xml:space="preserve">(expediente de prueba, folio 60), y </w:t>
      </w:r>
      <w:r>
        <w:rPr>
          <w:szCs w:val="16"/>
          <w:lang w:val="es-CR"/>
        </w:rPr>
        <w:t>m</w:t>
      </w:r>
      <w:r w:rsidRPr="00810E28">
        <w:rPr>
          <w:szCs w:val="16"/>
          <w:lang w:val="es-CR"/>
        </w:rPr>
        <w:t>anifestación de la dueña del hospedaje ante el Inspector de la Jefatura Provincial de la Policía Nacional de 27 de marzo de 1999 (expediente de prueba, folio 71).</w:t>
      </w:r>
    </w:p>
  </w:footnote>
  <w:footnote w:id="38">
    <w:p w14:paraId="66443CA4" w14:textId="605A8869"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rFonts w:cs="Arial"/>
          <w:szCs w:val="16"/>
          <w:lang w:val="es-CR"/>
        </w:rPr>
        <w:t xml:space="preserve">Entrevista de abogada de COMISEDH a Gladys Escobar </w:t>
      </w:r>
      <w:proofErr w:type="spellStart"/>
      <w:r w:rsidRPr="00810E28">
        <w:rPr>
          <w:rFonts w:cs="Arial"/>
          <w:szCs w:val="16"/>
          <w:lang w:val="es-CR"/>
        </w:rPr>
        <w:t>Candiotti</w:t>
      </w:r>
      <w:proofErr w:type="spellEnd"/>
      <w:r w:rsidRPr="00810E28">
        <w:rPr>
          <w:rFonts w:cs="Arial"/>
          <w:szCs w:val="16"/>
          <w:lang w:val="es-CR"/>
        </w:rPr>
        <w:t xml:space="preserve"> de 29 de abril de 1</w:t>
      </w:r>
      <w:r>
        <w:rPr>
          <w:rFonts w:cs="Arial"/>
          <w:szCs w:val="16"/>
          <w:lang w:val="es-CR"/>
        </w:rPr>
        <w:t>999 (expediente de prueba folio</w:t>
      </w:r>
      <w:r w:rsidRPr="00810E28">
        <w:rPr>
          <w:rFonts w:cs="Arial"/>
          <w:szCs w:val="16"/>
          <w:lang w:val="es-CR"/>
        </w:rPr>
        <w:t xml:space="preserve"> 89).</w:t>
      </w:r>
    </w:p>
  </w:footnote>
  <w:footnote w:id="39">
    <w:p w14:paraId="7CD9CF2A" w14:textId="77777777"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rPr>
        <w:t xml:space="preserve"> </w:t>
      </w:r>
      <w:r w:rsidRPr="00810E28">
        <w:rPr>
          <w:szCs w:val="16"/>
        </w:rPr>
        <w:tab/>
      </w:r>
      <w:r w:rsidRPr="00810E28">
        <w:rPr>
          <w:rFonts w:cs="Arial"/>
          <w:i/>
          <w:szCs w:val="16"/>
          <w:lang w:val="es-CR"/>
        </w:rPr>
        <w:t>Cfr.</w:t>
      </w:r>
      <w:r w:rsidRPr="00810E28">
        <w:rPr>
          <w:rFonts w:cs="Arial"/>
          <w:szCs w:val="16"/>
          <w:lang w:val="es-CR"/>
        </w:rPr>
        <w:t xml:space="preserve"> Certificado de denuncia policial ante la Policía Nacional del Perú de 22 de marzo de 1999 (expediente de prueba, folio 135).</w:t>
      </w:r>
    </w:p>
  </w:footnote>
  <w:footnote w:id="40">
    <w:p w14:paraId="4AED8BB9" w14:textId="77777777"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rFonts w:cs="Arial"/>
          <w:i/>
          <w:szCs w:val="16"/>
          <w:lang w:val="es-CR"/>
        </w:rPr>
        <w:t>Cfr.</w:t>
      </w:r>
      <w:r w:rsidRPr="00810E28">
        <w:rPr>
          <w:rFonts w:cs="Arial"/>
          <w:szCs w:val="16"/>
          <w:lang w:val="es-CR"/>
        </w:rPr>
        <w:t xml:space="preserve"> Denuncia de 23 de marzo de 1999 presentada ante la Fiscalía (expediente de prueba, folio 160).</w:t>
      </w:r>
    </w:p>
  </w:footnote>
  <w:footnote w:id="41">
    <w:p w14:paraId="16160FA7" w14:textId="47B2E155"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Oficio del Capitán de la Policía </w:t>
      </w:r>
      <w:r>
        <w:rPr>
          <w:szCs w:val="16"/>
        </w:rPr>
        <w:t xml:space="preserve">Nacional </w:t>
      </w:r>
      <w:r w:rsidRPr="00810E28">
        <w:rPr>
          <w:szCs w:val="16"/>
        </w:rPr>
        <w:t>de 24 de marzo de 1999 (expediente de prueba, folio 1773).</w:t>
      </w:r>
    </w:p>
  </w:footnote>
  <w:footnote w:id="42">
    <w:p w14:paraId="67632C2B" w14:textId="1B553D36"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Se presentaron dos denuncias, una </w:t>
      </w:r>
      <w:r w:rsidRPr="00810E28">
        <w:rPr>
          <w:szCs w:val="16"/>
          <w:lang w:val="es-CR"/>
        </w:rPr>
        <w:t>el 23 de marzo de 1999 por parte de un profesor de la Universidad de</w:t>
      </w:r>
      <w:r w:rsidRPr="00810E28">
        <w:rPr>
          <w:szCs w:val="16"/>
        </w:rPr>
        <w:t xml:space="preserve"> </w:t>
      </w:r>
      <w:r w:rsidRPr="00810E28">
        <w:rPr>
          <w:szCs w:val="16"/>
          <w:lang w:val="es-CR"/>
        </w:rPr>
        <w:t xml:space="preserve">Huancavelica, y otra el 25 de marzo presentada por la señora Escobar </w:t>
      </w:r>
      <w:proofErr w:type="spellStart"/>
      <w:r w:rsidRPr="00810E28">
        <w:rPr>
          <w:szCs w:val="16"/>
          <w:lang w:val="es-CR"/>
        </w:rPr>
        <w:t>Candiotti</w:t>
      </w:r>
      <w:proofErr w:type="spellEnd"/>
      <w:r w:rsidRPr="00810E28">
        <w:rPr>
          <w:szCs w:val="16"/>
          <w:lang w:val="es-CR"/>
        </w:rPr>
        <w:t xml:space="preserve">. </w:t>
      </w:r>
      <w:r w:rsidRPr="00810E28">
        <w:rPr>
          <w:i/>
          <w:szCs w:val="16"/>
        </w:rPr>
        <w:t>Cfr.</w:t>
      </w:r>
      <w:r w:rsidRPr="00810E28">
        <w:rPr>
          <w:szCs w:val="16"/>
        </w:rPr>
        <w:t xml:space="preserve"> </w:t>
      </w:r>
      <w:r w:rsidRPr="00810E28">
        <w:rPr>
          <w:rFonts w:cs="Arial"/>
          <w:szCs w:val="16"/>
          <w:lang w:val="es-CR"/>
        </w:rPr>
        <w:t xml:space="preserve">Informe del Director del Programa de Protección de Poblaciones Afectadas por Violencia Política de la Defensoría del Pueblo de Huancavelica de 29 de marzo de 1999 (expediente de prueba, folio 80), y </w:t>
      </w:r>
      <w:r w:rsidRPr="00810E28">
        <w:rPr>
          <w:szCs w:val="16"/>
        </w:rPr>
        <w:t xml:space="preserve">queja de la señora Gladys Escobar </w:t>
      </w:r>
      <w:proofErr w:type="spellStart"/>
      <w:r w:rsidRPr="00810E28">
        <w:rPr>
          <w:szCs w:val="16"/>
        </w:rPr>
        <w:t>Candiotti</w:t>
      </w:r>
      <w:proofErr w:type="spellEnd"/>
      <w:r w:rsidRPr="00810E28">
        <w:rPr>
          <w:szCs w:val="16"/>
        </w:rPr>
        <w:t xml:space="preserve"> ante la Defensoría del Pueblo de  25 de marzo de 1999 (expediente de prueba, folio 1588).</w:t>
      </w:r>
    </w:p>
  </w:footnote>
  <w:footnote w:id="43">
    <w:p w14:paraId="62A257CB"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lang w:val="es-CR"/>
        </w:rPr>
        <w:t>Cfr.</w:t>
      </w:r>
      <w:r w:rsidRPr="00810E28">
        <w:rPr>
          <w:szCs w:val="16"/>
          <w:lang w:val="es-CR"/>
        </w:rPr>
        <w:t xml:space="preserve"> Carta de Gladys Escobar </w:t>
      </w:r>
      <w:proofErr w:type="spellStart"/>
      <w:r w:rsidRPr="00810E28">
        <w:rPr>
          <w:szCs w:val="16"/>
          <w:lang w:val="es-CR"/>
        </w:rPr>
        <w:t>Candiotti</w:t>
      </w:r>
      <w:proofErr w:type="spellEnd"/>
      <w:r w:rsidRPr="00810E28">
        <w:rPr>
          <w:szCs w:val="16"/>
          <w:lang w:val="es-CR"/>
        </w:rPr>
        <w:t xml:space="preserve"> al Defensor del Pueblo de 27 de abril de 1999 (expediente de prueba, folio 128).</w:t>
      </w:r>
    </w:p>
  </w:footnote>
  <w:footnote w:id="44">
    <w:p w14:paraId="090EEF5A"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lang w:val="es-CR"/>
        </w:rPr>
        <w:t>Cfr.</w:t>
      </w:r>
      <w:r w:rsidRPr="00810E28">
        <w:rPr>
          <w:szCs w:val="16"/>
          <w:lang w:val="es-CR"/>
        </w:rPr>
        <w:t xml:space="preserve"> Carta de Gladys Escobar </w:t>
      </w:r>
      <w:proofErr w:type="spellStart"/>
      <w:r w:rsidRPr="00810E28">
        <w:rPr>
          <w:szCs w:val="16"/>
          <w:lang w:val="es-CR"/>
        </w:rPr>
        <w:t>Candiotti</w:t>
      </w:r>
      <w:proofErr w:type="spellEnd"/>
      <w:r w:rsidRPr="00810E28">
        <w:rPr>
          <w:szCs w:val="16"/>
          <w:lang w:val="es-CR"/>
        </w:rPr>
        <w:t xml:space="preserve"> al Ministro del Interior de 27 de abril de 1999 (expediente de prueba, folio 129).</w:t>
      </w:r>
    </w:p>
  </w:footnote>
  <w:footnote w:id="45">
    <w:p w14:paraId="1D00F2B0"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lang w:val="es-CR"/>
        </w:rPr>
        <w:t xml:space="preserve">    </w:t>
      </w:r>
      <w:r w:rsidRPr="00810E28">
        <w:rPr>
          <w:i/>
          <w:szCs w:val="16"/>
          <w:lang w:val="es-CR"/>
        </w:rPr>
        <w:t>Cfr.</w:t>
      </w:r>
      <w:r w:rsidRPr="00810E28">
        <w:rPr>
          <w:szCs w:val="16"/>
          <w:lang w:val="es-CR"/>
        </w:rPr>
        <w:t xml:space="preserve"> Oficio del Alcalde de la Provincia de </w:t>
      </w:r>
      <w:proofErr w:type="spellStart"/>
      <w:r w:rsidRPr="00810E28">
        <w:rPr>
          <w:szCs w:val="16"/>
        </w:rPr>
        <w:t>Angaraes</w:t>
      </w:r>
      <w:proofErr w:type="spellEnd"/>
      <w:r w:rsidRPr="00810E28">
        <w:rPr>
          <w:szCs w:val="16"/>
        </w:rPr>
        <w:t xml:space="preserve"> de</w:t>
      </w:r>
      <w:r w:rsidRPr="00810E28">
        <w:rPr>
          <w:szCs w:val="16"/>
          <w:lang w:val="es-CR"/>
        </w:rPr>
        <w:t xml:space="preserve"> 26 de abril de 1999 (expediente de prueba, folio 130).</w:t>
      </w:r>
    </w:p>
  </w:footnote>
  <w:footnote w:id="46">
    <w:p w14:paraId="410AC9B5" w14:textId="18CC13C8"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szCs w:val="16"/>
          <w:lang w:val="es-CR"/>
        </w:rPr>
        <w:t xml:space="preserve">Manifestación de MST de 22 de marzo de 1999 (expediente de prueba, </w:t>
      </w:r>
      <w:r w:rsidRPr="00810E28">
        <w:rPr>
          <w:rFonts w:cs="Arial"/>
          <w:szCs w:val="16"/>
          <w:lang w:val="es-CR"/>
        </w:rPr>
        <w:t xml:space="preserve">folios 2495 y 2496); </w:t>
      </w:r>
      <w:r w:rsidRPr="00810E28">
        <w:rPr>
          <w:szCs w:val="16"/>
          <w:lang w:val="es-CR"/>
        </w:rPr>
        <w:t>manifestación de RDH de 22 de marzo de</w:t>
      </w:r>
      <w:r w:rsidRPr="00810E28">
        <w:rPr>
          <w:b/>
          <w:szCs w:val="16"/>
          <w:lang w:val="es-CR"/>
        </w:rPr>
        <w:t xml:space="preserve"> </w:t>
      </w:r>
      <w:r w:rsidRPr="00810E28">
        <w:rPr>
          <w:szCs w:val="16"/>
          <w:lang w:val="es-CR"/>
        </w:rPr>
        <w:t>1999</w:t>
      </w:r>
      <w:r w:rsidRPr="00810E28">
        <w:rPr>
          <w:b/>
          <w:szCs w:val="16"/>
          <w:lang w:val="es-CR"/>
        </w:rPr>
        <w:t xml:space="preserve"> </w:t>
      </w:r>
      <w:r w:rsidRPr="00810E28">
        <w:rPr>
          <w:szCs w:val="16"/>
          <w:lang w:val="es-CR"/>
        </w:rPr>
        <w:t>(expediente de prueba, folios 2369 y 2370)</w:t>
      </w:r>
      <w:r>
        <w:rPr>
          <w:szCs w:val="16"/>
          <w:lang w:val="es-CR"/>
        </w:rPr>
        <w:t xml:space="preserve">; </w:t>
      </w:r>
      <w:r w:rsidRPr="00810E28">
        <w:rPr>
          <w:szCs w:val="16"/>
          <w:lang w:val="es-CR"/>
        </w:rPr>
        <w:t>manifestación de JMS de 22 de marzo de 1999 (expediente de p</w:t>
      </w:r>
      <w:r>
        <w:rPr>
          <w:szCs w:val="16"/>
          <w:lang w:val="es-CR"/>
        </w:rPr>
        <w:t>rueba, folio</w:t>
      </w:r>
      <w:r w:rsidRPr="00810E28">
        <w:rPr>
          <w:szCs w:val="16"/>
          <w:lang w:val="es-CR"/>
        </w:rPr>
        <w:t xml:space="preserve"> 2499)</w:t>
      </w:r>
      <w:r>
        <w:rPr>
          <w:szCs w:val="16"/>
          <w:lang w:val="es-CR"/>
        </w:rPr>
        <w:t xml:space="preserve">, y </w:t>
      </w:r>
      <w:r w:rsidRPr="00810E28">
        <w:rPr>
          <w:szCs w:val="16"/>
          <w:lang w:val="es-CR"/>
        </w:rPr>
        <w:t xml:space="preserve">manifestación de </w:t>
      </w:r>
      <w:r>
        <w:rPr>
          <w:szCs w:val="16"/>
          <w:lang w:val="es-CR"/>
        </w:rPr>
        <w:t>LP</w:t>
      </w:r>
      <w:r w:rsidRPr="00810E28">
        <w:rPr>
          <w:szCs w:val="16"/>
          <w:lang w:val="es-CR"/>
        </w:rPr>
        <w:t>S de 22 de marzo de 1999 (expediente de p</w:t>
      </w:r>
      <w:r>
        <w:rPr>
          <w:szCs w:val="16"/>
          <w:lang w:val="es-CR"/>
        </w:rPr>
        <w:t xml:space="preserve">rueba, folio </w:t>
      </w:r>
      <w:r w:rsidRPr="00810E28">
        <w:rPr>
          <w:szCs w:val="16"/>
          <w:lang w:val="es-CR"/>
        </w:rPr>
        <w:t>2500).</w:t>
      </w:r>
    </w:p>
  </w:footnote>
  <w:footnote w:id="47">
    <w:p w14:paraId="54C589BD"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szCs w:val="16"/>
          <w:lang w:val="es-CR"/>
        </w:rPr>
        <w:t>Oficio del Capitán de la Policía de 23 de marzo de 1999 (expediente de prueba, folio 2550).</w:t>
      </w:r>
    </w:p>
  </w:footnote>
  <w:footnote w:id="48">
    <w:p w14:paraId="5A721EF4" w14:textId="08A368AE" w:rsidR="006B6A4E" w:rsidRPr="003C3DAC" w:rsidRDefault="006B6A4E" w:rsidP="003C3DAC">
      <w:pPr>
        <w:pStyle w:val="PrrafodeSentencia"/>
        <w:numPr>
          <w:ilvl w:val="0"/>
          <w:numId w:val="0"/>
        </w:numPr>
        <w:tabs>
          <w:tab w:val="left" w:pos="426"/>
        </w:tabs>
        <w:spacing w:before="120"/>
        <w:rPr>
          <w:sz w:val="16"/>
          <w:szCs w:val="16"/>
          <w:lang w:val="es-ES_tradnl"/>
        </w:rPr>
      </w:pPr>
      <w:r w:rsidRPr="00810E28">
        <w:rPr>
          <w:rStyle w:val="FootnoteReference"/>
          <w:szCs w:val="16"/>
        </w:rPr>
        <w:footnoteRef/>
      </w:r>
      <w:r w:rsidRPr="003C3DAC">
        <w:rPr>
          <w:sz w:val="16"/>
          <w:szCs w:val="16"/>
        </w:rPr>
        <w:t xml:space="preserve"> </w:t>
      </w:r>
      <w:r w:rsidRPr="003C3DAC">
        <w:rPr>
          <w:sz w:val="16"/>
          <w:szCs w:val="16"/>
        </w:rPr>
        <w:tab/>
      </w:r>
      <w:r w:rsidRPr="003C3DAC">
        <w:rPr>
          <w:i/>
          <w:sz w:val="16"/>
          <w:szCs w:val="16"/>
        </w:rPr>
        <w:t xml:space="preserve">Cfr. </w:t>
      </w:r>
      <w:r w:rsidRPr="003C3DAC">
        <w:rPr>
          <w:sz w:val="16"/>
          <w:szCs w:val="16"/>
        </w:rPr>
        <w:t>Manifestación de</w:t>
      </w:r>
      <w:r>
        <w:rPr>
          <w:sz w:val="16"/>
          <w:szCs w:val="16"/>
        </w:rPr>
        <w:t>l</w:t>
      </w:r>
      <w:r w:rsidRPr="003C3DAC">
        <w:rPr>
          <w:sz w:val="16"/>
          <w:szCs w:val="16"/>
        </w:rPr>
        <w:t xml:space="preserve"> hermano de </w:t>
      </w:r>
      <w:r>
        <w:rPr>
          <w:sz w:val="16"/>
          <w:szCs w:val="16"/>
        </w:rPr>
        <w:t xml:space="preserve">la </w:t>
      </w:r>
      <w:r w:rsidRPr="003C3DAC">
        <w:rPr>
          <w:sz w:val="16"/>
          <w:szCs w:val="16"/>
        </w:rPr>
        <w:t xml:space="preserve">dueña del hospedaje de 23 de marzo de 1999 (expediente de prueba, folio 2484); manifestaciones de dos de los inquilinos del hospedaje de 23 de marzo de 1999 (expediente de prueba, folio 2491 y 2492), </w:t>
      </w:r>
      <w:r>
        <w:rPr>
          <w:sz w:val="16"/>
          <w:szCs w:val="16"/>
        </w:rPr>
        <w:t xml:space="preserve">y </w:t>
      </w:r>
      <w:r w:rsidRPr="003C3DAC">
        <w:rPr>
          <w:sz w:val="16"/>
          <w:szCs w:val="16"/>
        </w:rPr>
        <w:t>manifestación</w:t>
      </w:r>
      <w:r>
        <w:rPr>
          <w:sz w:val="16"/>
          <w:szCs w:val="16"/>
        </w:rPr>
        <w:t xml:space="preserve"> de un</w:t>
      </w:r>
      <w:r w:rsidRPr="003C3DAC">
        <w:rPr>
          <w:sz w:val="16"/>
          <w:szCs w:val="16"/>
        </w:rPr>
        <w:t xml:space="preserve"> amigo de Walter </w:t>
      </w:r>
      <w:proofErr w:type="spellStart"/>
      <w:r w:rsidRPr="003C3DAC">
        <w:rPr>
          <w:sz w:val="16"/>
          <w:szCs w:val="16"/>
        </w:rPr>
        <w:t>Munárriz</w:t>
      </w:r>
      <w:proofErr w:type="spellEnd"/>
      <w:r w:rsidRPr="003C3DAC">
        <w:rPr>
          <w:sz w:val="16"/>
          <w:szCs w:val="16"/>
        </w:rPr>
        <w:t xml:space="preserve"> Escobar de 23 de marzo de 1999 (expediente de prueba, folio 2494).</w:t>
      </w:r>
    </w:p>
  </w:footnote>
  <w:footnote w:id="49">
    <w:p w14:paraId="486B1D1C" w14:textId="21A6E3AE"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rFonts w:cs="Arial"/>
          <w:szCs w:val="16"/>
          <w:lang w:val="es-CR"/>
        </w:rPr>
        <w:t xml:space="preserve">    </w:t>
      </w:r>
      <w:r w:rsidRPr="00810E28">
        <w:rPr>
          <w:rFonts w:cs="Arial"/>
          <w:i/>
          <w:szCs w:val="16"/>
          <w:lang w:val="es-CR"/>
        </w:rPr>
        <w:t>Cfr.</w:t>
      </w:r>
      <w:r w:rsidRPr="00810E28">
        <w:rPr>
          <w:rFonts w:cs="Arial"/>
          <w:szCs w:val="16"/>
          <w:lang w:val="es-CR"/>
        </w:rPr>
        <w:t xml:space="preserve"> </w:t>
      </w:r>
      <w:r w:rsidRPr="00810E28">
        <w:rPr>
          <w:szCs w:val="16"/>
        </w:rPr>
        <w:t>Transcripción de ofici</w:t>
      </w:r>
      <w:r>
        <w:rPr>
          <w:szCs w:val="16"/>
        </w:rPr>
        <w:t xml:space="preserve">o de 24 de marzo de 1999 en el </w:t>
      </w:r>
      <w:r w:rsidRPr="00810E28">
        <w:rPr>
          <w:szCs w:val="16"/>
        </w:rPr>
        <w:t xml:space="preserve">Parte de la Policía Nacional del Perú de 12 de abril de 1999 (expediente de prueba, folio 214). </w:t>
      </w:r>
    </w:p>
  </w:footnote>
  <w:footnote w:id="50">
    <w:p w14:paraId="1A50B609" w14:textId="71524E6A"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szCs w:val="16"/>
          <w:lang w:val="es-ES"/>
        </w:rPr>
        <w:t xml:space="preserve">Declaración de Gladys Escobar </w:t>
      </w:r>
      <w:proofErr w:type="spellStart"/>
      <w:r w:rsidRPr="00810E28">
        <w:rPr>
          <w:szCs w:val="16"/>
          <w:lang w:val="es-ES"/>
        </w:rPr>
        <w:t>Candiotti</w:t>
      </w:r>
      <w:proofErr w:type="spellEnd"/>
      <w:r w:rsidRPr="00810E28">
        <w:rPr>
          <w:szCs w:val="16"/>
          <w:lang w:val="es-ES"/>
        </w:rPr>
        <w:t xml:space="preserve"> de 27 de marzo de 1999 ante el Fiscal Superior Adjunto (expediente de prueba, folios 2464 a 2465), y </w:t>
      </w:r>
      <w:r>
        <w:rPr>
          <w:szCs w:val="16"/>
          <w:lang w:val="es-ES"/>
        </w:rPr>
        <w:t>d</w:t>
      </w:r>
      <w:r w:rsidRPr="00810E28">
        <w:rPr>
          <w:szCs w:val="16"/>
          <w:lang w:val="es-ES"/>
        </w:rPr>
        <w:t xml:space="preserve">eclaración de Gladys </w:t>
      </w:r>
      <w:proofErr w:type="spellStart"/>
      <w:r w:rsidRPr="00810E28">
        <w:rPr>
          <w:szCs w:val="16"/>
          <w:lang w:val="es-ES"/>
        </w:rPr>
        <w:t>Munárriz</w:t>
      </w:r>
      <w:proofErr w:type="spellEnd"/>
      <w:r w:rsidRPr="00810E28">
        <w:rPr>
          <w:szCs w:val="16"/>
          <w:lang w:val="es-ES"/>
        </w:rPr>
        <w:t xml:space="preserve"> Escobar de 27 de marzo de 1999 ante el Fiscal Superior Adjunto GRA (expediente de prueba, folios 2473 a 2478)</w:t>
      </w:r>
      <w:r w:rsidRPr="00810E28">
        <w:rPr>
          <w:szCs w:val="16"/>
          <w:lang w:val="es-CR"/>
        </w:rPr>
        <w:t>.</w:t>
      </w:r>
    </w:p>
  </w:footnote>
  <w:footnote w:id="51">
    <w:p w14:paraId="4DD6920B" w14:textId="3AC9324D"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w:t>
      </w:r>
      <w:r w:rsidRPr="00810E28">
        <w:rPr>
          <w:szCs w:val="16"/>
          <w:lang w:val="es-CR"/>
        </w:rPr>
        <w:t xml:space="preserve">. </w:t>
      </w:r>
      <w:r w:rsidRPr="00810E28">
        <w:rPr>
          <w:szCs w:val="16"/>
          <w:lang w:val="es-ES"/>
        </w:rPr>
        <w:t xml:space="preserve">Declaración de MST de 20 de abril de 1999 ante el Fiscal Provincial Mixto de </w:t>
      </w:r>
      <w:proofErr w:type="spellStart"/>
      <w:r w:rsidRPr="00810E28">
        <w:rPr>
          <w:szCs w:val="16"/>
          <w:lang w:val="es-ES"/>
        </w:rPr>
        <w:t>Angaraes</w:t>
      </w:r>
      <w:proofErr w:type="spellEnd"/>
      <w:r w:rsidRPr="00810E28">
        <w:rPr>
          <w:szCs w:val="16"/>
          <w:lang w:val="es-ES"/>
        </w:rPr>
        <w:t xml:space="preserve"> (expediente de prueba, folio 2626).</w:t>
      </w:r>
    </w:p>
  </w:footnote>
  <w:footnote w:id="52">
    <w:p w14:paraId="578F026B" w14:textId="6564B93A"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w:t>
      </w:r>
      <w:r w:rsidRPr="00810E28">
        <w:rPr>
          <w:szCs w:val="16"/>
          <w:lang w:val="es-CR"/>
        </w:rPr>
        <w:t xml:space="preserve"> Declaración de JMS de 12 de abril de 1999 ante el Fiscal Provincial Mixto de </w:t>
      </w:r>
      <w:proofErr w:type="spellStart"/>
      <w:r w:rsidRPr="00810E28">
        <w:rPr>
          <w:szCs w:val="16"/>
          <w:lang w:val="es-CR"/>
        </w:rPr>
        <w:t>Angaraes</w:t>
      </w:r>
      <w:proofErr w:type="spellEnd"/>
      <w:r w:rsidRPr="00810E28">
        <w:rPr>
          <w:szCs w:val="16"/>
          <w:lang w:val="es-CR"/>
        </w:rPr>
        <w:t xml:space="preserve"> (expediente de prueba, folio 2426), y Declaración de LPS de 15 de abril de 1999 ante el Fiscal Provincial Mixto de </w:t>
      </w:r>
      <w:proofErr w:type="spellStart"/>
      <w:r w:rsidRPr="00810E28">
        <w:rPr>
          <w:szCs w:val="16"/>
          <w:lang w:val="es-CR"/>
        </w:rPr>
        <w:t>Angaraes</w:t>
      </w:r>
      <w:proofErr w:type="spellEnd"/>
      <w:r w:rsidRPr="00810E28">
        <w:rPr>
          <w:szCs w:val="16"/>
          <w:lang w:val="es-CR"/>
        </w:rPr>
        <w:t xml:space="preserve"> (expediente de prueba, folio 2403).</w:t>
      </w:r>
    </w:p>
  </w:footnote>
  <w:footnote w:id="53">
    <w:p w14:paraId="41709338" w14:textId="28BD34FB" w:rsidR="006B6A4E" w:rsidRPr="00810E28" w:rsidRDefault="006B6A4E" w:rsidP="00810E28">
      <w:pPr>
        <w:pStyle w:val="FootnoteText"/>
        <w:tabs>
          <w:tab w:val="left" w:pos="426"/>
        </w:tabs>
        <w:spacing w:before="120"/>
        <w:rPr>
          <w:szCs w:val="16"/>
          <w:lang w:val="es-ES"/>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w:t>
      </w:r>
      <w:r w:rsidRPr="00810E28">
        <w:rPr>
          <w:szCs w:val="16"/>
          <w:lang w:val="es-CR"/>
        </w:rPr>
        <w:t xml:space="preserve"> Declaración de un suboficial de segunda GCR de 26 de marzo de 1999 ante </w:t>
      </w:r>
      <w:r w:rsidRPr="00810E28">
        <w:rPr>
          <w:szCs w:val="16"/>
          <w:lang w:val="es-ES"/>
        </w:rPr>
        <w:t>el instructor de la oficina de investigación PNP, presente la Fiscal Provincial Mixta (expediente de prueba, folio</w:t>
      </w:r>
      <w:r>
        <w:rPr>
          <w:szCs w:val="16"/>
          <w:lang w:val="es-ES"/>
        </w:rPr>
        <w:t>s</w:t>
      </w:r>
      <w:r w:rsidRPr="00810E28">
        <w:rPr>
          <w:szCs w:val="16"/>
          <w:lang w:val="es-ES"/>
        </w:rPr>
        <w:t xml:space="preserve"> 2507 a 2508); </w:t>
      </w:r>
      <w:r>
        <w:rPr>
          <w:szCs w:val="16"/>
          <w:lang w:val="es-ES"/>
        </w:rPr>
        <w:t>d</w:t>
      </w:r>
      <w:r w:rsidRPr="00810E28">
        <w:rPr>
          <w:szCs w:val="16"/>
          <w:lang w:val="es-ES"/>
        </w:rPr>
        <w:t xml:space="preserve">eclaración </w:t>
      </w:r>
      <w:r w:rsidRPr="00810E28">
        <w:rPr>
          <w:szCs w:val="16"/>
          <w:lang w:val="es-CR"/>
        </w:rPr>
        <w:t xml:space="preserve">un suboficial de segunda GCR de </w:t>
      </w:r>
      <w:r w:rsidRPr="00810E28">
        <w:rPr>
          <w:szCs w:val="16"/>
          <w:lang w:val="es-ES"/>
        </w:rPr>
        <w:t xml:space="preserve">19 de abril de 1999 ante el Fiscal Provincial de </w:t>
      </w:r>
      <w:proofErr w:type="spellStart"/>
      <w:r w:rsidRPr="00810E28">
        <w:rPr>
          <w:szCs w:val="16"/>
          <w:lang w:val="es-ES"/>
        </w:rPr>
        <w:t>Angaraes</w:t>
      </w:r>
      <w:proofErr w:type="spellEnd"/>
      <w:r w:rsidRPr="00810E28">
        <w:rPr>
          <w:szCs w:val="16"/>
          <w:lang w:val="es-ES"/>
        </w:rPr>
        <w:t xml:space="preserve"> (expediente de prueba, folio</w:t>
      </w:r>
      <w:r>
        <w:rPr>
          <w:szCs w:val="16"/>
          <w:lang w:val="es-ES"/>
        </w:rPr>
        <w:t>s 2610 a 2612); d</w:t>
      </w:r>
      <w:r w:rsidRPr="00810E28">
        <w:rPr>
          <w:szCs w:val="16"/>
          <w:lang w:val="es-ES"/>
        </w:rPr>
        <w:t xml:space="preserve">eclaración </w:t>
      </w:r>
      <w:r w:rsidRPr="00810E28">
        <w:rPr>
          <w:szCs w:val="16"/>
          <w:lang w:val="es-CR"/>
        </w:rPr>
        <w:t>de AAR, suboficial de segunda,</w:t>
      </w:r>
      <w:r w:rsidRPr="00810E28">
        <w:rPr>
          <w:szCs w:val="16"/>
          <w:lang w:val="es-ES"/>
        </w:rPr>
        <w:t xml:space="preserve"> de 26 de marzo de 1999 ante el instructor de la oficina de investigación de la Comisaría de </w:t>
      </w:r>
      <w:proofErr w:type="spellStart"/>
      <w:r w:rsidRPr="00810E28">
        <w:rPr>
          <w:szCs w:val="16"/>
          <w:lang w:val="es-ES"/>
        </w:rPr>
        <w:t>Lircay</w:t>
      </w:r>
      <w:proofErr w:type="spellEnd"/>
      <w:r w:rsidRPr="00810E28">
        <w:rPr>
          <w:szCs w:val="16"/>
          <w:lang w:val="es-ES"/>
        </w:rPr>
        <w:t xml:space="preserve">, presente la Fiscal Provincial Mixta (expediente de prueba, </w:t>
      </w:r>
      <w:proofErr w:type="spellStart"/>
      <w:r w:rsidRPr="00810E28">
        <w:rPr>
          <w:szCs w:val="16"/>
          <w:lang w:val="es-ES"/>
        </w:rPr>
        <w:t>folio</w:t>
      </w:r>
      <w:r>
        <w:rPr>
          <w:szCs w:val="16"/>
          <w:lang w:val="es-ES"/>
        </w:rPr>
        <w:t>d</w:t>
      </w:r>
      <w:proofErr w:type="spellEnd"/>
      <w:r w:rsidRPr="00810E28">
        <w:rPr>
          <w:szCs w:val="16"/>
          <w:lang w:val="es-ES"/>
        </w:rPr>
        <w:t xml:space="preserve"> 2509 a 2510)</w:t>
      </w:r>
      <w:r w:rsidRPr="00810E28">
        <w:rPr>
          <w:szCs w:val="16"/>
          <w:lang w:val="es-CR"/>
        </w:rPr>
        <w:t xml:space="preserve">; </w:t>
      </w:r>
      <w:r>
        <w:rPr>
          <w:szCs w:val="16"/>
          <w:lang w:val="es-ES"/>
        </w:rPr>
        <w:t>d</w:t>
      </w:r>
      <w:r w:rsidRPr="00810E28">
        <w:rPr>
          <w:szCs w:val="16"/>
          <w:lang w:val="es-ES"/>
        </w:rPr>
        <w:t xml:space="preserve">eclaración de AAR, </w:t>
      </w:r>
      <w:r w:rsidRPr="00810E28">
        <w:rPr>
          <w:szCs w:val="16"/>
          <w:lang w:val="es-CR"/>
        </w:rPr>
        <w:t xml:space="preserve">suboficial de segunda </w:t>
      </w:r>
      <w:r w:rsidRPr="00810E28">
        <w:rPr>
          <w:szCs w:val="16"/>
          <w:lang w:val="es-ES"/>
        </w:rPr>
        <w:t xml:space="preserve">de 19 de abril de 1999 ante el Fiscal Provincial Mixto de </w:t>
      </w:r>
      <w:proofErr w:type="spellStart"/>
      <w:r w:rsidRPr="00810E28">
        <w:rPr>
          <w:szCs w:val="16"/>
          <w:lang w:val="es-ES"/>
        </w:rPr>
        <w:t>Angaraes</w:t>
      </w:r>
      <w:proofErr w:type="spellEnd"/>
      <w:r w:rsidRPr="00810E28">
        <w:rPr>
          <w:szCs w:val="16"/>
          <w:lang w:val="es-ES"/>
        </w:rPr>
        <w:t xml:space="preserve"> (expediente de prueba, folio</w:t>
      </w:r>
      <w:r>
        <w:rPr>
          <w:szCs w:val="16"/>
          <w:lang w:val="es-ES"/>
        </w:rPr>
        <w:t>s</w:t>
      </w:r>
      <w:r w:rsidRPr="00810E28">
        <w:rPr>
          <w:szCs w:val="16"/>
          <w:lang w:val="es-ES"/>
        </w:rPr>
        <w:t xml:space="preserve"> 2613</w:t>
      </w:r>
      <w:r>
        <w:rPr>
          <w:szCs w:val="16"/>
          <w:lang w:val="es-ES"/>
        </w:rPr>
        <w:t xml:space="preserve"> a 2617); d</w:t>
      </w:r>
      <w:r w:rsidRPr="00810E28">
        <w:rPr>
          <w:szCs w:val="16"/>
          <w:lang w:val="es-ES"/>
        </w:rPr>
        <w:t xml:space="preserve">eclaración del Capitán de la Policía Nacional RGN de 23 de marzo de 1999 ante el instructor de la oficina de investigación PNP, presente la Fiscal Provincial Mixta (expediente de prueba, folios 2512 a 2514); Declaración del Capitán de la Policía Nacional RGN de 23 de marzo de 1999 ante el instructor de la oficina de investigación PNP, presente la Fiscal Provincial Mixta (expediente de prueba, folios 2515 a 2516); </w:t>
      </w:r>
      <w:r>
        <w:rPr>
          <w:szCs w:val="16"/>
          <w:lang w:val="es-ES"/>
        </w:rPr>
        <w:t>d</w:t>
      </w:r>
      <w:r w:rsidRPr="00810E28">
        <w:rPr>
          <w:szCs w:val="16"/>
          <w:lang w:val="es-ES"/>
        </w:rPr>
        <w:t xml:space="preserve">eclaración del Capitán de la Policía Nacional RGN de 14 de abril de 1999 ante el Fiscal Provincial Mixto de </w:t>
      </w:r>
      <w:proofErr w:type="spellStart"/>
      <w:r w:rsidRPr="00810E28">
        <w:rPr>
          <w:szCs w:val="16"/>
          <w:lang w:val="es-ES"/>
        </w:rPr>
        <w:t>Angaraes</w:t>
      </w:r>
      <w:proofErr w:type="spellEnd"/>
      <w:r w:rsidRPr="00810E28">
        <w:rPr>
          <w:szCs w:val="16"/>
          <w:lang w:val="es-ES"/>
        </w:rPr>
        <w:t xml:space="preserve"> (expediente de prueba, folio</w:t>
      </w:r>
      <w:r>
        <w:rPr>
          <w:szCs w:val="16"/>
          <w:lang w:val="es-ES"/>
        </w:rPr>
        <w:t>s 2580 a 2584</w:t>
      </w:r>
      <w:r w:rsidRPr="00810E28">
        <w:rPr>
          <w:szCs w:val="16"/>
          <w:lang w:val="es-ES"/>
        </w:rPr>
        <w:t xml:space="preserve">); </w:t>
      </w:r>
      <w:r>
        <w:rPr>
          <w:szCs w:val="16"/>
          <w:lang w:val="es-ES"/>
        </w:rPr>
        <w:t>d</w:t>
      </w:r>
      <w:r w:rsidRPr="00810E28">
        <w:rPr>
          <w:szCs w:val="16"/>
          <w:lang w:val="es-ES"/>
        </w:rPr>
        <w:t xml:space="preserve">eclaración del suboficial técnico CVU de 26 de marzo de 1999 ante el instructor de la oficina de investigación de la Comisaría de </w:t>
      </w:r>
      <w:proofErr w:type="spellStart"/>
      <w:r w:rsidRPr="00810E28">
        <w:rPr>
          <w:szCs w:val="16"/>
          <w:lang w:val="es-ES"/>
        </w:rPr>
        <w:t>Lircay</w:t>
      </w:r>
      <w:proofErr w:type="spellEnd"/>
      <w:r w:rsidRPr="00810E28">
        <w:rPr>
          <w:szCs w:val="16"/>
          <w:lang w:val="es-ES"/>
        </w:rPr>
        <w:t xml:space="preserve">, presente la Fiscal Provincial Mixta (expediente de prueba, folios 2517 y 2518), y </w:t>
      </w:r>
      <w:r>
        <w:rPr>
          <w:szCs w:val="16"/>
          <w:lang w:val="es-ES"/>
        </w:rPr>
        <w:t>d</w:t>
      </w:r>
      <w:r w:rsidRPr="00810E28">
        <w:rPr>
          <w:szCs w:val="16"/>
          <w:lang w:val="es-ES"/>
        </w:rPr>
        <w:t>eclaración del</w:t>
      </w:r>
      <w:r w:rsidRPr="00810E28">
        <w:rPr>
          <w:szCs w:val="16"/>
          <w:lang w:val="es-CR"/>
        </w:rPr>
        <w:t xml:space="preserve"> suboficial de segunda PSL de</w:t>
      </w:r>
      <w:r w:rsidRPr="00810E28">
        <w:rPr>
          <w:szCs w:val="16"/>
          <w:lang w:val="es-ES"/>
        </w:rPr>
        <w:t xml:space="preserve"> 19 de abril de 1999 ante el Fiscal Provincial Mixto de </w:t>
      </w:r>
      <w:proofErr w:type="spellStart"/>
      <w:r w:rsidRPr="00810E28">
        <w:rPr>
          <w:szCs w:val="16"/>
          <w:lang w:val="es-ES"/>
        </w:rPr>
        <w:t>Angaraes</w:t>
      </w:r>
      <w:proofErr w:type="spellEnd"/>
      <w:r w:rsidRPr="00810E28">
        <w:rPr>
          <w:szCs w:val="16"/>
          <w:lang w:val="es-ES"/>
        </w:rPr>
        <w:t xml:space="preserve"> (expediente de prueba, folio 2608).</w:t>
      </w:r>
    </w:p>
  </w:footnote>
  <w:footnote w:id="54">
    <w:p w14:paraId="44A60B98" w14:textId="27BBEEFE"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Véase por ejemplo, </w:t>
      </w:r>
      <w:r w:rsidRPr="00810E28">
        <w:rPr>
          <w:szCs w:val="16"/>
          <w:lang w:val="es-ES"/>
        </w:rPr>
        <w:t xml:space="preserve">Declaración del conductor que transportó al alférez de la Mina de Recuperada a </w:t>
      </w:r>
      <w:proofErr w:type="spellStart"/>
      <w:r w:rsidRPr="00810E28">
        <w:rPr>
          <w:szCs w:val="16"/>
          <w:lang w:val="es-ES"/>
        </w:rPr>
        <w:t>Lircay</w:t>
      </w:r>
      <w:proofErr w:type="spellEnd"/>
      <w:r w:rsidRPr="00810E28">
        <w:rPr>
          <w:szCs w:val="16"/>
          <w:lang w:val="es-ES"/>
        </w:rPr>
        <w:t xml:space="preserve">  de 27 de marzo de 1999 ante el instructor de la oficina de investigación de la Comisaría de </w:t>
      </w:r>
      <w:proofErr w:type="spellStart"/>
      <w:r w:rsidRPr="00810E28">
        <w:rPr>
          <w:szCs w:val="16"/>
          <w:lang w:val="es-ES"/>
        </w:rPr>
        <w:t>Lircay</w:t>
      </w:r>
      <w:proofErr w:type="spellEnd"/>
      <w:r w:rsidRPr="00810E28">
        <w:rPr>
          <w:szCs w:val="16"/>
          <w:lang w:val="es-ES"/>
        </w:rPr>
        <w:t xml:space="preserve"> (expediente de prueba, folio</w:t>
      </w:r>
      <w:r>
        <w:rPr>
          <w:szCs w:val="16"/>
          <w:lang w:val="es-ES"/>
        </w:rPr>
        <w:t>s</w:t>
      </w:r>
      <w:r w:rsidRPr="00810E28">
        <w:rPr>
          <w:szCs w:val="16"/>
          <w:lang w:val="es-ES"/>
        </w:rPr>
        <w:t xml:space="preserve"> 2501</w:t>
      </w:r>
      <w:r>
        <w:rPr>
          <w:szCs w:val="16"/>
          <w:lang w:val="es-ES"/>
        </w:rPr>
        <w:t xml:space="preserve"> a 2502</w:t>
      </w:r>
      <w:r w:rsidRPr="00810E28">
        <w:rPr>
          <w:szCs w:val="16"/>
          <w:lang w:val="es-ES"/>
        </w:rPr>
        <w:t>)</w:t>
      </w:r>
      <w:r w:rsidRPr="00810E28">
        <w:rPr>
          <w:szCs w:val="16"/>
          <w:lang w:val="es-CR"/>
        </w:rPr>
        <w:t xml:space="preserve">; </w:t>
      </w:r>
      <w:r>
        <w:rPr>
          <w:szCs w:val="16"/>
          <w:lang w:val="es-ES"/>
        </w:rPr>
        <w:t>d</w:t>
      </w:r>
      <w:r w:rsidRPr="00810E28">
        <w:rPr>
          <w:szCs w:val="16"/>
          <w:lang w:val="es-ES"/>
        </w:rPr>
        <w:t xml:space="preserve">eclaración de uno de los inquilinos del hospedaje de 13 de abril de 1999 ante el Fiscal Provincial Mixto de </w:t>
      </w:r>
      <w:proofErr w:type="spellStart"/>
      <w:r w:rsidRPr="00810E28">
        <w:rPr>
          <w:szCs w:val="16"/>
          <w:lang w:val="es-ES"/>
        </w:rPr>
        <w:t>Angaraes</w:t>
      </w:r>
      <w:proofErr w:type="spellEnd"/>
      <w:r w:rsidRPr="00810E28">
        <w:rPr>
          <w:szCs w:val="16"/>
          <w:lang w:val="es-ES"/>
        </w:rPr>
        <w:t xml:space="preserve"> (expediente de prueba, folio</w:t>
      </w:r>
      <w:r>
        <w:rPr>
          <w:szCs w:val="16"/>
          <w:lang w:val="es-ES"/>
        </w:rPr>
        <w:t>s</w:t>
      </w:r>
      <w:r w:rsidRPr="00810E28">
        <w:rPr>
          <w:szCs w:val="16"/>
          <w:lang w:val="es-ES"/>
        </w:rPr>
        <w:t xml:space="preserve"> 2572</w:t>
      </w:r>
      <w:r>
        <w:rPr>
          <w:szCs w:val="16"/>
          <w:lang w:val="es-ES"/>
        </w:rPr>
        <w:t xml:space="preserve"> a 2575</w:t>
      </w:r>
      <w:r w:rsidRPr="00810E28">
        <w:rPr>
          <w:szCs w:val="16"/>
          <w:lang w:val="es-ES"/>
        </w:rPr>
        <w:t xml:space="preserve">); </w:t>
      </w:r>
      <w:r>
        <w:rPr>
          <w:szCs w:val="16"/>
          <w:lang w:val="es-CR"/>
        </w:rPr>
        <w:t>d</w:t>
      </w:r>
      <w:r w:rsidRPr="00810E28">
        <w:rPr>
          <w:szCs w:val="16"/>
          <w:lang w:val="es-CR"/>
        </w:rPr>
        <w:t>eclaraciones de tres</w:t>
      </w:r>
      <w:r>
        <w:rPr>
          <w:szCs w:val="16"/>
          <w:lang w:val="es-CR"/>
        </w:rPr>
        <w:t xml:space="preserve"> </w:t>
      </w:r>
      <w:r w:rsidRPr="00810E28">
        <w:rPr>
          <w:szCs w:val="16"/>
          <w:lang w:val="es-CR"/>
        </w:rPr>
        <w:t xml:space="preserve">conocidas de Gladys Escobar </w:t>
      </w:r>
      <w:proofErr w:type="spellStart"/>
      <w:r w:rsidRPr="00810E28">
        <w:rPr>
          <w:szCs w:val="16"/>
          <w:lang w:val="es-CR"/>
        </w:rPr>
        <w:t>Candiotti</w:t>
      </w:r>
      <w:proofErr w:type="spellEnd"/>
      <w:r w:rsidRPr="00810E28">
        <w:rPr>
          <w:szCs w:val="16"/>
          <w:lang w:val="es-CR"/>
        </w:rPr>
        <w:t xml:space="preserve"> de 5 de abril de 1999 ante </w:t>
      </w:r>
      <w:r w:rsidRPr="00810E28">
        <w:rPr>
          <w:szCs w:val="16"/>
          <w:lang w:val="es-ES"/>
        </w:rPr>
        <w:t xml:space="preserve">el instructor de la oficina de investigación PNP, presente el Fiscal Provincial Mixto de </w:t>
      </w:r>
      <w:proofErr w:type="spellStart"/>
      <w:r w:rsidRPr="00810E28">
        <w:rPr>
          <w:szCs w:val="16"/>
          <w:lang w:val="es-ES"/>
        </w:rPr>
        <w:t>Angaraes</w:t>
      </w:r>
      <w:proofErr w:type="spellEnd"/>
      <w:r w:rsidRPr="00810E28">
        <w:rPr>
          <w:szCs w:val="16"/>
          <w:lang w:val="es-ES"/>
        </w:rPr>
        <w:t xml:space="preserve"> (expediente de prueba, folios 2504, 2505 y 2506), y </w:t>
      </w:r>
      <w:r>
        <w:rPr>
          <w:szCs w:val="16"/>
          <w:lang w:val="es-ES"/>
        </w:rPr>
        <w:t>d</w:t>
      </w:r>
      <w:r w:rsidRPr="00810E28">
        <w:rPr>
          <w:szCs w:val="16"/>
          <w:lang w:val="es-ES"/>
        </w:rPr>
        <w:t xml:space="preserve">eclaración de un suboficial de la </w:t>
      </w:r>
      <w:proofErr w:type="spellStart"/>
      <w:r w:rsidRPr="00810E28">
        <w:rPr>
          <w:szCs w:val="16"/>
          <w:lang w:val="es-ES"/>
        </w:rPr>
        <w:t>policia</w:t>
      </w:r>
      <w:proofErr w:type="spellEnd"/>
      <w:r w:rsidRPr="00810E28">
        <w:rPr>
          <w:szCs w:val="16"/>
          <w:lang w:val="es-ES"/>
        </w:rPr>
        <w:t xml:space="preserve"> de 26 de marzo de 1999 ante el instructor de la oficina de investigación de la Comisaría de </w:t>
      </w:r>
      <w:proofErr w:type="spellStart"/>
      <w:r w:rsidRPr="00810E28">
        <w:rPr>
          <w:szCs w:val="16"/>
          <w:lang w:val="es-ES"/>
        </w:rPr>
        <w:t>Lircay</w:t>
      </w:r>
      <w:proofErr w:type="spellEnd"/>
      <w:r w:rsidRPr="00810E28">
        <w:rPr>
          <w:szCs w:val="16"/>
          <w:lang w:val="es-ES"/>
        </w:rPr>
        <w:t>, presente la Fiscal Provincial Mixta (expediente de prueba, folio 2527 a 2528)</w:t>
      </w:r>
      <w:r>
        <w:rPr>
          <w:szCs w:val="16"/>
          <w:lang w:val="es-ES"/>
        </w:rPr>
        <w:t>.</w:t>
      </w:r>
    </w:p>
  </w:footnote>
  <w:footnote w:id="55">
    <w:p w14:paraId="11A6B553" w14:textId="77777777"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lang w:val="es-CR"/>
        </w:rPr>
        <w:t xml:space="preserve"> </w:t>
      </w:r>
      <w:r w:rsidRPr="00810E28">
        <w:rPr>
          <w:rFonts w:cs="Arial"/>
          <w:szCs w:val="16"/>
          <w:lang w:val="es-CR"/>
        </w:rPr>
        <w:tab/>
      </w:r>
      <w:r w:rsidRPr="00810E28">
        <w:rPr>
          <w:rFonts w:cs="Arial"/>
          <w:i/>
          <w:szCs w:val="16"/>
          <w:lang w:val="es-CR"/>
        </w:rPr>
        <w:t>Cfr.</w:t>
      </w:r>
      <w:r w:rsidRPr="00810E28">
        <w:rPr>
          <w:rFonts w:cs="Arial"/>
          <w:szCs w:val="16"/>
          <w:lang w:val="es-CR"/>
        </w:rPr>
        <w:t xml:space="preserve"> Denuncia Formal presentada por el Fiscal Provincial de </w:t>
      </w:r>
      <w:proofErr w:type="spellStart"/>
      <w:r w:rsidRPr="00810E28">
        <w:rPr>
          <w:rFonts w:cs="Arial"/>
          <w:szCs w:val="16"/>
          <w:lang w:val="es-CR"/>
        </w:rPr>
        <w:t>Angaraes</w:t>
      </w:r>
      <w:proofErr w:type="spellEnd"/>
      <w:r w:rsidRPr="00810E28">
        <w:rPr>
          <w:rFonts w:cs="Arial"/>
          <w:szCs w:val="16"/>
          <w:lang w:val="es-CR"/>
        </w:rPr>
        <w:t xml:space="preserve"> el 23 de abril de 1999 (expediente de prueba, folios 172 a 176).</w:t>
      </w:r>
    </w:p>
  </w:footnote>
  <w:footnote w:id="56">
    <w:p w14:paraId="4386F590" w14:textId="03FBD100"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rPr>
        <w:t xml:space="preserve"> </w:t>
      </w:r>
      <w:r w:rsidRPr="00810E28">
        <w:rPr>
          <w:rFonts w:cs="Arial"/>
          <w:szCs w:val="16"/>
          <w:lang w:val="es-CR"/>
        </w:rPr>
        <w:t xml:space="preserve"> </w:t>
      </w:r>
      <w:r w:rsidRPr="00810E28">
        <w:rPr>
          <w:rFonts w:cs="Arial"/>
          <w:szCs w:val="16"/>
          <w:lang w:val="es-CR"/>
        </w:rPr>
        <w:tab/>
      </w:r>
      <w:r w:rsidRPr="00810E28">
        <w:rPr>
          <w:rFonts w:cs="Arial"/>
          <w:i/>
          <w:szCs w:val="16"/>
          <w:lang w:val="es-CR"/>
        </w:rPr>
        <w:t>Cfr.</w:t>
      </w:r>
      <w:r w:rsidRPr="00810E28">
        <w:rPr>
          <w:rFonts w:cs="Arial"/>
          <w:szCs w:val="16"/>
          <w:lang w:val="es-CR"/>
        </w:rPr>
        <w:t xml:space="preserve"> Auto de apertura de instrucción de 26 de abril de 1999 (expediente de prueba, folio</w:t>
      </w:r>
      <w:r>
        <w:rPr>
          <w:rFonts w:cs="Arial"/>
          <w:szCs w:val="16"/>
          <w:lang w:val="es-CR"/>
        </w:rPr>
        <w:t>s 178 a 180</w:t>
      </w:r>
      <w:r w:rsidRPr="00810E28">
        <w:rPr>
          <w:rFonts w:cs="Arial"/>
          <w:szCs w:val="16"/>
          <w:lang w:val="es-CR"/>
        </w:rPr>
        <w:t>).</w:t>
      </w:r>
    </w:p>
  </w:footnote>
  <w:footnote w:id="57">
    <w:p w14:paraId="2B8768EF" w14:textId="77777777"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rPr>
        <w:t xml:space="preserve"> </w:t>
      </w:r>
      <w:r w:rsidRPr="00810E28">
        <w:rPr>
          <w:rFonts w:cs="Arial"/>
          <w:sz w:val="16"/>
          <w:szCs w:val="16"/>
          <w:lang w:val="es-CR"/>
        </w:rPr>
        <w:t xml:space="preserve">  </w:t>
      </w:r>
      <w:r w:rsidRPr="00810E28">
        <w:rPr>
          <w:rFonts w:cs="Arial"/>
          <w:sz w:val="16"/>
          <w:szCs w:val="16"/>
          <w:lang w:val="es-CR"/>
        </w:rPr>
        <w:tab/>
      </w:r>
      <w:r w:rsidRPr="00810E28">
        <w:rPr>
          <w:rFonts w:cs="Arial"/>
          <w:i/>
          <w:sz w:val="16"/>
          <w:szCs w:val="16"/>
          <w:lang w:val="es-CR"/>
        </w:rPr>
        <w:t>Cfr.</w:t>
      </w:r>
      <w:r w:rsidRPr="00810E28">
        <w:rPr>
          <w:rFonts w:cs="Arial"/>
          <w:sz w:val="16"/>
          <w:szCs w:val="16"/>
          <w:lang w:val="es-CR"/>
        </w:rPr>
        <w:t xml:space="preserve"> Resolución de la Fiscalía Superior de Gestión de Gobierno del Distrito Judicial de Huancavelica de 3 de mayo de 1999 (expediente de prueba, folio 170).</w:t>
      </w:r>
    </w:p>
  </w:footnote>
  <w:footnote w:id="58">
    <w:p w14:paraId="04D16794" w14:textId="77777777"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rFonts w:cs="Arial"/>
          <w:i/>
          <w:szCs w:val="16"/>
          <w:lang w:val="es-CR"/>
        </w:rPr>
        <w:t xml:space="preserve"> </w:t>
      </w:r>
      <w:r w:rsidRPr="00810E28">
        <w:rPr>
          <w:rFonts w:cs="Arial"/>
          <w:i/>
          <w:szCs w:val="16"/>
          <w:lang w:val="es-CR"/>
        </w:rPr>
        <w:tab/>
        <w:t xml:space="preserve">Cfr. </w:t>
      </w:r>
      <w:r w:rsidRPr="00810E28">
        <w:rPr>
          <w:rFonts w:cs="Arial"/>
          <w:szCs w:val="16"/>
          <w:lang w:val="es-CR"/>
        </w:rPr>
        <w:t xml:space="preserve">Ampliación de denuncia penal presentada por el Fiscal Provincial de </w:t>
      </w:r>
      <w:proofErr w:type="spellStart"/>
      <w:r w:rsidRPr="00810E28">
        <w:rPr>
          <w:rFonts w:cs="Arial"/>
          <w:szCs w:val="16"/>
          <w:lang w:val="es-CR"/>
        </w:rPr>
        <w:t>Angaraes</w:t>
      </w:r>
      <w:proofErr w:type="spellEnd"/>
      <w:r w:rsidRPr="00810E28">
        <w:rPr>
          <w:rFonts w:cs="Arial"/>
          <w:szCs w:val="16"/>
          <w:lang w:val="es-CR"/>
        </w:rPr>
        <w:t xml:space="preserve"> el 17 de junio de 1999 (expediente de prueba, folios 253 y 254).</w:t>
      </w:r>
    </w:p>
  </w:footnote>
  <w:footnote w:id="59">
    <w:p w14:paraId="707F4891" w14:textId="2068FA7E"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rPr>
        <w:t xml:space="preserve"> </w:t>
      </w:r>
      <w:r w:rsidRPr="00810E28">
        <w:rPr>
          <w:rFonts w:cs="Arial"/>
          <w:szCs w:val="16"/>
          <w:lang w:val="es-CR"/>
        </w:rPr>
        <w:t xml:space="preserve">  </w:t>
      </w:r>
      <w:r w:rsidRPr="00810E28">
        <w:rPr>
          <w:rFonts w:cs="Arial"/>
          <w:szCs w:val="16"/>
          <w:lang w:val="es-CR"/>
        </w:rPr>
        <w:tab/>
      </w:r>
      <w:r w:rsidRPr="00810E28">
        <w:rPr>
          <w:rFonts w:cs="Arial"/>
          <w:i/>
          <w:szCs w:val="16"/>
          <w:lang w:val="es-CR"/>
        </w:rPr>
        <w:t>Cfr.</w:t>
      </w:r>
      <w:r w:rsidRPr="00810E28">
        <w:rPr>
          <w:rFonts w:cs="Arial"/>
          <w:szCs w:val="16"/>
          <w:lang w:val="es-CR"/>
        </w:rPr>
        <w:t xml:space="preserve"> Ampliación de instrucción </w:t>
      </w:r>
      <w:r w:rsidRPr="003E57AB">
        <w:rPr>
          <w:rFonts w:cs="Arial"/>
          <w:szCs w:val="16"/>
          <w:lang w:val="es-CR"/>
        </w:rPr>
        <w:t xml:space="preserve">emitida por el juzgado mixto de </w:t>
      </w:r>
      <w:proofErr w:type="spellStart"/>
      <w:r w:rsidRPr="003E57AB">
        <w:rPr>
          <w:rFonts w:cs="Arial"/>
          <w:szCs w:val="16"/>
          <w:lang w:val="es-CR"/>
        </w:rPr>
        <w:t>Angaraes</w:t>
      </w:r>
      <w:proofErr w:type="spellEnd"/>
      <w:r w:rsidRPr="003E57AB">
        <w:rPr>
          <w:rFonts w:cs="Arial"/>
          <w:szCs w:val="16"/>
          <w:lang w:val="es-CR"/>
        </w:rPr>
        <w:t xml:space="preserve"> de 24 de junio de 1999 (expediente de prueba, folio</w:t>
      </w:r>
      <w:r>
        <w:rPr>
          <w:rFonts w:cs="Arial"/>
          <w:szCs w:val="16"/>
          <w:lang w:val="es-CR"/>
        </w:rPr>
        <w:t>s</w:t>
      </w:r>
      <w:r w:rsidRPr="003E57AB">
        <w:rPr>
          <w:rFonts w:cs="Arial"/>
          <w:szCs w:val="16"/>
          <w:lang w:val="es-CR"/>
        </w:rPr>
        <w:t xml:space="preserve"> 182 y 183).</w:t>
      </w:r>
    </w:p>
  </w:footnote>
  <w:footnote w:id="60">
    <w:p w14:paraId="5E0FDE88" w14:textId="1771FCB2"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rPr>
        <w:t xml:space="preserve"> </w:t>
      </w:r>
      <w:r w:rsidRPr="00810E28">
        <w:rPr>
          <w:rFonts w:cs="Arial"/>
          <w:sz w:val="16"/>
          <w:szCs w:val="16"/>
          <w:lang w:val="es-CR"/>
        </w:rPr>
        <w:t xml:space="preserve"> </w:t>
      </w:r>
      <w:r w:rsidRPr="00810E28">
        <w:rPr>
          <w:rFonts w:cs="Arial"/>
          <w:sz w:val="16"/>
          <w:szCs w:val="16"/>
          <w:lang w:val="es-CR"/>
        </w:rPr>
        <w:tab/>
        <w:t>Específicamente de</w:t>
      </w:r>
      <w:r w:rsidRPr="00810E28">
        <w:rPr>
          <w:rFonts w:cs="Cambria"/>
          <w:sz w:val="16"/>
          <w:szCs w:val="16"/>
          <w:lang w:val="es-CR"/>
        </w:rPr>
        <w:t xml:space="preserve">l Alférez de la Policía Nacional, CGV, el suboficial técnico de tercera, CVU, el suboficial de segunda, GCR, y un suboficial técnico, PSL. </w:t>
      </w:r>
      <w:r w:rsidRPr="00810E28">
        <w:rPr>
          <w:rFonts w:cs="Arial"/>
          <w:i/>
          <w:sz w:val="16"/>
          <w:szCs w:val="16"/>
          <w:lang w:val="es-CR"/>
        </w:rPr>
        <w:t>Cfr.</w:t>
      </w:r>
      <w:r w:rsidRPr="00810E28">
        <w:rPr>
          <w:rFonts w:cs="Arial"/>
          <w:sz w:val="16"/>
          <w:szCs w:val="16"/>
          <w:lang w:val="es-CR"/>
        </w:rPr>
        <w:t xml:space="preserve"> Informe del Responsable de la Oficina de </w:t>
      </w:r>
      <w:proofErr w:type="spellStart"/>
      <w:r w:rsidRPr="00810E28">
        <w:rPr>
          <w:rFonts w:cs="Arial"/>
          <w:sz w:val="16"/>
          <w:szCs w:val="16"/>
          <w:lang w:val="es-CR"/>
        </w:rPr>
        <w:t>Defensorial</w:t>
      </w:r>
      <w:proofErr w:type="spellEnd"/>
      <w:r w:rsidRPr="00810E28">
        <w:rPr>
          <w:rFonts w:cs="Arial"/>
          <w:sz w:val="16"/>
          <w:szCs w:val="16"/>
          <w:lang w:val="es-CR"/>
        </w:rPr>
        <w:t xml:space="preserve"> de Huancavelica de 8 de octubre de 1999 (expediente de prueba, folio 235). </w:t>
      </w:r>
    </w:p>
  </w:footnote>
  <w:footnote w:id="61">
    <w:p w14:paraId="21D8EAFD" w14:textId="15843E6F"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rPr>
        <w:t xml:space="preserve"> </w:t>
      </w:r>
      <w:r w:rsidRPr="00810E28">
        <w:rPr>
          <w:rFonts w:cs="Arial"/>
          <w:szCs w:val="16"/>
          <w:lang w:val="es-CR"/>
        </w:rPr>
        <w:t xml:space="preserve">  </w:t>
      </w:r>
      <w:r w:rsidRPr="00810E28">
        <w:rPr>
          <w:rFonts w:cs="Arial"/>
          <w:szCs w:val="16"/>
          <w:lang w:val="es-CR"/>
        </w:rPr>
        <w:tab/>
        <w:t xml:space="preserve">Inicialmente, la acusación se formuló el 1 de junio de 2000 contra cinco de los oficiales y se indicó que no había mérito para pasar a juicio oral respecto del oficial restante. </w:t>
      </w:r>
      <w:r w:rsidRPr="00810E28">
        <w:rPr>
          <w:rFonts w:cs="Cambria"/>
          <w:szCs w:val="16"/>
          <w:lang w:val="es-CR"/>
        </w:rPr>
        <w:t>El 6 de julio del 2000 la Fiscalía Suprema solicitó a la Sala Mixta de la Corte Superior de Justicia de Huancavelica que remitiese “los actuados al Fiscal Superior a efectos de que formule acusación [contra del oficial restante]. Por lo que el 7 de agosto de 2000 la Fiscalía Superior Mixta de Huancavelica formuló acusación sustancial contra el suboficial técnico de tercera CVU.</w:t>
      </w:r>
      <w:r w:rsidRPr="00810E28">
        <w:rPr>
          <w:rFonts w:cs="Arial"/>
          <w:szCs w:val="16"/>
          <w:lang w:val="es-CR"/>
        </w:rPr>
        <w:t xml:space="preserve"> </w:t>
      </w:r>
      <w:r w:rsidRPr="00810E28">
        <w:rPr>
          <w:rFonts w:cs="Arial"/>
          <w:i/>
          <w:szCs w:val="16"/>
          <w:lang w:val="es-CR"/>
        </w:rPr>
        <w:t>Cfr.</w:t>
      </w:r>
      <w:r w:rsidRPr="00810E28">
        <w:rPr>
          <w:rFonts w:cs="Arial"/>
          <w:szCs w:val="16"/>
          <w:lang w:val="es-CR"/>
        </w:rPr>
        <w:t xml:space="preserve"> Dictamen Acusatorio del Fiscal Superior de 1 de junio de 2000 (expediente de prueba, folios 191 y 192); </w:t>
      </w:r>
      <w:r w:rsidRPr="00810E28">
        <w:rPr>
          <w:rFonts w:cs="Arial"/>
          <w:szCs w:val="16"/>
          <w:lang w:val="es-CL"/>
        </w:rPr>
        <w:t xml:space="preserve">Solicitud de la Fiscalía Suprema en lo Penal de 6 de julio de 2000 (expediente de prueba, folio 1684), y </w:t>
      </w:r>
      <w:r w:rsidRPr="00810E28">
        <w:rPr>
          <w:rFonts w:cs="Arial"/>
          <w:szCs w:val="16"/>
          <w:lang w:val="es-CR"/>
        </w:rPr>
        <w:t xml:space="preserve">Dictamen Acusatorio del Fiscal Superior de 7 de agosto de 2000 (expediente de prueba, folios 195 y 196). </w:t>
      </w:r>
    </w:p>
  </w:footnote>
  <w:footnote w:id="62">
    <w:p w14:paraId="19BBAEC0"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i/>
          <w:szCs w:val="16"/>
          <w:lang w:val="es-CR"/>
        </w:rPr>
        <w:t>Cfr.</w:t>
      </w:r>
      <w:r w:rsidRPr="00810E28">
        <w:rPr>
          <w:szCs w:val="16"/>
          <w:lang w:val="es-CR"/>
        </w:rPr>
        <w:t xml:space="preserve"> Resolución de 14 de agosto de 2000 (expediente de prueba, folios 198 y 199).</w:t>
      </w:r>
    </w:p>
  </w:footnote>
  <w:footnote w:id="63">
    <w:p w14:paraId="502BB020" w14:textId="6F2937B2"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Pr>
          <w:szCs w:val="16"/>
          <w:lang w:val="es-CR"/>
        </w:rPr>
        <w:t>Véase la lista de las diligencias realizadas en</w:t>
      </w:r>
      <w:r w:rsidRPr="00810E28">
        <w:rPr>
          <w:rFonts w:cs="Arial"/>
          <w:szCs w:val="16"/>
          <w:lang w:val="es-CR"/>
        </w:rPr>
        <w:t xml:space="preserve"> Sentencia de la Sala Mixta de la Corte Superior de Justicia de Huancavelica de 15 de febrero de 2001 (expediente de prueba, folios 97 a 100).</w:t>
      </w:r>
    </w:p>
  </w:footnote>
  <w:footnote w:id="64">
    <w:p w14:paraId="37109431" w14:textId="7A52E1FA"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lang w:val="es-CR"/>
        </w:rPr>
        <w:t xml:space="preserve"> </w:t>
      </w:r>
      <w:r w:rsidRPr="00810E28">
        <w:rPr>
          <w:rFonts w:cs="Arial"/>
          <w:sz w:val="16"/>
          <w:szCs w:val="16"/>
          <w:lang w:val="es-CR"/>
        </w:rPr>
        <w:t xml:space="preserve">    </w:t>
      </w:r>
      <w:r w:rsidRPr="00810E28">
        <w:rPr>
          <w:rFonts w:cs="Arial"/>
          <w:i/>
          <w:sz w:val="16"/>
          <w:szCs w:val="16"/>
          <w:lang w:val="es-CR"/>
        </w:rPr>
        <w:t>Cfr.</w:t>
      </w:r>
      <w:r w:rsidRPr="00810E28">
        <w:rPr>
          <w:rFonts w:cs="Arial"/>
          <w:sz w:val="16"/>
          <w:szCs w:val="16"/>
          <w:lang w:val="es-CR"/>
        </w:rPr>
        <w:t xml:space="preserve"> Sentencia de la Sala Mixta de la Corte Superior de Justicia de Huancavelica de 15 de febrero de 2001 (expediente de prueba, folio 118).</w:t>
      </w:r>
    </w:p>
  </w:footnote>
  <w:footnote w:id="65">
    <w:p w14:paraId="1211EA1B" w14:textId="065F7651" w:rsidR="006B6A4E" w:rsidRPr="00810E28" w:rsidRDefault="006B6A4E" w:rsidP="00810E28">
      <w:pPr>
        <w:tabs>
          <w:tab w:val="left" w:pos="284"/>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lang w:val="es-CR"/>
        </w:rPr>
        <w:t xml:space="preserve"> </w:t>
      </w:r>
      <w:r w:rsidRPr="00810E28">
        <w:rPr>
          <w:rFonts w:cs="Arial"/>
          <w:sz w:val="16"/>
          <w:szCs w:val="16"/>
          <w:lang w:val="es-CR"/>
        </w:rPr>
        <w:t xml:space="preserve">    </w:t>
      </w:r>
      <w:r w:rsidRPr="00810E28">
        <w:rPr>
          <w:rFonts w:cs="Arial"/>
          <w:i/>
          <w:sz w:val="16"/>
          <w:szCs w:val="16"/>
          <w:lang w:val="es-CR"/>
        </w:rPr>
        <w:t>Cfr.</w:t>
      </w:r>
      <w:r w:rsidRPr="00810E28">
        <w:rPr>
          <w:rFonts w:cs="Arial"/>
          <w:sz w:val="16"/>
          <w:szCs w:val="16"/>
          <w:lang w:val="es-CR"/>
        </w:rPr>
        <w:t xml:space="preserve"> Sentencia de la Sala Mixta de la Corte Superior de Justicia de Huancavelica de 15 de febrero de 2001 (expediente de prueba, folio 118)</w:t>
      </w:r>
      <w:r>
        <w:rPr>
          <w:rFonts w:cs="Arial"/>
          <w:sz w:val="16"/>
          <w:szCs w:val="16"/>
          <w:lang w:val="es-CR"/>
        </w:rPr>
        <w:t>.</w:t>
      </w:r>
    </w:p>
  </w:footnote>
  <w:footnote w:id="66">
    <w:p w14:paraId="544EBA2A" w14:textId="15CC29E1"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lang w:val="es-CR"/>
        </w:rPr>
        <w:t xml:space="preserve"> </w:t>
      </w:r>
      <w:r w:rsidRPr="00810E28">
        <w:rPr>
          <w:rFonts w:cs="Arial"/>
          <w:sz w:val="16"/>
          <w:szCs w:val="16"/>
          <w:lang w:val="es-CR"/>
        </w:rPr>
        <w:t xml:space="preserve">    </w:t>
      </w:r>
      <w:r w:rsidRPr="00810E28">
        <w:rPr>
          <w:rFonts w:cs="Arial"/>
          <w:i/>
          <w:sz w:val="16"/>
          <w:szCs w:val="16"/>
          <w:lang w:val="es-CR"/>
        </w:rPr>
        <w:t>Cfr.</w:t>
      </w:r>
      <w:r w:rsidRPr="00810E28">
        <w:rPr>
          <w:rFonts w:cs="Arial"/>
          <w:sz w:val="16"/>
          <w:szCs w:val="16"/>
          <w:lang w:val="es-CR"/>
        </w:rPr>
        <w:t xml:space="preserve"> Sentencia de la Sala Mixta de la Corte Superior de Justicia de Huancavelica de 15 de febrero de 2001 (expediente de prueba, folios 118 y 119).</w:t>
      </w:r>
    </w:p>
  </w:footnote>
  <w:footnote w:id="67">
    <w:p w14:paraId="7071B95B" w14:textId="5C1992AE"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 </w:t>
      </w:r>
      <w:r w:rsidRPr="00810E28">
        <w:rPr>
          <w:i/>
          <w:szCs w:val="16"/>
        </w:rPr>
        <w:t>Cfr.</w:t>
      </w:r>
      <w:r w:rsidRPr="00810E28">
        <w:rPr>
          <w:szCs w:val="16"/>
        </w:rPr>
        <w:t xml:space="preserve"> Recurso interpuesto por la fiscalía el 23 de abril de 2001 (expediente de prueba, folios 590 a</w:t>
      </w:r>
      <w:r>
        <w:rPr>
          <w:szCs w:val="16"/>
        </w:rPr>
        <w:t xml:space="preserve"> </w:t>
      </w:r>
      <w:r w:rsidRPr="00810E28">
        <w:rPr>
          <w:szCs w:val="16"/>
        </w:rPr>
        <w:t>593)</w:t>
      </w:r>
      <w:r>
        <w:rPr>
          <w:szCs w:val="16"/>
        </w:rPr>
        <w:t>.</w:t>
      </w:r>
    </w:p>
  </w:footnote>
  <w:footnote w:id="68">
    <w:p w14:paraId="62B2E893" w14:textId="4DB87BE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i/>
          <w:szCs w:val="16"/>
        </w:rPr>
        <w:t>Cfr.</w:t>
      </w:r>
      <w:r w:rsidRPr="00810E28">
        <w:rPr>
          <w:szCs w:val="16"/>
        </w:rPr>
        <w:t xml:space="preserve"> </w:t>
      </w:r>
      <w:r w:rsidRPr="00810E28">
        <w:rPr>
          <w:szCs w:val="16"/>
          <w:lang w:val="es-CR"/>
        </w:rPr>
        <w:t>Resolución de la Sala Penal de la Corte Suprema de Justicia de 13 de diciembre del 2001 (expediente de prueba, folio 202).</w:t>
      </w:r>
    </w:p>
  </w:footnote>
  <w:footnote w:id="69">
    <w:p w14:paraId="1993C353" w14:textId="02E80DBC"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i/>
          <w:szCs w:val="16"/>
        </w:rPr>
        <w:t>Cfr.</w:t>
      </w:r>
      <w:r w:rsidRPr="00810E28">
        <w:rPr>
          <w:szCs w:val="16"/>
        </w:rPr>
        <w:t xml:space="preserve"> </w:t>
      </w:r>
      <w:r w:rsidRPr="00810E28">
        <w:rPr>
          <w:szCs w:val="16"/>
          <w:lang w:val="es-CR"/>
        </w:rPr>
        <w:t>Resolución de la Sala Penal de la Corte Suprema de Justicia de 13 de diciembre del 2001 (expediente de prueba, folio 20</w:t>
      </w:r>
      <w:r>
        <w:rPr>
          <w:szCs w:val="16"/>
          <w:lang w:val="es-CR"/>
        </w:rPr>
        <w:t>1</w:t>
      </w:r>
      <w:r w:rsidRPr="00810E28">
        <w:rPr>
          <w:szCs w:val="16"/>
          <w:lang w:val="es-CR"/>
        </w:rPr>
        <w:t>).</w:t>
      </w:r>
    </w:p>
  </w:footnote>
  <w:footnote w:id="70">
    <w:p w14:paraId="54548E3D" w14:textId="03FEDA8F"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szCs w:val="16"/>
        </w:rPr>
        <w:footnoteRef/>
      </w:r>
      <w:r w:rsidRPr="00810E28">
        <w:rPr>
          <w:sz w:val="16"/>
          <w:szCs w:val="16"/>
        </w:rPr>
        <w:t xml:space="preserve">     </w:t>
      </w:r>
      <w:r w:rsidRPr="00810E28">
        <w:rPr>
          <w:rFonts w:cs="Arial"/>
          <w:i/>
          <w:sz w:val="16"/>
          <w:szCs w:val="16"/>
          <w:lang w:val="es-CR"/>
        </w:rPr>
        <w:t>Cfr.</w:t>
      </w:r>
      <w:r w:rsidRPr="00810E28">
        <w:rPr>
          <w:rFonts w:cs="Arial"/>
          <w:sz w:val="16"/>
          <w:szCs w:val="16"/>
          <w:lang w:val="es-CR"/>
        </w:rPr>
        <w:t xml:space="preserve"> </w:t>
      </w:r>
      <w:r w:rsidRPr="00810E28">
        <w:rPr>
          <w:sz w:val="16"/>
          <w:szCs w:val="16"/>
        </w:rPr>
        <w:t xml:space="preserve">Sentencia de la Sala Mixta de la Corte Superior de Justicia de Huancavelica de 25 de mayo de 2004 </w:t>
      </w:r>
      <w:r w:rsidRPr="00810E28">
        <w:rPr>
          <w:sz w:val="16"/>
          <w:szCs w:val="16"/>
          <w:lang w:val="es-CR"/>
        </w:rPr>
        <w:t xml:space="preserve">(expediente de prueba, </w:t>
      </w:r>
      <w:r w:rsidRPr="00810E28">
        <w:rPr>
          <w:rFonts w:cs="Arial"/>
          <w:sz w:val="16"/>
          <w:szCs w:val="16"/>
          <w:lang w:val="es-CR"/>
        </w:rPr>
        <w:t>folio 69).</w:t>
      </w:r>
    </w:p>
  </w:footnote>
  <w:footnote w:id="71">
    <w:p w14:paraId="4AE1AD79" w14:textId="6313524D"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szCs w:val="16"/>
        </w:rPr>
        <w:footnoteRef/>
      </w:r>
      <w:r w:rsidRPr="00810E28">
        <w:rPr>
          <w:sz w:val="16"/>
          <w:szCs w:val="16"/>
        </w:rPr>
        <w:t xml:space="preserve">     </w:t>
      </w:r>
      <w:r w:rsidRPr="00810E28">
        <w:rPr>
          <w:rFonts w:cs="Arial"/>
          <w:i/>
          <w:sz w:val="16"/>
          <w:szCs w:val="16"/>
          <w:lang w:val="es-CR"/>
        </w:rPr>
        <w:t>Cfr.</w:t>
      </w:r>
      <w:r w:rsidRPr="00810E28">
        <w:rPr>
          <w:rFonts w:cs="Arial"/>
          <w:sz w:val="16"/>
          <w:szCs w:val="16"/>
          <w:lang w:val="es-CR"/>
        </w:rPr>
        <w:t xml:space="preserve"> </w:t>
      </w:r>
      <w:r w:rsidRPr="00810E28">
        <w:rPr>
          <w:sz w:val="16"/>
          <w:szCs w:val="16"/>
        </w:rPr>
        <w:t xml:space="preserve">Sentencia de la Sala Mixta de la Corte Superior de Justicia de Huancavelica de 25 de mayo de 2004 </w:t>
      </w:r>
      <w:r w:rsidRPr="00810E28">
        <w:rPr>
          <w:sz w:val="16"/>
          <w:szCs w:val="16"/>
          <w:lang w:val="es-CR"/>
        </w:rPr>
        <w:t xml:space="preserve"> (expediente de prueba, </w:t>
      </w:r>
      <w:r w:rsidRPr="00810E28">
        <w:rPr>
          <w:rFonts w:cs="Arial"/>
          <w:sz w:val="16"/>
          <w:szCs w:val="16"/>
          <w:lang w:val="es-CR"/>
        </w:rPr>
        <w:t>folios 62 y 63).</w:t>
      </w:r>
    </w:p>
  </w:footnote>
  <w:footnote w:id="72">
    <w:p w14:paraId="4EC8E9B3" w14:textId="7387DC58"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szCs w:val="16"/>
        </w:rPr>
        <w:footnoteRef/>
      </w:r>
      <w:r w:rsidRPr="00810E28">
        <w:rPr>
          <w:sz w:val="16"/>
          <w:szCs w:val="16"/>
        </w:rPr>
        <w:t xml:space="preserve">    Sentencia de la Sala Mixta de la Corte Superior de Justicia de Huancavelica de 25 de mayo de 2004 </w:t>
      </w:r>
      <w:r w:rsidRPr="00810E28">
        <w:rPr>
          <w:sz w:val="16"/>
          <w:szCs w:val="16"/>
          <w:lang w:val="es-CR"/>
        </w:rPr>
        <w:t xml:space="preserve">(expediente de prueba, </w:t>
      </w:r>
      <w:r w:rsidRPr="00810E28">
        <w:rPr>
          <w:rFonts w:cs="Arial"/>
          <w:sz w:val="16"/>
          <w:szCs w:val="16"/>
          <w:lang w:val="es-CR"/>
        </w:rPr>
        <w:t>folio 68).</w:t>
      </w:r>
    </w:p>
  </w:footnote>
  <w:footnote w:id="73">
    <w:p w14:paraId="0CBA63B4" w14:textId="3E1D23AA"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szCs w:val="16"/>
        </w:rPr>
        <w:footnoteRef/>
      </w:r>
      <w:r w:rsidRPr="00810E28">
        <w:rPr>
          <w:sz w:val="16"/>
          <w:szCs w:val="16"/>
        </w:rPr>
        <w:t xml:space="preserve">    Sentencia de la Sala Mixta de la Corte Superior de Justicia de Huancavelica de 25 de mayo de 2004 </w:t>
      </w:r>
      <w:r w:rsidRPr="00810E28">
        <w:rPr>
          <w:sz w:val="16"/>
          <w:szCs w:val="16"/>
          <w:lang w:val="es-CR"/>
        </w:rPr>
        <w:t xml:space="preserve">(expediente de prueba, </w:t>
      </w:r>
      <w:r w:rsidRPr="00810E28">
        <w:rPr>
          <w:rFonts w:cs="Arial"/>
          <w:sz w:val="16"/>
          <w:szCs w:val="16"/>
          <w:lang w:val="es-CR"/>
        </w:rPr>
        <w:t>folio 68).</w:t>
      </w:r>
    </w:p>
  </w:footnote>
  <w:footnote w:id="74">
    <w:p w14:paraId="658FA48A" w14:textId="4DBB2A51"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szCs w:val="16"/>
        </w:rPr>
        <w:footnoteRef/>
      </w:r>
      <w:r w:rsidRPr="00810E28">
        <w:rPr>
          <w:sz w:val="16"/>
          <w:szCs w:val="16"/>
        </w:rPr>
        <w:t xml:space="preserve"> </w:t>
      </w:r>
      <w:r w:rsidRPr="00810E28">
        <w:rPr>
          <w:sz w:val="16"/>
          <w:szCs w:val="16"/>
        </w:rPr>
        <w:tab/>
      </w:r>
      <w:r w:rsidRPr="00810E28">
        <w:rPr>
          <w:rFonts w:cs="Arial"/>
          <w:i/>
          <w:sz w:val="16"/>
          <w:szCs w:val="16"/>
          <w:lang w:val="es-CR"/>
        </w:rPr>
        <w:t>Cfr.</w:t>
      </w:r>
      <w:r w:rsidRPr="00810E28">
        <w:rPr>
          <w:rFonts w:cs="Arial"/>
          <w:sz w:val="16"/>
          <w:szCs w:val="16"/>
          <w:lang w:val="es-CR"/>
        </w:rPr>
        <w:t xml:space="preserve"> </w:t>
      </w:r>
      <w:r w:rsidRPr="00810E28">
        <w:rPr>
          <w:sz w:val="16"/>
          <w:szCs w:val="16"/>
        </w:rPr>
        <w:t xml:space="preserve">Sentencia de la Sala Mixta de la Corte Superior de Justicia de Huancavelica de 25 de mayo de 2004 </w:t>
      </w:r>
      <w:r w:rsidRPr="00810E28">
        <w:rPr>
          <w:sz w:val="16"/>
          <w:szCs w:val="16"/>
          <w:lang w:val="es-CR"/>
        </w:rPr>
        <w:t xml:space="preserve"> (expediente de prueba, </w:t>
      </w:r>
      <w:r w:rsidRPr="00810E28">
        <w:rPr>
          <w:rFonts w:cs="Arial"/>
          <w:sz w:val="16"/>
          <w:szCs w:val="16"/>
          <w:lang w:val="es-CR"/>
        </w:rPr>
        <w:t>folio 69).</w:t>
      </w:r>
    </w:p>
  </w:footnote>
  <w:footnote w:id="75">
    <w:p w14:paraId="52A82C28" w14:textId="5F7A53C0"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szCs w:val="16"/>
        </w:rPr>
        <w:footnoteRef/>
      </w:r>
      <w:r w:rsidRPr="00810E28">
        <w:rPr>
          <w:sz w:val="16"/>
          <w:szCs w:val="16"/>
        </w:rPr>
        <w:t xml:space="preserve"> </w:t>
      </w:r>
      <w:r w:rsidRPr="00810E28">
        <w:rPr>
          <w:sz w:val="16"/>
          <w:szCs w:val="16"/>
        </w:rPr>
        <w:tab/>
        <w:t xml:space="preserve">Sentencia de la Sala Mixta de la Corte Superior de Justicia de Huancavelica de 25 de mayo de 2004 </w:t>
      </w:r>
      <w:r w:rsidRPr="00810E28">
        <w:rPr>
          <w:sz w:val="16"/>
          <w:szCs w:val="16"/>
          <w:lang w:val="es-CR"/>
        </w:rPr>
        <w:t xml:space="preserve">(expediente de prueba, </w:t>
      </w:r>
      <w:r w:rsidRPr="00810E28">
        <w:rPr>
          <w:rFonts w:cs="Arial"/>
          <w:sz w:val="16"/>
          <w:szCs w:val="16"/>
          <w:lang w:val="es-CR"/>
        </w:rPr>
        <w:t>folio 69).</w:t>
      </w:r>
    </w:p>
  </w:footnote>
  <w:footnote w:id="76">
    <w:p w14:paraId="18B2D532" w14:textId="546AFD0D" w:rsidR="006B6A4E" w:rsidRPr="00810E28" w:rsidRDefault="006B6A4E" w:rsidP="00810E28">
      <w:pPr>
        <w:pStyle w:val="FootnoteText"/>
        <w:tabs>
          <w:tab w:val="left" w:pos="426"/>
        </w:tabs>
        <w:spacing w:before="120"/>
        <w:rPr>
          <w:strike/>
          <w:szCs w:val="16"/>
          <w:lang w:val="es-CR"/>
        </w:rPr>
      </w:pPr>
      <w:r w:rsidRPr="00810E28">
        <w:rPr>
          <w:rStyle w:val="FootnoteReference"/>
          <w:szCs w:val="16"/>
        </w:rPr>
        <w:footnoteRef/>
      </w:r>
      <w:r w:rsidRPr="00810E28">
        <w:rPr>
          <w:szCs w:val="16"/>
        </w:rPr>
        <w:t xml:space="preserve"> </w:t>
      </w:r>
      <w:r w:rsidRPr="00810E28">
        <w:rPr>
          <w:szCs w:val="16"/>
        </w:rPr>
        <w:tab/>
      </w:r>
      <w:r w:rsidRPr="00810E28">
        <w:rPr>
          <w:rFonts w:cs="Arial"/>
          <w:i/>
          <w:szCs w:val="16"/>
          <w:lang w:val="es-CR"/>
        </w:rPr>
        <w:t>Cfr.</w:t>
      </w:r>
      <w:r w:rsidRPr="00810E28">
        <w:rPr>
          <w:rFonts w:cs="Arial"/>
          <w:szCs w:val="16"/>
          <w:lang w:val="es-CR"/>
        </w:rPr>
        <w:t xml:space="preserve"> Resolución de la Sala Penal Permanente de la Corte Suprema de Justicia de la República de 20 de octubre de 2004 (expediente de prueba, folio 208)</w:t>
      </w:r>
      <w:r w:rsidRPr="00810E28">
        <w:rPr>
          <w:szCs w:val="16"/>
          <w:lang w:val="es-CR"/>
        </w:rPr>
        <w:t xml:space="preserve">. </w:t>
      </w:r>
    </w:p>
  </w:footnote>
  <w:footnote w:id="77">
    <w:p w14:paraId="1FA9B0C3" w14:textId="0A7F2EB3" w:rsidR="006B6A4E" w:rsidRPr="00810E28" w:rsidRDefault="006B6A4E" w:rsidP="00810E28">
      <w:pPr>
        <w:pStyle w:val="FootnoteText"/>
        <w:tabs>
          <w:tab w:val="left" w:pos="426"/>
        </w:tabs>
        <w:spacing w:before="120"/>
        <w:rPr>
          <w:strike/>
          <w:szCs w:val="16"/>
          <w:lang w:val="es-CR"/>
        </w:rPr>
      </w:pPr>
      <w:r w:rsidRPr="00810E28">
        <w:rPr>
          <w:rStyle w:val="FootnoteReference"/>
          <w:szCs w:val="16"/>
        </w:rPr>
        <w:footnoteRef/>
      </w:r>
      <w:r w:rsidRPr="00810E28">
        <w:rPr>
          <w:rFonts w:cs="Arial"/>
          <w:i/>
          <w:szCs w:val="16"/>
          <w:lang w:val="es-CR"/>
        </w:rPr>
        <w:t xml:space="preserve"> </w:t>
      </w:r>
      <w:r w:rsidRPr="00810E28">
        <w:rPr>
          <w:rFonts w:cs="Arial"/>
          <w:i/>
          <w:szCs w:val="16"/>
          <w:lang w:val="es-CR"/>
        </w:rPr>
        <w:tab/>
      </w:r>
      <w:r w:rsidRPr="00810E28">
        <w:rPr>
          <w:rFonts w:cs="Arial"/>
          <w:szCs w:val="16"/>
          <w:lang w:val="es-CR"/>
        </w:rPr>
        <w:t>Resolución de la Sala Penal Permanente de la Corte Suprema de Justicia de la República de 20 de octubre de 2004 (expediente de prueba, folios 208 y 209)</w:t>
      </w:r>
      <w:r w:rsidRPr="00810E28">
        <w:rPr>
          <w:szCs w:val="16"/>
          <w:lang w:val="es-CR"/>
        </w:rPr>
        <w:t>.</w:t>
      </w:r>
    </w:p>
  </w:footnote>
  <w:footnote w:id="78">
    <w:p w14:paraId="4BEEFB43" w14:textId="033A5399"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Resolución de 10 de marzo de 2017 (expediente de pruebas, folios </w:t>
      </w:r>
      <w:r w:rsidRPr="003E57AB">
        <w:rPr>
          <w:szCs w:val="16"/>
        </w:rPr>
        <w:t>2055 a 2060</w:t>
      </w:r>
      <w:r w:rsidRPr="00810E28">
        <w:rPr>
          <w:szCs w:val="16"/>
        </w:rPr>
        <w:t xml:space="preserve">).El 12 de julio de 2017 se ordenó continuar la investigación por 120 días más. </w:t>
      </w:r>
      <w:r w:rsidRPr="00810E28">
        <w:rPr>
          <w:i/>
          <w:szCs w:val="16"/>
        </w:rPr>
        <w:t xml:space="preserve">Cfr. </w:t>
      </w:r>
      <w:r w:rsidRPr="00810E28">
        <w:rPr>
          <w:szCs w:val="16"/>
        </w:rPr>
        <w:t xml:space="preserve">Resolución de 12 de julio de 2017 (expediente de prueba, folios </w:t>
      </w:r>
      <w:r w:rsidRPr="003E57AB">
        <w:rPr>
          <w:szCs w:val="16"/>
        </w:rPr>
        <w:t>2073 a 2075</w:t>
      </w:r>
      <w:r w:rsidRPr="00810E28">
        <w:rPr>
          <w:szCs w:val="16"/>
        </w:rPr>
        <w:t>).</w:t>
      </w:r>
    </w:p>
  </w:footnote>
  <w:footnote w:id="79">
    <w:p w14:paraId="2A2A0BB0" w14:textId="5C17BE73"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Parte de la Policía Nacional de 2 de julio de 2017 (expediente de prueba, folio</w:t>
      </w:r>
      <w:r>
        <w:rPr>
          <w:szCs w:val="16"/>
        </w:rPr>
        <w:t>s</w:t>
      </w:r>
      <w:r w:rsidRPr="00810E28">
        <w:rPr>
          <w:szCs w:val="16"/>
        </w:rPr>
        <w:t xml:space="preserve"> 2040</w:t>
      </w:r>
      <w:r>
        <w:rPr>
          <w:szCs w:val="16"/>
        </w:rPr>
        <w:t xml:space="preserve"> y 2041</w:t>
      </w:r>
      <w:r w:rsidRPr="00810E28">
        <w:rPr>
          <w:szCs w:val="16"/>
        </w:rPr>
        <w:t>), y Parte de la Policía Nacional de 23 de julio de 2017 (expediente de prueba, folio 2045).</w:t>
      </w:r>
    </w:p>
  </w:footnote>
  <w:footnote w:id="80">
    <w:p w14:paraId="2A0F2A51" w14:textId="0FF11D3E"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Declaración testimonial de </w:t>
      </w:r>
      <w:r>
        <w:rPr>
          <w:szCs w:val="16"/>
        </w:rPr>
        <w:t>un efectivo de la Policía Nacional del Perú</w:t>
      </w:r>
      <w:r w:rsidRPr="00810E28">
        <w:rPr>
          <w:szCs w:val="16"/>
        </w:rPr>
        <w:t xml:space="preserve"> de 5 de julio de 2017 (expediente de prueba, folios 2046 y 2047); declaración testimonial de </w:t>
      </w:r>
      <w:r>
        <w:rPr>
          <w:szCs w:val="16"/>
        </w:rPr>
        <w:t xml:space="preserve">LPS </w:t>
      </w:r>
      <w:r w:rsidRPr="00810E28">
        <w:rPr>
          <w:szCs w:val="16"/>
        </w:rPr>
        <w:t xml:space="preserve"> de 10 de julio de 2017 (expediente de prueba, folios 2048 y 2049); declaración testimonial de </w:t>
      </w:r>
      <w:r>
        <w:rPr>
          <w:szCs w:val="16"/>
        </w:rPr>
        <w:t>un efectivo de la Policía Nacional del Perú</w:t>
      </w:r>
      <w:r w:rsidRPr="00810E28">
        <w:rPr>
          <w:szCs w:val="16"/>
        </w:rPr>
        <w:t xml:space="preserve"> de 10 de julio de 2017 (expediente de prueba, folios 2050 y 2051), y declaración testimonial de </w:t>
      </w:r>
      <w:r>
        <w:rPr>
          <w:szCs w:val="16"/>
        </w:rPr>
        <w:t xml:space="preserve">una amiga de la familia </w:t>
      </w:r>
      <w:proofErr w:type="spellStart"/>
      <w:r>
        <w:rPr>
          <w:szCs w:val="16"/>
        </w:rPr>
        <w:t>Munárriz</w:t>
      </w:r>
      <w:proofErr w:type="spellEnd"/>
      <w:r>
        <w:rPr>
          <w:szCs w:val="16"/>
        </w:rPr>
        <w:t xml:space="preserve"> Escobar</w:t>
      </w:r>
      <w:r w:rsidRPr="00810E28">
        <w:rPr>
          <w:szCs w:val="16"/>
        </w:rPr>
        <w:t xml:space="preserve"> de 18 de julio de 2017 (expediente de prueba, folio 2052).</w:t>
      </w:r>
    </w:p>
  </w:footnote>
  <w:footnote w:id="81">
    <w:p w14:paraId="22D734ED"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Acta de entrevista a Gladys Escobar </w:t>
      </w:r>
      <w:proofErr w:type="spellStart"/>
      <w:r w:rsidRPr="00810E28">
        <w:rPr>
          <w:szCs w:val="16"/>
        </w:rPr>
        <w:t>Candiotti</w:t>
      </w:r>
      <w:proofErr w:type="spellEnd"/>
      <w:r w:rsidRPr="00810E28">
        <w:rPr>
          <w:szCs w:val="16"/>
        </w:rPr>
        <w:t xml:space="preserve"> de 25 de julio de 2017 (expediente de prueba, folios 2053 y 2054).</w:t>
      </w:r>
    </w:p>
  </w:footnote>
  <w:footnote w:id="82">
    <w:p w14:paraId="35163739" w14:textId="7D9AC2CD" w:rsidR="006B6A4E" w:rsidRPr="00810E28" w:rsidRDefault="006B6A4E" w:rsidP="00810E28">
      <w:pPr>
        <w:pStyle w:val="FootnoteText"/>
        <w:tabs>
          <w:tab w:val="left" w:pos="426"/>
        </w:tabs>
        <w:spacing w:before="120"/>
        <w:rPr>
          <w:b/>
          <w:szCs w:val="16"/>
        </w:rPr>
      </w:pPr>
      <w:r w:rsidRPr="00810E28">
        <w:rPr>
          <w:rStyle w:val="FootnoteReference"/>
          <w:szCs w:val="16"/>
        </w:rPr>
        <w:footnoteRef/>
      </w:r>
      <w:r w:rsidRPr="00810E28">
        <w:rPr>
          <w:szCs w:val="16"/>
        </w:rPr>
        <w:t xml:space="preserve"> </w:t>
      </w:r>
      <w:r w:rsidRPr="00810E28">
        <w:rPr>
          <w:szCs w:val="16"/>
        </w:rPr>
        <w:tab/>
        <w:t xml:space="preserve">Resolución de la Fiscalía de la Nación de 25 de enero de 2018 (expediente de prueba, folios 2641 y 2644). </w:t>
      </w:r>
    </w:p>
  </w:footnote>
  <w:footnote w:id="83">
    <w:p w14:paraId="3051585B" w14:textId="2A44F2C9"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Fonts w:cs="Arial"/>
          <w:szCs w:val="16"/>
          <w:lang w:val="es-CR"/>
        </w:rPr>
        <w:t>Informe del Director del Programa de Protección de Poblaciones Afectadas por Violencia Política de la Defensoría del Pueblo de Huancavelica de 29 de marzo de 1999 (expediente de prueba, folios 80 a 82), e Informe del Director del Programa de Protección de Poblaciones Afectadas por Violencia Política de la Defensoría del Pueblo de Huancavelica de 31 de marzo de 1999 (expediente de prueba, folio 122).</w:t>
      </w:r>
    </w:p>
  </w:footnote>
  <w:footnote w:id="84">
    <w:p w14:paraId="3BB75BF2" w14:textId="62A76E7E"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Fonts w:cs="Arial"/>
          <w:szCs w:val="16"/>
          <w:lang w:val="es-CR"/>
        </w:rPr>
        <w:t xml:space="preserve">Informe del Director del Programa de Protección de Poblaciones Afectadas por Violencia Política de la Defensoría del Pueblo de Huancavelica de 29 de marzo de 1999 (expediente de prueba, folios 82 y 83); Informe del Director del Programa de Protección de Poblaciones Afectadas por Violencia Política de la Defensoría del Pueblo de Huancavelica de 30 de marzo de 1999 (expediente de prueba, folios 227 a 228); Informe del Director del Programa de Protección de Poblaciones Afectadas por Violencia Política de la Defensoría del Pueblo de Huancavelica de 31 de marzo de 1999 (expediente de prueba, folios 122 a 126); Informe del Director del Programa de Protección de Poblaciones Afectadas por Violencia Política de la Defensoría del Pueblo de Huancavelica de 22 de abril de 1999 (expediente de prueba, folios 230 a 233); Informe Preliminar del caso de presunta desaparición forzada en agravio del estudiante Walter </w:t>
      </w:r>
      <w:proofErr w:type="spellStart"/>
      <w:r w:rsidRPr="00810E28">
        <w:rPr>
          <w:rFonts w:cs="Arial"/>
          <w:szCs w:val="16"/>
          <w:lang w:val="es-CR"/>
        </w:rPr>
        <w:t>Munárriz</w:t>
      </w:r>
      <w:proofErr w:type="spellEnd"/>
      <w:r w:rsidRPr="00810E28">
        <w:rPr>
          <w:rFonts w:cs="Arial"/>
          <w:szCs w:val="16"/>
          <w:lang w:val="es-CR"/>
        </w:rPr>
        <w:t xml:space="preserve"> Escobar (expediente de prueba, folio 74 a 77), e Informe del Responsable de la Oficina de </w:t>
      </w:r>
      <w:proofErr w:type="spellStart"/>
      <w:r w:rsidRPr="00810E28">
        <w:rPr>
          <w:rFonts w:cs="Arial"/>
          <w:szCs w:val="16"/>
          <w:lang w:val="es-CR"/>
        </w:rPr>
        <w:t>Defensorial</w:t>
      </w:r>
      <w:proofErr w:type="spellEnd"/>
      <w:r w:rsidRPr="00810E28">
        <w:rPr>
          <w:rFonts w:cs="Arial"/>
          <w:szCs w:val="16"/>
          <w:lang w:val="es-CR"/>
        </w:rPr>
        <w:t xml:space="preserve"> de Huancavelica de 8 de octubre de 1999 (expediente de prueba, folio 236).</w:t>
      </w:r>
    </w:p>
  </w:footnote>
  <w:footnote w:id="85">
    <w:p w14:paraId="044F384C" w14:textId="77777777"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Fonts w:cs="Arial"/>
          <w:szCs w:val="16"/>
          <w:lang w:val="es-CR"/>
        </w:rPr>
        <w:t>Informe del Director del Programa de Protección de Poblaciones Afectadas por Violencia Política de la Defensoría del Pueblo de Huancavelica de 22 de abril de 1999 (expediente de prueba, folios 231 a 232).</w:t>
      </w:r>
    </w:p>
  </w:footnote>
  <w:footnote w:id="86">
    <w:p w14:paraId="6E2F65DE" w14:textId="77777777"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rPr>
        <w:t xml:space="preserve"> </w:t>
      </w:r>
      <w:r w:rsidRPr="00810E28">
        <w:rPr>
          <w:sz w:val="16"/>
          <w:szCs w:val="16"/>
        </w:rPr>
        <w:tab/>
      </w:r>
      <w:r w:rsidRPr="00810E28">
        <w:rPr>
          <w:rFonts w:cs="Arial"/>
          <w:i/>
          <w:sz w:val="16"/>
          <w:szCs w:val="16"/>
          <w:lang w:val="es-CR"/>
        </w:rPr>
        <w:t>Cfr.</w:t>
      </w:r>
      <w:r w:rsidRPr="00810E28">
        <w:rPr>
          <w:rFonts w:cs="Arial"/>
          <w:sz w:val="16"/>
          <w:szCs w:val="16"/>
          <w:lang w:val="es-CR"/>
        </w:rPr>
        <w:t xml:space="preserve"> Informe del Responsable de la Oficina de </w:t>
      </w:r>
      <w:proofErr w:type="spellStart"/>
      <w:r w:rsidRPr="00810E28">
        <w:rPr>
          <w:rFonts w:cs="Arial"/>
          <w:sz w:val="16"/>
          <w:szCs w:val="16"/>
          <w:lang w:val="es-CR"/>
        </w:rPr>
        <w:t>Defensorial</w:t>
      </w:r>
      <w:proofErr w:type="spellEnd"/>
      <w:r w:rsidRPr="00810E28">
        <w:rPr>
          <w:rFonts w:cs="Arial"/>
          <w:sz w:val="16"/>
          <w:szCs w:val="16"/>
          <w:lang w:val="es-CR"/>
        </w:rPr>
        <w:t xml:space="preserve"> de Huancavelica de 8 de octubre de 1999 (expediente de prueba, folio 236).</w:t>
      </w:r>
    </w:p>
  </w:footnote>
  <w:footnote w:id="87">
    <w:p w14:paraId="2B63E093" w14:textId="77777777"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rFonts w:cs="Arial"/>
          <w:i/>
          <w:sz w:val="16"/>
          <w:szCs w:val="16"/>
          <w:lang w:val="es-CR"/>
        </w:rPr>
        <w:t xml:space="preserve"> </w:t>
      </w:r>
      <w:r w:rsidRPr="00810E28">
        <w:rPr>
          <w:rFonts w:cs="Arial"/>
          <w:i/>
          <w:sz w:val="16"/>
          <w:szCs w:val="16"/>
          <w:lang w:val="es-CR"/>
        </w:rPr>
        <w:tab/>
        <w:t>Cfr.</w:t>
      </w:r>
      <w:r w:rsidRPr="00810E28">
        <w:rPr>
          <w:rFonts w:cs="Arial"/>
          <w:sz w:val="16"/>
          <w:szCs w:val="16"/>
          <w:lang w:val="es-CR"/>
        </w:rPr>
        <w:t xml:space="preserve"> Informe del Responsable de la Oficina de </w:t>
      </w:r>
      <w:proofErr w:type="spellStart"/>
      <w:r w:rsidRPr="00810E28">
        <w:rPr>
          <w:rFonts w:cs="Arial"/>
          <w:sz w:val="16"/>
          <w:szCs w:val="16"/>
          <w:lang w:val="es-CR"/>
        </w:rPr>
        <w:t>Defensorial</w:t>
      </w:r>
      <w:proofErr w:type="spellEnd"/>
      <w:r w:rsidRPr="00810E28">
        <w:rPr>
          <w:rFonts w:cs="Arial"/>
          <w:sz w:val="16"/>
          <w:szCs w:val="16"/>
          <w:lang w:val="es-CR"/>
        </w:rPr>
        <w:t xml:space="preserve"> de Huancavelica de 8 de octubre de 1999 (expediente de prueba, folio 237).</w:t>
      </w:r>
    </w:p>
  </w:footnote>
  <w:footnote w:id="88">
    <w:p w14:paraId="31AB22AC" w14:textId="277AB4AA"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i/>
          <w:szCs w:val="16"/>
        </w:rPr>
        <w:t>Cfr.</w:t>
      </w:r>
      <w:r w:rsidRPr="00810E28">
        <w:rPr>
          <w:szCs w:val="16"/>
        </w:rPr>
        <w:t xml:space="preserve"> Parte de la Policía Nacional del Perú de 12 de abril de 1999 (expediente de prueba, folios 224 y 225).</w:t>
      </w:r>
    </w:p>
  </w:footnote>
  <w:footnote w:id="89">
    <w:p w14:paraId="0D5DEDF7" w14:textId="2971A88A"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i/>
          <w:szCs w:val="16"/>
        </w:rPr>
        <w:t>Cfr.</w:t>
      </w:r>
      <w:r w:rsidRPr="00810E28">
        <w:rPr>
          <w:szCs w:val="16"/>
        </w:rPr>
        <w:t xml:space="preserve"> Parte de la Policía Nacional del Perú de 12 de abril de 1999 (expediente de prueba, folios 224 y 225).</w:t>
      </w:r>
    </w:p>
  </w:footnote>
  <w:footnote w:id="90">
    <w:p w14:paraId="33030DA1" w14:textId="77777777" w:rsidR="006B6A4E" w:rsidRPr="00810E28" w:rsidRDefault="006B6A4E" w:rsidP="00810E28">
      <w:pPr>
        <w:pStyle w:val="FootnoteText"/>
        <w:tabs>
          <w:tab w:val="left" w:pos="426"/>
        </w:tabs>
        <w:spacing w:before="120"/>
        <w:rPr>
          <w:bCs/>
          <w:szCs w:val="16"/>
        </w:rPr>
      </w:pPr>
      <w:r w:rsidRPr="00810E28">
        <w:rPr>
          <w:rStyle w:val="FootnoteReference"/>
          <w:szCs w:val="16"/>
        </w:rPr>
        <w:footnoteRef/>
      </w:r>
      <w:r w:rsidRPr="00810E28">
        <w:rPr>
          <w:szCs w:val="16"/>
        </w:rPr>
        <w:t xml:space="preserve"> </w:t>
      </w:r>
      <w:r w:rsidRPr="00810E28">
        <w:rPr>
          <w:szCs w:val="16"/>
        </w:rPr>
        <w:tab/>
        <w:t xml:space="preserve">El artículo 7 de la Convención establece que: “1. </w:t>
      </w:r>
      <w:r w:rsidRPr="00810E28">
        <w:rPr>
          <w:bCs/>
          <w:szCs w:val="16"/>
        </w:rPr>
        <w:t xml:space="preserve">Toda persona tiene derecho a la libertad y a la seguridad personales. </w:t>
      </w:r>
      <w:r w:rsidRPr="00810E28">
        <w:rPr>
          <w:szCs w:val="16"/>
        </w:rPr>
        <w:t>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p>
  </w:footnote>
  <w:footnote w:id="91">
    <w:p w14:paraId="172EBA60" w14:textId="77777777" w:rsidR="006B6A4E" w:rsidRPr="00810E28" w:rsidRDefault="006B6A4E" w:rsidP="00810E28">
      <w:pPr>
        <w:pStyle w:val="FootnoteText"/>
        <w:tabs>
          <w:tab w:val="left" w:pos="426"/>
        </w:tabs>
        <w:spacing w:before="120"/>
        <w:rPr>
          <w:b/>
          <w:bCs/>
          <w:szCs w:val="16"/>
        </w:rPr>
      </w:pPr>
      <w:r w:rsidRPr="00810E28">
        <w:rPr>
          <w:rStyle w:val="FootnoteReference"/>
          <w:szCs w:val="16"/>
        </w:rPr>
        <w:footnoteRef/>
      </w:r>
      <w:r w:rsidRPr="00810E28">
        <w:rPr>
          <w:szCs w:val="16"/>
        </w:rPr>
        <w:t xml:space="preserve"> </w:t>
      </w:r>
      <w:r w:rsidRPr="00810E28">
        <w:rPr>
          <w:szCs w:val="16"/>
        </w:rPr>
        <w:tab/>
        <w:t>El artículo 5 de la Convención establece que: “</w:t>
      </w:r>
      <w:r w:rsidRPr="00810E28">
        <w:rPr>
          <w:bCs/>
          <w:szCs w:val="16"/>
        </w:rPr>
        <w:t>1. Toda persona tiene derecho a que se respete su integridad física, psíquica y moral.</w:t>
      </w:r>
      <w:r w:rsidRPr="00810E28">
        <w:rPr>
          <w:szCs w:val="16"/>
        </w:rPr>
        <w:t> 2. Nadie debe ser sometido a torturas ni a penas o tratos crueles, inhumanos o degradantes.  Toda persona privada de libertad será tratada con el respeto debido a la dignidad inherente al ser humano. 3. La pena no puede trascender de la persona del delincuente. 4. Los procesados deben estar separados de los condenados, salvo en circunstancias excepcionales, y serán sometidos a un tratamiento adecuado a su condición de personas no condenadas. 5. Cuando los menores puedan ser procesados, deben ser separados de los adultos y llevados ante tribunales especializados, con la mayor celeridad posible, para su tratamiento. 6. Las penas privativas de la libertad tendrán como finalidad esencial la reforma y la readaptación social de los condenados”.</w:t>
      </w:r>
    </w:p>
  </w:footnote>
  <w:footnote w:id="92">
    <w:p w14:paraId="76B0A307" w14:textId="77777777" w:rsidR="006B6A4E" w:rsidRPr="00810E28" w:rsidRDefault="006B6A4E" w:rsidP="00810E28">
      <w:pPr>
        <w:pStyle w:val="FootnoteText"/>
        <w:tabs>
          <w:tab w:val="left" w:pos="426"/>
        </w:tabs>
        <w:spacing w:before="120"/>
        <w:rPr>
          <w:bCs/>
          <w:szCs w:val="16"/>
        </w:rPr>
      </w:pPr>
      <w:r w:rsidRPr="00810E28">
        <w:rPr>
          <w:rStyle w:val="FootnoteReference"/>
          <w:szCs w:val="16"/>
        </w:rPr>
        <w:footnoteRef/>
      </w:r>
      <w:r w:rsidRPr="00810E28">
        <w:rPr>
          <w:szCs w:val="16"/>
        </w:rPr>
        <w:t xml:space="preserve"> </w:t>
      </w:r>
      <w:r w:rsidRPr="00810E28">
        <w:rPr>
          <w:szCs w:val="16"/>
        </w:rPr>
        <w:tab/>
        <w:t>El artículo 4 de la Convención establece que: “</w:t>
      </w:r>
      <w:r w:rsidRPr="00810E28">
        <w:rPr>
          <w:bCs/>
          <w:szCs w:val="16"/>
        </w:rPr>
        <w:t>1. Toda persona tiene derecho a que se respete su vida.  Este derecho estará protegido por la ley y, en general, a partir del momento de la concepción.  Nadie puede ser privado de la vida arbitrariamente.</w:t>
      </w:r>
      <w:r w:rsidRPr="00810E28">
        <w:rPr>
          <w:szCs w:val="16"/>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3. No se restablecerá la pena de muerte en los Estados que la han abolido. 4. En ningún caso se puede aplicar la pena de muerte por delitos políticos ni comunes conexos con los políticos. 5. No se impondrá la pena de muerte a personas que, en el momento de la comisión del delito, tuvieren menos de dieciocho años de edad o más de setenta, ni se le aplicará a las mujeres en estado de gravidez.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footnote>
  <w:footnote w:id="93">
    <w:p w14:paraId="716B3F8C" w14:textId="77777777" w:rsidR="006B6A4E" w:rsidRPr="00810E28" w:rsidRDefault="006B6A4E" w:rsidP="00810E28">
      <w:pPr>
        <w:pStyle w:val="FootnoteText"/>
        <w:tabs>
          <w:tab w:val="left" w:pos="426"/>
        </w:tabs>
        <w:spacing w:before="120"/>
        <w:rPr>
          <w:bCs/>
          <w:szCs w:val="16"/>
        </w:rPr>
      </w:pPr>
      <w:r w:rsidRPr="00810E28">
        <w:rPr>
          <w:rStyle w:val="FootnoteReference"/>
          <w:szCs w:val="16"/>
        </w:rPr>
        <w:footnoteRef/>
      </w:r>
      <w:r w:rsidRPr="00810E28">
        <w:rPr>
          <w:szCs w:val="16"/>
        </w:rPr>
        <w:t xml:space="preserve"> </w:t>
      </w:r>
      <w:r w:rsidRPr="00810E28">
        <w:rPr>
          <w:szCs w:val="16"/>
        </w:rPr>
        <w:tab/>
        <w:t>El artículo 3 de la Convención establece que: “</w:t>
      </w:r>
      <w:r w:rsidRPr="00810E28">
        <w:rPr>
          <w:bCs/>
          <w:szCs w:val="16"/>
        </w:rPr>
        <w:t>[t]oda persona tiene derecho al reconocimiento de su personalidad jurídica.</w:t>
      </w:r>
      <w:r w:rsidRPr="00810E28">
        <w:rPr>
          <w:szCs w:val="16"/>
        </w:rPr>
        <w:t>”.</w:t>
      </w:r>
    </w:p>
  </w:footnote>
  <w:footnote w:id="94">
    <w:p w14:paraId="3A71CF60" w14:textId="77777777" w:rsidR="006B6A4E" w:rsidRPr="00810E28" w:rsidRDefault="006B6A4E" w:rsidP="00810E28">
      <w:pPr>
        <w:pStyle w:val="FootnoteText"/>
        <w:tabs>
          <w:tab w:val="left" w:pos="426"/>
        </w:tabs>
        <w:spacing w:before="120"/>
        <w:rPr>
          <w:bCs/>
          <w:szCs w:val="16"/>
        </w:rPr>
      </w:pPr>
      <w:r w:rsidRPr="00810E28">
        <w:rPr>
          <w:rStyle w:val="FootnoteReference"/>
          <w:szCs w:val="16"/>
        </w:rPr>
        <w:footnoteRef/>
      </w:r>
      <w:r w:rsidRPr="00810E28">
        <w:rPr>
          <w:szCs w:val="16"/>
        </w:rPr>
        <w:t xml:space="preserve"> </w:t>
      </w:r>
      <w:r w:rsidRPr="00810E28">
        <w:rPr>
          <w:szCs w:val="16"/>
        </w:rPr>
        <w:tab/>
        <w:t>El artículo 1.1 de la Convención establece que: “[L]</w:t>
      </w:r>
      <w:r w:rsidRPr="00810E28">
        <w:rPr>
          <w:bCs/>
          <w:szCs w:val="16"/>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810E28">
        <w:rPr>
          <w:szCs w:val="16"/>
        </w:rPr>
        <w:t>”.</w:t>
      </w:r>
    </w:p>
  </w:footnote>
  <w:footnote w:id="95">
    <w:p w14:paraId="720EF89D" w14:textId="28CEA8DA" w:rsidR="006B6A4E" w:rsidRPr="00810E28" w:rsidRDefault="006B6A4E" w:rsidP="00810E28">
      <w:pPr>
        <w:pStyle w:val="Footnotes"/>
        <w:spacing w:after="0"/>
      </w:pPr>
      <w:r w:rsidRPr="00810E28">
        <w:rPr>
          <w:rStyle w:val="FootnoteReference"/>
        </w:rPr>
        <w:footnoteRef/>
      </w:r>
      <w:r w:rsidRPr="00810E28">
        <w:t xml:space="preserve"> </w:t>
      </w:r>
      <w:r w:rsidRPr="00810E28">
        <w:tab/>
      </w:r>
      <w:r>
        <w:rPr>
          <w:i/>
        </w:rPr>
        <w:t xml:space="preserve">Cfr. </w:t>
      </w:r>
      <w:r w:rsidRPr="00810E28">
        <w:rPr>
          <w:i/>
        </w:rPr>
        <w:t>Caso Rodríguez Vera y otros (Desaparecidos del Palacio de Justicia) Vs. Colombia. Excepciones Preliminares, Fondo, Reparaciones y Costas.</w:t>
      </w:r>
      <w:r w:rsidRPr="00810E28">
        <w:t xml:space="preserve"> Sentencia de 14 de noviembre de 2014. Serie C No. 287, párr. 226, y </w:t>
      </w:r>
      <w:r w:rsidRPr="00810E28">
        <w:rPr>
          <w:i/>
        </w:rPr>
        <w:t xml:space="preserve">Caso Gutiérrez Hernández y otros Vs. Guatemala. Excepciones Preliminares, Fondo, Reparaciones y Costas. </w:t>
      </w:r>
      <w:r w:rsidRPr="00810E28">
        <w:t>Sentencia de 24 de agosto de 2017. Serie C No. 339, párr. 123.</w:t>
      </w:r>
    </w:p>
  </w:footnote>
  <w:footnote w:id="96">
    <w:p w14:paraId="43648C81" w14:textId="33B30EAE"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 Caso Gómez Palomino Vs. Perú. Fondo, Reparaciones y Costas</w:t>
      </w:r>
      <w:r w:rsidRPr="00810E28">
        <w:rPr>
          <w:szCs w:val="16"/>
        </w:rPr>
        <w:t xml:space="preserve">. Sentencia de 22 de noviembre de 2005. Serie C No. 136, párr. 97, y </w:t>
      </w:r>
      <w:r w:rsidRPr="00810E28">
        <w:rPr>
          <w:i/>
          <w:szCs w:val="16"/>
        </w:rPr>
        <w:t xml:space="preserve">Caso Vereda La Esperanza Vs. Colombia. Excepción Preliminar, Fondo, Reparaciones y Costas. </w:t>
      </w:r>
      <w:r w:rsidRPr="00810E28">
        <w:rPr>
          <w:szCs w:val="16"/>
        </w:rPr>
        <w:t>Sentencia de 31 de agosto de 2017. Serie C No. 341, párr. 150.</w:t>
      </w:r>
    </w:p>
  </w:footnote>
  <w:footnote w:id="97">
    <w:p w14:paraId="036F193E"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El artículo I de la Convención Interamericana sobre Desaparición Forzada establece que: “Los Estados Partes en esta Convención se comprometen a: a) No practicar, no permitir, ni tolerar la desaparición forzada de personas, ni aun en estado de emergencia, excepción o suspensión de garantías individuales”.</w:t>
      </w:r>
    </w:p>
  </w:footnote>
  <w:footnote w:id="98">
    <w:p w14:paraId="582813F9" w14:textId="4C1A741E" w:rsidR="006B6A4E" w:rsidRPr="00810E28" w:rsidRDefault="006B6A4E" w:rsidP="00810E28">
      <w:pPr>
        <w:pStyle w:val="FootnoteText"/>
        <w:tabs>
          <w:tab w:val="left" w:pos="426"/>
        </w:tabs>
        <w:spacing w:before="120"/>
        <w:rPr>
          <w:bCs/>
          <w:szCs w:val="16"/>
        </w:rPr>
      </w:pPr>
      <w:r w:rsidRPr="00810E28">
        <w:rPr>
          <w:rStyle w:val="FootnoteReference"/>
          <w:rFonts w:eastAsia="Calibri"/>
          <w:szCs w:val="16"/>
        </w:rPr>
        <w:footnoteRef/>
      </w:r>
      <w:r w:rsidRPr="00810E28">
        <w:rPr>
          <w:szCs w:val="16"/>
        </w:rPr>
        <w:t xml:space="preserve"> </w:t>
      </w:r>
      <w:r w:rsidRPr="00810E28">
        <w:rPr>
          <w:szCs w:val="16"/>
        </w:rPr>
        <w:tab/>
      </w:r>
      <w:r w:rsidRPr="00810E28">
        <w:rPr>
          <w:rFonts w:cs="Arial"/>
          <w:i/>
          <w:szCs w:val="16"/>
        </w:rPr>
        <w:t xml:space="preserve">Cfr., inter </w:t>
      </w:r>
      <w:proofErr w:type="spellStart"/>
      <w:r w:rsidRPr="00810E28">
        <w:rPr>
          <w:rFonts w:cs="Arial"/>
          <w:i/>
          <w:szCs w:val="16"/>
        </w:rPr>
        <w:t>alia</w:t>
      </w:r>
      <w:proofErr w:type="spellEnd"/>
      <w:r w:rsidRPr="00810E28">
        <w:rPr>
          <w:rFonts w:cs="Arial"/>
          <w:szCs w:val="16"/>
        </w:rPr>
        <w:t xml:space="preserve">, </w:t>
      </w:r>
      <w:r w:rsidRPr="00810E28">
        <w:rPr>
          <w:i/>
          <w:szCs w:val="16"/>
        </w:rPr>
        <w:t xml:space="preserve">Caso Velásquez Rodríguez Vs. Honduras. </w:t>
      </w:r>
      <w:r w:rsidRPr="00810E28">
        <w:rPr>
          <w:i/>
          <w:szCs w:val="16"/>
          <w:lang w:val="es-ES"/>
        </w:rPr>
        <w:t>Fondo.</w:t>
      </w:r>
      <w:r w:rsidRPr="00810E28">
        <w:rPr>
          <w:szCs w:val="16"/>
        </w:rPr>
        <w:t xml:space="preserve"> </w:t>
      </w:r>
      <w:r w:rsidRPr="00810E28">
        <w:rPr>
          <w:szCs w:val="16"/>
          <w:lang w:val="es-ES"/>
        </w:rPr>
        <w:t xml:space="preserve">Sentencia de 29 de julio de 1988. Serie C No. 4, </w:t>
      </w:r>
      <w:r w:rsidRPr="00810E28">
        <w:rPr>
          <w:noProof/>
          <w:szCs w:val="16"/>
        </w:rPr>
        <w:t xml:space="preserve">párrs. 155 a 157, y </w:t>
      </w:r>
      <w:r w:rsidRPr="00CD3A1E">
        <w:rPr>
          <w:rStyle w:val="Strong"/>
          <w:rFonts w:eastAsiaTheme="majorEastAsia"/>
          <w:b w:val="0"/>
          <w:i/>
          <w:color w:val="000000"/>
          <w:shd w:val="clear" w:color="auto" w:fill="FFFFFF"/>
        </w:rPr>
        <w:t>Caso Vereda La Esperanza Vs. Colombia. Excepciones Preliminares, Fondo, Reparaciones y Costas</w:t>
      </w:r>
      <w:r w:rsidRPr="00CD3A1E">
        <w:rPr>
          <w:rStyle w:val="Strong"/>
          <w:rFonts w:eastAsiaTheme="majorEastAsia"/>
          <w:b w:val="0"/>
          <w:color w:val="000000"/>
          <w:shd w:val="clear" w:color="auto" w:fill="FFFFFF"/>
        </w:rPr>
        <w:t>. Sentencia de 31 de agosto de 2017. Serie C No. 341</w:t>
      </w:r>
      <w:r w:rsidRPr="00CD3A1E">
        <w:rPr>
          <w:b/>
          <w:szCs w:val="16"/>
        </w:rPr>
        <w:t xml:space="preserve">, </w:t>
      </w:r>
      <w:r w:rsidRPr="00CD3A1E">
        <w:rPr>
          <w:szCs w:val="16"/>
        </w:rPr>
        <w:t>párr. 150.</w:t>
      </w:r>
    </w:p>
  </w:footnote>
  <w:footnote w:id="99">
    <w:p w14:paraId="149316FE" w14:textId="0DB54B2F" w:rsidR="006B6A4E" w:rsidRPr="00810E28" w:rsidRDefault="006B6A4E" w:rsidP="00810E28">
      <w:pPr>
        <w:tabs>
          <w:tab w:val="left" w:pos="426"/>
        </w:tabs>
        <w:autoSpaceDE w:val="0"/>
        <w:autoSpaceDN w:val="0"/>
        <w:adjustRightInd w:val="0"/>
        <w:spacing w:before="120"/>
        <w:contextualSpacing/>
        <w:jc w:val="both"/>
        <w:rPr>
          <w:sz w:val="16"/>
          <w:szCs w:val="16"/>
        </w:rPr>
      </w:pPr>
      <w:r w:rsidRPr="00810E28">
        <w:rPr>
          <w:rStyle w:val="FootnoteReference"/>
          <w:szCs w:val="16"/>
        </w:rPr>
        <w:footnoteRef/>
      </w:r>
      <w:r w:rsidRPr="00810E28">
        <w:rPr>
          <w:sz w:val="16"/>
          <w:szCs w:val="16"/>
        </w:rPr>
        <w:t xml:space="preserve"> </w:t>
      </w:r>
      <w:r w:rsidRPr="00810E28">
        <w:rPr>
          <w:sz w:val="16"/>
          <w:szCs w:val="16"/>
        </w:rPr>
        <w:tab/>
      </w:r>
      <w:r w:rsidRPr="00810E28">
        <w:rPr>
          <w:i/>
          <w:sz w:val="16"/>
          <w:szCs w:val="16"/>
        </w:rPr>
        <w:t>Cfr.</w:t>
      </w:r>
      <w:r w:rsidRPr="00810E28">
        <w:rPr>
          <w:sz w:val="16"/>
          <w:szCs w:val="16"/>
        </w:rPr>
        <w:t xml:space="preserve"> </w:t>
      </w:r>
      <w:r w:rsidRPr="00810E28">
        <w:rPr>
          <w:i/>
          <w:sz w:val="16"/>
          <w:szCs w:val="16"/>
        </w:rPr>
        <w:t>Caso Heliodoro Portugal Vs. Panamá</w:t>
      </w:r>
      <w:r w:rsidRPr="00810E28">
        <w:rPr>
          <w:sz w:val="16"/>
          <w:szCs w:val="16"/>
          <w:lang w:bidi="en-US"/>
        </w:rPr>
        <w:t xml:space="preserve">. </w:t>
      </w:r>
      <w:r w:rsidRPr="00810E28">
        <w:rPr>
          <w:i/>
          <w:sz w:val="16"/>
          <w:szCs w:val="16"/>
          <w:lang w:bidi="en-US"/>
        </w:rPr>
        <w:t xml:space="preserve">Excepciones Preliminares, Fondo, Reparaciones y Costas. </w:t>
      </w:r>
      <w:r w:rsidRPr="00810E28">
        <w:rPr>
          <w:sz w:val="16"/>
          <w:szCs w:val="16"/>
          <w:lang w:bidi="en-US"/>
        </w:rPr>
        <w:t>Sentencia de 12 de agosto de 2008. Serie C No. 186, párr. 112</w:t>
      </w:r>
      <w:r w:rsidRPr="00810E28">
        <w:rPr>
          <w:noProof/>
          <w:sz w:val="16"/>
          <w:szCs w:val="16"/>
        </w:rPr>
        <w:t xml:space="preserve">, y </w:t>
      </w:r>
      <w:r w:rsidRPr="00BA411B">
        <w:rPr>
          <w:rStyle w:val="Strong"/>
          <w:rFonts w:eastAsiaTheme="majorEastAsia"/>
          <w:b w:val="0"/>
          <w:i/>
          <w:color w:val="000000"/>
          <w:sz w:val="16"/>
          <w:szCs w:val="16"/>
          <w:shd w:val="clear" w:color="auto" w:fill="FFFFFF"/>
        </w:rPr>
        <w:t>Caso Vereda La Esperanza Vs. Colombia. Excepciones Preliminares, Fondo, Reparaciones y Costas.</w:t>
      </w:r>
      <w:r w:rsidRPr="00BA411B">
        <w:rPr>
          <w:rStyle w:val="Strong"/>
          <w:rFonts w:eastAsiaTheme="majorEastAsia"/>
          <w:b w:val="0"/>
          <w:color w:val="000000"/>
          <w:sz w:val="16"/>
          <w:szCs w:val="16"/>
          <w:shd w:val="clear" w:color="auto" w:fill="FFFFFF"/>
        </w:rPr>
        <w:t xml:space="preserve"> Sentencia de 31 de agosto de 2017. Serie C No. 341, párr. 149.</w:t>
      </w:r>
    </w:p>
  </w:footnote>
  <w:footnote w:id="100">
    <w:p w14:paraId="76CFD40F" w14:textId="1E751528"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i/>
          <w:szCs w:val="16"/>
        </w:rPr>
        <w:t xml:space="preserve">Caso </w:t>
      </w:r>
      <w:proofErr w:type="spellStart"/>
      <w:r w:rsidRPr="00810E28">
        <w:rPr>
          <w:i/>
          <w:szCs w:val="16"/>
        </w:rPr>
        <w:t>Goiburú</w:t>
      </w:r>
      <w:proofErr w:type="spellEnd"/>
      <w:r w:rsidRPr="00810E28">
        <w:rPr>
          <w:i/>
          <w:szCs w:val="16"/>
        </w:rPr>
        <w:t xml:space="preserve"> y otros Vs. Paraguay. Fondo, Reparaciones y Costas</w:t>
      </w:r>
      <w:r w:rsidRPr="00810E28">
        <w:rPr>
          <w:szCs w:val="16"/>
        </w:rPr>
        <w:t xml:space="preserve">. Sentencia de 22 de septiembre de 2006. Serie C No. 153, párr. 85, y </w:t>
      </w:r>
      <w:r w:rsidRPr="00810E28">
        <w:rPr>
          <w:i/>
          <w:szCs w:val="16"/>
          <w:lang w:val="es-MX"/>
        </w:rPr>
        <w:t>Caso Gutiérrez Hernández y otros Vs. Guatemala. Excepciones Preliminares, Fondo, Reparaciones y Costas.</w:t>
      </w:r>
      <w:r w:rsidRPr="00810E28">
        <w:rPr>
          <w:szCs w:val="16"/>
          <w:lang w:val="es-MX"/>
        </w:rPr>
        <w:t xml:space="preserve"> Sentencia de 24 de agosto de 2017. Serie C No. 339, párr. 124.</w:t>
      </w:r>
    </w:p>
  </w:footnote>
  <w:footnote w:id="101">
    <w:p w14:paraId="31ADAD3D" w14:textId="0EA5D1D0" w:rsidR="006B6A4E" w:rsidRPr="00810E28" w:rsidRDefault="006B6A4E" w:rsidP="00810E28">
      <w:pPr>
        <w:pStyle w:val="FootnoteText"/>
        <w:tabs>
          <w:tab w:val="left" w:pos="426"/>
        </w:tabs>
        <w:spacing w:before="120"/>
        <w:rPr>
          <w:color w:val="000000"/>
          <w:szCs w:val="16"/>
        </w:rPr>
      </w:pPr>
      <w:r w:rsidRPr="00810E28">
        <w:rPr>
          <w:szCs w:val="16"/>
          <w:vertAlign w:val="superscript"/>
        </w:rPr>
        <w:footnoteRef/>
      </w:r>
      <w:r w:rsidRPr="00810E28">
        <w:rPr>
          <w:szCs w:val="16"/>
        </w:rPr>
        <w:t xml:space="preserve"> </w:t>
      </w:r>
      <w:r w:rsidRPr="00810E28">
        <w:rPr>
          <w:szCs w:val="16"/>
        </w:rPr>
        <w:tab/>
      </w:r>
      <w:r w:rsidRPr="00810E28">
        <w:rPr>
          <w:i/>
          <w:iCs/>
          <w:szCs w:val="16"/>
          <w:lang w:val="es-ES"/>
        </w:rPr>
        <w:t xml:space="preserve">Cfr. </w:t>
      </w:r>
      <w:r w:rsidRPr="00810E28">
        <w:rPr>
          <w:i/>
          <w:szCs w:val="16"/>
        </w:rPr>
        <w:t xml:space="preserve">Caso Velásquez Rodríguez Vs. Honduras. </w:t>
      </w:r>
      <w:r w:rsidRPr="00810E28">
        <w:rPr>
          <w:i/>
          <w:szCs w:val="16"/>
          <w:lang w:val="es-ES"/>
        </w:rPr>
        <w:t>Fondo.</w:t>
      </w:r>
      <w:r w:rsidRPr="00810E28">
        <w:rPr>
          <w:szCs w:val="16"/>
        </w:rPr>
        <w:t xml:space="preserve"> </w:t>
      </w:r>
      <w:r w:rsidRPr="00810E28">
        <w:rPr>
          <w:szCs w:val="16"/>
          <w:lang w:val="es-ES"/>
        </w:rPr>
        <w:t xml:space="preserve">Sentencia de 29 de julio de 1988. Serie C No. 4, </w:t>
      </w:r>
      <w:proofErr w:type="spellStart"/>
      <w:r w:rsidRPr="00810E28">
        <w:rPr>
          <w:szCs w:val="16"/>
          <w:lang w:val="es-ES"/>
        </w:rPr>
        <w:t>párrs</w:t>
      </w:r>
      <w:proofErr w:type="spellEnd"/>
      <w:r w:rsidRPr="00810E28">
        <w:rPr>
          <w:szCs w:val="16"/>
          <w:lang w:val="es-ES"/>
        </w:rPr>
        <w:t xml:space="preserve">. </w:t>
      </w:r>
      <w:r w:rsidRPr="00810E28">
        <w:rPr>
          <w:szCs w:val="16"/>
        </w:rPr>
        <w:t>130 y 131</w:t>
      </w:r>
      <w:r w:rsidRPr="00810E28">
        <w:rPr>
          <w:szCs w:val="16"/>
          <w:lang w:val="es-VE"/>
        </w:rPr>
        <w:t xml:space="preserve">, </w:t>
      </w:r>
      <w:r w:rsidRPr="00810E28">
        <w:rPr>
          <w:color w:val="000000"/>
          <w:szCs w:val="16"/>
        </w:rPr>
        <w:t xml:space="preserve">y </w:t>
      </w:r>
      <w:r w:rsidRPr="00810E28">
        <w:rPr>
          <w:i/>
          <w:szCs w:val="16"/>
          <w:lang w:val="es-MX"/>
        </w:rPr>
        <w:t>Caso Gutiérrez Hernández y otros Vs. Guatemala. Excepciones Preliminares, Fondo, Reparaciones y Costas.</w:t>
      </w:r>
      <w:r w:rsidRPr="00810E28">
        <w:rPr>
          <w:szCs w:val="16"/>
          <w:lang w:val="es-MX"/>
        </w:rPr>
        <w:t xml:space="preserve"> Sentencia de 24 de agosto de 2017. Serie C No. 339, párr. 125.</w:t>
      </w:r>
    </w:p>
  </w:footnote>
  <w:footnote w:id="102">
    <w:p w14:paraId="6EDBC17E" w14:textId="6667B2C0" w:rsidR="006B6A4E" w:rsidRPr="00810E28" w:rsidRDefault="006B6A4E" w:rsidP="00810E28">
      <w:pPr>
        <w:tabs>
          <w:tab w:val="left" w:pos="426"/>
        </w:tabs>
        <w:autoSpaceDE w:val="0"/>
        <w:autoSpaceDN w:val="0"/>
        <w:spacing w:before="120"/>
        <w:jc w:val="both"/>
        <w:rPr>
          <w:spacing w:val="-4"/>
          <w:sz w:val="16"/>
          <w:szCs w:val="16"/>
          <w:lang w:val="es-ES"/>
        </w:rPr>
      </w:pPr>
      <w:r w:rsidRPr="00810E28">
        <w:rPr>
          <w:rStyle w:val="FootnoteReference"/>
          <w:spacing w:val="-4"/>
          <w:szCs w:val="16"/>
        </w:rPr>
        <w:footnoteRef/>
      </w:r>
      <w:r w:rsidRPr="00810E28">
        <w:rPr>
          <w:spacing w:val="-4"/>
          <w:sz w:val="16"/>
          <w:szCs w:val="16"/>
          <w:lang w:val="es-ES"/>
        </w:rPr>
        <w:t xml:space="preserve"> </w:t>
      </w:r>
      <w:r w:rsidRPr="00810E28">
        <w:rPr>
          <w:spacing w:val="-4"/>
          <w:sz w:val="16"/>
          <w:szCs w:val="16"/>
          <w:lang w:val="es-ES"/>
        </w:rPr>
        <w:tab/>
      </w:r>
      <w:r w:rsidRPr="00810E28">
        <w:rPr>
          <w:rFonts w:eastAsia="Calibri" w:cs="Verdana"/>
          <w:i/>
          <w:iCs/>
          <w:spacing w:val="-4"/>
          <w:sz w:val="16"/>
          <w:szCs w:val="16"/>
          <w:lang w:val="es-ES" w:eastAsia="es-ES"/>
        </w:rPr>
        <w:t>Cfr. Caso Velásquez Rodríguez</w:t>
      </w:r>
      <w:r w:rsidRPr="00810E28">
        <w:rPr>
          <w:bCs/>
          <w:i/>
          <w:spacing w:val="-4"/>
          <w:sz w:val="16"/>
          <w:szCs w:val="16"/>
          <w:lang w:val="es-VE"/>
        </w:rPr>
        <w:t xml:space="preserve"> Vs. Honduras. Fondo.</w:t>
      </w:r>
      <w:r w:rsidRPr="00810E28">
        <w:rPr>
          <w:spacing w:val="-4"/>
          <w:sz w:val="16"/>
          <w:szCs w:val="16"/>
          <w:lang w:val="es-VE"/>
        </w:rPr>
        <w:t xml:space="preserve"> Sentencia de 29 de julio de 1988. Serie C No. 4</w:t>
      </w:r>
      <w:r w:rsidRPr="00810E28">
        <w:rPr>
          <w:spacing w:val="-4"/>
          <w:sz w:val="16"/>
          <w:szCs w:val="16"/>
        </w:rPr>
        <w:t xml:space="preserve">, párr. </w:t>
      </w:r>
      <w:r w:rsidRPr="00810E28">
        <w:rPr>
          <w:spacing w:val="-4"/>
          <w:sz w:val="16"/>
          <w:szCs w:val="16"/>
          <w:lang w:val="es-ES"/>
        </w:rPr>
        <w:t>135</w:t>
      </w:r>
      <w:r w:rsidRPr="00810E28">
        <w:rPr>
          <w:spacing w:val="-4"/>
          <w:sz w:val="16"/>
          <w:szCs w:val="16"/>
          <w:lang w:val="es-VE"/>
        </w:rPr>
        <w:t xml:space="preserve">, </w:t>
      </w:r>
      <w:r w:rsidRPr="00810E28">
        <w:rPr>
          <w:color w:val="000000"/>
          <w:spacing w:val="-4"/>
          <w:sz w:val="16"/>
          <w:szCs w:val="16"/>
        </w:rPr>
        <w:t xml:space="preserve">y </w:t>
      </w:r>
      <w:r w:rsidRPr="00810E28">
        <w:rPr>
          <w:i/>
          <w:color w:val="000000"/>
          <w:spacing w:val="-4"/>
          <w:sz w:val="16"/>
          <w:szCs w:val="16"/>
        </w:rPr>
        <w:t>Caso Gutiérrez Hernández y otros Vs. Guatemala. Excepciones Preliminares, Fondo, Reparaciones y Costas.</w:t>
      </w:r>
      <w:r w:rsidRPr="00810E28">
        <w:rPr>
          <w:color w:val="000000"/>
          <w:spacing w:val="-4"/>
          <w:sz w:val="16"/>
          <w:szCs w:val="16"/>
        </w:rPr>
        <w:t xml:space="preserve"> Sentencia de 24 de agosto de 2017. Serie C No. 339, párr. 125.</w:t>
      </w:r>
    </w:p>
  </w:footnote>
  <w:footnote w:id="103">
    <w:p w14:paraId="7F9AF1C9" w14:textId="46346D5E" w:rsidR="006B6A4E" w:rsidRPr="00810E28" w:rsidRDefault="006B6A4E" w:rsidP="00810E28">
      <w:pPr>
        <w:pStyle w:val="FootnoteText"/>
        <w:tabs>
          <w:tab w:val="left" w:pos="426"/>
        </w:tabs>
        <w:spacing w:before="120"/>
        <w:rPr>
          <w:szCs w:val="16"/>
        </w:rPr>
      </w:pPr>
      <w:r w:rsidRPr="00810E28">
        <w:rPr>
          <w:rStyle w:val="FootnoteReference"/>
          <w:rFonts w:eastAsia="Times"/>
          <w:szCs w:val="16"/>
        </w:rPr>
        <w:footnoteRef/>
      </w:r>
      <w:r w:rsidRPr="00810E28">
        <w:rPr>
          <w:szCs w:val="16"/>
        </w:rPr>
        <w:t xml:space="preserve"> </w:t>
      </w:r>
      <w:r w:rsidRPr="00810E28">
        <w:rPr>
          <w:szCs w:val="16"/>
        </w:rPr>
        <w:tab/>
      </w:r>
      <w:r w:rsidRPr="00810E28">
        <w:rPr>
          <w:i/>
          <w:iCs/>
          <w:szCs w:val="16"/>
        </w:rPr>
        <w:t xml:space="preserve">Cfr. </w:t>
      </w:r>
      <w:r w:rsidRPr="00810E28">
        <w:rPr>
          <w:i/>
          <w:szCs w:val="16"/>
        </w:rPr>
        <w:t xml:space="preserve">Caso Velásquez Rodríguez Vs. Honduras. </w:t>
      </w:r>
      <w:r w:rsidRPr="00810E28">
        <w:rPr>
          <w:i/>
          <w:szCs w:val="16"/>
          <w:lang w:val="es-ES"/>
        </w:rPr>
        <w:t>Fondo.</w:t>
      </w:r>
      <w:r w:rsidRPr="00810E28">
        <w:rPr>
          <w:szCs w:val="16"/>
        </w:rPr>
        <w:t xml:space="preserve"> </w:t>
      </w:r>
      <w:r w:rsidRPr="00810E28">
        <w:rPr>
          <w:szCs w:val="16"/>
          <w:lang w:val="es-ES"/>
        </w:rPr>
        <w:t xml:space="preserve">Sentencia de 29 de julio de 1988. Serie C No. 4, </w:t>
      </w:r>
      <w:r w:rsidRPr="00810E28">
        <w:rPr>
          <w:szCs w:val="16"/>
        </w:rPr>
        <w:t xml:space="preserve">párr. 131, </w:t>
      </w:r>
      <w:r w:rsidRPr="00810E28">
        <w:rPr>
          <w:color w:val="000000"/>
          <w:szCs w:val="16"/>
        </w:rPr>
        <w:t xml:space="preserve">y </w:t>
      </w:r>
      <w:r w:rsidRPr="00810E28">
        <w:rPr>
          <w:i/>
          <w:szCs w:val="16"/>
          <w:lang w:val="es-MX"/>
        </w:rPr>
        <w:t>Caso Gutiérrez Hernández y otros Vs. Guatemala. Excepciones Preliminares, Fondo, Reparaciones y Costas.</w:t>
      </w:r>
      <w:r w:rsidRPr="00810E28">
        <w:rPr>
          <w:szCs w:val="16"/>
          <w:lang w:val="es-MX"/>
        </w:rPr>
        <w:t xml:space="preserve"> Sentencia de 24 de agosto de 2017. Serie C No. 339, párr. 125.</w:t>
      </w:r>
    </w:p>
  </w:footnote>
  <w:footnote w:id="104">
    <w:p w14:paraId="763AA553" w14:textId="1B800FE0" w:rsidR="006B6A4E" w:rsidRPr="00810E28" w:rsidRDefault="006B6A4E" w:rsidP="00810E28">
      <w:pPr>
        <w:tabs>
          <w:tab w:val="left" w:pos="426"/>
        </w:tabs>
        <w:autoSpaceDE w:val="0"/>
        <w:autoSpaceDN w:val="0"/>
        <w:adjustRightInd w:val="0"/>
        <w:spacing w:before="120"/>
        <w:jc w:val="both"/>
        <w:rPr>
          <w:sz w:val="16"/>
          <w:szCs w:val="16"/>
        </w:rPr>
      </w:pPr>
      <w:r w:rsidRPr="00810E28">
        <w:rPr>
          <w:rStyle w:val="FootnoteReference"/>
          <w:szCs w:val="16"/>
        </w:rPr>
        <w:footnoteRef/>
      </w:r>
      <w:r w:rsidRPr="00810E28">
        <w:rPr>
          <w:sz w:val="16"/>
          <w:szCs w:val="16"/>
        </w:rPr>
        <w:t xml:space="preserve">   Sentencia de la Sala Mixta de la Corte Superior de Justicia de Huancavelica de 25 de mayo de 2004 (expediente de prueba, </w:t>
      </w:r>
      <w:r w:rsidRPr="00810E28">
        <w:rPr>
          <w:rFonts w:cs="Arial"/>
          <w:sz w:val="16"/>
          <w:szCs w:val="16"/>
        </w:rPr>
        <w:t>folio 68).</w:t>
      </w:r>
    </w:p>
  </w:footnote>
  <w:footnote w:id="105">
    <w:p w14:paraId="42E5645A" w14:textId="77777777" w:rsidR="006B6A4E" w:rsidRPr="00810E28" w:rsidRDefault="006B6A4E" w:rsidP="00810E28">
      <w:pPr>
        <w:pStyle w:val="FootnoteText"/>
        <w:tabs>
          <w:tab w:val="left" w:pos="426"/>
        </w:tabs>
        <w:spacing w:before="120"/>
        <w:rPr>
          <w:spacing w:val="-4"/>
          <w:szCs w:val="16"/>
          <w:lang w:val="es-VE"/>
        </w:rPr>
      </w:pPr>
      <w:r w:rsidRPr="00810E28">
        <w:rPr>
          <w:rStyle w:val="FootnoteReference"/>
          <w:spacing w:val="-4"/>
          <w:szCs w:val="16"/>
        </w:rPr>
        <w:footnoteRef/>
      </w:r>
      <w:r w:rsidRPr="00810E28">
        <w:rPr>
          <w:spacing w:val="-4"/>
          <w:szCs w:val="16"/>
          <w:lang w:val="es-VE"/>
        </w:rPr>
        <w:t xml:space="preserve"> </w:t>
      </w:r>
      <w:r w:rsidRPr="00810E28">
        <w:rPr>
          <w:spacing w:val="-4"/>
          <w:szCs w:val="16"/>
          <w:lang w:val="es-VE"/>
        </w:rPr>
        <w:tab/>
      </w:r>
      <w:r w:rsidRPr="00810E28">
        <w:rPr>
          <w:i/>
          <w:spacing w:val="-4"/>
          <w:szCs w:val="16"/>
        </w:rPr>
        <w:t xml:space="preserve">Cfr. </w:t>
      </w:r>
      <w:r w:rsidRPr="00810E28">
        <w:rPr>
          <w:i/>
          <w:spacing w:val="-4"/>
          <w:szCs w:val="16"/>
          <w:lang w:val="es-VE"/>
        </w:rPr>
        <w:t>Caso Velásquez Rodríguez Vs. Honduras. Fondo.</w:t>
      </w:r>
      <w:r w:rsidRPr="00810E28">
        <w:rPr>
          <w:spacing w:val="-4"/>
          <w:szCs w:val="16"/>
          <w:lang w:val="es-VE"/>
        </w:rPr>
        <w:t xml:space="preserve"> Sentencia de 29 de julio de 1988. Serie C No. 4</w:t>
      </w:r>
      <w:r w:rsidRPr="00810E28">
        <w:rPr>
          <w:rStyle w:val="FootnoteTextChar"/>
          <w:spacing w:val="-4"/>
          <w:szCs w:val="16"/>
        </w:rPr>
        <w:t xml:space="preserve">, </w:t>
      </w:r>
      <w:proofErr w:type="spellStart"/>
      <w:r w:rsidRPr="00810E28">
        <w:rPr>
          <w:rStyle w:val="FootnoteTextChar"/>
          <w:spacing w:val="-4"/>
          <w:szCs w:val="16"/>
        </w:rPr>
        <w:t>párrs</w:t>
      </w:r>
      <w:proofErr w:type="spellEnd"/>
      <w:r w:rsidRPr="00810E28">
        <w:rPr>
          <w:rStyle w:val="FootnoteTextChar"/>
          <w:spacing w:val="-4"/>
          <w:szCs w:val="16"/>
        </w:rPr>
        <w:t>. 127 y 128</w:t>
      </w:r>
      <w:r w:rsidRPr="00810E28">
        <w:rPr>
          <w:spacing w:val="-4"/>
          <w:szCs w:val="16"/>
          <w:lang w:val="es-VE"/>
        </w:rPr>
        <w:t xml:space="preserve">, </w:t>
      </w:r>
      <w:r w:rsidRPr="00810E28">
        <w:rPr>
          <w:color w:val="000000"/>
          <w:spacing w:val="-4"/>
          <w:szCs w:val="16"/>
        </w:rPr>
        <w:t xml:space="preserve">y </w:t>
      </w:r>
      <w:r w:rsidRPr="00810E28">
        <w:rPr>
          <w:i/>
          <w:color w:val="000000"/>
          <w:spacing w:val="-4"/>
          <w:szCs w:val="16"/>
        </w:rPr>
        <w:t xml:space="preserve">Caso Rodríguez Vera y otros (Desaparecidos del Palacio de Justicia) Vs. Colombia. Excepciones Preliminares, Fondo, Reparaciones y Costas. </w:t>
      </w:r>
      <w:r w:rsidRPr="00810E28">
        <w:rPr>
          <w:color w:val="000000"/>
          <w:spacing w:val="-4"/>
          <w:szCs w:val="16"/>
        </w:rPr>
        <w:t>Sentencia de 14 de noviembre de 2014. Serie C No. 287, párr. 81.</w:t>
      </w:r>
    </w:p>
  </w:footnote>
  <w:footnote w:id="106">
    <w:p w14:paraId="4CEB2C61"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iCs/>
          <w:szCs w:val="16"/>
        </w:rPr>
        <w:t xml:space="preserve">Cfr. </w:t>
      </w:r>
      <w:r w:rsidRPr="00810E28">
        <w:rPr>
          <w:i/>
          <w:szCs w:val="16"/>
        </w:rPr>
        <w:t>Caso Heliodoro Portugal Vs. Panamá</w:t>
      </w:r>
      <w:r w:rsidRPr="00810E28">
        <w:rPr>
          <w:szCs w:val="16"/>
          <w:lang w:bidi="en-US"/>
        </w:rPr>
        <w:t xml:space="preserve">. </w:t>
      </w:r>
      <w:r w:rsidRPr="00810E28">
        <w:rPr>
          <w:i/>
          <w:szCs w:val="16"/>
          <w:lang w:bidi="en-US"/>
        </w:rPr>
        <w:t xml:space="preserve">Excepciones Preliminares, Fondo, Reparaciones y Costas. </w:t>
      </w:r>
      <w:r w:rsidRPr="00810E28">
        <w:rPr>
          <w:szCs w:val="16"/>
          <w:lang w:bidi="en-US"/>
        </w:rPr>
        <w:t xml:space="preserve">Sentencia de 12 de agosto de 2008. Serie C No. 186, </w:t>
      </w:r>
      <w:r w:rsidRPr="00810E28">
        <w:rPr>
          <w:iCs/>
          <w:szCs w:val="16"/>
        </w:rPr>
        <w:t>párr. 112</w:t>
      </w:r>
      <w:r w:rsidRPr="00810E28">
        <w:rPr>
          <w:szCs w:val="16"/>
        </w:rPr>
        <w:t xml:space="preserve">, y </w:t>
      </w:r>
      <w:r w:rsidRPr="00810E28">
        <w:rPr>
          <w:i/>
          <w:szCs w:val="16"/>
        </w:rPr>
        <w:t xml:space="preserve">Caso Vásquez Durand y otros Vs. Ecuador. Excepciones Preliminares, Fondo, Reparaciones y Costas. </w:t>
      </w:r>
      <w:r w:rsidRPr="00810E28">
        <w:rPr>
          <w:szCs w:val="16"/>
        </w:rPr>
        <w:t>Sentencia de 15 de febrero de 2017. Serie C No. 332, párr. 112.</w:t>
      </w:r>
    </w:p>
  </w:footnote>
  <w:footnote w:id="107">
    <w:p w14:paraId="75125DF3" w14:textId="77777777" w:rsidR="006B6A4E" w:rsidRPr="00810E28" w:rsidRDefault="006B6A4E" w:rsidP="00810E28">
      <w:pPr>
        <w:pStyle w:val="FootnoteText"/>
        <w:tabs>
          <w:tab w:val="left" w:pos="426"/>
        </w:tabs>
        <w:spacing w:before="120"/>
        <w:rPr>
          <w:rFonts w:cs="Tahoma"/>
          <w:spacing w:val="-4"/>
          <w:szCs w:val="16"/>
        </w:rPr>
      </w:pPr>
      <w:r w:rsidRPr="00810E28">
        <w:rPr>
          <w:rStyle w:val="FootnoteReference"/>
          <w:spacing w:val="-4"/>
          <w:szCs w:val="16"/>
        </w:rPr>
        <w:footnoteRef/>
      </w:r>
      <w:r w:rsidRPr="00810E28">
        <w:rPr>
          <w:spacing w:val="-4"/>
          <w:szCs w:val="16"/>
        </w:rPr>
        <w:t xml:space="preserve"> </w:t>
      </w:r>
      <w:r w:rsidRPr="00810E28">
        <w:rPr>
          <w:spacing w:val="-4"/>
          <w:szCs w:val="16"/>
        </w:rPr>
        <w:tab/>
        <w:t xml:space="preserve">Grupo de Trabajo sobre las Desapariciones Forzadas o Involuntarias, </w:t>
      </w:r>
      <w:r w:rsidRPr="00810E28">
        <w:rPr>
          <w:rFonts w:cs="Arial"/>
          <w:spacing w:val="-4"/>
          <w:szCs w:val="16"/>
        </w:rPr>
        <w:t xml:space="preserve">Informe del </w:t>
      </w:r>
      <w:r w:rsidRPr="00810E28">
        <w:rPr>
          <w:spacing w:val="-4"/>
          <w:szCs w:val="16"/>
        </w:rPr>
        <w:t>Grupo de Trabajo sobre las Desapariciones Forzadas o Involuntarias</w:t>
      </w:r>
      <w:r w:rsidRPr="00810E28">
        <w:rPr>
          <w:rFonts w:cs="Arial"/>
          <w:spacing w:val="-4"/>
          <w:szCs w:val="16"/>
        </w:rPr>
        <w:t>,</w:t>
      </w:r>
      <w:r w:rsidRPr="00810E28">
        <w:rPr>
          <w:rFonts w:cs="Arial"/>
          <w:i/>
          <w:spacing w:val="-4"/>
          <w:szCs w:val="16"/>
        </w:rPr>
        <w:t xml:space="preserve"> Comentario general sobre la definición de desapariciones forzadas, </w:t>
      </w:r>
      <w:r w:rsidRPr="00810E28">
        <w:rPr>
          <w:rFonts w:cs="Arial"/>
          <w:spacing w:val="-4"/>
          <w:szCs w:val="16"/>
        </w:rPr>
        <w:t xml:space="preserve">A/HRC/7/2, 10 de enero de 2008, párr. 7. </w:t>
      </w:r>
      <w:r w:rsidRPr="00810E28">
        <w:rPr>
          <w:rFonts w:cs="Arial"/>
          <w:i/>
          <w:spacing w:val="-4"/>
          <w:szCs w:val="16"/>
        </w:rPr>
        <w:t>Véase también</w:t>
      </w:r>
      <w:r w:rsidRPr="00810E28">
        <w:rPr>
          <w:rFonts w:cs="Arial"/>
          <w:spacing w:val="-4"/>
          <w:szCs w:val="16"/>
        </w:rPr>
        <w:t xml:space="preserve">, </w:t>
      </w:r>
      <w:r w:rsidRPr="00810E28">
        <w:rPr>
          <w:i/>
          <w:spacing w:val="-4"/>
          <w:szCs w:val="16"/>
        </w:rPr>
        <w:t>Caso Blanco Romero y otros Vs. Venezuela. Fondo, Reparaciones y Costas</w:t>
      </w:r>
      <w:r w:rsidRPr="00810E28">
        <w:rPr>
          <w:spacing w:val="-4"/>
          <w:szCs w:val="16"/>
        </w:rPr>
        <w:t xml:space="preserve">. Sentencia de 28 de noviembre de 2005. Serie C No. 138, párr. 105, y </w:t>
      </w:r>
      <w:r w:rsidRPr="00810E28">
        <w:rPr>
          <w:i/>
          <w:color w:val="000000"/>
          <w:spacing w:val="-4"/>
          <w:szCs w:val="16"/>
        </w:rPr>
        <w:t xml:space="preserve">Caso Rodríguez Vera y otros (Desaparecidos del Palacio de Justicia) Vs. Colombia. Excepciones Preliminares, Fondo, Reparaciones y Costas. </w:t>
      </w:r>
      <w:r w:rsidRPr="00810E28">
        <w:rPr>
          <w:color w:val="000000"/>
          <w:spacing w:val="-4"/>
          <w:szCs w:val="16"/>
        </w:rPr>
        <w:t>Sentencia de 14 de noviembre de 2014. Serie C No. 287, párr. 232.</w:t>
      </w:r>
    </w:p>
  </w:footnote>
  <w:footnote w:id="108">
    <w:p w14:paraId="2F64A4F5"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Caso Juan Humberto Sánchez Vs. Honduras. Excepción Preliminar, Fondo, Reparaciones y Costas. </w:t>
      </w:r>
      <w:r w:rsidRPr="00810E28">
        <w:rPr>
          <w:szCs w:val="16"/>
        </w:rPr>
        <w:t xml:space="preserve">Sentencia de 7 de junio de 2003. Serie C No. 99, párr. 99, y </w:t>
      </w:r>
      <w:r w:rsidRPr="00810E28">
        <w:rPr>
          <w:i/>
          <w:szCs w:val="16"/>
        </w:rPr>
        <w:t xml:space="preserve">Caso J. Vs. Perú. Excepción Preliminar, Fondo, Reparaciones y Costas. </w:t>
      </w:r>
      <w:r w:rsidRPr="00810E28">
        <w:rPr>
          <w:szCs w:val="16"/>
        </w:rPr>
        <w:t>Sentencia de 27 de noviembre de 2013. Serie C No. 275, párr. 343.</w:t>
      </w:r>
    </w:p>
  </w:footnote>
  <w:footnote w:id="109">
    <w:p w14:paraId="43191183" w14:textId="504510F2" w:rsidR="006B6A4E" w:rsidRPr="00810E28" w:rsidRDefault="006B6A4E" w:rsidP="00810E28">
      <w:pPr>
        <w:pStyle w:val="FootnoteText"/>
        <w:tabs>
          <w:tab w:val="left" w:pos="426"/>
        </w:tabs>
        <w:spacing w:before="120"/>
        <w:rPr>
          <w:i/>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Caso de los “Niños de la Calle” (Villagrán Morales y otros) Vs. Guatemala. Fondo. </w:t>
      </w:r>
      <w:r w:rsidRPr="00810E28">
        <w:rPr>
          <w:szCs w:val="16"/>
        </w:rPr>
        <w:t>Sentencia de 19 de noviembre de 1999. Serie C No. 63</w:t>
      </w:r>
      <w:r w:rsidRPr="00810E28">
        <w:rPr>
          <w:i/>
          <w:szCs w:val="16"/>
        </w:rPr>
        <w:t xml:space="preserve">, párr. </w:t>
      </w:r>
      <w:r w:rsidRPr="00810E28">
        <w:rPr>
          <w:szCs w:val="16"/>
        </w:rPr>
        <w:t xml:space="preserve">95 y 170, y </w:t>
      </w:r>
      <w:r w:rsidRPr="00602212">
        <w:rPr>
          <w:rStyle w:val="Strong"/>
          <w:rFonts w:eastAsiaTheme="majorEastAsia"/>
          <w:b w:val="0"/>
          <w:i/>
          <w:color w:val="000000"/>
          <w:shd w:val="clear" w:color="auto" w:fill="FFFFFF"/>
        </w:rPr>
        <w:t>Caso Pollo Rivera y otros Vs. Perú. Fondo, Reparaciones y Costas.</w:t>
      </w:r>
      <w:r w:rsidRPr="00D6592F">
        <w:rPr>
          <w:rStyle w:val="Strong"/>
          <w:rFonts w:eastAsiaTheme="majorEastAsia"/>
          <w:b w:val="0"/>
          <w:color w:val="000000"/>
          <w:shd w:val="clear" w:color="auto" w:fill="FFFFFF"/>
        </w:rPr>
        <w:t xml:space="preserve"> Sentencia de 21 de octubre de 2016. Serie C No. 319</w:t>
      </w:r>
      <w:r w:rsidRPr="00810E28">
        <w:rPr>
          <w:szCs w:val="16"/>
        </w:rPr>
        <w:t xml:space="preserve">, párr. </w:t>
      </w:r>
      <w:r>
        <w:rPr>
          <w:szCs w:val="16"/>
        </w:rPr>
        <w:t>1</w:t>
      </w:r>
      <w:r w:rsidRPr="00810E28">
        <w:rPr>
          <w:szCs w:val="16"/>
        </w:rPr>
        <w:t>4</w:t>
      </w:r>
      <w:r>
        <w:rPr>
          <w:szCs w:val="16"/>
        </w:rPr>
        <w:t>7</w:t>
      </w:r>
      <w:r w:rsidRPr="00810E28">
        <w:rPr>
          <w:szCs w:val="16"/>
        </w:rPr>
        <w:t>.</w:t>
      </w:r>
    </w:p>
  </w:footnote>
  <w:footnote w:id="110">
    <w:p w14:paraId="33C1A582" w14:textId="55DF27EE" w:rsidR="006B6A4E" w:rsidRPr="00810E28" w:rsidRDefault="006B6A4E" w:rsidP="00810E28">
      <w:pPr>
        <w:pStyle w:val="CommentText"/>
        <w:tabs>
          <w:tab w:val="left" w:pos="426"/>
        </w:tabs>
        <w:spacing w:before="120"/>
        <w:jc w:val="both"/>
        <w:rPr>
          <w:rFonts w:cs="Arial"/>
          <w:color w:val="000000"/>
          <w:sz w:val="16"/>
          <w:szCs w:val="16"/>
          <w:shd w:val="clear" w:color="auto" w:fill="FFFFFF"/>
          <w:lang w:val="es-CR"/>
        </w:rPr>
      </w:pPr>
      <w:r w:rsidRPr="00810E28">
        <w:rPr>
          <w:rStyle w:val="FootnoteReference"/>
          <w:szCs w:val="16"/>
        </w:rPr>
        <w:footnoteRef/>
      </w:r>
      <w:r w:rsidRPr="00810E28">
        <w:rPr>
          <w:sz w:val="16"/>
          <w:szCs w:val="16"/>
        </w:rPr>
        <w:t xml:space="preserve"> </w:t>
      </w:r>
      <w:r w:rsidRPr="00810E28">
        <w:rPr>
          <w:sz w:val="16"/>
          <w:szCs w:val="16"/>
        </w:rPr>
        <w:tab/>
      </w:r>
      <w:r w:rsidRPr="00810E28">
        <w:rPr>
          <w:i/>
          <w:sz w:val="16"/>
          <w:szCs w:val="16"/>
        </w:rPr>
        <w:t xml:space="preserve">Véase por ejemplo, </w:t>
      </w:r>
      <w:r w:rsidRPr="00810E28">
        <w:rPr>
          <w:sz w:val="16"/>
          <w:szCs w:val="16"/>
        </w:rPr>
        <w:t xml:space="preserve">TEDH, </w:t>
      </w:r>
      <w:r w:rsidRPr="00810E28">
        <w:rPr>
          <w:i/>
          <w:sz w:val="16"/>
          <w:szCs w:val="16"/>
        </w:rPr>
        <w:t xml:space="preserve">Caso </w:t>
      </w:r>
      <w:proofErr w:type="spellStart"/>
      <w:r w:rsidRPr="00810E28">
        <w:rPr>
          <w:i/>
          <w:sz w:val="16"/>
          <w:szCs w:val="16"/>
        </w:rPr>
        <w:t>Turluyeva</w:t>
      </w:r>
      <w:proofErr w:type="spellEnd"/>
      <w:r w:rsidRPr="00810E28">
        <w:rPr>
          <w:i/>
          <w:sz w:val="16"/>
          <w:szCs w:val="16"/>
        </w:rPr>
        <w:t xml:space="preserve"> Vs. Rusia</w:t>
      </w:r>
      <w:r w:rsidRPr="00810E28">
        <w:rPr>
          <w:sz w:val="16"/>
          <w:szCs w:val="16"/>
        </w:rPr>
        <w:t xml:space="preserve">, No. 63638/09. Sentencia de 20 de junio de 2013, párr. </w:t>
      </w:r>
      <w:r w:rsidRPr="00810E28">
        <w:rPr>
          <w:sz w:val="16"/>
          <w:szCs w:val="16"/>
          <w:lang w:val="es-CR"/>
        </w:rPr>
        <w:t xml:space="preserve">83. </w:t>
      </w:r>
    </w:p>
  </w:footnote>
  <w:footnote w:id="111">
    <w:p w14:paraId="26F73AAE" w14:textId="2F608E1E"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Mutatis </w:t>
      </w:r>
      <w:proofErr w:type="spellStart"/>
      <w:r w:rsidRPr="00810E28">
        <w:rPr>
          <w:i/>
          <w:szCs w:val="16"/>
        </w:rPr>
        <w:t>mutandi</w:t>
      </w:r>
      <w:proofErr w:type="spellEnd"/>
      <w:r>
        <w:rPr>
          <w:i/>
          <w:szCs w:val="16"/>
        </w:rPr>
        <w:t>,</w:t>
      </w:r>
      <w:r w:rsidRPr="00810E28">
        <w:rPr>
          <w:i/>
          <w:szCs w:val="16"/>
        </w:rPr>
        <w:t xml:space="preserve"> Caso Juan Humberto Sánchez Vs. Honduras. Excepción Preliminar, Fondo, Reparaciones y Costas. </w:t>
      </w:r>
      <w:r w:rsidRPr="00810E28">
        <w:rPr>
          <w:szCs w:val="16"/>
        </w:rPr>
        <w:t xml:space="preserve">Sentencia de 7 de junio de 2003. Serie C No. 99, párr. 111, y </w:t>
      </w:r>
      <w:r w:rsidRPr="00810E28">
        <w:rPr>
          <w:i/>
          <w:szCs w:val="16"/>
        </w:rPr>
        <w:t>C</w:t>
      </w:r>
      <w:r w:rsidRPr="00602212">
        <w:rPr>
          <w:rStyle w:val="Strong"/>
          <w:rFonts w:eastAsiaTheme="majorEastAsia"/>
          <w:b w:val="0"/>
          <w:i/>
          <w:color w:val="000000"/>
          <w:shd w:val="clear" w:color="auto" w:fill="FFFFFF"/>
        </w:rPr>
        <w:t xml:space="preserve">aso Chinchilla Sandoval y otros Vs. Guatemala. Excepción Preliminar, Fondo, Reparaciones y Costas. </w:t>
      </w:r>
      <w:r w:rsidRPr="00D6592F">
        <w:rPr>
          <w:rStyle w:val="Strong"/>
          <w:rFonts w:eastAsiaTheme="majorEastAsia"/>
          <w:b w:val="0"/>
          <w:color w:val="000000"/>
          <w:shd w:val="clear" w:color="auto" w:fill="FFFFFF"/>
        </w:rPr>
        <w:t>Sentencia de 29 de febrero de 2016. Serie C No. 312</w:t>
      </w:r>
      <w:r w:rsidRPr="00810E28">
        <w:rPr>
          <w:szCs w:val="16"/>
        </w:rPr>
        <w:t xml:space="preserve">, párr. </w:t>
      </w:r>
      <w:r>
        <w:rPr>
          <w:szCs w:val="16"/>
        </w:rPr>
        <w:t>257</w:t>
      </w:r>
      <w:r w:rsidRPr="00810E28">
        <w:rPr>
          <w:szCs w:val="16"/>
        </w:rPr>
        <w:t>.</w:t>
      </w:r>
    </w:p>
  </w:footnote>
  <w:footnote w:id="112">
    <w:p w14:paraId="368905EF" w14:textId="5D2FD9AC" w:rsidR="006B6A4E" w:rsidRPr="00810E28" w:rsidRDefault="006B6A4E" w:rsidP="00810E28">
      <w:pPr>
        <w:pStyle w:val="FootnoteText"/>
        <w:tabs>
          <w:tab w:val="left" w:pos="426"/>
        </w:tabs>
        <w:spacing w:before="120"/>
        <w:rPr>
          <w:i/>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LPS de 15 de abril de 1999 a las 4 de la tarde (expediente de prueba, folio 2403).</w:t>
      </w:r>
    </w:p>
  </w:footnote>
  <w:footnote w:id="113">
    <w:p w14:paraId="6D6B6B00" w14:textId="435CE977" w:rsidR="006B6A4E" w:rsidRPr="00810E28" w:rsidRDefault="006B6A4E" w:rsidP="00810E28">
      <w:pPr>
        <w:pStyle w:val="FootnoteText"/>
        <w:tabs>
          <w:tab w:val="left" w:pos="426"/>
        </w:tabs>
        <w:spacing w:before="120"/>
        <w:rPr>
          <w:color w:val="FF0000"/>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LPS de 22 de marzo de 1999 (expediente de prueba, folio 2399), y manifestación de LPS de 15 de abril de 1999 a las 4 de la tarde (expediente de prueba, folios 2403, 2404 y 2406).</w:t>
      </w:r>
    </w:p>
  </w:footnote>
  <w:footnote w:id="114">
    <w:p w14:paraId="514B1F08" w14:textId="0314D56D"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LPS de 15 de abril de 1999 (expediente de prueba, folio 2401); manifestación de LPS de 15 de abril de 1999 a las 4 de la tarde (expediente de prueba, folios 2403, 2404 y 2406), y declaración de LPS de 13 de mayo de 1999 (expediente de prueba, folio 2408).</w:t>
      </w:r>
    </w:p>
  </w:footnote>
  <w:footnote w:id="115">
    <w:p w14:paraId="420EBFC4" w14:textId="511D9E5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LPS de 15 de abril de 1999 (expediente de prueba, folio 2401), y manifestación de LPS de 15 de abril de 1999 a las 4 de la tarde (expediente de prueba, folios 2403, 2404 y 2406).</w:t>
      </w:r>
    </w:p>
  </w:footnote>
  <w:footnote w:id="116">
    <w:p w14:paraId="48B85AA1" w14:textId="3D54B29C"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Declaración de LPS de 13 de mayo de 1999 (expediente de prueba, folio 2408).</w:t>
      </w:r>
    </w:p>
  </w:footnote>
  <w:footnote w:id="117">
    <w:p w14:paraId="6B2AB0DB" w14:textId="7A03154A"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LPS de 22 de marzo de 1999 (expediente de prueba, folio 2399), y manifestación de LPS de 15 de abril de 1999 a las 4 de la tarde (expediente de prueba, folio 2404).</w:t>
      </w:r>
    </w:p>
  </w:footnote>
  <w:footnote w:id="118">
    <w:p w14:paraId="50832AF8" w14:textId="503BA8F1"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JMS de 22 de marzo de 1999 (expediente de prueba, folio 2424); Acta de entrevista de la Defensoría del Pueblo de JMS de 25 de marzo de 1999 (expediente de prueba, folio 338), y Testimonial de JMS de 13 de mayo de 1999 (expediente de prueba, folio 2432).</w:t>
      </w:r>
    </w:p>
  </w:footnote>
  <w:footnote w:id="119">
    <w:p w14:paraId="19457544" w14:textId="3E95C7C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Manifestación de JMS de 22 de marzo de 1999 (expediente de prueba, folio 2424).</w:t>
      </w:r>
    </w:p>
  </w:footnote>
  <w:footnote w:id="120">
    <w:p w14:paraId="062E7B6F" w14:textId="717976ED"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Manifestación de JMS de 12 de abril de 1999 (expediente de prueba, folios 2426 y 2427), y</w:t>
      </w:r>
      <w:r w:rsidRPr="00810E28">
        <w:rPr>
          <w:i/>
          <w:szCs w:val="16"/>
        </w:rPr>
        <w:t xml:space="preserve"> </w:t>
      </w:r>
      <w:r w:rsidRPr="00810E28">
        <w:rPr>
          <w:szCs w:val="16"/>
        </w:rPr>
        <w:t>Acta de entrevista de la Defensoría del Pueblo de JMS de 25 de marzo de 1999 (expediente de prueba, folio 338).</w:t>
      </w:r>
    </w:p>
  </w:footnote>
  <w:footnote w:id="121">
    <w:p w14:paraId="6F00CBA9"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Acta de visita de inspección de la Defensoría del Pueblo de 31 de marzo de 1999 (expediente de prueba, folio 240).</w:t>
      </w:r>
    </w:p>
  </w:footnote>
  <w:footnote w:id="122">
    <w:p w14:paraId="47E1B9B5"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Diligencia de Inspección Judicial de 4 de junio de 1999 (expediente de prueba, folio 2440). </w:t>
      </w:r>
    </w:p>
  </w:footnote>
  <w:footnote w:id="123">
    <w:p w14:paraId="53711DC6" w14:textId="0DBE193A"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Diligencia de Inspección Judicial de 4 de junio de 1999 (expediente de prueba, folio 2441). </w:t>
      </w:r>
    </w:p>
  </w:footnote>
  <w:footnote w:id="124">
    <w:p w14:paraId="46375247" w14:textId="176704E9"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Acta de entrevista de la Defensoría del Pueblo de JMS de 25 de marzo de 1999 (expediente de prueba, folio 338).</w:t>
      </w:r>
    </w:p>
  </w:footnote>
  <w:footnote w:id="125">
    <w:p w14:paraId="0CBA4AE4"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El artículo II de la Convención Interamericana sobre Desaparición Forzada establece que: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footnote>
  <w:footnote w:id="126">
    <w:p w14:paraId="61D7B463" w14:textId="6FD79D55"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iCs/>
          <w:szCs w:val="16"/>
        </w:rPr>
        <w:t>Cfr</w:t>
      </w:r>
      <w:r w:rsidRPr="00810E28">
        <w:rPr>
          <w:szCs w:val="16"/>
        </w:rPr>
        <w:t xml:space="preserve">. </w:t>
      </w:r>
      <w:r w:rsidRPr="00810E28">
        <w:rPr>
          <w:i/>
          <w:szCs w:val="16"/>
        </w:rPr>
        <w:t xml:space="preserve">Caso </w:t>
      </w:r>
      <w:proofErr w:type="spellStart"/>
      <w:r w:rsidRPr="00810E28">
        <w:rPr>
          <w:i/>
          <w:szCs w:val="16"/>
        </w:rPr>
        <w:t>Anzualdo</w:t>
      </w:r>
      <w:proofErr w:type="spellEnd"/>
      <w:r w:rsidRPr="00810E28">
        <w:rPr>
          <w:i/>
          <w:szCs w:val="16"/>
        </w:rPr>
        <w:t xml:space="preserve"> Castro Vs. Perú. Excepción Preliminar, Fondo, Reparaciones y Costas.</w:t>
      </w:r>
      <w:r w:rsidRPr="00810E28">
        <w:rPr>
          <w:szCs w:val="16"/>
        </w:rPr>
        <w:t xml:space="preserve"> Sentencia de 22 de septiembre de 2009. Serie C No. 202, párr. 91, y </w:t>
      </w:r>
      <w:r w:rsidRPr="00810E28">
        <w:rPr>
          <w:i/>
          <w:szCs w:val="16"/>
          <w:lang w:val="es-MX"/>
        </w:rPr>
        <w:t>Caso Gutiérrez Hernández y otros Vs. Guatemala. Excepciones Preliminares, Fondo, Reparaciones y Costas.</w:t>
      </w:r>
      <w:r w:rsidRPr="00810E28">
        <w:rPr>
          <w:szCs w:val="16"/>
          <w:lang w:val="es-MX"/>
        </w:rPr>
        <w:t xml:space="preserve"> Sentencia de 24 de agosto de 2017. Serie C No. 339, párr. 192.</w:t>
      </w:r>
    </w:p>
  </w:footnote>
  <w:footnote w:id="127">
    <w:p w14:paraId="22C0BF9D"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i/>
          <w:szCs w:val="16"/>
        </w:rPr>
        <w:t>Cfr.</w:t>
      </w:r>
      <w:r w:rsidRPr="00810E28">
        <w:rPr>
          <w:szCs w:val="16"/>
        </w:rPr>
        <w:t xml:space="preserve"> Parte de la Policía Nacional del Perú de 12 de abril de 1999 (expediente de prueba, folios 224 y 225). Si bien constan en el expediente dos partes policiales con fecha de 20 de marzo de 1999 estos fueron elaboradores con fecha posterior. </w:t>
      </w:r>
      <w:r w:rsidRPr="00810E28">
        <w:rPr>
          <w:i/>
          <w:szCs w:val="16"/>
        </w:rPr>
        <w:t xml:space="preserve">Cfr. </w:t>
      </w:r>
      <w:r w:rsidRPr="00810E28">
        <w:rPr>
          <w:szCs w:val="16"/>
        </w:rPr>
        <w:t>Parte 001 (expediente de prueba, folio 298); Parte 002 (expediente de prueba, folios 2536 y 2537); Sentencia de la Sala Mixta de la Corte Superior de Justicia de Huancavelica de 25 de mayo de 2004 (expediente de prueba, folio 59), y acta de continuación de audiencia de 2 de octubre de 2000 ante la Sala Mixta de la Corte Superior de Justicia de Huancavelica (expediente de prueba, folio 531).</w:t>
      </w:r>
    </w:p>
  </w:footnote>
  <w:footnote w:id="128">
    <w:p w14:paraId="5783A2C1"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szCs w:val="16"/>
        </w:rPr>
        <w:t xml:space="preserve">Resultado de la inspección ocular en los libros de registro de detenidos de 20 de marzo de 1999 transcripto en el Dictamen del Ministerio Público de 19 de enero de 2000 (expediente de prueba, folio 1664). </w:t>
      </w:r>
    </w:p>
  </w:footnote>
  <w:footnote w:id="129">
    <w:p w14:paraId="7007B335" w14:textId="77777777" w:rsidR="006B6A4E" w:rsidRPr="00810E28" w:rsidRDefault="006B6A4E" w:rsidP="00810E28">
      <w:pPr>
        <w:pStyle w:val="FootnoteText"/>
        <w:tabs>
          <w:tab w:val="left" w:pos="426"/>
        </w:tabs>
        <w:spacing w:before="120"/>
        <w:rPr>
          <w:b/>
          <w:color w:val="FF0000"/>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i/>
          <w:szCs w:val="16"/>
          <w:lang w:val="es-ES"/>
        </w:rPr>
        <w:t xml:space="preserve">Caso Torres </w:t>
      </w:r>
      <w:proofErr w:type="spellStart"/>
      <w:r w:rsidRPr="00810E28">
        <w:rPr>
          <w:i/>
          <w:szCs w:val="16"/>
          <w:lang w:val="es-ES"/>
        </w:rPr>
        <w:t>Millacura</w:t>
      </w:r>
      <w:proofErr w:type="spellEnd"/>
      <w:r w:rsidRPr="00810E28">
        <w:rPr>
          <w:i/>
          <w:szCs w:val="16"/>
          <w:lang w:val="es-ES"/>
        </w:rPr>
        <w:t xml:space="preserve"> y otros Vs. Argentina. Fondo, Reparaciones y Costas</w:t>
      </w:r>
      <w:r w:rsidRPr="00810E28">
        <w:rPr>
          <w:szCs w:val="16"/>
          <w:lang w:val="es-ES"/>
        </w:rPr>
        <w:t xml:space="preserve">. Sentencia de 26 de agosto de 2011. Serie C No. 229, párr. 76, y </w:t>
      </w:r>
      <w:r w:rsidRPr="00810E28">
        <w:rPr>
          <w:i/>
          <w:szCs w:val="16"/>
        </w:rPr>
        <w:t xml:space="preserve">Caso Vásquez Durand y otros Vs. Ecuador. Excepciones Preliminares, Fondo, Reparaciones y Costas. </w:t>
      </w:r>
      <w:r w:rsidRPr="00810E28">
        <w:rPr>
          <w:szCs w:val="16"/>
        </w:rPr>
        <w:t>Sentencia de 15 de febrero de 2017. Serie C No. 332, párr. 127.</w:t>
      </w:r>
    </w:p>
  </w:footnote>
  <w:footnote w:id="130">
    <w:p w14:paraId="7272E413"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Caso </w:t>
      </w:r>
      <w:proofErr w:type="spellStart"/>
      <w:r w:rsidRPr="00810E28">
        <w:rPr>
          <w:i/>
          <w:szCs w:val="16"/>
        </w:rPr>
        <w:t>Bulacio</w:t>
      </w:r>
      <w:proofErr w:type="spellEnd"/>
      <w:r w:rsidRPr="00810E28">
        <w:rPr>
          <w:i/>
          <w:szCs w:val="16"/>
        </w:rPr>
        <w:t xml:space="preserve"> Vs. Argentina. Fondo, Reparaciones y Costas</w:t>
      </w:r>
      <w:r w:rsidRPr="00810E28">
        <w:rPr>
          <w:szCs w:val="16"/>
        </w:rPr>
        <w:t xml:space="preserve">. Sentencia de 18 de Septiembre de 2003. Serie C No. 100, párr. 132, y </w:t>
      </w:r>
      <w:r w:rsidRPr="00810E28">
        <w:rPr>
          <w:i/>
          <w:szCs w:val="16"/>
        </w:rPr>
        <w:t>Caso Espinoza Gonzáles Vs. Perú. Excepciones Preliminares, Fondo, Reparaciones y Costas</w:t>
      </w:r>
      <w:r w:rsidRPr="00810E28">
        <w:rPr>
          <w:szCs w:val="16"/>
        </w:rPr>
        <w:t>. Sentencia de 20 de noviembre de 2014. Serie C No. 289, párr. 122.</w:t>
      </w:r>
    </w:p>
  </w:footnote>
  <w:footnote w:id="131">
    <w:p w14:paraId="664F6EDF" w14:textId="77777777" w:rsidR="006B6A4E" w:rsidRPr="00810E28" w:rsidRDefault="006B6A4E" w:rsidP="00810E28">
      <w:pPr>
        <w:pStyle w:val="FootnoteText"/>
        <w:tabs>
          <w:tab w:val="left" w:pos="426"/>
        </w:tabs>
        <w:spacing w:before="120"/>
        <w:rPr>
          <w:szCs w:val="16"/>
        </w:rPr>
      </w:pPr>
      <w:r w:rsidRPr="00810E28">
        <w:rPr>
          <w:rStyle w:val="FootnoteReference"/>
          <w:rFonts w:eastAsia="Times"/>
          <w:szCs w:val="16"/>
        </w:rPr>
        <w:footnoteRef/>
      </w:r>
      <w:r w:rsidRPr="00810E28">
        <w:rPr>
          <w:rStyle w:val="FootnoteReference"/>
          <w:rFonts w:eastAsia="Times"/>
          <w:szCs w:val="16"/>
        </w:rPr>
        <w:t xml:space="preserve"> </w:t>
      </w:r>
      <w:r w:rsidRPr="00810E28">
        <w:rPr>
          <w:rStyle w:val="FootnoteReference"/>
          <w:rFonts w:eastAsia="Times"/>
          <w:szCs w:val="16"/>
        </w:rPr>
        <w:tab/>
      </w:r>
      <w:r w:rsidRPr="00810E28">
        <w:rPr>
          <w:i/>
          <w:szCs w:val="16"/>
        </w:rPr>
        <w:t>Cfr</w:t>
      </w:r>
      <w:r w:rsidRPr="00810E28">
        <w:rPr>
          <w:szCs w:val="16"/>
        </w:rPr>
        <w:t xml:space="preserve">. </w:t>
      </w:r>
      <w:r w:rsidRPr="00810E28">
        <w:rPr>
          <w:i/>
          <w:szCs w:val="16"/>
        </w:rPr>
        <w:t xml:space="preserve">Caso Velásquez Rodríguez Vs. Honduras. </w:t>
      </w:r>
      <w:r w:rsidRPr="00810E28">
        <w:rPr>
          <w:i/>
          <w:szCs w:val="16"/>
          <w:lang w:val="es-ES"/>
        </w:rPr>
        <w:t>Fondo.</w:t>
      </w:r>
      <w:r w:rsidRPr="00810E28">
        <w:rPr>
          <w:szCs w:val="16"/>
        </w:rPr>
        <w:t xml:space="preserve"> </w:t>
      </w:r>
      <w:r w:rsidRPr="00810E28">
        <w:rPr>
          <w:szCs w:val="16"/>
          <w:lang w:val="es-ES"/>
        </w:rPr>
        <w:t xml:space="preserve">Sentencia de 29 de julio de 1988. Serie C No. 4, </w:t>
      </w:r>
      <w:proofErr w:type="spellStart"/>
      <w:r w:rsidRPr="00810E28">
        <w:rPr>
          <w:szCs w:val="16"/>
        </w:rPr>
        <w:t>párrs</w:t>
      </w:r>
      <w:proofErr w:type="spellEnd"/>
      <w:r w:rsidRPr="00810E28">
        <w:rPr>
          <w:szCs w:val="16"/>
        </w:rPr>
        <w:t xml:space="preserve">. 156 y 187, y </w:t>
      </w:r>
      <w:r w:rsidRPr="00810E28">
        <w:rPr>
          <w:i/>
          <w:szCs w:val="16"/>
        </w:rPr>
        <w:t xml:space="preserve">Caso Vásquez Durand y otros Vs. Ecuador. Excepciones Preliminares, Fondo, Reparaciones y Costas. </w:t>
      </w:r>
      <w:r w:rsidRPr="00810E28">
        <w:rPr>
          <w:szCs w:val="16"/>
        </w:rPr>
        <w:t>Sentencia de 15 de febrero de 2017. Serie C No. 332, párr. 135.</w:t>
      </w:r>
    </w:p>
  </w:footnote>
  <w:footnote w:id="132">
    <w:p w14:paraId="4DA2CCD7" w14:textId="46CA571D" w:rsidR="006B6A4E" w:rsidRPr="00810E28" w:rsidRDefault="006B6A4E" w:rsidP="00810E28">
      <w:pPr>
        <w:pStyle w:val="FootnoteText"/>
        <w:tabs>
          <w:tab w:val="left" w:pos="426"/>
        </w:tabs>
        <w:spacing w:before="120"/>
        <w:rPr>
          <w:bCs/>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810E28">
        <w:rPr>
          <w:i/>
          <w:szCs w:val="16"/>
          <w:lang w:val="es-ES"/>
        </w:rPr>
        <w:t xml:space="preserve">Caso Radilla Pacheco Vs. México. Excepciones Preliminares, Fondo, Reparaciones y Costas. </w:t>
      </w:r>
      <w:r w:rsidRPr="00810E28">
        <w:rPr>
          <w:szCs w:val="16"/>
          <w:lang w:val="es-ES"/>
        </w:rPr>
        <w:t>Sentencia de 23 de noviembre de 2009. Serie C No. 209, párr.</w:t>
      </w:r>
      <w:r w:rsidRPr="00810E28">
        <w:rPr>
          <w:szCs w:val="16"/>
        </w:rPr>
        <w:t xml:space="preserve">152, y </w:t>
      </w:r>
      <w:r w:rsidRPr="00810E28">
        <w:rPr>
          <w:i/>
          <w:szCs w:val="16"/>
        </w:rPr>
        <w:t xml:space="preserve">Caso Vásquez Durand y otros Vs. Ecuador. Excepciones Preliminares, Fondo, Reparaciones y Costas. </w:t>
      </w:r>
      <w:r w:rsidRPr="00810E28">
        <w:rPr>
          <w:szCs w:val="16"/>
        </w:rPr>
        <w:t xml:space="preserve">Sentencia de 15 de febrero de 2017. Serie C No. 332, </w:t>
      </w:r>
      <w:proofErr w:type="spellStart"/>
      <w:r w:rsidRPr="00810E28">
        <w:rPr>
          <w:szCs w:val="16"/>
        </w:rPr>
        <w:t>párr</w:t>
      </w:r>
      <w:r>
        <w:rPr>
          <w:szCs w:val="16"/>
        </w:rPr>
        <w:t>s</w:t>
      </w:r>
      <w:proofErr w:type="spellEnd"/>
      <w:r w:rsidRPr="00810E28">
        <w:rPr>
          <w:szCs w:val="16"/>
        </w:rPr>
        <w:t>. 135</w:t>
      </w:r>
      <w:r>
        <w:rPr>
          <w:szCs w:val="16"/>
        </w:rPr>
        <w:t xml:space="preserve"> y 136</w:t>
      </w:r>
      <w:r w:rsidRPr="00810E28">
        <w:rPr>
          <w:szCs w:val="16"/>
        </w:rPr>
        <w:t>.</w:t>
      </w:r>
    </w:p>
  </w:footnote>
  <w:footnote w:id="133">
    <w:p w14:paraId="1B2F53EA" w14:textId="57210AA1" w:rsidR="006B6A4E" w:rsidRPr="00810E28" w:rsidRDefault="006B6A4E" w:rsidP="00810E28">
      <w:pPr>
        <w:pStyle w:val="FootnoteText"/>
        <w:tabs>
          <w:tab w:val="left" w:pos="426"/>
        </w:tabs>
        <w:spacing w:before="120"/>
        <w:rPr>
          <w:szCs w:val="16"/>
          <w:lang w:val="es-ES"/>
        </w:rPr>
      </w:pPr>
      <w:r w:rsidRPr="00810E28">
        <w:rPr>
          <w:rStyle w:val="FootnoteReference"/>
          <w:rFonts w:eastAsia="Times"/>
          <w:szCs w:val="16"/>
          <w:lang w:val="es-ES"/>
        </w:rPr>
        <w:footnoteRef/>
      </w:r>
      <w:r w:rsidRPr="00810E28">
        <w:rPr>
          <w:szCs w:val="16"/>
          <w:lang w:val="es-ES"/>
        </w:rPr>
        <w:t xml:space="preserve"> </w:t>
      </w:r>
      <w:r w:rsidRPr="00810E28">
        <w:rPr>
          <w:szCs w:val="16"/>
          <w:lang w:val="es-ES"/>
        </w:rPr>
        <w:tab/>
      </w:r>
      <w:r w:rsidRPr="00810E28">
        <w:rPr>
          <w:i/>
          <w:szCs w:val="16"/>
        </w:rPr>
        <w:t xml:space="preserve">Caso </w:t>
      </w:r>
      <w:proofErr w:type="spellStart"/>
      <w:r w:rsidRPr="00810E28">
        <w:rPr>
          <w:i/>
          <w:szCs w:val="16"/>
        </w:rPr>
        <w:t>Anzualdo</w:t>
      </w:r>
      <w:proofErr w:type="spellEnd"/>
      <w:r w:rsidRPr="00810E28">
        <w:rPr>
          <w:i/>
          <w:szCs w:val="16"/>
        </w:rPr>
        <w:t xml:space="preserve"> Castro Vs. Perú. Excepción Preliminar, Fondo, Reparaciones y Costas.</w:t>
      </w:r>
      <w:r w:rsidRPr="00810E28">
        <w:rPr>
          <w:szCs w:val="16"/>
        </w:rPr>
        <w:t xml:space="preserve"> Sentencia de 22 de septiembre de 2009. Serie C No. 202, </w:t>
      </w:r>
      <w:proofErr w:type="spellStart"/>
      <w:r w:rsidRPr="00810E28">
        <w:rPr>
          <w:bCs/>
          <w:color w:val="000000"/>
          <w:szCs w:val="16"/>
          <w:lang w:val="es-ES"/>
        </w:rPr>
        <w:t>párrs</w:t>
      </w:r>
      <w:proofErr w:type="spellEnd"/>
      <w:r w:rsidRPr="00810E28">
        <w:rPr>
          <w:bCs/>
          <w:color w:val="000000"/>
          <w:szCs w:val="16"/>
          <w:lang w:val="es-ES"/>
        </w:rPr>
        <w:t>. 90 y 92</w:t>
      </w:r>
      <w:r w:rsidRPr="00810E28">
        <w:rPr>
          <w:bCs/>
          <w:i/>
          <w:color w:val="000000"/>
          <w:szCs w:val="16"/>
          <w:lang w:val="es-ES"/>
        </w:rPr>
        <w:t xml:space="preserve">, </w:t>
      </w:r>
      <w:r w:rsidRPr="00810E28">
        <w:rPr>
          <w:color w:val="000000"/>
          <w:szCs w:val="16"/>
          <w:lang w:val="es-ES"/>
        </w:rPr>
        <w:t xml:space="preserve">y </w:t>
      </w:r>
      <w:r w:rsidRPr="00810E28">
        <w:rPr>
          <w:i/>
          <w:szCs w:val="16"/>
        </w:rPr>
        <w:t xml:space="preserve">Caso Vásquez Durand y otros Vs. Ecuador. Excepciones Preliminares, Fondo, Reparaciones y Costas. </w:t>
      </w:r>
      <w:r w:rsidRPr="00810E28">
        <w:rPr>
          <w:szCs w:val="16"/>
        </w:rPr>
        <w:t>Sentencia de 15 de febrero de 2017. Serie C No. 332, párr. 137</w:t>
      </w:r>
      <w:r>
        <w:rPr>
          <w:szCs w:val="16"/>
        </w:rPr>
        <w:t>.</w:t>
      </w:r>
    </w:p>
  </w:footnote>
  <w:footnote w:id="134">
    <w:p w14:paraId="28CAD61A"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lang w:val="es-CR"/>
        </w:rPr>
        <w:tab/>
        <w:t>El artículo 8.1 de la Convención establece que:</w:t>
      </w:r>
      <w:r w:rsidRPr="00810E28">
        <w:rPr>
          <w:rFonts w:cs="Tahoma"/>
          <w:color w:val="000000"/>
          <w:szCs w:val="16"/>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35">
    <w:p w14:paraId="08846CF4"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szCs w:val="16"/>
          <w:lang w:val="es-CR"/>
        </w:rPr>
        <w:t>El artículo 25.1 de la Convención establece que:</w:t>
      </w:r>
      <w:r w:rsidRPr="00810E28">
        <w:rPr>
          <w:rFonts w:cs="Tahoma"/>
          <w:color w:val="000000"/>
          <w:szCs w:val="16"/>
        </w:rPr>
        <w:t xml:space="preserv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36">
    <w:p w14:paraId="17711C5D" w14:textId="77777777" w:rsidR="006B6A4E" w:rsidRPr="00810E28" w:rsidRDefault="006B6A4E" w:rsidP="00810E28">
      <w:pPr>
        <w:pStyle w:val="FootnoteText"/>
        <w:tabs>
          <w:tab w:val="left" w:pos="426"/>
          <w:tab w:val="left" w:pos="567"/>
        </w:tabs>
        <w:spacing w:before="120"/>
        <w:rPr>
          <w:i/>
          <w:szCs w:val="16"/>
          <w:lang w:val="es-ES"/>
        </w:rPr>
      </w:pPr>
      <w:r w:rsidRPr="00810E28">
        <w:rPr>
          <w:rStyle w:val="FootnoteReference"/>
          <w:rFonts w:eastAsia="Calibri"/>
          <w:szCs w:val="16"/>
          <w:lang w:val="es-ES"/>
        </w:rPr>
        <w:footnoteRef/>
      </w:r>
      <w:r w:rsidRPr="00810E28">
        <w:rPr>
          <w:szCs w:val="16"/>
          <w:lang w:val="es-ES"/>
        </w:rPr>
        <w:t xml:space="preserve"> </w:t>
      </w:r>
      <w:r w:rsidRPr="00810E28">
        <w:rPr>
          <w:szCs w:val="16"/>
          <w:lang w:val="es-ES"/>
        </w:rPr>
        <w:tab/>
      </w:r>
      <w:r w:rsidRPr="00810E28">
        <w:rPr>
          <w:i/>
          <w:iCs/>
          <w:szCs w:val="16"/>
          <w:lang w:val="es-ES"/>
        </w:rPr>
        <w:t xml:space="preserve">Cfr. </w:t>
      </w:r>
      <w:r w:rsidRPr="00810E28">
        <w:rPr>
          <w:i/>
          <w:szCs w:val="16"/>
          <w:lang w:val="es-CR"/>
        </w:rPr>
        <w:t xml:space="preserve">Caso Velásquez Rodríguez Vs. Honduras. </w:t>
      </w:r>
      <w:r w:rsidRPr="00810E28">
        <w:rPr>
          <w:i/>
          <w:szCs w:val="16"/>
          <w:lang w:val="es-ES"/>
        </w:rPr>
        <w:t>Fondo.</w:t>
      </w:r>
      <w:r w:rsidRPr="00810E28">
        <w:rPr>
          <w:szCs w:val="16"/>
          <w:lang w:val="es-CR"/>
        </w:rPr>
        <w:t xml:space="preserve"> </w:t>
      </w:r>
      <w:r w:rsidRPr="00810E28">
        <w:rPr>
          <w:szCs w:val="16"/>
          <w:lang w:val="es-ES"/>
        </w:rPr>
        <w:t>Sentencia de 29 de julio de 1988. Serie C No. 4, párr. 166, y</w:t>
      </w:r>
      <w:r w:rsidRPr="00810E28">
        <w:rPr>
          <w:i/>
          <w:szCs w:val="16"/>
          <w:lang w:val="es-ES"/>
        </w:rPr>
        <w:t xml:space="preserve">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141.</w:t>
      </w:r>
    </w:p>
  </w:footnote>
  <w:footnote w:id="137">
    <w:p w14:paraId="6959E836" w14:textId="77777777" w:rsidR="006B6A4E" w:rsidRPr="00810E28" w:rsidRDefault="006B6A4E" w:rsidP="00810E28">
      <w:pPr>
        <w:pStyle w:val="FootnoteText"/>
        <w:tabs>
          <w:tab w:val="left" w:pos="426"/>
          <w:tab w:val="left" w:pos="567"/>
        </w:tabs>
        <w:spacing w:before="120"/>
        <w:rPr>
          <w:szCs w:val="16"/>
          <w:lang w:val="es-ES"/>
        </w:rPr>
      </w:pPr>
      <w:r w:rsidRPr="00810E28">
        <w:rPr>
          <w:rStyle w:val="FootnoteReference"/>
          <w:rFonts w:eastAsia="Calibri"/>
          <w:szCs w:val="16"/>
          <w:lang w:val="es-ES"/>
        </w:rPr>
        <w:footnoteRef/>
      </w:r>
      <w:r w:rsidRPr="00810E28">
        <w:rPr>
          <w:szCs w:val="16"/>
          <w:lang w:val="es-ES"/>
        </w:rPr>
        <w:t xml:space="preserve"> </w:t>
      </w:r>
      <w:r w:rsidRPr="00810E28">
        <w:rPr>
          <w:szCs w:val="16"/>
          <w:lang w:val="es-ES"/>
        </w:rPr>
        <w:tab/>
      </w:r>
      <w:r w:rsidRPr="00810E28">
        <w:rPr>
          <w:i/>
          <w:szCs w:val="16"/>
          <w:lang w:val="es-ES"/>
        </w:rPr>
        <w:t xml:space="preserve">Cfr. Caso </w:t>
      </w:r>
      <w:proofErr w:type="spellStart"/>
      <w:r w:rsidRPr="00810E28">
        <w:rPr>
          <w:i/>
          <w:szCs w:val="16"/>
          <w:lang w:val="es-ES"/>
        </w:rPr>
        <w:t>Goiburú</w:t>
      </w:r>
      <w:proofErr w:type="spellEnd"/>
      <w:r w:rsidRPr="00810E28">
        <w:rPr>
          <w:i/>
          <w:szCs w:val="16"/>
          <w:lang w:val="es-ES"/>
        </w:rPr>
        <w:t xml:space="preserve"> y otros Vs. Paraguay. Fondo, Reparaciones y Costas.</w:t>
      </w:r>
      <w:r w:rsidRPr="00810E28">
        <w:rPr>
          <w:szCs w:val="16"/>
          <w:lang w:val="es-ES"/>
        </w:rPr>
        <w:t xml:space="preserve"> Sentencia de 22 de septiembre de 2006. Serie C No. 153, párr. 128, y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141.</w:t>
      </w:r>
    </w:p>
  </w:footnote>
  <w:footnote w:id="138">
    <w:p w14:paraId="392E43F2" w14:textId="77777777" w:rsidR="006B6A4E" w:rsidRPr="00810E28" w:rsidRDefault="006B6A4E" w:rsidP="00810E28">
      <w:pPr>
        <w:pStyle w:val="FootnoteText"/>
        <w:tabs>
          <w:tab w:val="left" w:pos="426"/>
          <w:tab w:val="left" w:pos="567"/>
        </w:tabs>
        <w:spacing w:before="120"/>
        <w:rPr>
          <w:szCs w:val="16"/>
          <w:lang w:val="es-ES"/>
        </w:rPr>
      </w:pPr>
      <w:r w:rsidRPr="00810E28">
        <w:rPr>
          <w:rStyle w:val="FootnoteReference"/>
          <w:rFonts w:eastAsia="Calibri"/>
          <w:szCs w:val="16"/>
          <w:lang w:val="es-ES"/>
        </w:rPr>
        <w:footnoteRef/>
      </w:r>
      <w:r w:rsidRPr="00810E28">
        <w:rPr>
          <w:szCs w:val="16"/>
          <w:lang w:val="es-ES"/>
        </w:rPr>
        <w:t xml:space="preserve"> </w:t>
      </w:r>
      <w:r w:rsidRPr="00810E28">
        <w:rPr>
          <w:szCs w:val="16"/>
          <w:lang w:val="es-ES"/>
        </w:rPr>
        <w:tab/>
        <w:t xml:space="preserve">El artículo </w:t>
      </w:r>
      <w:proofErr w:type="spellStart"/>
      <w:r w:rsidRPr="00810E28">
        <w:rPr>
          <w:szCs w:val="16"/>
          <w:lang w:val="es-ES"/>
        </w:rPr>
        <w:t>I.b</w:t>
      </w:r>
      <w:proofErr w:type="spellEnd"/>
      <w:r w:rsidRPr="00810E28">
        <w:rPr>
          <w:szCs w:val="16"/>
          <w:lang w:val="es-ES"/>
        </w:rPr>
        <w:t xml:space="preserve"> de la Convención Interamericana sobre Desaparición Forzada establece: “Los Estados Partes en esta Convención se comprometen a: […] b) Sancionar en el ámbito de su jurisdicción a los autores, cómplices y encubridores del delito de desaparición forzada de personas, así como la tentativa de comisión del mismo”.</w:t>
      </w:r>
    </w:p>
  </w:footnote>
  <w:footnote w:id="139">
    <w:p w14:paraId="3EF17D12" w14:textId="77777777" w:rsidR="006B6A4E" w:rsidRPr="00810E28" w:rsidRDefault="006B6A4E" w:rsidP="00810E28">
      <w:pPr>
        <w:pStyle w:val="FootnoteText"/>
        <w:tabs>
          <w:tab w:val="left" w:pos="426"/>
          <w:tab w:val="left" w:pos="567"/>
        </w:tabs>
        <w:spacing w:before="120"/>
        <w:rPr>
          <w:szCs w:val="16"/>
          <w:lang w:val="es-CO"/>
        </w:rPr>
      </w:pPr>
      <w:r w:rsidRPr="00810E28">
        <w:rPr>
          <w:rStyle w:val="FootnoteReference"/>
          <w:rFonts w:eastAsia="Calibri"/>
          <w:szCs w:val="16"/>
          <w:lang w:val="es-ES"/>
        </w:rPr>
        <w:footnoteRef/>
      </w:r>
      <w:r w:rsidRPr="00810E28">
        <w:rPr>
          <w:szCs w:val="16"/>
          <w:lang w:val="es-ES"/>
        </w:rPr>
        <w:t xml:space="preserve"> </w:t>
      </w:r>
      <w:r w:rsidRPr="00810E28">
        <w:rPr>
          <w:szCs w:val="16"/>
          <w:lang w:val="es-ES"/>
        </w:rPr>
        <w:tab/>
      </w:r>
      <w:r w:rsidRPr="00810E28">
        <w:rPr>
          <w:i/>
          <w:szCs w:val="16"/>
          <w:lang w:val="es-ES"/>
        </w:rPr>
        <w:t xml:space="preserve">Cfr. </w:t>
      </w:r>
      <w:r w:rsidRPr="00810E28">
        <w:rPr>
          <w:i/>
          <w:szCs w:val="16"/>
          <w:lang w:val="es-CR"/>
        </w:rPr>
        <w:t xml:space="preserve">Caso Velásquez Rodríguez Vs. Honduras. </w:t>
      </w:r>
      <w:r w:rsidRPr="00810E28">
        <w:rPr>
          <w:i/>
          <w:szCs w:val="16"/>
          <w:lang w:val="es-ES"/>
        </w:rPr>
        <w:t>Fondo.</w:t>
      </w:r>
      <w:r w:rsidRPr="00810E28">
        <w:rPr>
          <w:szCs w:val="16"/>
          <w:lang w:val="es-CR"/>
        </w:rPr>
        <w:t xml:space="preserve"> </w:t>
      </w:r>
      <w:r w:rsidRPr="00810E28">
        <w:rPr>
          <w:szCs w:val="16"/>
          <w:lang w:val="es-ES"/>
        </w:rPr>
        <w:t xml:space="preserve">Sentencia de 29 de julio de 1988. Serie C No. 4, </w:t>
      </w:r>
      <w:proofErr w:type="spellStart"/>
      <w:r w:rsidRPr="00810E28">
        <w:rPr>
          <w:szCs w:val="16"/>
          <w:lang w:val="es-ES"/>
        </w:rPr>
        <w:t>párrs</w:t>
      </w:r>
      <w:proofErr w:type="spellEnd"/>
      <w:r w:rsidRPr="00810E28">
        <w:rPr>
          <w:szCs w:val="16"/>
          <w:lang w:val="es-ES"/>
        </w:rPr>
        <w:t>. 176 y 177, y</w:t>
      </w:r>
      <w:r w:rsidRPr="00810E28">
        <w:rPr>
          <w:i/>
          <w:szCs w:val="16"/>
          <w:lang w:val="es-ES"/>
        </w:rPr>
        <w:t xml:space="preserve">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142.</w:t>
      </w:r>
    </w:p>
  </w:footnote>
  <w:footnote w:id="140">
    <w:p w14:paraId="5157F36E" w14:textId="77777777" w:rsidR="006B6A4E" w:rsidRPr="00810E28" w:rsidRDefault="006B6A4E" w:rsidP="00810E28">
      <w:pPr>
        <w:tabs>
          <w:tab w:val="left" w:pos="426"/>
          <w:tab w:val="left" w:pos="567"/>
        </w:tabs>
        <w:autoSpaceDE w:val="0"/>
        <w:autoSpaceDN w:val="0"/>
        <w:adjustRightInd w:val="0"/>
        <w:spacing w:before="120"/>
        <w:jc w:val="both"/>
        <w:rPr>
          <w:bCs/>
          <w:sz w:val="16"/>
          <w:szCs w:val="16"/>
          <w:lang w:val="es-ES_tradnl"/>
        </w:rPr>
      </w:pPr>
      <w:r w:rsidRPr="00810E28">
        <w:rPr>
          <w:rStyle w:val="FootnoteReference"/>
          <w:rFonts w:eastAsia="Calibri"/>
          <w:szCs w:val="16"/>
        </w:rPr>
        <w:footnoteRef/>
      </w:r>
      <w:r w:rsidRPr="00810E28">
        <w:rPr>
          <w:sz w:val="16"/>
          <w:szCs w:val="16"/>
          <w:lang w:val="es-CR"/>
        </w:rPr>
        <w:t xml:space="preserve"> </w:t>
      </w:r>
      <w:r w:rsidRPr="00810E28">
        <w:rPr>
          <w:sz w:val="16"/>
          <w:szCs w:val="16"/>
          <w:lang w:val="es-CR"/>
        </w:rPr>
        <w:tab/>
      </w:r>
      <w:r w:rsidRPr="00810E28">
        <w:rPr>
          <w:i/>
          <w:iCs/>
          <w:sz w:val="16"/>
          <w:szCs w:val="16"/>
          <w:lang w:val="es-CR"/>
        </w:rPr>
        <w:t xml:space="preserve">Cfr. </w:t>
      </w:r>
      <w:r w:rsidRPr="00810E28">
        <w:rPr>
          <w:i/>
          <w:sz w:val="16"/>
          <w:szCs w:val="16"/>
          <w:lang w:val="es-CR"/>
        </w:rPr>
        <w:t xml:space="preserve">Caso </w:t>
      </w:r>
      <w:proofErr w:type="spellStart"/>
      <w:r w:rsidRPr="00810E28">
        <w:rPr>
          <w:i/>
          <w:sz w:val="16"/>
          <w:szCs w:val="16"/>
          <w:lang w:val="es-CR"/>
        </w:rPr>
        <w:t>Anzualdo</w:t>
      </w:r>
      <w:proofErr w:type="spellEnd"/>
      <w:r w:rsidRPr="00810E28">
        <w:rPr>
          <w:i/>
          <w:sz w:val="16"/>
          <w:szCs w:val="16"/>
          <w:lang w:val="es-CR"/>
        </w:rPr>
        <w:t xml:space="preserve"> Castro Vs. Perú. Excepción Preliminar, Fondo, Reparaciones y Costas.</w:t>
      </w:r>
      <w:r w:rsidRPr="00810E28">
        <w:rPr>
          <w:sz w:val="16"/>
          <w:szCs w:val="16"/>
          <w:lang w:val="es-CR"/>
        </w:rPr>
        <w:t xml:space="preserve"> Sentencia de 22 de septiembre de 2009. Serie C No. 202, párr. 65, y</w:t>
      </w:r>
      <w:r w:rsidRPr="00810E28">
        <w:rPr>
          <w:b/>
          <w:sz w:val="16"/>
          <w:szCs w:val="16"/>
          <w:lang w:val="es-CR"/>
        </w:rPr>
        <w:t xml:space="preserve"> </w:t>
      </w:r>
      <w:r w:rsidRPr="00810E28">
        <w:rPr>
          <w:i/>
          <w:sz w:val="16"/>
          <w:szCs w:val="16"/>
          <w:lang w:val="es-CR"/>
        </w:rPr>
        <w:t xml:space="preserve">Caso Gutiérrez Hernández y otros Vs. Guatemala. Excepciones Preliminares, Fondo, Reparaciones y Costas. </w:t>
      </w:r>
      <w:r w:rsidRPr="00810E28">
        <w:rPr>
          <w:sz w:val="16"/>
          <w:szCs w:val="16"/>
          <w:lang w:val="es-CR"/>
        </w:rPr>
        <w:t>Sentencia de 24 de agosto de 2017. Serie C No. 339, párr. 186.</w:t>
      </w:r>
    </w:p>
  </w:footnote>
  <w:footnote w:id="141">
    <w:p w14:paraId="36229F46" w14:textId="77777777" w:rsidR="006B6A4E" w:rsidRPr="00810E28" w:rsidRDefault="006B6A4E" w:rsidP="00810E28">
      <w:pPr>
        <w:tabs>
          <w:tab w:val="left" w:pos="426"/>
          <w:tab w:val="left" w:pos="567"/>
        </w:tabs>
        <w:autoSpaceDE w:val="0"/>
        <w:autoSpaceDN w:val="0"/>
        <w:adjustRightInd w:val="0"/>
        <w:spacing w:before="120"/>
        <w:jc w:val="both"/>
        <w:rPr>
          <w:i/>
          <w:iCs/>
          <w:sz w:val="16"/>
          <w:szCs w:val="16"/>
          <w:lang w:val="es-CR"/>
        </w:rPr>
      </w:pPr>
      <w:r w:rsidRPr="00810E28">
        <w:rPr>
          <w:rStyle w:val="FootnoteReference"/>
          <w:rFonts w:eastAsia="Calibri"/>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Cfr.</w:t>
      </w:r>
      <w:r w:rsidRPr="00810E28">
        <w:rPr>
          <w:sz w:val="16"/>
          <w:szCs w:val="16"/>
          <w:lang w:val="es-CR"/>
        </w:rPr>
        <w:t xml:space="preserve"> </w:t>
      </w:r>
      <w:r w:rsidRPr="00810E28">
        <w:rPr>
          <w:i/>
          <w:sz w:val="16"/>
          <w:szCs w:val="16"/>
          <w:lang w:val="es-CR"/>
        </w:rPr>
        <w:t xml:space="preserve">Caso Velásquez Rodríguez Vs. Honduras. </w:t>
      </w:r>
      <w:r w:rsidRPr="00810E28">
        <w:rPr>
          <w:i/>
          <w:sz w:val="16"/>
          <w:szCs w:val="16"/>
          <w:lang w:val="es-ES"/>
        </w:rPr>
        <w:t>Fondo.</w:t>
      </w:r>
      <w:r w:rsidRPr="00810E28">
        <w:rPr>
          <w:sz w:val="16"/>
          <w:szCs w:val="16"/>
          <w:lang w:val="es-CR"/>
        </w:rPr>
        <w:t xml:space="preserve"> </w:t>
      </w:r>
      <w:r w:rsidRPr="00810E28">
        <w:rPr>
          <w:sz w:val="16"/>
          <w:szCs w:val="16"/>
          <w:lang w:val="es-ES"/>
        </w:rPr>
        <w:t>Sentencia de 29 de julio de 1988. Serie C No. 4, párr.</w:t>
      </w:r>
      <w:r w:rsidRPr="00810E28">
        <w:rPr>
          <w:sz w:val="16"/>
          <w:szCs w:val="16"/>
          <w:lang w:val="es-CR"/>
        </w:rPr>
        <w:t xml:space="preserve"> 177, y</w:t>
      </w:r>
      <w:r w:rsidRPr="00810E28">
        <w:rPr>
          <w:b/>
          <w:sz w:val="16"/>
          <w:szCs w:val="16"/>
          <w:lang w:val="es-CR"/>
        </w:rPr>
        <w:t xml:space="preserve"> </w:t>
      </w:r>
      <w:r w:rsidRPr="00810E28">
        <w:rPr>
          <w:i/>
          <w:sz w:val="16"/>
          <w:szCs w:val="16"/>
          <w:lang w:val="es-CR"/>
        </w:rPr>
        <w:t xml:space="preserve">Caso Gutiérrez Hernández y otros Vs. Guatemala. Excepciones Preliminares, Fondo, Reparaciones y Costas. </w:t>
      </w:r>
      <w:r w:rsidRPr="00810E28">
        <w:rPr>
          <w:sz w:val="16"/>
          <w:szCs w:val="16"/>
          <w:lang w:val="es-CR"/>
        </w:rPr>
        <w:t>Sentencia de 24 de agosto de 2017. Serie C No. 339, párr. 186.</w:t>
      </w:r>
    </w:p>
  </w:footnote>
  <w:footnote w:id="142">
    <w:p w14:paraId="694511E0" w14:textId="77777777" w:rsidR="006B6A4E" w:rsidRPr="00810E28" w:rsidRDefault="006B6A4E" w:rsidP="00810E28">
      <w:pPr>
        <w:pStyle w:val="FootnoteText"/>
        <w:tabs>
          <w:tab w:val="left" w:pos="426"/>
          <w:tab w:val="left" w:pos="567"/>
        </w:tabs>
        <w:spacing w:before="120"/>
        <w:rPr>
          <w:bCs/>
          <w:szCs w:val="16"/>
        </w:rPr>
      </w:pPr>
      <w:r w:rsidRPr="00810E28">
        <w:rPr>
          <w:rStyle w:val="FootnoteReference"/>
          <w:rFonts w:eastAsia="Calibri"/>
          <w:szCs w:val="16"/>
        </w:rPr>
        <w:footnoteRef/>
      </w:r>
      <w:r w:rsidRPr="00810E28">
        <w:rPr>
          <w:szCs w:val="16"/>
          <w:lang w:val="es-CR"/>
        </w:rPr>
        <w:t xml:space="preserve"> </w:t>
      </w:r>
      <w:r w:rsidRPr="00810E28">
        <w:rPr>
          <w:szCs w:val="16"/>
          <w:lang w:val="es-CL"/>
        </w:rPr>
        <w:tab/>
      </w:r>
      <w:r w:rsidRPr="00810E28">
        <w:rPr>
          <w:i/>
          <w:szCs w:val="16"/>
          <w:lang w:val="es-CL"/>
        </w:rPr>
        <w:t xml:space="preserve">Cfr. </w:t>
      </w:r>
      <w:r w:rsidRPr="00810E28">
        <w:rPr>
          <w:i/>
          <w:szCs w:val="16"/>
          <w:lang w:val="es-CR"/>
        </w:rPr>
        <w:t xml:space="preserve">Caso </w:t>
      </w:r>
      <w:proofErr w:type="spellStart"/>
      <w:r w:rsidRPr="00810E28">
        <w:rPr>
          <w:i/>
          <w:szCs w:val="16"/>
          <w:lang w:val="es-CR"/>
        </w:rPr>
        <w:t>Anzualdo</w:t>
      </w:r>
      <w:proofErr w:type="spellEnd"/>
      <w:r w:rsidRPr="00810E28">
        <w:rPr>
          <w:i/>
          <w:szCs w:val="16"/>
          <w:lang w:val="es-CR"/>
        </w:rPr>
        <w:t xml:space="preserve"> Castro Vs. Perú. Excepción Preliminar, Fondo, Reparaciones y Costas.</w:t>
      </w:r>
      <w:r w:rsidRPr="00810E28">
        <w:rPr>
          <w:szCs w:val="16"/>
          <w:lang w:val="es-CR"/>
        </w:rPr>
        <w:t xml:space="preserve"> Sentencia de 22 de septiembre de 2009. Serie C No. 202, párr. 65, y</w:t>
      </w:r>
      <w:r w:rsidRPr="00810E28">
        <w:rPr>
          <w:b/>
          <w:szCs w:val="16"/>
          <w:lang w:val="es-CR"/>
        </w:rPr>
        <w:t xml:space="preserve">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149.</w:t>
      </w:r>
    </w:p>
  </w:footnote>
  <w:footnote w:id="143">
    <w:p w14:paraId="6FFFA6BA"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szCs w:val="16"/>
          <w:lang w:val="es-CR"/>
        </w:rPr>
        <w:t xml:space="preserve">Manifestación de MST de 22 de marzo de 1999 (expediente de prueba, </w:t>
      </w:r>
      <w:r w:rsidRPr="00810E28">
        <w:rPr>
          <w:rFonts w:cs="Arial"/>
          <w:szCs w:val="16"/>
          <w:lang w:val="es-CR"/>
        </w:rPr>
        <w:t xml:space="preserve">folios 2495 y 2496), y </w:t>
      </w:r>
      <w:r w:rsidRPr="00810E28">
        <w:rPr>
          <w:szCs w:val="16"/>
          <w:lang w:val="es-CR"/>
        </w:rPr>
        <w:t>manifestación de RDH de 22 de marzo de</w:t>
      </w:r>
      <w:r w:rsidRPr="00810E28">
        <w:rPr>
          <w:b/>
          <w:szCs w:val="16"/>
          <w:lang w:val="es-CR"/>
        </w:rPr>
        <w:t xml:space="preserve"> </w:t>
      </w:r>
      <w:r w:rsidRPr="00810E28">
        <w:rPr>
          <w:szCs w:val="16"/>
          <w:lang w:val="es-CR"/>
        </w:rPr>
        <w:t>1999</w:t>
      </w:r>
      <w:r w:rsidRPr="00810E28">
        <w:rPr>
          <w:b/>
          <w:szCs w:val="16"/>
          <w:lang w:val="es-CR"/>
        </w:rPr>
        <w:t xml:space="preserve"> </w:t>
      </w:r>
      <w:r w:rsidRPr="00810E28">
        <w:rPr>
          <w:szCs w:val="16"/>
          <w:lang w:val="es-CR"/>
        </w:rPr>
        <w:t>(expediente de prueba, folios 2369 y 2370).</w:t>
      </w:r>
    </w:p>
  </w:footnote>
  <w:footnote w:id="144">
    <w:p w14:paraId="3DAC1353" w14:textId="2E0104EC"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Pr>
          <w:szCs w:val="16"/>
          <w:lang w:val="es-CR"/>
        </w:rPr>
        <w:t>M</w:t>
      </w:r>
      <w:r w:rsidRPr="00810E28">
        <w:rPr>
          <w:szCs w:val="16"/>
          <w:lang w:val="es-CR"/>
        </w:rPr>
        <w:t>anifestación de JMS de 22 de marzo de 1999 (expediente de p</w:t>
      </w:r>
      <w:r>
        <w:rPr>
          <w:szCs w:val="16"/>
          <w:lang w:val="es-CR"/>
        </w:rPr>
        <w:t>rueba, folio</w:t>
      </w:r>
      <w:r w:rsidRPr="00810E28">
        <w:rPr>
          <w:szCs w:val="16"/>
          <w:lang w:val="es-CR"/>
        </w:rPr>
        <w:t xml:space="preserve"> 2499)</w:t>
      </w:r>
      <w:r>
        <w:rPr>
          <w:szCs w:val="16"/>
          <w:lang w:val="es-CR"/>
        </w:rPr>
        <w:t xml:space="preserve">, y </w:t>
      </w:r>
      <w:r w:rsidRPr="00810E28">
        <w:rPr>
          <w:szCs w:val="16"/>
          <w:lang w:val="es-CR"/>
        </w:rPr>
        <w:t xml:space="preserve">manifestación de </w:t>
      </w:r>
      <w:r>
        <w:rPr>
          <w:szCs w:val="16"/>
          <w:lang w:val="es-CR"/>
        </w:rPr>
        <w:t>LP</w:t>
      </w:r>
      <w:r w:rsidRPr="00810E28">
        <w:rPr>
          <w:szCs w:val="16"/>
          <w:lang w:val="es-CR"/>
        </w:rPr>
        <w:t>S de 22 de marzo de 1999 (expediente de p</w:t>
      </w:r>
      <w:r>
        <w:rPr>
          <w:szCs w:val="16"/>
          <w:lang w:val="es-CR"/>
        </w:rPr>
        <w:t xml:space="preserve">rueba, folio </w:t>
      </w:r>
      <w:r w:rsidRPr="00810E28">
        <w:rPr>
          <w:szCs w:val="16"/>
          <w:lang w:val="es-CR"/>
        </w:rPr>
        <w:t>2500).</w:t>
      </w:r>
    </w:p>
  </w:footnote>
  <w:footnote w:id="145">
    <w:p w14:paraId="19D0DCA8" w14:textId="6232B9B3" w:rsidR="006B6A4E" w:rsidRPr="00810E28" w:rsidRDefault="006B6A4E" w:rsidP="00810E28">
      <w:pPr>
        <w:pStyle w:val="FootnoteText"/>
        <w:tabs>
          <w:tab w:val="left" w:pos="426"/>
        </w:tabs>
        <w:spacing w:before="120"/>
        <w:rPr>
          <w:rFonts w:cs="Arial"/>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Véase por ejemplo, </w:t>
      </w:r>
      <w:r w:rsidRPr="00810E28">
        <w:rPr>
          <w:szCs w:val="16"/>
          <w:lang w:val="es-MX"/>
        </w:rPr>
        <w:t xml:space="preserve">Entrevista de abogada de COMISEDH a Gladys Escobar </w:t>
      </w:r>
      <w:proofErr w:type="spellStart"/>
      <w:r w:rsidRPr="00810E28">
        <w:rPr>
          <w:szCs w:val="16"/>
          <w:lang w:val="es-MX"/>
        </w:rPr>
        <w:t>Candiotti</w:t>
      </w:r>
      <w:proofErr w:type="spellEnd"/>
      <w:r w:rsidRPr="00810E28">
        <w:rPr>
          <w:szCs w:val="16"/>
          <w:lang w:val="es-MX"/>
        </w:rPr>
        <w:t xml:space="preserve"> de 29 de abril de 1999 (expediente de prueba,</w:t>
      </w:r>
      <w:r w:rsidRPr="00810E28">
        <w:rPr>
          <w:szCs w:val="16"/>
          <w:lang w:val="es-CR"/>
        </w:rPr>
        <w:t xml:space="preserve"> folio 89); declaración de Gladys Escobar </w:t>
      </w:r>
      <w:proofErr w:type="spellStart"/>
      <w:r w:rsidRPr="00810E28">
        <w:rPr>
          <w:szCs w:val="16"/>
          <w:lang w:val="es-CR"/>
        </w:rPr>
        <w:t>Candiotti</w:t>
      </w:r>
      <w:proofErr w:type="spellEnd"/>
      <w:r w:rsidRPr="00810E28">
        <w:rPr>
          <w:szCs w:val="16"/>
          <w:lang w:val="es-CR"/>
        </w:rPr>
        <w:t xml:space="preserve"> rendida en la Audiencia Pública; </w:t>
      </w:r>
      <w:r w:rsidRPr="00810E28">
        <w:rPr>
          <w:rFonts w:cs="Arial"/>
          <w:szCs w:val="16"/>
          <w:lang w:val="es-CR"/>
        </w:rPr>
        <w:t xml:space="preserve">declaración del suboficial de segunda AAR de 29 de abril de 1999 ante el Juez del Juzgado Mixto de </w:t>
      </w:r>
      <w:proofErr w:type="spellStart"/>
      <w:r w:rsidRPr="00810E28">
        <w:rPr>
          <w:rFonts w:cs="Arial"/>
          <w:szCs w:val="16"/>
          <w:lang w:val="es-CR"/>
        </w:rPr>
        <w:t>Angaraes</w:t>
      </w:r>
      <w:proofErr w:type="spellEnd"/>
      <w:r w:rsidRPr="00810E28">
        <w:rPr>
          <w:rFonts w:cs="Arial"/>
          <w:szCs w:val="16"/>
          <w:lang w:val="es-CR"/>
        </w:rPr>
        <w:t xml:space="preserve"> (expediente de prueba, folio 262); declaración del suboficial de segunda AAR de 8 de septiembre de 2003 </w:t>
      </w:r>
      <w:r w:rsidRPr="00810E28">
        <w:rPr>
          <w:szCs w:val="16"/>
          <w:lang w:val="es-CR"/>
        </w:rPr>
        <w:t>(ex</w:t>
      </w:r>
      <w:r>
        <w:rPr>
          <w:szCs w:val="16"/>
          <w:lang w:val="es-CR"/>
        </w:rPr>
        <w:t>pediente de prueba, folio 1919), y</w:t>
      </w:r>
      <w:r w:rsidRPr="00810E28">
        <w:rPr>
          <w:szCs w:val="16"/>
          <w:lang w:val="es-CR"/>
        </w:rPr>
        <w:t xml:space="preserve"> transcripción de la declaración de Gladys </w:t>
      </w:r>
      <w:proofErr w:type="spellStart"/>
      <w:r w:rsidRPr="00810E28">
        <w:rPr>
          <w:szCs w:val="16"/>
          <w:lang w:val="es-CR"/>
        </w:rPr>
        <w:t>Munárriz</w:t>
      </w:r>
      <w:proofErr w:type="spellEnd"/>
      <w:r w:rsidRPr="00810E28">
        <w:rPr>
          <w:szCs w:val="16"/>
          <w:lang w:val="es-CR"/>
        </w:rPr>
        <w:t xml:space="preserve"> Escobar en </w:t>
      </w:r>
      <w:r w:rsidRPr="00810E28">
        <w:rPr>
          <w:szCs w:val="16"/>
        </w:rPr>
        <w:t>Dictamen del Ministerio Público de 19 de enero de 2000 (expediente de prueba, folio 143).</w:t>
      </w:r>
    </w:p>
  </w:footnote>
  <w:footnote w:id="146">
    <w:p w14:paraId="2E9F9B64" w14:textId="596DF1AF"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rPr>
        <w:t>Véase por ejemplo,</w:t>
      </w:r>
      <w:r w:rsidRPr="00810E28">
        <w:rPr>
          <w:szCs w:val="16"/>
          <w:lang w:val="es-CR"/>
        </w:rPr>
        <w:t xml:space="preserve"> transcripción de la declaración de </w:t>
      </w:r>
      <w:r>
        <w:rPr>
          <w:szCs w:val="16"/>
          <w:lang w:val="es-MX"/>
        </w:rPr>
        <w:t xml:space="preserve">Gladys Escobar </w:t>
      </w:r>
      <w:proofErr w:type="spellStart"/>
      <w:r>
        <w:rPr>
          <w:szCs w:val="16"/>
          <w:lang w:val="es-MX"/>
        </w:rPr>
        <w:t>Candiotti</w:t>
      </w:r>
      <w:proofErr w:type="spellEnd"/>
      <w:r>
        <w:rPr>
          <w:szCs w:val="16"/>
          <w:lang w:val="es-MX"/>
        </w:rPr>
        <w:t xml:space="preserve"> en el</w:t>
      </w:r>
      <w:r w:rsidRPr="00810E28">
        <w:rPr>
          <w:szCs w:val="16"/>
          <w:lang w:val="es-MX"/>
        </w:rPr>
        <w:t xml:space="preserve"> </w:t>
      </w:r>
      <w:r w:rsidRPr="00810E28">
        <w:rPr>
          <w:szCs w:val="16"/>
          <w:lang w:val="es-CR"/>
        </w:rPr>
        <w:t>Informe del Director del Programa de Protección de Poblaciones Afectadas por Violencia Política de la Defensoría del Pueblo de Huancavelica de 29 de marzo de 1999 (expediente de prueba, folio 80), y manifestación del suboficial de segunda GCR de 19 de abril de 19</w:t>
      </w:r>
      <w:r>
        <w:rPr>
          <w:szCs w:val="16"/>
          <w:lang w:val="es-CR"/>
        </w:rPr>
        <w:t>99 (expediente de prueba, folio</w:t>
      </w:r>
      <w:r w:rsidRPr="00810E28">
        <w:rPr>
          <w:szCs w:val="16"/>
          <w:lang w:val="es-CR"/>
        </w:rPr>
        <w:t xml:space="preserve"> </w:t>
      </w:r>
      <w:r w:rsidRPr="00810E28">
        <w:rPr>
          <w:szCs w:val="16"/>
          <w:lang w:val="es-CL"/>
        </w:rPr>
        <w:t xml:space="preserve">2611). </w:t>
      </w:r>
    </w:p>
  </w:footnote>
  <w:footnote w:id="147">
    <w:p w14:paraId="44C8AD5D"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Cfr.</w:t>
      </w:r>
      <w:r w:rsidRPr="00810E28">
        <w:rPr>
          <w:szCs w:val="16"/>
          <w:lang w:val="es-CR"/>
        </w:rPr>
        <w:t xml:space="preserve"> Artículo </w:t>
      </w:r>
      <w:proofErr w:type="spellStart"/>
      <w:r w:rsidRPr="00810E28">
        <w:rPr>
          <w:szCs w:val="16"/>
          <w:lang w:val="es-CR"/>
        </w:rPr>
        <w:t>I.b</w:t>
      </w:r>
      <w:proofErr w:type="spellEnd"/>
      <w:r w:rsidRPr="00810E28">
        <w:rPr>
          <w:szCs w:val="16"/>
          <w:lang w:val="es-CR"/>
        </w:rPr>
        <w:t>) de la Convención Interamericana sobre Desaparición Forzada de Personas. Ver, de igual forma, el artículo 12 de la Convención Internacional para la Protección de Todas las Personas contra las Desapariciones Forzadas.</w:t>
      </w:r>
    </w:p>
  </w:footnote>
  <w:footnote w:id="148">
    <w:p w14:paraId="61AF97AF" w14:textId="5B137288" w:rsidR="006B6A4E" w:rsidRPr="00810E28" w:rsidRDefault="006B6A4E" w:rsidP="00810E28">
      <w:pPr>
        <w:pStyle w:val="FootnoteText"/>
        <w:tabs>
          <w:tab w:val="left" w:pos="426"/>
        </w:tabs>
        <w:spacing w:before="120"/>
        <w:rPr>
          <w:color w:val="00B050"/>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Cfr. Caso Velásquez Rodríguez Vs. Honduras. Fondo.</w:t>
      </w:r>
      <w:r w:rsidRPr="00810E28">
        <w:rPr>
          <w:szCs w:val="16"/>
          <w:lang w:val="es-CR"/>
        </w:rPr>
        <w:t xml:space="preserve"> Sentencia de 29 de julio de 1988. Serie C No. 4, párr. 174, y </w:t>
      </w:r>
      <w:r w:rsidRPr="00810E28">
        <w:rPr>
          <w:i/>
          <w:szCs w:val="16"/>
        </w:rPr>
        <w:t>Caso Vásquez Durand y otros Vs. Ecuador. Excepciones Preliminares, Fondo, Reparaciones y Costas.</w:t>
      </w:r>
      <w:r w:rsidRPr="00810E28">
        <w:rPr>
          <w:szCs w:val="16"/>
        </w:rPr>
        <w:t xml:space="preserve"> Sentencia de 22 de junio de 2016. Serie C No. 332, párr. 153.</w:t>
      </w:r>
    </w:p>
  </w:footnote>
  <w:footnote w:id="149">
    <w:p w14:paraId="285AF8AE" w14:textId="219FA99C"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Caso </w:t>
      </w:r>
      <w:proofErr w:type="spellStart"/>
      <w:r w:rsidRPr="00810E28">
        <w:rPr>
          <w:i/>
          <w:szCs w:val="16"/>
          <w:lang w:val="es-CR"/>
        </w:rPr>
        <w:t>Tiu</w:t>
      </w:r>
      <w:proofErr w:type="spellEnd"/>
      <w:r w:rsidRPr="00810E28">
        <w:rPr>
          <w:i/>
          <w:szCs w:val="16"/>
          <w:lang w:val="es-CR"/>
        </w:rPr>
        <w:t xml:space="preserve"> </w:t>
      </w:r>
      <w:proofErr w:type="spellStart"/>
      <w:r w:rsidRPr="00810E28">
        <w:rPr>
          <w:i/>
          <w:szCs w:val="16"/>
          <w:lang w:val="es-CR"/>
        </w:rPr>
        <w:t>Tojin</w:t>
      </w:r>
      <w:proofErr w:type="spellEnd"/>
      <w:r w:rsidRPr="00810E28">
        <w:rPr>
          <w:i/>
          <w:szCs w:val="16"/>
          <w:lang w:val="es-CR"/>
        </w:rPr>
        <w:t xml:space="preserve"> Vs. Guatemala. Fondo, Reparaciones y Costas.</w:t>
      </w:r>
      <w:r w:rsidRPr="00810E28">
        <w:rPr>
          <w:szCs w:val="16"/>
          <w:lang w:val="es-CR"/>
        </w:rPr>
        <w:t xml:space="preserve"> Sentencia de 26 de noviembre de 2008. Serie C No. 253, párr. 327, y </w:t>
      </w:r>
      <w:r w:rsidRPr="00810E28">
        <w:rPr>
          <w:i/>
          <w:szCs w:val="16"/>
          <w:lang w:val="es-MX"/>
        </w:rPr>
        <w:t>Caso Gutiérrez Hernández y otros Vs. Guatemala. Excepciones Preliminares, Fondo, Reparaciones y Costas.</w:t>
      </w:r>
      <w:r w:rsidRPr="00810E28">
        <w:rPr>
          <w:szCs w:val="16"/>
          <w:lang w:val="es-MX"/>
        </w:rPr>
        <w:t xml:space="preserve"> Sentencia de 24 de agosto de 2017. Serie C No. 339, párr. 186.</w:t>
      </w:r>
    </w:p>
  </w:footnote>
  <w:footnote w:id="150">
    <w:p w14:paraId="4502F876" w14:textId="1862887D" w:rsidR="006B6A4E" w:rsidRPr="00810E28" w:rsidRDefault="006B6A4E" w:rsidP="00810E28">
      <w:pPr>
        <w:tabs>
          <w:tab w:val="left" w:pos="426"/>
        </w:tabs>
        <w:autoSpaceDE w:val="0"/>
        <w:autoSpaceDN w:val="0"/>
        <w:adjustRightInd w:val="0"/>
        <w:spacing w:before="120"/>
        <w:jc w:val="both"/>
        <w:rPr>
          <w:i/>
          <w:iCs/>
          <w:spacing w:val="-4"/>
          <w:sz w:val="16"/>
          <w:szCs w:val="16"/>
          <w:lang w:val="es-CR"/>
        </w:rPr>
      </w:pPr>
      <w:r w:rsidRPr="00810E28">
        <w:rPr>
          <w:rStyle w:val="FootnoteReference"/>
          <w:rFonts w:eastAsia="Calibri"/>
          <w:spacing w:val="-4"/>
          <w:szCs w:val="16"/>
        </w:rPr>
        <w:footnoteRef/>
      </w:r>
      <w:r w:rsidRPr="00810E28">
        <w:rPr>
          <w:spacing w:val="-4"/>
          <w:sz w:val="16"/>
          <w:szCs w:val="16"/>
          <w:lang w:val="es-CR"/>
        </w:rPr>
        <w:t xml:space="preserve"> </w:t>
      </w:r>
      <w:r w:rsidRPr="00810E28">
        <w:rPr>
          <w:spacing w:val="-4"/>
          <w:sz w:val="16"/>
          <w:szCs w:val="16"/>
          <w:lang w:val="es-CR"/>
        </w:rPr>
        <w:tab/>
      </w:r>
      <w:r w:rsidRPr="00810E28">
        <w:rPr>
          <w:i/>
          <w:spacing w:val="-4"/>
          <w:sz w:val="16"/>
          <w:szCs w:val="16"/>
          <w:lang w:val="es-CR"/>
        </w:rPr>
        <w:t>Cfr.</w:t>
      </w:r>
      <w:r w:rsidRPr="00810E28">
        <w:rPr>
          <w:spacing w:val="-4"/>
          <w:sz w:val="16"/>
          <w:szCs w:val="16"/>
          <w:lang w:val="es-CR"/>
        </w:rPr>
        <w:t xml:space="preserve"> </w:t>
      </w:r>
      <w:r w:rsidRPr="00810E28">
        <w:rPr>
          <w:i/>
          <w:spacing w:val="-4"/>
          <w:sz w:val="16"/>
          <w:szCs w:val="16"/>
        </w:rPr>
        <w:t>Caso Velásquez Rodríguez Vs. Honduras. Fondo</w:t>
      </w:r>
      <w:r w:rsidRPr="00810E28">
        <w:rPr>
          <w:spacing w:val="-4"/>
          <w:sz w:val="16"/>
          <w:szCs w:val="16"/>
        </w:rPr>
        <w:t>. Sentencia de 29 de julio de 1988. Serie C No. 4</w:t>
      </w:r>
      <w:r w:rsidRPr="00810E28">
        <w:rPr>
          <w:i/>
          <w:spacing w:val="-4"/>
          <w:sz w:val="16"/>
          <w:szCs w:val="16"/>
          <w:lang w:val="es-CR"/>
        </w:rPr>
        <w:t xml:space="preserve">, </w:t>
      </w:r>
      <w:r w:rsidRPr="00810E28">
        <w:rPr>
          <w:rFonts w:cs="GillSans-Light"/>
          <w:spacing w:val="-4"/>
          <w:sz w:val="16"/>
          <w:szCs w:val="16"/>
          <w:lang w:val="es-CR"/>
        </w:rPr>
        <w:t>párr. 177, y</w:t>
      </w:r>
      <w:r w:rsidRPr="00810E28">
        <w:rPr>
          <w:spacing w:val="-4"/>
          <w:sz w:val="16"/>
          <w:szCs w:val="16"/>
          <w:lang w:val="es-CR"/>
        </w:rPr>
        <w:t xml:space="preserve"> </w:t>
      </w:r>
      <w:r w:rsidRPr="00810E28">
        <w:rPr>
          <w:i/>
          <w:sz w:val="16"/>
          <w:szCs w:val="16"/>
        </w:rPr>
        <w:t>Caso Gutiérrez Hernández y otros Vs. Guatemala. Excepciones Preliminares, Fondo, Reparaciones y Costas.</w:t>
      </w:r>
      <w:r w:rsidRPr="00810E28">
        <w:rPr>
          <w:sz w:val="16"/>
          <w:szCs w:val="16"/>
        </w:rPr>
        <w:t xml:space="preserve"> Sentencia de 24 de agosto de 2017. Serie C No. 339, párr. 186.</w:t>
      </w:r>
    </w:p>
  </w:footnote>
  <w:footnote w:id="151">
    <w:p w14:paraId="1E02AB20" w14:textId="527D77FA" w:rsidR="006B6A4E" w:rsidRPr="00810E28" w:rsidRDefault="006B6A4E" w:rsidP="00810E28">
      <w:pPr>
        <w:tabs>
          <w:tab w:val="left" w:pos="426"/>
        </w:tabs>
        <w:autoSpaceDE w:val="0"/>
        <w:autoSpaceDN w:val="0"/>
        <w:adjustRightInd w:val="0"/>
        <w:spacing w:before="120"/>
        <w:jc w:val="both"/>
        <w:rPr>
          <w:i/>
          <w:iCs/>
          <w:spacing w:val="-4"/>
          <w:sz w:val="16"/>
          <w:szCs w:val="16"/>
          <w:lang w:val="es-CR"/>
        </w:rPr>
      </w:pPr>
      <w:r w:rsidRPr="00810E28">
        <w:rPr>
          <w:rStyle w:val="FootnoteReference"/>
          <w:rFonts w:eastAsia="Calibri"/>
          <w:spacing w:val="-4"/>
          <w:szCs w:val="16"/>
        </w:rPr>
        <w:footnoteRef/>
      </w:r>
      <w:r w:rsidRPr="00810E28">
        <w:rPr>
          <w:spacing w:val="-4"/>
          <w:sz w:val="16"/>
          <w:szCs w:val="16"/>
          <w:lang w:val="es-CR"/>
        </w:rPr>
        <w:t xml:space="preserve"> </w:t>
      </w:r>
      <w:r w:rsidRPr="00810E28">
        <w:rPr>
          <w:spacing w:val="-4"/>
          <w:sz w:val="16"/>
          <w:szCs w:val="16"/>
          <w:lang w:val="es-CR"/>
        </w:rPr>
        <w:tab/>
      </w:r>
      <w:r w:rsidRPr="00810E28">
        <w:rPr>
          <w:i/>
          <w:iCs/>
          <w:spacing w:val="-4"/>
          <w:sz w:val="16"/>
          <w:szCs w:val="16"/>
          <w:lang w:val="es-CR"/>
        </w:rPr>
        <w:t>Cfr.</w:t>
      </w:r>
      <w:r w:rsidRPr="00810E28">
        <w:rPr>
          <w:bCs/>
          <w:i/>
          <w:spacing w:val="-4"/>
          <w:sz w:val="16"/>
          <w:szCs w:val="16"/>
          <w:lang w:val="es-CR"/>
        </w:rPr>
        <w:t xml:space="preserve"> </w:t>
      </w:r>
      <w:r w:rsidRPr="00810E28">
        <w:rPr>
          <w:i/>
          <w:spacing w:val="-4"/>
          <w:sz w:val="16"/>
          <w:szCs w:val="16"/>
        </w:rPr>
        <w:t>Caso de la Masacre de Pueblo Bello Vs. Colombia</w:t>
      </w:r>
      <w:r w:rsidRPr="00810E28">
        <w:rPr>
          <w:spacing w:val="-4"/>
          <w:sz w:val="16"/>
          <w:szCs w:val="16"/>
        </w:rPr>
        <w:t>. Sentencia de 31 de enero de 2006. Serie C No. 140</w:t>
      </w:r>
      <w:r w:rsidRPr="00810E28">
        <w:rPr>
          <w:spacing w:val="-4"/>
          <w:sz w:val="16"/>
          <w:szCs w:val="16"/>
          <w:lang w:val="es-CR"/>
        </w:rPr>
        <w:t>, párr. 145, y</w:t>
      </w:r>
      <w:r w:rsidRPr="00810E28">
        <w:rPr>
          <w:b/>
          <w:spacing w:val="-4"/>
          <w:sz w:val="16"/>
          <w:szCs w:val="16"/>
          <w:lang w:val="es-CR"/>
        </w:rPr>
        <w:t xml:space="preserve"> </w:t>
      </w:r>
      <w:r w:rsidRPr="00810E28">
        <w:rPr>
          <w:i/>
          <w:sz w:val="16"/>
          <w:szCs w:val="16"/>
          <w:lang w:val="es-CR"/>
        </w:rPr>
        <w:t xml:space="preserve">Caso Comunidad Campesina de Santa Bárbara Vs. Perú. Excepciones Preliminares, Fondo, Reparaciones y Costas. </w:t>
      </w:r>
      <w:r w:rsidRPr="00810E28">
        <w:rPr>
          <w:sz w:val="16"/>
          <w:szCs w:val="16"/>
          <w:lang w:val="es-CR"/>
        </w:rPr>
        <w:t>Sentencia de 1 de septiembre de 2015. Serie C No. 299, párr. 222.</w:t>
      </w:r>
    </w:p>
  </w:footnote>
  <w:footnote w:id="152">
    <w:p w14:paraId="676B9F73" w14:textId="05423E3F" w:rsidR="006B6A4E" w:rsidRPr="00810E28" w:rsidRDefault="006B6A4E" w:rsidP="00810E28">
      <w:pPr>
        <w:tabs>
          <w:tab w:val="left" w:pos="426"/>
        </w:tabs>
        <w:autoSpaceDE w:val="0"/>
        <w:autoSpaceDN w:val="0"/>
        <w:adjustRightInd w:val="0"/>
        <w:spacing w:before="120"/>
        <w:jc w:val="both"/>
        <w:rPr>
          <w:i/>
          <w:iCs/>
          <w:spacing w:val="-4"/>
          <w:sz w:val="16"/>
          <w:szCs w:val="16"/>
          <w:lang w:val="es-CR"/>
        </w:rPr>
      </w:pPr>
      <w:r w:rsidRPr="00810E28">
        <w:rPr>
          <w:rStyle w:val="FootnoteReference"/>
          <w:rFonts w:eastAsia="Calibri"/>
          <w:spacing w:val="-4"/>
          <w:szCs w:val="16"/>
        </w:rPr>
        <w:footnoteRef/>
      </w:r>
      <w:r w:rsidRPr="00810E28">
        <w:rPr>
          <w:spacing w:val="-4"/>
          <w:sz w:val="16"/>
          <w:szCs w:val="16"/>
          <w:lang w:val="es-CR"/>
        </w:rPr>
        <w:t xml:space="preserve"> </w:t>
      </w:r>
      <w:r w:rsidRPr="00810E28">
        <w:rPr>
          <w:spacing w:val="-4"/>
          <w:sz w:val="16"/>
          <w:szCs w:val="16"/>
          <w:lang w:val="es-CR"/>
        </w:rPr>
        <w:tab/>
      </w:r>
      <w:r w:rsidRPr="00810E28">
        <w:rPr>
          <w:i/>
          <w:spacing w:val="-4"/>
          <w:sz w:val="16"/>
          <w:szCs w:val="16"/>
          <w:lang w:val="es-CR"/>
        </w:rPr>
        <w:t xml:space="preserve">Cfr. </w:t>
      </w:r>
      <w:r w:rsidRPr="00810E28">
        <w:rPr>
          <w:i/>
          <w:spacing w:val="-4"/>
          <w:sz w:val="16"/>
          <w:szCs w:val="16"/>
        </w:rPr>
        <w:t xml:space="preserve">Caso Myrna </w:t>
      </w:r>
      <w:proofErr w:type="spellStart"/>
      <w:r w:rsidRPr="00810E28">
        <w:rPr>
          <w:i/>
          <w:spacing w:val="-4"/>
          <w:sz w:val="16"/>
          <w:szCs w:val="16"/>
        </w:rPr>
        <w:t>Mack</w:t>
      </w:r>
      <w:proofErr w:type="spellEnd"/>
      <w:r w:rsidRPr="00810E28">
        <w:rPr>
          <w:i/>
          <w:spacing w:val="-4"/>
          <w:sz w:val="16"/>
          <w:szCs w:val="16"/>
        </w:rPr>
        <w:t xml:space="preserve"> Chang Vs. Guatemala. Fondo, Reparaciones y Costas</w:t>
      </w:r>
      <w:r w:rsidRPr="00810E28">
        <w:rPr>
          <w:spacing w:val="-4"/>
          <w:sz w:val="16"/>
          <w:szCs w:val="16"/>
        </w:rPr>
        <w:t>. Sentencia de 25 de noviembre de 2003. Serie C No. 101, párr. 156</w:t>
      </w:r>
      <w:r w:rsidRPr="00810E28">
        <w:rPr>
          <w:spacing w:val="-4"/>
          <w:sz w:val="16"/>
          <w:szCs w:val="16"/>
          <w:lang w:val="es-CR"/>
        </w:rPr>
        <w:t xml:space="preserve">, y </w:t>
      </w:r>
      <w:r w:rsidRPr="00810E28">
        <w:rPr>
          <w:i/>
          <w:sz w:val="16"/>
          <w:szCs w:val="16"/>
          <w:lang w:val="es-CR"/>
        </w:rPr>
        <w:t xml:space="preserve">Caso Comunidad Campesina de Santa Bárbara Vs. Perú. Excepciones Preliminares, Fondo, Reparaciones y Costas. </w:t>
      </w:r>
      <w:r w:rsidRPr="00810E28">
        <w:rPr>
          <w:sz w:val="16"/>
          <w:szCs w:val="16"/>
          <w:lang w:val="es-CR"/>
        </w:rPr>
        <w:t>Sentencia de 1 de septiembre de 2015. Serie C No. 299, párr. 222.</w:t>
      </w:r>
    </w:p>
  </w:footnote>
  <w:footnote w:id="153">
    <w:p w14:paraId="26D0DACB" w14:textId="441A780C" w:rsidR="006B6A4E" w:rsidRPr="00810E28" w:rsidRDefault="006B6A4E" w:rsidP="00810E28">
      <w:pPr>
        <w:tabs>
          <w:tab w:val="left" w:pos="426"/>
        </w:tabs>
        <w:autoSpaceDE w:val="0"/>
        <w:autoSpaceDN w:val="0"/>
        <w:adjustRightInd w:val="0"/>
        <w:spacing w:before="120"/>
        <w:jc w:val="both"/>
        <w:rPr>
          <w:i/>
          <w:iCs/>
          <w:spacing w:val="-4"/>
          <w:sz w:val="16"/>
          <w:szCs w:val="16"/>
          <w:lang w:val="es-CR"/>
        </w:rPr>
      </w:pPr>
      <w:r w:rsidRPr="00810E28">
        <w:rPr>
          <w:rStyle w:val="FootnoteReference"/>
          <w:rFonts w:eastAsia="Calibri"/>
          <w:spacing w:val="-4"/>
          <w:szCs w:val="16"/>
        </w:rPr>
        <w:footnoteRef/>
      </w:r>
      <w:r w:rsidRPr="00810E28">
        <w:rPr>
          <w:spacing w:val="-4"/>
          <w:sz w:val="16"/>
          <w:szCs w:val="16"/>
          <w:lang w:val="es-CR"/>
        </w:rPr>
        <w:t xml:space="preserve"> </w:t>
      </w:r>
      <w:r w:rsidRPr="00810E28">
        <w:rPr>
          <w:spacing w:val="-4"/>
          <w:sz w:val="16"/>
          <w:szCs w:val="16"/>
          <w:lang w:val="es-CR"/>
        </w:rPr>
        <w:tab/>
      </w:r>
      <w:r w:rsidRPr="00810E28">
        <w:rPr>
          <w:i/>
          <w:iCs/>
          <w:spacing w:val="-4"/>
          <w:sz w:val="16"/>
          <w:szCs w:val="16"/>
          <w:lang w:val="es-CR"/>
        </w:rPr>
        <w:t xml:space="preserve">Cfr. </w:t>
      </w:r>
      <w:r w:rsidRPr="00810E28">
        <w:rPr>
          <w:i/>
          <w:spacing w:val="-4"/>
          <w:sz w:val="16"/>
          <w:szCs w:val="16"/>
        </w:rPr>
        <w:t xml:space="preserve">Caso </w:t>
      </w:r>
      <w:proofErr w:type="spellStart"/>
      <w:r w:rsidRPr="00810E28">
        <w:rPr>
          <w:i/>
          <w:spacing w:val="-4"/>
          <w:sz w:val="16"/>
          <w:szCs w:val="16"/>
        </w:rPr>
        <w:t>Goiburú</w:t>
      </w:r>
      <w:proofErr w:type="spellEnd"/>
      <w:r w:rsidRPr="00810E28">
        <w:rPr>
          <w:i/>
          <w:spacing w:val="-4"/>
          <w:sz w:val="16"/>
          <w:szCs w:val="16"/>
        </w:rPr>
        <w:t xml:space="preserve"> y otros Vs. Paraguay. Fondo, Reparaciones y Costas.</w:t>
      </w:r>
      <w:r w:rsidRPr="00810E28">
        <w:rPr>
          <w:spacing w:val="-4"/>
          <w:sz w:val="16"/>
          <w:szCs w:val="16"/>
        </w:rPr>
        <w:t xml:space="preserve"> Sentencia de 22 de septiembre de 2006. Serie C No. 153</w:t>
      </w:r>
      <w:r w:rsidRPr="00810E28">
        <w:rPr>
          <w:spacing w:val="-4"/>
          <w:sz w:val="16"/>
          <w:szCs w:val="16"/>
          <w:lang w:val="es-CR"/>
        </w:rPr>
        <w:t xml:space="preserve">, párr. 131, y </w:t>
      </w:r>
      <w:r w:rsidRPr="00810E28">
        <w:rPr>
          <w:i/>
          <w:sz w:val="16"/>
          <w:szCs w:val="16"/>
          <w:lang w:val="es-CR"/>
        </w:rPr>
        <w:t xml:space="preserve">Caso Comunidad Campesina de Santa Bárbara Vs. Perú. Excepciones Preliminares, Fondo, Reparaciones y Costas. </w:t>
      </w:r>
      <w:r w:rsidRPr="00810E28">
        <w:rPr>
          <w:sz w:val="16"/>
          <w:szCs w:val="16"/>
          <w:lang w:val="es-CR"/>
        </w:rPr>
        <w:t>Sentencia de 1 de septiembre de 2015. Serie C No. 299, párr. 222.</w:t>
      </w:r>
    </w:p>
  </w:footnote>
  <w:footnote w:id="154">
    <w:p w14:paraId="5AB98D78" w14:textId="77777777" w:rsidR="006B6A4E" w:rsidRPr="00810E28" w:rsidRDefault="006B6A4E" w:rsidP="00810E28">
      <w:pPr>
        <w:pStyle w:val="FootnoteText"/>
        <w:tabs>
          <w:tab w:val="left" w:pos="426"/>
        </w:tabs>
        <w:spacing w:before="120"/>
        <w:rPr>
          <w:spacing w:val="-4"/>
          <w:szCs w:val="16"/>
          <w:lang w:val="es-CR"/>
        </w:rPr>
      </w:pPr>
      <w:r w:rsidRPr="00810E28">
        <w:rPr>
          <w:rStyle w:val="FootnoteReference"/>
          <w:rFonts w:eastAsia="Calibri"/>
          <w:spacing w:val="-4"/>
          <w:szCs w:val="16"/>
        </w:rPr>
        <w:footnoteRef/>
      </w:r>
      <w:r w:rsidRPr="00810E28">
        <w:rPr>
          <w:spacing w:val="-4"/>
          <w:szCs w:val="16"/>
          <w:lang w:val="es-CR"/>
        </w:rPr>
        <w:t xml:space="preserve"> </w:t>
      </w:r>
      <w:r w:rsidRPr="00810E28">
        <w:rPr>
          <w:spacing w:val="-4"/>
          <w:szCs w:val="16"/>
          <w:lang w:val="es-CR"/>
        </w:rPr>
        <w:tab/>
      </w:r>
      <w:r w:rsidRPr="00810E28">
        <w:rPr>
          <w:i/>
          <w:spacing w:val="-4"/>
          <w:szCs w:val="16"/>
          <w:lang w:val="es-CR"/>
        </w:rPr>
        <w:t>Cfr</w:t>
      </w:r>
      <w:r w:rsidRPr="00810E28">
        <w:rPr>
          <w:spacing w:val="-4"/>
          <w:szCs w:val="16"/>
          <w:lang w:val="es-CR"/>
        </w:rPr>
        <w:t xml:space="preserve">. </w:t>
      </w:r>
      <w:r w:rsidRPr="00810E28">
        <w:rPr>
          <w:i/>
          <w:spacing w:val="-4"/>
          <w:szCs w:val="16"/>
          <w:lang w:val="es-MX"/>
        </w:rPr>
        <w:t>Caso González Medina y familiares Vs. República Dominicana. Excepciones Preliminares, Fondo, Reparaciones y Costas</w:t>
      </w:r>
      <w:r w:rsidRPr="00810E28">
        <w:rPr>
          <w:spacing w:val="-4"/>
          <w:szCs w:val="16"/>
          <w:lang w:val="es-MX"/>
        </w:rPr>
        <w:t>. Sentencia de 27 de febrero de 2012 Serie C No. 240</w:t>
      </w:r>
      <w:r w:rsidRPr="00810E28">
        <w:rPr>
          <w:spacing w:val="-4"/>
          <w:szCs w:val="16"/>
          <w:lang w:val="es-CR"/>
        </w:rPr>
        <w:t xml:space="preserve">, párr. 219, y </w:t>
      </w:r>
      <w:r w:rsidRPr="00810E28">
        <w:rPr>
          <w:i/>
          <w:szCs w:val="16"/>
          <w:lang w:val="es-CR"/>
        </w:rPr>
        <w:t>Caso Rodríguez Vera y otros (Desaparecidos del Palacio de Justicia) Vs. Colombia. Excepciones Preliminares, Fondo, Reparaciones y Costas</w:t>
      </w:r>
      <w:r w:rsidRPr="00810E28">
        <w:rPr>
          <w:szCs w:val="16"/>
          <w:lang w:val="es-CR"/>
        </w:rPr>
        <w:t>. Sentencia de 14 de noviembre de 2014. Serie C No. 287, párr. 493.</w:t>
      </w:r>
    </w:p>
  </w:footnote>
  <w:footnote w:id="155">
    <w:p w14:paraId="603A553A" w14:textId="77777777" w:rsidR="006B6A4E" w:rsidRPr="00810E28" w:rsidRDefault="006B6A4E" w:rsidP="00810E28">
      <w:pPr>
        <w:tabs>
          <w:tab w:val="left" w:pos="426"/>
        </w:tabs>
        <w:autoSpaceDE w:val="0"/>
        <w:autoSpaceDN w:val="0"/>
        <w:adjustRightInd w:val="0"/>
        <w:spacing w:before="120"/>
        <w:jc w:val="both"/>
        <w:rPr>
          <w:rFonts w:cs="Arial"/>
          <w:sz w:val="16"/>
          <w:szCs w:val="16"/>
          <w:lang w:val="es-CR"/>
        </w:rPr>
      </w:pPr>
      <w:r w:rsidRPr="00810E28">
        <w:rPr>
          <w:rStyle w:val="FootnoteReference"/>
          <w:szCs w:val="16"/>
        </w:rPr>
        <w:footnoteRef/>
      </w:r>
      <w:r w:rsidRPr="00810E28">
        <w:rPr>
          <w:sz w:val="16"/>
          <w:szCs w:val="16"/>
        </w:rPr>
        <w:t xml:space="preserve"> </w:t>
      </w:r>
      <w:r w:rsidRPr="00810E28">
        <w:rPr>
          <w:rFonts w:cs="Arial"/>
          <w:sz w:val="16"/>
          <w:szCs w:val="16"/>
          <w:lang w:val="es-CR"/>
        </w:rPr>
        <w:t xml:space="preserve">  </w:t>
      </w:r>
      <w:r w:rsidRPr="00810E28">
        <w:rPr>
          <w:rFonts w:cs="Arial"/>
          <w:sz w:val="16"/>
          <w:szCs w:val="16"/>
          <w:lang w:val="es-CR"/>
        </w:rPr>
        <w:tab/>
      </w:r>
      <w:r w:rsidRPr="00810E28">
        <w:rPr>
          <w:rFonts w:cs="Arial"/>
          <w:i/>
          <w:sz w:val="16"/>
          <w:szCs w:val="16"/>
          <w:lang w:val="es-CR"/>
        </w:rPr>
        <w:t>Cfr.</w:t>
      </w:r>
      <w:r w:rsidRPr="00810E28">
        <w:rPr>
          <w:rFonts w:cs="Arial"/>
          <w:sz w:val="16"/>
          <w:szCs w:val="16"/>
          <w:lang w:val="es-CR"/>
        </w:rPr>
        <w:t xml:space="preserve"> Resolución de la Fiscalía Superior de Gestión de Gobierno del Distrito Judicial de Huancavelica de 3 de mayo de 1999 (expediente de prueba, folio 170).</w:t>
      </w:r>
    </w:p>
  </w:footnote>
  <w:footnote w:id="156">
    <w:p w14:paraId="5B0C8D66" w14:textId="7EE05650"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Al respecto, la Corte advierte que el 5 de abril de 1999 la fiscal inicialmente a cargo de la investigación tomó vacaciones por lo que otro fiscal realizó las gestiones del caso. Posteriormente, el 3 de mayo de 1999 se separó a la fiscal de caso. </w:t>
      </w:r>
      <w:r w:rsidRPr="00810E28">
        <w:rPr>
          <w:rFonts w:cs="Arial"/>
          <w:i/>
          <w:szCs w:val="16"/>
          <w:lang w:val="es-CR"/>
        </w:rPr>
        <w:t>Cfr.</w:t>
      </w:r>
      <w:r w:rsidRPr="00810E28">
        <w:rPr>
          <w:rFonts w:cs="Arial"/>
          <w:szCs w:val="16"/>
          <w:lang w:val="es-CR"/>
        </w:rPr>
        <w:t xml:space="preserve"> Resolución de la Fiscalía Superior de Gestión de Gobierno del Distrito Judicial de Huancavelica de 3 de mayo de 1999 (expediente de prueba, folio 170).</w:t>
      </w:r>
    </w:p>
  </w:footnote>
  <w:footnote w:id="157">
    <w:p w14:paraId="4B71F7E1" w14:textId="15E4178A" w:rsidR="006B6A4E" w:rsidRPr="00810E28" w:rsidRDefault="006B6A4E" w:rsidP="00C234C2">
      <w:pPr>
        <w:pStyle w:val="FootnoteText"/>
        <w:tabs>
          <w:tab w:val="left" w:pos="426"/>
        </w:tabs>
        <w:spacing w:before="120"/>
        <w:rPr>
          <w:rFonts w:cs="Arial"/>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Fonts w:cs="Arial"/>
          <w:szCs w:val="16"/>
          <w:lang w:val="es-CR"/>
        </w:rPr>
        <w:t>Informe del Director del Programa de Protección de Poblaciones Afectadas por Violencia Política de la Defensoría del Pueblo de Huancavelica de 22 de abril de 199</w:t>
      </w:r>
      <w:r>
        <w:rPr>
          <w:rFonts w:cs="Arial"/>
          <w:szCs w:val="16"/>
          <w:lang w:val="es-CR"/>
        </w:rPr>
        <w:t xml:space="preserve">9 (expediente de prueba, folio </w:t>
      </w:r>
      <w:r w:rsidRPr="00810E28">
        <w:rPr>
          <w:rFonts w:cs="Arial"/>
          <w:szCs w:val="16"/>
          <w:lang w:val="es-CR"/>
        </w:rPr>
        <w:t>232).</w:t>
      </w:r>
    </w:p>
  </w:footnote>
  <w:footnote w:id="158">
    <w:p w14:paraId="15C08771" w14:textId="2F811B63"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w:t>
      </w:r>
      <w:r w:rsidRPr="00810E28">
        <w:rPr>
          <w:szCs w:val="16"/>
          <w:lang w:val="es-CR"/>
        </w:rPr>
        <w:t xml:space="preserve"> Diligencia de inspección judicial de 3 de junio de 1999 (expediente de prueba, folios 2738 a 2739). </w:t>
      </w:r>
    </w:p>
  </w:footnote>
  <w:footnote w:id="159">
    <w:p w14:paraId="00D8F284" w14:textId="25EC9848" w:rsidR="006B6A4E" w:rsidRPr="006B4777" w:rsidRDefault="006B6A4E" w:rsidP="006B4777">
      <w:pPr>
        <w:pStyle w:val="FootnoteText"/>
        <w:tabs>
          <w:tab w:val="left" w:pos="426"/>
        </w:tabs>
        <w:rPr>
          <w:vertAlign w:val="superscript"/>
        </w:rPr>
      </w:pPr>
      <w:r>
        <w:rPr>
          <w:rStyle w:val="FootnoteReference"/>
        </w:rPr>
        <w:footnoteRef/>
      </w:r>
      <w:r>
        <w:t xml:space="preserve"> </w:t>
      </w:r>
      <w:r>
        <w:tab/>
      </w:r>
      <w:r>
        <w:rPr>
          <w:i/>
        </w:rPr>
        <w:t xml:space="preserve">Cfr. </w:t>
      </w:r>
      <w:r w:rsidRPr="00810E28">
        <w:rPr>
          <w:szCs w:val="16"/>
        </w:rPr>
        <w:t>Acta de visita de inspección de la Defensoría del Pueblo de 31 de marzo de 1999 (expediente de prueba, folio 240)</w:t>
      </w:r>
      <w:r>
        <w:rPr>
          <w:szCs w:val="16"/>
        </w:rPr>
        <w:t>, y d</w:t>
      </w:r>
      <w:r w:rsidRPr="00810E28">
        <w:rPr>
          <w:szCs w:val="16"/>
        </w:rPr>
        <w:t>eclaración de MST de 17 de abril de 1999 ante la Defensoría del Pueblo (expediente de prueba, folio 2336)</w:t>
      </w:r>
      <w:r>
        <w:rPr>
          <w:szCs w:val="16"/>
        </w:rPr>
        <w:t>.</w:t>
      </w:r>
    </w:p>
  </w:footnote>
  <w:footnote w:id="160">
    <w:p w14:paraId="5C46311C" w14:textId="728A45A4" w:rsidR="006B6A4E" w:rsidRPr="00A342D6" w:rsidRDefault="006B6A4E" w:rsidP="000248EC">
      <w:pPr>
        <w:pStyle w:val="FootnoteText"/>
        <w:tabs>
          <w:tab w:val="left" w:pos="426"/>
        </w:tabs>
      </w:pPr>
      <w:r>
        <w:rPr>
          <w:rStyle w:val="FootnoteReference"/>
        </w:rPr>
        <w:footnoteRef/>
      </w:r>
      <w:r>
        <w:t xml:space="preserve"> </w:t>
      </w:r>
      <w:r>
        <w:tab/>
      </w:r>
      <w:r w:rsidRPr="00810E28">
        <w:rPr>
          <w:szCs w:val="16"/>
        </w:rPr>
        <w:t>MST, uno de los detenidos, declaró en 1999 que en la madrugada del 20 de marzo de 1999 escuchó gritos, pasos fuertes, ruidos de cómo si jalaran algo, y a un muchacho pedir que ya no le pegaran más</w:t>
      </w:r>
      <w:r>
        <w:rPr>
          <w:szCs w:val="16"/>
        </w:rPr>
        <w:t>.</w:t>
      </w:r>
      <w:r w:rsidRPr="00810E28">
        <w:rPr>
          <w:i/>
          <w:szCs w:val="16"/>
        </w:rPr>
        <w:t xml:space="preserve"> </w:t>
      </w:r>
      <w:r w:rsidRPr="00810E28">
        <w:rPr>
          <w:szCs w:val="16"/>
        </w:rPr>
        <w:t>Además indicó en una oportunidad que</w:t>
      </w:r>
      <w:r>
        <w:rPr>
          <w:szCs w:val="16"/>
          <w:lang w:val="es-MX"/>
        </w:rPr>
        <w:t xml:space="preserve"> él y RDH, </w:t>
      </w:r>
      <w:r w:rsidRPr="00810E28">
        <w:rPr>
          <w:szCs w:val="16"/>
          <w:lang w:val="es-MX"/>
        </w:rPr>
        <w:t xml:space="preserve">otro detenido, fueron coaccionado para que declarara ante la fiscalía que no había sucedido nada anormal el 20 de marzo. </w:t>
      </w:r>
      <w:r w:rsidRPr="00810E28">
        <w:rPr>
          <w:szCs w:val="16"/>
        </w:rPr>
        <w:t xml:space="preserve">El </w:t>
      </w:r>
      <w:r w:rsidRPr="00810E28">
        <w:rPr>
          <w:szCs w:val="16"/>
          <w:lang w:val="es-MX"/>
        </w:rPr>
        <w:t xml:space="preserve">5 de enero de 2004 durante una audiencia pública ante la Sala Mixta de la Corte Superior de Justicia de Huancavelica </w:t>
      </w:r>
      <w:r w:rsidRPr="00810E28">
        <w:rPr>
          <w:szCs w:val="16"/>
        </w:rPr>
        <w:t xml:space="preserve">MST señaló en las declaraciones anteriores había mentido porque lo habían presionado. Al respecto indicó que en la declaración realizada el 20 de abril de 1999 estaba nervioso por la presencia de autoridades policiales quienes le decían la pregunta y la respuesta y le pedían que afirmara si había sido así. Además indicó que un primo de Walter </w:t>
      </w:r>
      <w:proofErr w:type="spellStart"/>
      <w:r w:rsidRPr="00810E28">
        <w:rPr>
          <w:szCs w:val="16"/>
        </w:rPr>
        <w:t>Munárriz</w:t>
      </w:r>
      <w:proofErr w:type="spellEnd"/>
      <w:r w:rsidRPr="00810E28">
        <w:rPr>
          <w:szCs w:val="16"/>
        </w:rPr>
        <w:t xml:space="preserve"> Escobar le había ofrecido frutas e indicado que Juez del Juzgado Mixto de </w:t>
      </w:r>
      <w:proofErr w:type="spellStart"/>
      <w:r w:rsidRPr="00810E28">
        <w:rPr>
          <w:szCs w:val="16"/>
        </w:rPr>
        <w:t>Angaraes</w:t>
      </w:r>
      <w:proofErr w:type="spellEnd"/>
      <w:r w:rsidRPr="00810E28">
        <w:rPr>
          <w:szCs w:val="16"/>
        </w:rPr>
        <w:t xml:space="preserve"> era familiar y que podía ayudarlo con su caso si decía que había escuchado ruidos y golpes. </w:t>
      </w:r>
      <w:r w:rsidRPr="00810E28">
        <w:rPr>
          <w:i/>
          <w:szCs w:val="16"/>
        </w:rPr>
        <w:t xml:space="preserve">Cfr. </w:t>
      </w:r>
      <w:r w:rsidRPr="00810E28">
        <w:rPr>
          <w:szCs w:val="16"/>
        </w:rPr>
        <w:t xml:space="preserve">Acta de visita de inspección de la Defensoría del Pueblo de 31 de marzo de 1999 (expediente de prueba, folio 240); Declaración de MST de 17 de abril de 1999 ante la Defensoría del Pueblo (expediente de prueba, folio 2336); Declaración de MST de 22 de mayo de 1999 ante el Juez del Juzgado Mixto de </w:t>
      </w:r>
      <w:proofErr w:type="spellStart"/>
      <w:r w:rsidRPr="00810E28">
        <w:rPr>
          <w:szCs w:val="16"/>
        </w:rPr>
        <w:t>Angaraes</w:t>
      </w:r>
      <w:proofErr w:type="spellEnd"/>
      <w:r w:rsidRPr="00810E28">
        <w:rPr>
          <w:szCs w:val="16"/>
        </w:rPr>
        <w:t xml:space="preserve"> (expediente de prueba, folio 2341)</w:t>
      </w:r>
      <w:r>
        <w:rPr>
          <w:szCs w:val="16"/>
        </w:rPr>
        <w:t>, y</w:t>
      </w:r>
      <w:r w:rsidRPr="00810E28">
        <w:rPr>
          <w:szCs w:val="16"/>
        </w:rPr>
        <w:t xml:space="preserve"> Declaración de MST en la audiencia de 5 de enero de 2004 (expediente de prueba, folios 2358 y 2359)</w:t>
      </w:r>
      <w:r>
        <w:rPr>
          <w:szCs w:val="16"/>
        </w:rPr>
        <w:t>.</w:t>
      </w:r>
    </w:p>
  </w:footnote>
  <w:footnote w:id="161">
    <w:p w14:paraId="64ED92C2" w14:textId="77777777"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w:t>
      </w:r>
      <w:r w:rsidRPr="00810E28">
        <w:rPr>
          <w:rFonts w:cs="Arial"/>
          <w:szCs w:val="16"/>
          <w:lang w:val="es-CR"/>
        </w:rPr>
        <w:t>Informe del Director del Programa de Protección de Poblaciones Afectadas por Violencia Política de la Defensoría del Pueblo de Huancavelica de 31 de marzo de 1999 (expediente de prueba, folio 122).</w:t>
      </w:r>
    </w:p>
  </w:footnote>
  <w:footnote w:id="162">
    <w:p w14:paraId="2ECD27DB"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L"/>
        </w:rPr>
        <w:t xml:space="preserve">Cfr. </w:t>
      </w:r>
      <w:r w:rsidRPr="00810E28">
        <w:rPr>
          <w:i/>
          <w:szCs w:val="16"/>
          <w:lang w:val="es-CR"/>
        </w:rPr>
        <w:t xml:space="preserve">Caso </w:t>
      </w:r>
      <w:proofErr w:type="spellStart"/>
      <w:r w:rsidRPr="00810E28">
        <w:rPr>
          <w:i/>
          <w:szCs w:val="16"/>
          <w:lang w:val="es-CR"/>
        </w:rPr>
        <w:t>Ticona</w:t>
      </w:r>
      <w:proofErr w:type="spellEnd"/>
      <w:r w:rsidRPr="00810E28">
        <w:rPr>
          <w:i/>
          <w:szCs w:val="16"/>
          <w:lang w:val="es-CR"/>
        </w:rPr>
        <w:t xml:space="preserve"> Estrada y otros Vs. Bolivia. Fondo, Reparaciones y Costas.</w:t>
      </w:r>
      <w:r w:rsidRPr="00810E28">
        <w:rPr>
          <w:szCs w:val="16"/>
          <w:lang w:val="es-CR"/>
        </w:rPr>
        <w:t xml:space="preserve"> Sentencia de 27 de noviembre de 2008. Serie C No. 191, párr. 80, y </w:t>
      </w:r>
      <w:r w:rsidRPr="00810E28">
        <w:rPr>
          <w:i/>
          <w:szCs w:val="16"/>
          <w:lang w:val="es-CR"/>
        </w:rPr>
        <w:t xml:space="preserve">Caso </w:t>
      </w:r>
      <w:r w:rsidRPr="00810E28">
        <w:rPr>
          <w:i/>
          <w:szCs w:val="16"/>
        </w:rPr>
        <w:t>Vásquez Durand y otros vs. Ecuador</w:t>
      </w:r>
      <w:r w:rsidRPr="00810E28">
        <w:rPr>
          <w:szCs w:val="16"/>
        </w:rPr>
        <w:t xml:space="preserve">. </w:t>
      </w:r>
      <w:r w:rsidRPr="00810E28">
        <w:rPr>
          <w:i/>
          <w:szCs w:val="16"/>
        </w:rPr>
        <w:t>Excepciones Preliminares, Fondo, Reparaciones y Costas.</w:t>
      </w:r>
      <w:r w:rsidRPr="00810E28">
        <w:rPr>
          <w:szCs w:val="16"/>
        </w:rPr>
        <w:t xml:space="preserve"> Sentencia de 15 de febrero de 2017. Serie C No. 332, párr. 153.</w:t>
      </w:r>
    </w:p>
  </w:footnote>
  <w:footnote w:id="163">
    <w:p w14:paraId="37D0A1D9" w14:textId="77777777" w:rsidR="006B6A4E" w:rsidRPr="00810E28" w:rsidRDefault="006B6A4E" w:rsidP="00810E28">
      <w:pPr>
        <w:tabs>
          <w:tab w:val="left" w:pos="426"/>
          <w:tab w:val="left" w:pos="567"/>
        </w:tabs>
        <w:spacing w:before="120"/>
        <w:jc w:val="both"/>
        <w:rPr>
          <w:sz w:val="16"/>
          <w:szCs w:val="16"/>
          <w:lang w:val="es-CR"/>
        </w:rPr>
      </w:pPr>
      <w:r w:rsidRPr="00810E28">
        <w:rPr>
          <w:rStyle w:val="FootnoteReference"/>
          <w:rFonts w:eastAsia="Calibri"/>
          <w:szCs w:val="16"/>
        </w:rPr>
        <w:footnoteRef/>
      </w:r>
      <w:r w:rsidRPr="00810E28">
        <w:rPr>
          <w:sz w:val="16"/>
          <w:szCs w:val="16"/>
          <w:lang w:val="es-CR"/>
        </w:rPr>
        <w:t xml:space="preserve"> </w:t>
      </w:r>
      <w:r w:rsidRPr="00810E28">
        <w:rPr>
          <w:sz w:val="16"/>
          <w:szCs w:val="16"/>
          <w:lang w:val="es-CR"/>
        </w:rPr>
        <w:tab/>
      </w:r>
      <w:r w:rsidRPr="00507248">
        <w:rPr>
          <w:i/>
          <w:sz w:val="16"/>
          <w:szCs w:val="16"/>
          <w:lang w:val="es-CR"/>
        </w:rPr>
        <w:t>Véase,</w:t>
      </w:r>
      <w:r w:rsidRPr="00810E28">
        <w:rPr>
          <w:sz w:val="16"/>
          <w:szCs w:val="16"/>
          <w:lang w:val="es-CR"/>
        </w:rPr>
        <w:t xml:space="preserve"> </w:t>
      </w:r>
      <w:r w:rsidRPr="00810E28">
        <w:rPr>
          <w:i/>
          <w:sz w:val="16"/>
          <w:szCs w:val="16"/>
          <w:lang w:val="es-CR"/>
        </w:rPr>
        <w:t xml:space="preserve">inter </w:t>
      </w:r>
      <w:proofErr w:type="spellStart"/>
      <w:r w:rsidRPr="00810E28">
        <w:rPr>
          <w:i/>
          <w:sz w:val="16"/>
          <w:szCs w:val="16"/>
          <w:lang w:val="es-CR"/>
        </w:rPr>
        <w:t>alia</w:t>
      </w:r>
      <w:proofErr w:type="spellEnd"/>
      <w:r w:rsidRPr="00810E28">
        <w:rPr>
          <w:i/>
          <w:sz w:val="16"/>
          <w:szCs w:val="16"/>
          <w:lang w:val="es-CR"/>
        </w:rPr>
        <w:t xml:space="preserve">, Caso </w:t>
      </w:r>
      <w:proofErr w:type="spellStart"/>
      <w:r w:rsidRPr="00810E28">
        <w:rPr>
          <w:i/>
          <w:sz w:val="16"/>
          <w:szCs w:val="16"/>
          <w:lang w:val="es-CR"/>
        </w:rPr>
        <w:t>Gudiel</w:t>
      </w:r>
      <w:proofErr w:type="spellEnd"/>
      <w:r w:rsidRPr="00810E28">
        <w:rPr>
          <w:i/>
          <w:sz w:val="16"/>
          <w:szCs w:val="16"/>
          <w:lang w:val="es-CR"/>
        </w:rPr>
        <w:t xml:space="preserve"> Álvarez y otros (Diario Militar) Vs. Guatemala, supra</w:t>
      </w:r>
      <w:r w:rsidRPr="00810E28">
        <w:rPr>
          <w:sz w:val="16"/>
          <w:szCs w:val="16"/>
          <w:lang w:val="es-CR"/>
        </w:rPr>
        <w:t xml:space="preserve">, párr. 334; </w:t>
      </w:r>
      <w:r w:rsidRPr="00810E28">
        <w:rPr>
          <w:i/>
          <w:sz w:val="16"/>
          <w:szCs w:val="16"/>
          <w:lang w:val="es-CR"/>
        </w:rPr>
        <w:t>Caso Osorio Rivera y Familiares Vs. Perú, supra,</w:t>
      </w:r>
      <w:r w:rsidRPr="00810E28">
        <w:rPr>
          <w:sz w:val="16"/>
          <w:szCs w:val="16"/>
          <w:lang w:val="es-CR"/>
        </w:rPr>
        <w:t xml:space="preserve"> párr. 251, y </w:t>
      </w:r>
      <w:r w:rsidRPr="00810E28">
        <w:rPr>
          <w:bCs/>
          <w:i/>
          <w:sz w:val="16"/>
          <w:szCs w:val="16"/>
          <w:lang w:val="es-CR"/>
        </w:rPr>
        <w:t xml:space="preserve">Caso Vásquez Durand y otros Vs. Ecuador. Excepciones Preliminares, Fondo, Reparaciones y Costas. </w:t>
      </w:r>
      <w:r w:rsidRPr="00810E28">
        <w:rPr>
          <w:bCs/>
          <w:sz w:val="16"/>
          <w:szCs w:val="16"/>
          <w:lang w:val="es-CR"/>
        </w:rPr>
        <w:t>Sentencia de 15 de febrero de 2017. Serie C No. 332, párr. 154.</w:t>
      </w:r>
    </w:p>
  </w:footnote>
  <w:footnote w:id="164">
    <w:p w14:paraId="59DDC8B7" w14:textId="77777777" w:rsidR="006B6A4E" w:rsidRPr="00810E28" w:rsidRDefault="006B6A4E" w:rsidP="00810E28">
      <w:pPr>
        <w:pStyle w:val="FootnoteText"/>
        <w:tabs>
          <w:tab w:val="left" w:pos="426"/>
          <w:tab w:val="left" w:pos="567"/>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iCs/>
          <w:szCs w:val="16"/>
          <w:lang w:val="es-CR"/>
        </w:rPr>
        <w:t>Cfr.</w:t>
      </w:r>
      <w:r w:rsidRPr="00810E28">
        <w:rPr>
          <w:i/>
          <w:szCs w:val="16"/>
          <w:lang w:val="es-CR"/>
        </w:rPr>
        <w:t xml:space="preserve"> Caso Masacre de las Dos Erres Vs. Guatemala. Excepción Preliminar, Fondo, Reparaciones y Costas</w:t>
      </w:r>
      <w:r w:rsidRPr="00810E28">
        <w:rPr>
          <w:szCs w:val="16"/>
          <w:lang w:val="es-CR"/>
        </w:rPr>
        <w:t xml:space="preserve">. Sentencia de 24 de noviembre de 2009. Serie C No. 211, párr. 245, y </w:t>
      </w:r>
      <w:r w:rsidRPr="00810E28">
        <w:rPr>
          <w:i/>
          <w:szCs w:val="16"/>
          <w:lang w:val="es-CR"/>
        </w:rPr>
        <w:t>Caso Vereda La Esperanza Vs. Colombia. Excepción Preliminar, Fondo, Reparaciones y Costas.</w:t>
      </w:r>
      <w:r w:rsidRPr="00810E28">
        <w:rPr>
          <w:szCs w:val="16"/>
          <w:lang w:val="es-CR"/>
        </w:rPr>
        <w:t xml:space="preserve"> Sentencia de 31 de agosto de 2017. Serie C No. 341, párr. 273</w:t>
      </w:r>
    </w:p>
  </w:footnote>
  <w:footnote w:id="165">
    <w:p w14:paraId="2C69E7E1" w14:textId="77777777" w:rsidR="006B6A4E" w:rsidRPr="00810E28" w:rsidRDefault="006B6A4E" w:rsidP="00810E28">
      <w:pPr>
        <w:pStyle w:val="FootnoteText"/>
        <w:tabs>
          <w:tab w:val="left" w:pos="426"/>
          <w:tab w:val="left" w:pos="567"/>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iCs/>
          <w:szCs w:val="16"/>
          <w:lang w:val="es-CR"/>
        </w:rPr>
        <w:t>Cfr.</w:t>
      </w:r>
      <w:r w:rsidRPr="00810E28">
        <w:rPr>
          <w:i/>
          <w:szCs w:val="16"/>
          <w:lang w:val="es-CR"/>
        </w:rPr>
        <w:t xml:space="preserve"> Caso Velásquez Rodríguez Vs. Honduras. </w:t>
      </w:r>
      <w:r w:rsidRPr="00810E28">
        <w:rPr>
          <w:i/>
          <w:szCs w:val="16"/>
          <w:lang w:val="es-ES"/>
        </w:rPr>
        <w:t>Fondo.</w:t>
      </w:r>
      <w:r w:rsidRPr="00810E28">
        <w:rPr>
          <w:szCs w:val="16"/>
          <w:lang w:val="es-CR"/>
        </w:rPr>
        <w:t xml:space="preserve"> </w:t>
      </w:r>
      <w:r w:rsidRPr="00810E28">
        <w:rPr>
          <w:szCs w:val="16"/>
          <w:lang w:val="es-ES"/>
        </w:rPr>
        <w:t>Sentencia de 29 de julio de 1988. Serie C No. 4, párr.</w:t>
      </w:r>
      <w:r w:rsidRPr="00810E28">
        <w:rPr>
          <w:szCs w:val="16"/>
          <w:lang w:val="es-CR"/>
        </w:rPr>
        <w:t xml:space="preserve"> 181, y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149.</w:t>
      </w:r>
    </w:p>
  </w:footnote>
  <w:footnote w:id="166">
    <w:p w14:paraId="0C8B7712"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Fonts w:cs="Arial"/>
          <w:szCs w:val="16"/>
          <w:lang w:val="es-CR"/>
        </w:rPr>
        <w:t>Acta de búsqueda de 27 de marzo de 1999 (expediente de prueba, folio 2529).</w:t>
      </w:r>
    </w:p>
  </w:footnote>
  <w:footnote w:id="167">
    <w:p w14:paraId="5D63A2BD"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szCs w:val="16"/>
          <w:lang w:val="es-CR"/>
        </w:rPr>
        <w:t>Parte de la Policía Nacional de Perú de 8 de abril de 1999 (expediente de prueba, folios 1613 y 1614).</w:t>
      </w:r>
    </w:p>
  </w:footnote>
  <w:footnote w:id="168">
    <w:p w14:paraId="52670526" w14:textId="77777777" w:rsidR="006B6A4E" w:rsidRPr="00810E28" w:rsidRDefault="006B6A4E" w:rsidP="00810E28">
      <w:pPr>
        <w:pStyle w:val="FootnoteText"/>
        <w:spacing w:before="120"/>
        <w:rPr>
          <w:szCs w:val="16"/>
          <w:lang w:val="es-CR"/>
        </w:rPr>
      </w:pPr>
      <w:r w:rsidRPr="00810E28">
        <w:rPr>
          <w:rStyle w:val="FootnoteReference"/>
          <w:szCs w:val="16"/>
        </w:rPr>
        <w:footnoteRef/>
      </w:r>
      <w:r w:rsidRPr="00810E28">
        <w:rPr>
          <w:szCs w:val="16"/>
        </w:rPr>
        <w:t xml:space="preserve">    </w:t>
      </w:r>
      <w:r w:rsidRPr="00810E28">
        <w:rPr>
          <w:i/>
          <w:szCs w:val="16"/>
          <w:lang w:val="es-CR"/>
        </w:rPr>
        <w:t>Cfr.</w:t>
      </w:r>
      <w:r w:rsidRPr="00810E28">
        <w:rPr>
          <w:szCs w:val="16"/>
          <w:lang w:val="es-CR"/>
        </w:rPr>
        <w:t xml:space="preserve"> Acta de instalación de audiencia de 16 de julio de 2003 ante la Sala Mixta de la Corte Superior Judicial de Huancavelica (expediente de prueba, folio 1890).</w:t>
      </w:r>
    </w:p>
  </w:footnote>
  <w:footnote w:id="169">
    <w:p w14:paraId="2768B5E3" w14:textId="77777777" w:rsidR="006B6A4E" w:rsidRPr="00810E28" w:rsidRDefault="006B6A4E" w:rsidP="00810E28">
      <w:pPr>
        <w:pStyle w:val="FootnoteText"/>
        <w:tabs>
          <w:tab w:val="left" w:pos="426"/>
          <w:tab w:val="left" w:pos="567"/>
        </w:tabs>
        <w:spacing w:before="120"/>
        <w:rPr>
          <w:szCs w:val="16"/>
          <w:lang w:val="es-CR"/>
        </w:rPr>
      </w:pPr>
      <w:r w:rsidRPr="00810E28">
        <w:rPr>
          <w:szCs w:val="16"/>
          <w:vertAlign w:val="superscript"/>
        </w:rPr>
        <w:footnoteRef/>
      </w:r>
      <w:r w:rsidRPr="00810E28">
        <w:rPr>
          <w:szCs w:val="16"/>
          <w:lang w:val="es-CR"/>
        </w:rPr>
        <w:tab/>
      </w:r>
      <w:r w:rsidRPr="00810E28">
        <w:rPr>
          <w:i/>
          <w:szCs w:val="16"/>
          <w:lang w:val="es-CR"/>
        </w:rPr>
        <w:t xml:space="preserve">Cfr. Caso </w:t>
      </w:r>
      <w:r w:rsidRPr="00810E28">
        <w:rPr>
          <w:i/>
          <w:szCs w:val="16"/>
          <w:lang w:val="es-ES"/>
        </w:rPr>
        <w:t xml:space="preserve">Caso Radilla Pacheco Vs. México. Excepciones Preliminares, Fondo, Reparaciones y Costas. </w:t>
      </w:r>
      <w:r w:rsidRPr="00810E28">
        <w:rPr>
          <w:szCs w:val="16"/>
          <w:lang w:val="es-ES"/>
        </w:rPr>
        <w:t>Sentencia de 23 de noviembre de 2009. Serie C No. 209, párr. 191</w:t>
      </w:r>
      <w:r w:rsidRPr="00810E28">
        <w:rPr>
          <w:color w:val="000000"/>
          <w:szCs w:val="16"/>
          <w:lang w:val="es-ES"/>
        </w:rPr>
        <w:t xml:space="preserve">, y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159.</w:t>
      </w:r>
    </w:p>
  </w:footnote>
  <w:footnote w:id="170">
    <w:p w14:paraId="77168EAB" w14:textId="1736CBE3" w:rsidR="006B6A4E" w:rsidRPr="00810E28" w:rsidRDefault="006B6A4E" w:rsidP="00810E28">
      <w:pPr>
        <w:pStyle w:val="FootnoteText"/>
        <w:tabs>
          <w:tab w:val="left" w:pos="426"/>
          <w:tab w:val="left" w:pos="567"/>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Cfr. Caso Suárez Rosero Vs. Ecuador. Fondo</w:t>
      </w:r>
      <w:r w:rsidRPr="00810E28">
        <w:rPr>
          <w:szCs w:val="16"/>
          <w:lang w:val="es-CR"/>
        </w:rPr>
        <w:t xml:space="preserve">. Sentencia de 12 de noviembre de 1997. Serie C No. 35, párr. 71, </w:t>
      </w:r>
      <w:r w:rsidRPr="00810E28">
        <w:rPr>
          <w:color w:val="000000"/>
          <w:szCs w:val="16"/>
          <w:lang w:val="es-ES"/>
        </w:rPr>
        <w:t xml:space="preserve">y </w:t>
      </w:r>
      <w:r w:rsidRPr="00810E28">
        <w:rPr>
          <w:i/>
          <w:szCs w:val="16"/>
          <w:lang w:val="es-MX"/>
        </w:rPr>
        <w:t>Caso Gutiérrez Hernández y otros Vs. Guatemala. Excepciones Preliminares, Fondo, Reparaciones y Costas.</w:t>
      </w:r>
      <w:r w:rsidRPr="00810E28">
        <w:rPr>
          <w:szCs w:val="16"/>
          <w:lang w:val="es-MX"/>
        </w:rPr>
        <w:t xml:space="preserve"> Sentencia de 24 de agosto de 2017. Serie C No. 339, párr. 183.</w:t>
      </w:r>
    </w:p>
  </w:footnote>
  <w:footnote w:id="171">
    <w:p w14:paraId="376C21B8" w14:textId="4D903F91" w:rsidR="006B6A4E" w:rsidRPr="00810E28" w:rsidRDefault="006B6A4E" w:rsidP="00810E28">
      <w:pPr>
        <w:pStyle w:val="FootnoteText"/>
        <w:tabs>
          <w:tab w:val="left" w:pos="426"/>
          <w:tab w:val="left" w:pos="567"/>
        </w:tabs>
        <w:spacing w:before="120"/>
        <w:rPr>
          <w:b/>
          <w:szCs w:val="16"/>
          <w:lang w:val="es-ES"/>
        </w:rPr>
      </w:pPr>
      <w:r w:rsidRPr="00810E28">
        <w:rPr>
          <w:rStyle w:val="FootnoteReference"/>
          <w:rFonts w:eastAsia="Times"/>
          <w:szCs w:val="16"/>
        </w:rPr>
        <w:footnoteRef/>
      </w:r>
      <w:r w:rsidRPr="00810E28">
        <w:rPr>
          <w:szCs w:val="16"/>
          <w:lang w:val="es-CR"/>
        </w:rPr>
        <w:t xml:space="preserve"> </w:t>
      </w:r>
      <w:r w:rsidRPr="00810E28">
        <w:rPr>
          <w:szCs w:val="16"/>
          <w:lang w:val="es-CR"/>
        </w:rPr>
        <w:tab/>
      </w:r>
      <w:r w:rsidRPr="00810E28">
        <w:rPr>
          <w:i/>
          <w:szCs w:val="16"/>
          <w:lang w:val="es-CR"/>
        </w:rPr>
        <w:t>Cfr.</w:t>
      </w:r>
      <w:r w:rsidRPr="00810E28">
        <w:rPr>
          <w:b/>
          <w:szCs w:val="16"/>
          <w:lang w:val="es-CR"/>
        </w:rPr>
        <w:t xml:space="preserve"> </w:t>
      </w:r>
      <w:r w:rsidRPr="00810E28">
        <w:rPr>
          <w:i/>
          <w:szCs w:val="16"/>
          <w:lang w:val="es-ES"/>
        </w:rPr>
        <w:t xml:space="preserve">Caso </w:t>
      </w:r>
      <w:proofErr w:type="spellStart"/>
      <w:r w:rsidRPr="00810E28">
        <w:rPr>
          <w:i/>
          <w:szCs w:val="16"/>
          <w:lang w:val="es-ES"/>
        </w:rPr>
        <w:t>Hilaire</w:t>
      </w:r>
      <w:proofErr w:type="spellEnd"/>
      <w:r w:rsidRPr="00810E28">
        <w:rPr>
          <w:i/>
          <w:szCs w:val="16"/>
          <w:lang w:val="es-ES"/>
        </w:rPr>
        <w:t xml:space="preserve">, </w:t>
      </w:r>
      <w:proofErr w:type="spellStart"/>
      <w:r w:rsidRPr="00810E28">
        <w:rPr>
          <w:i/>
          <w:szCs w:val="16"/>
          <w:lang w:val="es-ES"/>
        </w:rPr>
        <w:t>Constantine</w:t>
      </w:r>
      <w:proofErr w:type="spellEnd"/>
      <w:r w:rsidRPr="00810E28">
        <w:rPr>
          <w:i/>
          <w:szCs w:val="16"/>
          <w:lang w:val="es-ES"/>
        </w:rPr>
        <w:t xml:space="preserve"> y </w:t>
      </w:r>
      <w:proofErr w:type="spellStart"/>
      <w:r w:rsidRPr="00810E28">
        <w:rPr>
          <w:i/>
          <w:szCs w:val="16"/>
          <w:lang w:val="es-ES"/>
        </w:rPr>
        <w:t>Benjamin</w:t>
      </w:r>
      <w:proofErr w:type="spellEnd"/>
      <w:r w:rsidRPr="00810E28">
        <w:rPr>
          <w:i/>
          <w:szCs w:val="16"/>
          <w:lang w:val="es-ES"/>
        </w:rPr>
        <w:t xml:space="preserve"> y otros Vs. Trinidad y Tobago. Fondo, Reparaciones y Costas</w:t>
      </w:r>
      <w:r w:rsidRPr="00810E28">
        <w:rPr>
          <w:szCs w:val="16"/>
          <w:lang w:val="es-ES"/>
        </w:rPr>
        <w:t>. Sentencia de 21 de junio de 2002. Serie C No. 94, párr. 145</w:t>
      </w:r>
      <w:r w:rsidRPr="00810E28">
        <w:rPr>
          <w:szCs w:val="16"/>
          <w:lang w:val="es-CR"/>
        </w:rPr>
        <w:t xml:space="preserve">, </w:t>
      </w:r>
      <w:r w:rsidRPr="00810E28">
        <w:rPr>
          <w:color w:val="000000"/>
          <w:szCs w:val="16"/>
          <w:lang w:val="es-ES"/>
        </w:rPr>
        <w:t xml:space="preserve">y </w:t>
      </w:r>
      <w:r w:rsidRPr="00810E28">
        <w:rPr>
          <w:i/>
          <w:szCs w:val="16"/>
          <w:lang w:val="es-CR"/>
        </w:rPr>
        <w:t xml:space="preserve">Caso Carvajal </w:t>
      </w:r>
      <w:proofErr w:type="spellStart"/>
      <w:r w:rsidRPr="00810E28">
        <w:rPr>
          <w:i/>
          <w:szCs w:val="16"/>
          <w:lang w:val="es-CR"/>
        </w:rPr>
        <w:t>Carvajal</w:t>
      </w:r>
      <w:proofErr w:type="spellEnd"/>
      <w:r w:rsidRPr="00810E28">
        <w:rPr>
          <w:i/>
          <w:szCs w:val="16"/>
          <w:lang w:val="es-CR"/>
        </w:rPr>
        <w:t xml:space="preserve"> y otros Vs. Colombia. Fondo, Reparaciones y Costas.</w:t>
      </w:r>
      <w:r w:rsidRPr="00810E28">
        <w:rPr>
          <w:szCs w:val="16"/>
          <w:lang w:val="es-CR"/>
        </w:rPr>
        <w:t xml:space="preserve"> Sentencia de 13 de marzo de 2018. Serie C No. 352, párr. 105.</w:t>
      </w:r>
    </w:p>
  </w:footnote>
  <w:footnote w:id="172">
    <w:p w14:paraId="4A566363" w14:textId="77777777" w:rsidR="006B6A4E" w:rsidRPr="00810E28" w:rsidRDefault="006B6A4E" w:rsidP="00810E28">
      <w:pPr>
        <w:tabs>
          <w:tab w:val="left" w:pos="426"/>
        </w:tabs>
        <w:autoSpaceDE w:val="0"/>
        <w:autoSpaceDN w:val="0"/>
        <w:adjustRightInd w:val="0"/>
        <w:spacing w:before="120"/>
        <w:jc w:val="both"/>
        <w:rPr>
          <w:sz w:val="16"/>
          <w:szCs w:val="16"/>
          <w:lang w:val="es-CR"/>
        </w:rPr>
      </w:pPr>
      <w:r w:rsidRPr="00810E28">
        <w:rPr>
          <w:rStyle w:val="FootnoteReference"/>
          <w:rFonts w:eastAsia="Calibri"/>
          <w:szCs w:val="16"/>
        </w:rPr>
        <w:footnoteRef/>
      </w:r>
      <w:r w:rsidRPr="00810E28">
        <w:rPr>
          <w:sz w:val="16"/>
          <w:szCs w:val="16"/>
          <w:lang w:val="es-CR"/>
        </w:rPr>
        <w:t xml:space="preserve"> </w:t>
      </w:r>
      <w:r w:rsidRPr="00810E28">
        <w:rPr>
          <w:sz w:val="16"/>
          <w:szCs w:val="16"/>
          <w:lang w:val="es-CR"/>
        </w:rPr>
        <w:tab/>
      </w:r>
      <w:r w:rsidRPr="00810E28">
        <w:rPr>
          <w:rFonts w:cs="Arial"/>
          <w:i/>
          <w:sz w:val="16"/>
          <w:szCs w:val="16"/>
          <w:lang w:val="es-CR"/>
        </w:rPr>
        <w:t>Cfr.</w:t>
      </w:r>
      <w:r w:rsidRPr="00810E28">
        <w:rPr>
          <w:rFonts w:cs="Arial"/>
          <w:sz w:val="16"/>
          <w:szCs w:val="16"/>
          <w:lang w:val="es-CR"/>
        </w:rPr>
        <w:t xml:space="preserve"> </w:t>
      </w:r>
      <w:r w:rsidRPr="00810E28">
        <w:rPr>
          <w:sz w:val="16"/>
          <w:szCs w:val="16"/>
          <w:lang w:val="es-CR"/>
        </w:rPr>
        <w:t xml:space="preserve">Sentencia de la Sala Mixta de la Corte Superior de Justicia de Huancavelica de 25 de mayo de 2004 (expediente de prueba, </w:t>
      </w:r>
      <w:r w:rsidRPr="00810E28">
        <w:rPr>
          <w:rFonts w:cs="Arial"/>
          <w:sz w:val="16"/>
          <w:szCs w:val="16"/>
          <w:lang w:val="es-CR"/>
        </w:rPr>
        <w:t>folio 69).</w:t>
      </w:r>
    </w:p>
  </w:footnote>
  <w:footnote w:id="173">
    <w:p w14:paraId="741F13F0" w14:textId="2DDF24EC"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szCs w:val="16"/>
          <w:lang w:val="es-CR"/>
        </w:rPr>
        <w:t>Resolución de 10 de marzo de 2017 (expediente de pruebas, folios 2059 y 2060).</w:t>
      </w:r>
      <w:r>
        <w:rPr>
          <w:szCs w:val="16"/>
          <w:lang w:val="es-CR"/>
        </w:rPr>
        <w:t xml:space="preserve"> </w:t>
      </w:r>
      <w:r w:rsidRPr="00810E28">
        <w:rPr>
          <w:szCs w:val="16"/>
          <w:lang w:val="es-CR"/>
        </w:rPr>
        <w:t xml:space="preserve">El 12 de julio de 2017 se ordenó continuar la investigación por 120 días más. </w:t>
      </w:r>
      <w:r w:rsidRPr="00810E28">
        <w:rPr>
          <w:i/>
          <w:szCs w:val="16"/>
          <w:lang w:val="es-CR"/>
        </w:rPr>
        <w:t xml:space="preserve">Cfr. </w:t>
      </w:r>
      <w:r w:rsidRPr="00810E28">
        <w:rPr>
          <w:szCs w:val="16"/>
          <w:lang w:val="es-CR"/>
        </w:rPr>
        <w:t xml:space="preserve">Resolución de 12 de julio de 2017 (expediente de prueba, folios 2073 a 2075). Si bien el 14 de enero de 2005 la Sala Superior Mixta envía un oficio a la fiscalía y a la comisaría de </w:t>
      </w:r>
      <w:proofErr w:type="spellStart"/>
      <w:r w:rsidRPr="00810E28">
        <w:rPr>
          <w:szCs w:val="16"/>
          <w:lang w:val="es-CR"/>
        </w:rPr>
        <w:t>Angares</w:t>
      </w:r>
      <w:proofErr w:type="spellEnd"/>
      <w:r w:rsidRPr="00810E28">
        <w:rPr>
          <w:szCs w:val="16"/>
          <w:lang w:val="es-CR"/>
        </w:rPr>
        <w:t xml:space="preserve"> para que se continúen las investigaciones, no consta que se haya realizado alguna diligencia al respecto. </w:t>
      </w:r>
      <w:r w:rsidRPr="00810E28">
        <w:rPr>
          <w:i/>
          <w:szCs w:val="16"/>
          <w:lang w:val="es-CR"/>
        </w:rPr>
        <w:t xml:space="preserve">Cfr. </w:t>
      </w:r>
      <w:r w:rsidRPr="00810E28">
        <w:rPr>
          <w:szCs w:val="16"/>
          <w:lang w:val="es-CR"/>
        </w:rPr>
        <w:t>Oficio de la Sala Superior Mixta de 14 de enero de 2005 (expediente de prueba, folio 770), y Oficio de la Sala Superior Mixta de 14 de enero de 2005 (expediente de prueba, folio 771).</w:t>
      </w:r>
    </w:p>
  </w:footnote>
  <w:footnote w:id="174">
    <w:p w14:paraId="1529FB77" w14:textId="227056C5" w:rsidR="006B6A4E" w:rsidRPr="00810E28" w:rsidRDefault="006B6A4E" w:rsidP="00810E28">
      <w:pPr>
        <w:pStyle w:val="FootnoteText"/>
        <w:tabs>
          <w:tab w:val="left" w:pos="426"/>
        </w:tabs>
        <w:spacing w:before="120"/>
        <w:rPr>
          <w:i/>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i/>
          <w:szCs w:val="16"/>
          <w:lang w:val="es-PR"/>
        </w:rPr>
        <w:t>Cfr</w:t>
      </w:r>
      <w:r w:rsidRPr="00810E28">
        <w:rPr>
          <w:szCs w:val="16"/>
          <w:lang w:val="es-PR"/>
        </w:rPr>
        <w:t xml:space="preserve">. </w:t>
      </w:r>
      <w:r w:rsidRPr="00810E28">
        <w:rPr>
          <w:i/>
          <w:szCs w:val="16"/>
          <w:lang w:val="es-ES"/>
        </w:rPr>
        <w:t xml:space="preserve">Caso Trujillo </w:t>
      </w:r>
      <w:proofErr w:type="spellStart"/>
      <w:r w:rsidRPr="00810E28">
        <w:rPr>
          <w:i/>
          <w:szCs w:val="16"/>
          <w:lang w:val="es-ES"/>
        </w:rPr>
        <w:t>Oroza</w:t>
      </w:r>
      <w:proofErr w:type="spellEnd"/>
      <w:r w:rsidRPr="00810E28">
        <w:rPr>
          <w:i/>
          <w:szCs w:val="16"/>
          <w:lang w:val="es-ES"/>
        </w:rPr>
        <w:t xml:space="preserve"> Vs. Bolivia. Reparaciones y Costas. </w:t>
      </w:r>
      <w:r w:rsidRPr="00810E28">
        <w:rPr>
          <w:szCs w:val="16"/>
          <w:lang w:val="es-ES"/>
        </w:rPr>
        <w:t>Sentencia de 27 de febrero de 2002</w:t>
      </w:r>
      <w:r w:rsidRPr="00810E28">
        <w:rPr>
          <w:i/>
          <w:szCs w:val="16"/>
          <w:lang w:val="es-ES"/>
        </w:rPr>
        <w:t xml:space="preserve">. </w:t>
      </w:r>
      <w:r w:rsidRPr="00810E28">
        <w:rPr>
          <w:szCs w:val="16"/>
          <w:lang w:val="es-ES"/>
        </w:rPr>
        <w:t>Serie C No. 92, párr.</w:t>
      </w:r>
      <w:r w:rsidRPr="00810E28">
        <w:rPr>
          <w:szCs w:val="16"/>
          <w:lang w:val="es-CR"/>
        </w:rPr>
        <w:t xml:space="preserve"> 100</w:t>
      </w:r>
      <w:r w:rsidRPr="00810E28">
        <w:rPr>
          <w:szCs w:val="16"/>
          <w:lang w:val="es-PR"/>
        </w:rPr>
        <w:t xml:space="preserve">, y </w:t>
      </w:r>
      <w:r w:rsidRPr="00810E28">
        <w:rPr>
          <w:i/>
          <w:szCs w:val="16"/>
          <w:lang w:val="es-CR"/>
        </w:rPr>
        <w:t xml:space="preserve">Caso </w:t>
      </w:r>
      <w:proofErr w:type="spellStart"/>
      <w:r w:rsidRPr="00810E28">
        <w:rPr>
          <w:i/>
          <w:szCs w:val="16"/>
          <w:lang w:val="es-CR"/>
        </w:rPr>
        <w:t>Herzog</w:t>
      </w:r>
      <w:proofErr w:type="spellEnd"/>
      <w:r w:rsidRPr="00810E28">
        <w:rPr>
          <w:i/>
          <w:szCs w:val="16"/>
          <w:lang w:val="es-CR"/>
        </w:rPr>
        <w:t xml:space="preserve"> y otros Vs. Brasil. Excepciones Preliminares, Fondo, Reparaciones y Costas. </w:t>
      </w:r>
      <w:r w:rsidRPr="00810E28">
        <w:rPr>
          <w:szCs w:val="16"/>
          <w:lang w:val="es-CR"/>
        </w:rPr>
        <w:t>Sentencia de 15 de marzo de 2018.Serie C No. 353, párr. 328.</w:t>
      </w:r>
    </w:p>
  </w:footnote>
  <w:footnote w:id="175">
    <w:p w14:paraId="06A0B311" w14:textId="77777777" w:rsidR="006B6A4E" w:rsidRPr="00810E28" w:rsidRDefault="006B6A4E" w:rsidP="00810E28">
      <w:pPr>
        <w:pStyle w:val="FootnoteText"/>
        <w:tabs>
          <w:tab w:val="left" w:pos="426"/>
        </w:tabs>
        <w:spacing w:before="120"/>
        <w:rPr>
          <w:b/>
          <w:color w:val="FF0000"/>
          <w:szCs w:val="16"/>
          <w:lang w:val="es-CR"/>
        </w:rPr>
      </w:pPr>
      <w:r w:rsidRPr="00810E28">
        <w:rPr>
          <w:rStyle w:val="FootnoteReference"/>
          <w:rFonts w:eastAsia="Calibri"/>
          <w:szCs w:val="16"/>
        </w:rPr>
        <w:footnoteRef/>
      </w:r>
      <w:r w:rsidRPr="00810E28">
        <w:rPr>
          <w:szCs w:val="16"/>
          <w:lang w:val="es-PR"/>
        </w:rPr>
        <w:t xml:space="preserve"> </w:t>
      </w:r>
      <w:r w:rsidRPr="00810E28">
        <w:rPr>
          <w:szCs w:val="16"/>
          <w:lang w:val="es-PR"/>
        </w:rPr>
        <w:tab/>
      </w:r>
      <w:r w:rsidRPr="00810E28">
        <w:rPr>
          <w:i/>
          <w:szCs w:val="16"/>
          <w:lang w:val="es-PR"/>
        </w:rPr>
        <w:t>Cfr.</w:t>
      </w:r>
      <w:r w:rsidRPr="00810E28">
        <w:rPr>
          <w:szCs w:val="16"/>
          <w:lang w:val="es-PR"/>
        </w:rPr>
        <w:t xml:space="preserve">, </w:t>
      </w:r>
      <w:r w:rsidRPr="00810E28">
        <w:rPr>
          <w:i/>
          <w:szCs w:val="16"/>
          <w:lang w:val="es-PR"/>
        </w:rPr>
        <w:t xml:space="preserve">inter </w:t>
      </w:r>
      <w:proofErr w:type="spellStart"/>
      <w:r w:rsidRPr="00810E28">
        <w:rPr>
          <w:i/>
          <w:szCs w:val="16"/>
          <w:lang w:val="es-PR"/>
        </w:rPr>
        <w:t>alia</w:t>
      </w:r>
      <w:proofErr w:type="spellEnd"/>
      <w:r w:rsidRPr="00810E28">
        <w:rPr>
          <w:szCs w:val="16"/>
          <w:lang w:val="es-PR"/>
        </w:rPr>
        <w:t>,</w:t>
      </w:r>
      <w:r w:rsidRPr="00810E28">
        <w:rPr>
          <w:i/>
          <w:szCs w:val="16"/>
          <w:lang w:val="es-PR"/>
        </w:rPr>
        <w:t xml:space="preserve"> </w:t>
      </w:r>
      <w:r w:rsidRPr="00810E28">
        <w:rPr>
          <w:i/>
          <w:szCs w:val="16"/>
          <w:lang w:val="es-CR"/>
        </w:rPr>
        <w:t xml:space="preserve">Caso Velásquez Rodríguez Vs. Honduras. </w:t>
      </w:r>
      <w:r w:rsidRPr="00810E28">
        <w:rPr>
          <w:i/>
          <w:szCs w:val="16"/>
          <w:lang w:val="es-ES"/>
        </w:rPr>
        <w:t>Fondo.</w:t>
      </w:r>
      <w:r w:rsidRPr="00810E28">
        <w:rPr>
          <w:szCs w:val="16"/>
          <w:lang w:val="es-CR"/>
        </w:rPr>
        <w:t xml:space="preserve"> </w:t>
      </w:r>
      <w:r w:rsidRPr="00810E28">
        <w:rPr>
          <w:szCs w:val="16"/>
          <w:lang w:val="es-ES"/>
        </w:rPr>
        <w:t xml:space="preserve">Sentencia de 29 de julio de 1988. Serie C No. 4, </w:t>
      </w:r>
      <w:r w:rsidRPr="00810E28">
        <w:rPr>
          <w:szCs w:val="16"/>
          <w:lang w:val="es-PR"/>
        </w:rPr>
        <w:t xml:space="preserve">párr. 181; </w:t>
      </w:r>
      <w:r w:rsidRPr="00810E28">
        <w:rPr>
          <w:bCs/>
          <w:i/>
          <w:szCs w:val="16"/>
          <w:lang w:val="es-CR"/>
        </w:rPr>
        <w:t xml:space="preserve">Caso </w:t>
      </w:r>
      <w:proofErr w:type="spellStart"/>
      <w:r w:rsidRPr="00810E28">
        <w:rPr>
          <w:bCs/>
          <w:i/>
          <w:szCs w:val="16"/>
          <w:lang w:val="es-CR"/>
        </w:rPr>
        <w:t>Bámaca</w:t>
      </w:r>
      <w:proofErr w:type="spellEnd"/>
      <w:r w:rsidRPr="00810E28">
        <w:rPr>
          <w:bCs/>
          <w:i/>
          <w:szCs w:val="16"/>
          <w:lang w:val="es-CR"/>
        </w:rPr>
        <w:t xml:space="preserve"> Velásquez Vs. Guatemala. Fondo. </w:t>
      </w:r>
      <w:r w:rsidRPr="00810E28">
        <w:rPr>
          <w:bCs/>
          <w:szCs w:val="16"/>
          <w:lang w:val="es-CR"/>
        </w:rPr>
        <w:t>Sentencia de 25 de noviembre de 2000. Serie C No. 70,</w:t>
      </w:r>
      <w:r w:rsidRPr="00810E28">
        <w:rPr>
          <w:bCs/>
          <w:i/>
          <w:szCs w:val="16"/>
          <w:lang w:val="es-CR"/>
        </w:rPr>
        <w:t xml:space="preserve"> </w:t>
      </w:r>
      <w:r w:rsidRPr="00810E28">
        <w:rPr>
          <w:szCs w:val="16"/>
          <w:lang w:val="es-PR"/>
        </w:rPr>
        <w:t xml:space="preserve">párr. 201; </w:t>
      </w:r>
      <w:r w:rsidRPr="00810E28">
        <w:rPr>
          <w:rStyle w:val="Strong"/>
          <w:rFonts w:eastAsia="Batang"/>
          <w:b w:val="0"/>
          <w:i/>
          <w:color w:val="000000"/>
          <w:szCs w:val="16"/>
          <w:shd w:val="clear" w:color="auto" w:fill="FFFFFF"/>
          <w:lang w:val="es-CR"/>
        </w:rPr>
        <w:t>Caso Barrios Altos Vs. Perú. Fondo</w:t>
      </w:r>
      <w:r w:rsidRPr="00810E28">
        <w:rPr>
          <w:rStyle w:val="Strong"/>
          <w:rFonts w:eastAsia="Batang"/>
          <w:b w:val="0"/>
          <w:color w:val="000000"/>
          <w:szCs w:val="16"/>
          <w:shd w:val="clear" w:color="auto" w:fill="FFFFFF"/>
          <w:lang w:val="es-CR"/>
        </w:rPr>
        <w:t>. Sentencia de 14 de marzo de 2001. Serie C No. 75</w:t>
      </w:r>
      <w:r w:rsidRPr="00810E28">
        <w:rPr>
          <w:b/>
          <w:szCs w:val="16"/>
          <w:lang w:val="es-PR"/>
        </w:rPr>
        <w:t xml:space="preserve">, </w:t>
      </w:r>
      <w:r w:rsidRPr="00810E28">
        <w:rPr>
          <w:szCs w:val="16"/>
          <w:lang w:val="es-PR"/>
        </w:rPr>
        <w:t xml:space="preserve">párr. 48; </w:t>
      </w:r>
      <w:r w:rsidRPr="00810E28">
        <w:rPr>
          <w:i/>
          <w:szCs w:val="16"/>
          <w:lang w:val="es-PR"/>
        </w:rPr>
        <w:t xml:space="preserve">Caso </w:t>
      </w:r>
      <w:proofErr w:type="spellStart"/>
      <w:r w:rsidRPr="00810E28">
        <w:rPr>
          <w:i/>
          <w:szCs w:val="16"/>
          <w:lang w:val="es-PR"/>
        </w:rPr>
        <w:t>Almonacid</w:t>
      </w:r>
      <w:proofErr w:type="spellEnd"/>
      <w:r w:rsidRPr="00810E28">
        <w:rPr>
          <w:i/>
          <w:szCs w:val="16"/>
          <w:lang w:val="es-PR"/>
        </w:rPr>
        <w:t xml:space="preserve"> Arellano y otros Vs. Chile, Excepciones Preliminares, Fondo, Reparaciones y Costas. </w:t>
      </w:r>
      <w:r w:rsidRPr="00810E28">
        <w:rPr>
          <w:szCs w:val="16"/>
          <w:lang w:val="es-PR"/>
        </w:rPr>
        <w:t>Sentencia de 26 de septiembre de 2006. Serie C No. 154,</w:t>
      </w:r>
      <w:r w:rsidRPr="00810E28">
        <w:rPr>
          <w:i/>
          <w:szCs w:val="16"/>
          <w:lang w:val="es-PR"/>
        </w:rPr>
        <w:t xml:space="preserve"> </w:t>
      </w:r>
      <w:r w:rsidRPr="00810E28">
        <w:rPr>
          <w:szCs w:val="16"/>
          <w:lang w:val="es-PR"/>
        </w:rPr>
        <w:t xml:space="preserve">párr. 148; </w:t>
      </w:r>
      <w:r w:rsidRPr="00810E28">
        <w:rPr>
          <w:rStyle w:val="Strong"/>
          <w:rFonts w:eastAsia="Batang"/>
          <w:b w:val="0"/>
          <w:i/>
          <w:szCs w:val="16"/>
          <w:shd w:val="clear" w:color="auto" w:fill="FFFFFF"/>
          <w:lang w:val="es-PR"/>
        </w:rPr>
        <w:t>Caso La Cantuta Vs. Perú. Fondo, Reparaciones y Costas.</w:t>
      </w:r>
      <w:r w:rsidRPr="00810E28">
        <w:rPr>
          <w:rStyle w:val="Strong"/>
          <w:rFonts w:eastAsia="Batang"/>
          <w:b w:val="0"/>
          <w:szCs w:val="16"/>
          <w:shd w:val="clear" w:color="auto" w:fill="FFFFFF"/>
          <w:lang w:val="es-PR"/>
        </w:rPr>
        <w:t xml:space="preserve"> Sentencia de 29 de noviembre de 2006. Serie C No. 162</w:t>
      </w:r>
      <w:r w:rsidRPr="001A620D">
        <w:rPr>
          <w:szCs w:val="16"/>
          <w:lang w:val="es-PR"/>
        </w:rPr>
        <w:t>,</w:t>
      </w:r>
      <w:r w:rsidRPr="00810E28">
        <w:rPr>
          <w:szCs w:val="16"/>
          <w:lang w:val="es-PR"/>
        </w:rPr>
        <w:t xml:space="preserve"> párr. 222; </w:t>
      </w:r>
      <w:r w:rsidRPr="00810E28">
        <w:rPr>
          <w:i/>
          <w:szCs w:val="16"/>
          <w:lang w:val="es-CR"/>
        </w:rPr>
        <w:t>Caso Heliodoro Portugal Vs. Panamá</w:t>
      </w:r>
      <w:r w:rsidRPr="00810E28">
        <w:rPr>
          <w:szCs w:val="16"/>
          <w:lang w:val="es-CR" w:bidi="en-US"/>
        </w:rPr>
        <w:t xml:space="preserve">. </w:t>
      </w:r>
      <w:r w:rsidRPr="00810E28">
        <w:rPr>
          <w:i/>
          <w:szCs w:val="16"/>
          <w:lang w:val="es-CR" w:bidi="en-US"/>
        </w:rPr>
        <w:t xml:space="preserve">Excepciones Preliminares, Fondo, Reparaciones y Costas. </w:t>
      </w:r>
      <w:r w:rsidRPr="00810E28">
        <w:rPr>
          <w:szCs w:val="16"/>
          <w:lang w:val="es-CR" w:bidi="en-US"/>
        </w:rPr>
        <w:t xml:space="preserve">Sentencia de 12 de agosto de 2008. Serie C No. 186, </w:t>
      </w:r>
      <w:proofErr w:type="spellStart"/>
      <w:r w:rsidRPr="00810E28">
        <w:rPr>
          <w:szCs w:val="16"/>
          <w:lang w:val="es-PR"/>
        </w:rPr>
        <w:t>párrs</w:t>
      </w:r>
      <w:proofErr w:type="spellEnd"/>
      <w:r w:rsidRPr="00810E28">
        <w:rPr>
          <w:szCs w:val="16"/>
          <w:lang w:val="es-PR"/>
        </w:rPr>
        <w:t xml:space="preserve">. 243 y 244; </w:t>
      </w:r>
      <w:r w:rsidRPr="00810E28">
        <w:rPr>
          <w:i/>
          <w:szCs w:val="16"/>
          <w:lang w:val="es-PR"/>
        </w:rPr>
        <w:t xml:space="preserve">Caso Miembros de la Aldea </w:t>
      </w:r>
      <w:proofErr w:type="spellStart"/>
      <w:r w:rsidRPr="00810E28">
        <w:rPr>
          <w:i/>
          <w:szCs w:val="16"/>
          <w:lang w:val="es-PR"/>
        </w:rPr>
        <w:t>Chichupac</w:t>
      </w:r>
      <w:proofErr w:type="spellEnd"/>
      <w:r w:rsidRPr="00810E28">
        <w:rPr>
          <w:i/>
          <w:szCs w:val="16"/>
          <w:lang w:val="es-PR"/>
        </w:rPr>
        <w:t xml:space="preserve"> y comunidades vecinas del Municipio de Rabinal Vs. Guatemala, supra</w:t>
      </w:r>
      <w:r w:rsidRPr="00810E28">
        <w:rPr>
          <w:szCs w:val="16"/>
          <w:lang w:val="es-PR"/>
        </w:rPr>
        <w:t>, párr. 260</w:t>
      </w:r>
      <w:r w:rsidRPr="00810E28">
        <w:rPr>
          <w:szCs w:val="16"/>
          <w:lang w:val="es-PR" w:bidi="en-US"/>
        </w:rPr>
        <w:t xml:space="preserve">, y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165.</w:t>
      </w:r>
    </w:p>
  </w:footnote>
  <w:footnote w:id="176">
    <w:p w14:paraId="5E023471" w14:textId="77777777" w:rsidR="006B6A4E" w:rsidRPr="00810E28" w:rsidRDefault="006B6A4E" w:rsidP="00810E28">
      <w:pPr>
        <w:pStyle w:val="FootnoteText"/>
        <w:tabs>
          <w:tab w:val="left" w:pos="426"/>
        </w:tabs>
        <w:spacing w:before="120"/>
        <w:rPr>
          <w:szCs w:val="16"/>
          <w:lang w:val="es-CR"/>
        </w:rPr>
      </w:pPr>
      <w:r w:rsidRPr="00810E28">
        <w:rPr>
          <w:rStyle w:val="FootnoteReference"/>
          <w:rFonts w:eastAsia="Calibri"/>
          <w:szCs w:val="16"/>
        </w:rPr>
        <w:footnoteRef/>
      </w:r>
      <w:r w:rsidRPr="00810E28">
        <w:rPr>
          <w:szCs w:val="16"/>
          <w:lang w:val="es-CR"/>
        </w:rPr>
        <w:t xml:space="preserve"> </w:t>
      </w:r>
      <w:r w:rsidRPr="00810E28">
        <w:rPr>
          <w:szCs w:val="16"/>
          <w:lang w:val="es-CR"/>
        </w:rPr>
        <w:tab/>
      </w:r>
      <w:r w:rsidRPr="00810E28">
        <w:rPr>
          <w:szCs w:val="16"/>
          <w:lang w:val="es-PR"/>
        </w:rPr>
        <w:t xml:space="preserve">En este sentido, en su estudio sobre el derecho a conocer la verdad, el Alto Comisionado de las Naciones Unidas para los Derechos Humanos recogió que distintas declaraciones e instrumentos internacionales han reconocido el derecho a conocer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las niñas y los niños a recibir una protección especial. </w:t>
      </w:r>
      <w:r w:rsidRPr="00810E28">
        <w:rPr>
          <w:i/>
          <w:szCs w:val="16"/>
          <w:lang w:val="es-PR"/>
        </w:rPr>
        <w:t xml:space="preserve">Cfr. </w:t>
      </w:r>
      <w:r w:rsidRPr="00810E28">
        <w:rPr>
          <w:rFonts w:eastAsia="Calibri" w:cs="Arial"/>
          <w:szCs w:val="16"/>
          <w:lang w:val="es-PR"/>
        </w:rPr>
        <w:t>Informe de la Oficina del Alto Comisionado de las Naciones Unidas para los Derechos Humanos.</w:t>
      </w:r>
      <w:r w:rsidRPr="00810E28">
        <w:rPr>
          <w:rFonts w:eastAsia="Calibri" w:cs="Arial"/>
          <w:b/>
          <w:szCs w:val="16"/>
          <w:lang w:val="es-PR"/>
        </w:rPr>
        <w:t xml:space="preserve"> </w:t>
      </w:r>
      <w:r w:rsidRPr="00810E28">
        <w:rPr>
          <w:rStyle w:val="Emphasis"/>
          <w:rFonts w:eastAsia="Calibri" w:cs="Arial"/>
          <w:b w:val="0"/>
          <w:szCs w:val="16"/>
          <w:lang w:val="es-PR"/>
        </w:rPr>
        <w:t>Estudio sobre el derecho a la verdad</w:t>
      </w:r>
      <w:r w:rsidRPr="001A620D">
        <w:rPr>
          <w:rFonts w:eastAsia="Calibri" w:cs="Arial"/>
          <w:szCs w:val="16"/>
          <w:lang w:val="es-PR"/>
        </w:rPr>
        <w:t xml:space="preserve">, </w:t>
      </w:r>
      <w:r w:rsidRPr="00810E28">
        <w:rPr>
          <w:rFonts w:eastAsia="Calibri" w:cs="Arial"/>
          <w:szCs w:val="16"/>
          <w:lang w:val="es-PR"/>
        </w:rPr>
        <w:t>U.N. Doc. E/CN.4/2006/91 de 8 de febrero de 2006.</w:t>
      </w:r>
    </w:p>
  </w:footnote>
  <w:footnote w:id="177">
    <w:p w14:paraId="4A508D7A" w14:textId="494ECDFF"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 xml:space="preserve">Cfr. Caso </w:t>
      </w:r>
      <w:proofErr w:type="spellStart"/>
      <w:r w:rsidRPr="00810E28">
        <w:rPr>
          <w:i/>
          <w:szCs w:val="16"/>
        </w:rPr>
        <w:t>Gudiel</w:t>
      </w:r>
      <w:proofErr w:type="spellEnd"/>
      <w:r w:rsidRPr="00810E28">
        <w:rPr>
          <w:i/>
          <w:szCs w:val="16"/>
        </w:rPr>
        <w:t xml:space="preserve"> Álvarez y otros ("Diario Militar") Vs. Guatemala. Fondo Reparaciones y Costas.</w:t>
      </w:r>
      <w:r w:rsidRPr="00810E28">
        <w:rPr>
          <w:szCs w:val="16"/>
        </w:rPr>
        <w:t xml:space="preserve"> Sentencia de 20 noviembre de 2012. Serie C No. 253, párr. 510, y </w:t>
      </w:r>
      <w:r w:rsidRPr="00810E28">
        <w:rPr>
          <w:i/>
          <w:szCs w:val="16"/>
        </w:rPr>
        <w:t xml:space="preserve">Caso Vereda La Esperanza Vs. Colombia. Excepción Preliminar, Fondo, Reparaciones y Costas. </w:t>
      </w:r>
      <w:r w:rsidRPr="00810E28">
        <w:rPr>
          <w:szCs w:val="16"/>
        </w:rPr>
        <w:t>Sentencia de 31 de agosto de 2017. Serie C No. 341, párr. 220.</w:t>
      </w:r>
    </w:p>
  </w:footnote>
  <w:footnote w:id="178">
    <w:p w14:paraId="2CC1EABF" w14:textId="00DC85D0"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iCs/>
          <w:szCs w:val="16"/>
        </w:rPr>
        <w:t xml:space="preserve">Cfr. </w:t>
      </w:r>
      <w:r w:rsidRPr="00810E28">
        <w:rPr>
          <w:i/>
          <w:iCs/>
          <w:szCs w:val="16"/>
          <w:lang w:val="es-MX"/>
        </w:rPr>
        <w:t xml:space="preserve">Caso </w:t>
      </w:r>
      <w:proofErr w:type="spellStart"/>
      <w:r w:rsidRPr="00810E28">
        <w:rPr>
          <w:i/>
          <w:iCs/>
          <w:szCs w:val="16"/>
          <w:lang w:val="es-MX"/>
        </w:rPr>
        <w:t>Genie</w:t>
      </w:r>
      <w:proofErr w:type="spellEnd"/>
      <w:r w:rsidRPr="00810E28">
        <w:rPr>
          <w:i/>
          <w:iCs/>
          <w:szCs w:val="16"/>
          <w:lang w:val="es-MX"/>
        </w:rPr>
        <w:t xml:space="preserve"> Lacayo Vs. Nicaragua. Excepciones Preliminares.</w:t>
      </w:r>
      <w:r w:rsidRPr="00810E28">
        <w:rPr>
          <w:szCs w:val="16"/>
          <w:lang w:val="es-MX"/>
        </w:rPr>
        <w:t xml:space="preserve"> Sentencia de 27 de enero de 1995. Serie C No. 21, párr. 50, y </w:t>
      </w:r>
      <w:r w:rsidRPr="006E59DB">
        <w:rPr>
          <w:rFonts w:cs="Calibri"/>
          <w:i/>
          <w:lang w:val="es-ES"/>
        </w:rPr>
        <w:t xml:space="preserve">Caso Mohamed Vs. Argentina. Excepción Preliminar, Fondo, Reparaciones y Costas. </w:t>
      </w:r>
      <w:r w:rsidRPr="006E59DB">
        <w:rPr>
          <w:rFonts w:cs="Calibri"/>
          <w:lang w:val="es-ES"/>
        </w:rPr>
        <w:t>Sentencia de 23 nov</w:t>
      </w:r>
      <w:r>
        <w:rPr>
          <w:rFonts w:cs="Calibri"/>
          <w:lang w:val="es-ES"/>
        </w:rPr>
        <w:t>iembre de 2012. Serie C No. 255, párr. 162.</w:t>
      </w:r>
    </w:p>
  </w:footnote>
  <w:footnote w:id="179">
    <w:p w14:paraId="5168C99D" w14:textId="3EEFE373"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 xml:space="preserve">La Corte advierte que estos dos últimos alegatos fueron presentados por el Estado como una cuestión procesal. No obstante, la Corte considera que se refieren a la alegada violación a la integridad personal de los familiares. </w:t>
      </w:r>
    </w:p>
  </w:footnote>
  <w:footnote w:id="180">
    <w:p w14:paraId="385A537B" w14:textId="7BB6F821" w:rsidR="006B6A4E" w:rsidRPr="00810E28" w:rsidRDefault="006B6A4E" w:rsidP="00810E28">
      <w:pPr>
        <w:pStyle w:val="FootnoteText"/>
        <w:tabs>
          <w:tab w:val="left" w:pos="426"/>
        </w:tabs>
        <w:spacing w:before="120"/>
        <w:rPr>
          <w:szCs w:val="16"/>
        </w:rPr>
      </w:pPr>
      <w:r w:rsidRPr="00810E28">
        <w:rPr>
          <w:rStyle w:val="FootnoteReference"/>
          <w:rFonts w:eastAsiaTheme="majorEastAsia"/>
          <w:szCs w:val="16"/>
        </w:rPr>
        <w:footnoteRef/>
      </w:r>
      <w:r w:rsidRPr="00810E28">
        <w:rPr>
          <w:szCs w:val="16"/>
        </w:rPr>
        <w:t xml:space="preserve"> </w:t>
      </w:r>
      <w:r w:rsidRPr="00810E28">
        <w:rPr>
          <w:szCs w:val="16"/>
        </w:rPr>
        <w:tab/>
      </w:r>
      <w:r w:rsidRPr="00810E28">
        <w:rPr>
          <w:i/>
          <w:szCs w:val="16"/>
        </w:rPr>
        <w:t>Cfr.</w:t>
      </w:r>
      <w:r w:rsidRPr="00810E28">
        <w:rPr>
          <w:szCs w:val="16"/>
        </w:rPr>
        <w:t xml:space="preserve"> </w:t>
      </w:r>
      <w:r w:rsidRPr="005A7B05">
        <w:rPr>
          <w:i/>
          <w:szCs w:val="16"/>
        </w:rPr>
        <w:t xml:space="preserve">Caso Blake Vs. Guatemala. Fondo. Sentencia de 24 de enero de 1998. </w:t>
      </w:r>
      <w:r w:rsidRPr="005A7B05">
        <w:rPr>
          <w:szCs w:val="16"/>
        </w:rPr>
        <w:t>Serie C No. 36, párr. 114,</w:t>
      </w:r>
      <w:r w:rsidRPr="00810E28">
        <w:rPr>
          <w:szCs w:val="16"/>
        </w:rPr>
        <w:t xml:space="preserve"> párr. 114, y </w:t>
      </w:r>
      <w:r w:rsidRPr="00810E28">
        <w:rPr>
          <w:i/>
          <w:szCs w:val="16"/>
          <w:lang w:val="es-CR"/>
        </w:rPr>
        <w:t>Caso Vereda La Esperanza Vs. Colombia. Excepción Preliminar, Fondo, Reparaciones y Costas.</w:t>
      </w:r>
      <w:r w:rsidRPr="00810E28">
        <w:rPr>
          <w:szCs w:val="16"/>
          <w:lang w:val="es-CR"/>
        </w:rPr>
        <w:t xml:space="preserve"> Sentencia de 31 de agosto de 2017. Serie C No. 341, párr. 249</w:t>
      </w:r>
      <w:r w:rsidRPr="00810E28">
        <w:rPr>
          <w:szCs w:val="16"/>
        </w:rPr>
        <w:t xml:space="preserve">. </w:t>
      </w:r>
    </w:p>
  </w:footnote>
  <w:footnote w:id="181">
    <w:p w14:paraId="7C41785C" w14:textId="77777777" w:rsidR="006B6A4E" w:rsidRPr="00810E28" w:rsidRDefault="006B6A4E" w:rsidP="00810E28">
      <w:pPr>
        <w:pStyle w:val="FootnoteText"/>
        <w:tabs>
          <w:tab w:val="left" w:pos="426"/>
        </w:tabs>
        <w:spacing w:before="120"/>
        <w:rPr>
          <w:szCs w:val="16"/>
        </w:rPr>
      </w:pPr>
      <w:r w:rsidRPr="00810E28">
        <w:rPr>
          <w:rStyle w:val="FootnoteReference"/>
          <w:rFonts w:eastAsiaTheme="majorEastAsia"/>
          <w:szCs w:val="16"/>
        </w:rPr>
        <w:footnoteRef/>
      </w:r>
      <w:r w:rsidRPr="00810E28">
        <w:rPr>
          <w:szCs w:val="16"/>
        </w:rPr>
        <w:t xml:space="preserve">      </w:t>
      </w:r>
      <w:r w:rsidRPr="00810E28">
        <w:rPr>
          <w:i/>
          <w:szCs w:val="16"/>
        </w:rPr>
        <w:t>Cfr. Caso Valle Jaramillo y otros Vs. Colombia. Fondo, Reparaciones y Costas.</w:t>
      </w:r>
      <w:r w:rsidRPr="00810E28">
        <w:rPr>
          <w:szCs w:val="16"/>
        </w:rPr>
        <w:t xml:space="preserve"> Sentencia de 27 de noviembre de 2008. Serie C No 192. párr. 119, y </w:t>
      </w:r>
      <w:r w:rsidRPr="00810E28">
        <w:rPr>
          <w:i/>
          <w:szCs w:val="16"/>
        </w:rPr>
        <w:t>Caso Vásquez Durand y otros Vs. Ecuador. Excepciones Preliminares, Fondo, Reparaciones y Costas.</w:t>
      </w:r>
      <w:r w:rsidRPr="00810E28">
        <w:rPr>
          <w:szCs w:val="16"/>
        </w:rPr>
        <w:t xml:space="preserve"> Sentencia de 15 de febrero de 2017. Serie C No 332, párr. 182.</w:t>
      </w:r>
    </w:p>
  </w:footnote>
  <w:footnote w:id="182">
    <w:p w14:paraId="76B36A17" w14:textId="336F68BA" w:rsidR="006B6A4E" w:rsidRPr="00810E28" w:rsidRDefault="006B6A4E" w:rsidP="00810E28">
      <w:pPr>
        <w:pStyle w:val="FootnoteText"/>
        <w:tabs>
          <w:tab w:val="left" w:pos="426"/>
        </w:tabs>
        <w:spacing w:before="120"/>
        <w:rPr>
          <w:szCs w:val="16"/>
        </w:rPr>
      </w:pPr>
      <w:r w:rsidRPr="00810E28">
        <w:rPr>
          <w:rStyle w:val="FootnoteReference"/>
          <w:rFonts w:eastAsiaTheme="majorEastAsia"/>
          <w:szCs w:val="16"/>
        </w:rPr>
        <w:footnoteRef/>
      </w:r>
      <w:r w:rsidRPr="00810E28">
        <w:rPr>
          <w:szCs w:val="16"/>
        </w:rPr>
        <w:t xml:space="preserve">     </w:t>
      </w:r>
      <w:r w:rsidRPr="00810E28">
        <w:rPr>
          <w:i/>
          <w:szCs w:val="16"/>
        </w:rPr>
        <w:t>Cfr. Caso Blake Vs. Guatemala. Fondo, Reparaciones y Costas.</w:t>
      </w:r>
      <w:r w:rsidRPr="00810E28">
        <w:rPr>
          <w:szCs w:val="16"/>
        </w:rPr>
        <w:t xml:space="preserve"> Sentencia de 24 de enero de 1998. Serie C No. 36, párr. 114, y </w:t>
      </w:r>
      <w:r w:rsidRPr="00810E28">
        <w:rPr>
          <w:i/>
          <w:szCs w:val="16"/>
          <w:lang w:val="es-CR"/>
        </w:rPr>
        <w:t>Caso Vereda La Esperanza Vs. Colombia. Excepción Preliminar, Fondo, Reparaciones y Costas.</w:t>
      </w:r>
      <w:r w:rsidRPr="00810E28">
        <w:rPr>
          <w:szCs w:val="16"/>
          <w:lang w:val="es-CR"/>
        </w:rPr>
        <w:t xml:space="preserve"> Sentencia de 31 de agosto de 2017. Serie C No. 341, párr. 249</w:t>
      </w:r>
      <w:r w:rsidRPr="00810E28">
        <w:rPr>
          <w:szCs w:val="16"/>
        </w:rPr>
        <w:t>.</w:t>
      </w:r>
    </w:p>
  </w:footnote>
  <w:footnote w:id="183">
    <w:p w14:paraId="5D695D14" w14:textId="1BC011A4"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t>Además, la Corte advierte que contrario a lo señalado por el Estado, se encuentra acreditada la identidad y filiación de los hermanos de Walter</w:t>
      </w:r>
      <w:r>
        <w:rPr>
          <w:szCs w:val="16"/>
        </w:rPr>
        <w:t xml:space="preserve"> </w:t>
      </w:r>
      <w:proofErr w:type="spellStart"/>
      <w:r>
        <w:rPr>
          <w:szCs w:val="16"/>
        </w:rPr>
        <w:t>Munárriz</w:t>
      </w:r>
      <w:proofErr w:type="spellEnd"/>
      <w:r>
        <w:rPr>
          <w:szCs w:val="16"/>
        </w:rPr>
        <w:t xml:space="preserve"> Escobar</w:t>
      </w:r>
      <w:r w:rsidRPr="00810E28">
        <w:rPr>
          <w:szCs w:val="16"/>
        </w:rPr>
        <w:t xml:space="preserve">. </w:t>
      </w:r>
      <w:r w:rsidRPr="00810E28">
        <w:rPr>
          <w:i/>
          <w:szCs w:val="16"/>
        </w:rPr>
        <w:t>Cfr.</w:t>
      </w:r>
      <w:r w:rsidRPr="00810E28">
        <w:rPr>
          <w:szCs w:val="16"/>
        </w:rPr>
        <w:t xml:space="preserve"> Certificado de nacimiento del señor Walter </w:t>
      </w:r>
      <w:proofErr w:type="spellStart"/>
      <w:r w:rsidRPr="00810E28">
        <w:rPr>
          <w:szCs w:val="16"/>
        </w:rPr>
        <w:t>Munárriz</w:t>
      </w:r>
      <w:proofErr w:type="spellEnd"/>
      <w:r w:rsidRPr="00810E28">
        <w:rPr>
          <w:szCs w:val="16"/>
        </w:rPr>
        <w:t xml:space="preserve"> Escobar (expediente de prueba, folio 1575); Certificado de nacimiento de Gladys Escobar </w:t>
      </w:r>
      <w:proofErr w:type="spellStart"/>
      <w:r w:rsidRPr="00810E28">
        <w:rPr>
          <w:szCs w:val="16"/>
        </w:rPr>
        <w:t>Candiotti</w:t>
      </w:r>
      <w:proofErr w:type="spellEnd"/>
      <w:r w:rsidRPr="00810E28">
        <w:rPr>
          <w:szCs w:val="16"/>
        </w:rPr>
        <w:t xml:space="preserve"> (expediente de prueba, folio 1573); certificado de nacimiento de Gladys </w:t>
      </w:r>
      <w:proofErr w:type="spellStart"/>
      <w:r w:rsidRPr="00810E28">
        <w:rPr>
          <w:szCs w:val="16"/>
        </w:rPr>
        <w:t>Munárriz</w:t>
      </w:r>
      <w:proofErr w:type="spellEnd"/>
      <w:r w:rsidRPr="00810E28">
        <w:rPr>
          <w:szCs w:val="16"/>
        </w:rPr>
        <w:t xml:space="preserve"> Escobar (expediente de prueba, folio 1574), certificado de nacimiento de Eric </w:t>
      </w:r>
      <w:proofErr w:type="spellStart"/>
      <w:r w:rsidRPr="00810E28">
        <w:rPr>
          <w:szCs w:val="16"/>
        </w:rPr>
        <w:t>Munárriz</w:t>
      </w:r>
      <w:proofErr w:type="spellEnd"/>
      <w:r w:rsidRPr="00810E28">
        <w:rPr>
          <w:szCs w:val="16"/>
        </w:rPr>
        <w:t xml:space="preserve"> Escobar (expediente de prueba, folio 1576); certificado de nacimiento de Amparo </w:t>
      </w:r>
      <w:proofErr w:type="spellStart"/>
      <w:r w:rsidRPr="00810E28">
        <w:rPr>
          <w:szCs w:val="16"/>
        </w:rPr>
        <w:t>Munárriz</w:t>
      </w:r>
      <w:proofErr w:type="spellEnd"/>
      <w:r w:rsidRPr="00810E28">
        <w:rPr>
          <w:szCs w:val="16"/>
        </w:rPr>
        <w:t xml:space="preserve"> Escobar (expediente de prueba, folio 1577); certificado de nacimiento de Junior </w:t>
      </w:r>
      <w:proofErr w:type="spellStart"/>
      <w:r w:rsidRPr="00810E28">
        <w:rPr>
          <w:szCs w:val="16"/>
        </w:rPr>
        <w:t>Munárriz</w:t>
      </w:r>
      <w:proofErr w:type="spellEnd"/>
      <w:r w:rsidRPr="00810E28">
        <w:rPr>
          <w:szCs w:val="16"/>
        </w:rPr>
        <w:t xml:space="preserve"> Escobar (</w:t>
      </w:r>
      <w:r>
        <w:rPr>
          <w:szCs w:val="16"/>
        </w:rPr>
        <w:t>e</w:t>
      </w:r>
      <w:r w:rsidRPr="00810E28">
        <w:rPr>
          <w:szCs w:val="16"/>
        </w:rPr>
        <w:t xml:space="preserve">xpediente de prueba, folio 1578), y certificado de nacimiento de </w:t>
      </w:r>
      <w:r>
        <w:rPr>
          <w:szCs w:val="16"/>
        </w:rPr>
        <w:t>Alain</w:t>
      </w:r>
      <w:r w:rsidRPr="00810E28">
        <w:rPr>
          <w:szCs w:val="16"/>
        </w:rPr>
        <w:t xml:space="preserve"> </w:t>
      </w:r>
      <w:proofErr w:type="spellStart"/>
      <w:r w:rsidRPr="00810E28">
        <w:rPr>
          <w:szCs w:val="16"/>
        </w:rPr>
        <w:t>Munárriz</w:t>
      </w:r>
      <w:proofErr w:type="spellEnd"/>
      <w:r w:rsidRPr="00810E28">
        <w:rPr>
          <w:szCs w:val="16"/>
        </w:rPr>
        <w:t xml:space="preserve"> Escobar (expediente de prueba, folio 1579).</w:t>
      </w:r>
    </w:p>
  </w:footnote>
  <w:footnote w:id="184">
    <w:p w14:paraId="1B341139" w14:textId="6815417C" w:rsidR="006B6A4E" w:rsidRPr="00A06181" w:rsidRDefault="006B6A4E" w:rsidP="00A06181">
      <w:pPr>
        <w:tabs>
          <w:tab w:val="left" w:pos="426"/>
        </w:tabs>
        <w:spacing w:before="120"/>
        <w:jc w:val="both"/>
        <w:rPr>
          <w:sz w:val="16"/>
          <w:szCs w:val="16"/>
        </w:rPr>
      </w:pPr>
      <w:r w:rsidRPr="00810E28">
        <w:rPr>
          <w:rStyle w:val="FootnoteReference"/>
          <w:rFonts w:eastAsiaTheme="majorEastAsia"/>
          <w:szCs w:val="16"/>
        </w:rPr>
        <w:footnoteRef/>
      </w:r>
      <w:r w:rsidRPr="00810E28">
        <w:rPr>
          <w:sz w:val="16"/>
          <w:szCs w:val="16"/>
        </w:rPr>
        <w:t xml:space="preserve"> </w:t>
      </w:r>
      <w:r w:rsidRPr="00810E28">
        <w:rPr>
          <w:sz w:val="16"/>
          <w:szCs w:val="16"/>
        </w:rPr>
        <w:tab/>
        <w:t xml:space="preserve">La señora Escobar </w:t>
      </w:r>
      <w:proofErr w:type="spellStart"/>
      <w:r w:rsidRPr="00810E28">
        <w:rPr>
          <w:sz w:val="16"/>
          <w:szCs w:val="16"/>
        </w:rPr>
        <w:t>Candiotti</w:t>
      </w:r>
      <w:proofErr w:type="spellEnd"/>
      <w:r w:rsidRPr="00810E28">
        <w:rPr>
          <w:sz w:val="16"/>
          <w:szCs w:val="16"/>
        </w:rPr>
        <w:t xml:space="preserve"> declaró que </w:t>
      </w:r>
      <w:r w:rsidRPr="00810E28">
        <w:rPr>
          <w:noProof/>
          <w:sz w:val="16"/>
          <w:szCs w:val="16"/>
        </w:rPr>
        <w:t>“</w:t>
      </w:r>
      <w:r w:rsidRPr="00810E28">
        <w:rPr>
          <w:noProof/>
          <w:sz w:val="16"/>
          <w:szCs w:val="16"/>
          <w:lang w:val="es-CR"/>
        </w:rPr>
        <w:t>durante mucho tiempo estaba como ida, no me gustaba hacer nada, lloraba, me iba a buscarlo, nunca encontré nada de mi hijo. Y esa es la razón que mis hijos ya no querían estudiar, les había chocado bastante mal y no podemos”.</w:t>
      </w:r>
      <w:r w:rsidRPr="00810E28">
        <w:rPr>
          <w:sz w:val="16"/>
          <w:szCs w:val="16"/>
        </w:rPr>
        <w:t xml:space="preserve"> Declaración de Gladys Escobar </w:t>
      </w:r>
      <w:proofErr w:type="spellStart"/>
      <w:r w:rsidRPr="00810E28">
        <w:rPr>
          <w:sz w:val="16"/>
          <w:szCs w:val="16"/>
        </w:rPr>
        <w:t>Candiotti</w:t>
      </w:r>
      <w:proofErr w:type="spellEnd"/>
      <w:r w:rsidRPr="00810E28">
        <w:rPr>
          <w:sz w:val="16"/>
          <w:szCs w:val="16"/>
        </w:rPr>
        <w:t xml:space="preserve"> rendida en la audiencia Pública</w:t>
      </w:r>
      <w:r w:rsidRPr="00810E28">
        <w:rPr>
          <w:noProof/>
          <w:sz w:val="16"/>
          <w:szCs w:val="16"/>
          <w:lang w:val="es-CR"/>
        </w:rPr>
        <w:t>.</w:t>
      </w:r>
      <w:r>
        <w:rPr>
          <w:b/>
          <w:noProof/>
          <w:sz w:val="16"/>
          <w:szCs w:val="16"/>
          <w:lang w:val="es-CR"/>
        </w:rPr>
        <w:t xml:space="preserve"> </w:t>
      </w:r>
      <w:r w:rsidRPr="00810E28">
        <w:rPr>
          <w:noProof/>
          <w:sz w:val="16"/>
          <w:szCs w:val="16"/>
          <w:lang w:val="es-CR"/>
        </w:rPr>
        <w:t>Por otro lado Gladys Munárriz Escobar, hermana de Walter, declaró que “</w:t>
      </w:r>
      <w:r w:rsidRPr="00810E28">
        <w:rPr>
          <w:noProof/>
          <w:sz w:val="16"/>
          <w:szCs w:val="16"/>
        </w:rPr>
        <w:t>dej[</w:t>
      </w:r>
      <w:proofErr w:type="spellStart"/>
      <w:r w:rsidRPr="00810E28">
        <w:rPr>
          <w:sz w:val="16"/>
          <w:szCs w:val="16"/>
        </w:rPr>
        <w:t>ó</w:t>
      </w:r>
      <w:proofErr w:type="spellEnd"/>
      <w:r w:rsidRPr="00810E28">
        <w:rPr>
          <w:sz w:val="16"/>
          <w:szCs w:val="16"/>
        </w:rPr>
        <w:t xml:space="preserve"> sus</w:t>
      </w:r>
      <w:r w:rsidRPr="00810E28">
        <w:rPr>
          <w:noProof/>
          <w:sz w:val="16"/>
          <w:szCs w:val="16"/>
        </w:rPr>
        <w:t>] estudios universitarios porque entr</w:t>
      </w:r>
      <w:r>
        <w:rPr>
          <w:noProof/>
          <w:sz w:val="16"/>
          <w:szCs w:val="16"/>
        </w:rPr>
        <w:t xml:space="preserve">[ó] </w:t>
      </w:r>
      <w:r w:rsidRPr="00810E28">
        <w:rPr>
          <w:noProof/>
          <w:sz w:val="16"/>
          <w:szCs w:val="16"/>
        </w:rPr>
        <w:t xml:space="preserve">en una situación de depresión estaba en shock porque no sabía donde estaba mi hermano. Mis hermanos menores, la comunidad y buscabamos día y noche todos los lugares”. “[Sus] hermanos bajaron en su rendimiento escolar, lloraban de día y de noche, querían encontrarlo, lo buscaban de día y noche, se organizaban con sus amigos del colegio para ir a buscar a Walter Munárriz Escobar. [Su] mamá lloraba día y noche, ya no era la misma no festejaba ni los cumpleaños, quería solo Justicia, él era quien nos hacía reir, quien nos apoyó cuando mi papá falleció, era una doble perdida, no podiamos dormir, no sabiamos si estaba vivo o estaba muerto, no podiamos conciliar el sueño, teniamos la esperanza de que lo volvamos a ver o saber cual era su paradero, queriamos darle cristiana sepultura, no podemos estar tranquilos hasta ahora, se que esta muerto, solo quiero darle quiero saber donde estan sus restos”. </w:t>
      </w:r>
      <w:r>
        <w:rPr>
          <w:sz w:val="16"/>
          <w:szCs w:val="16"/>
        </w:rPr>
        <w:t>D</w:t>
      </w:r>
      <w:r w:rsidRPr="006918CA">
        <w:rPr>
          <w:sz w:val="16"/>
          <w:szCs w:val="16"/>
        </w:rPr>
        <w:t xml:space="preserve">eclaración rendida por Gladys </w:t>
      </w:r>
      <w:proofErr w:type="spellStart"/>
      <w:r w:rsidRPr="006918CA">
        <w:rPr>
          <w:sz w:val="16"/>
          <w:szCs w:val="16"/>
        </w:rPr>
        <w:t>Munárriz</w:t>
      </w:r>
      <w:proofErr w:type="spellEnd"/>
      <w:r w:rsidRPr="006918CA">
        <w:rPr>
          <w:sz w:val="16"/>
          <w:szCs w:val="16"/>
        </w:rPr>
        <w:t xml:space="preserve"> Escobar ante fedatario público </w:t>
      </w:r>
      <w:r>
        <w:rPr>
          <w:sz w:val="16"/>
          <w:szCs w:val="16"/>
        </w:rPr>
        <w:t>el 8 de mayo de 2018</w:t>
      </w:r>
      <w:r w:rsidRPr="00810E28">
        <w:rPr>
          <w:sz w:val="16"/>
          <w:szCs w:val="16"/>
        </w:rPr>
        <w:t xml:space="preserve"> (expediente de prueba, folio 2300).</w:t>
      </w:r>
    </w:p>
  </w:footnote>
  <w:footnote w:id="185">
    <w:p w14:paraId="6D967D8F" w14:textId="77777777" w:rsidR="006B6A4E" w:rsidRPr="00810E28" w:rsidRDefault="006B6A4E" w:rsidP="00810E28">
      <w:pPr>
        <w:pStyle w:val="FootnoteText"/>
        <w:tabs>
          <w:tab w:val="left" w:pos="426"/>
        </w:tabs>
        <w:spacing w:before="120"/>
        <w:rPr>
          <w:szCs w:val="16"/>
          <w:lang w:val="es-CR"/>
        </w:rPr>
      </w:pPr>
      <w:r w:rsidRPr="00810E28">
        <w:rPr>
          <w:rStyle w:val="FootnoteReference"/>
          <w:rFonts w:cstheme="minorBidi"/>
          <w:szCs w:val="16"/>
        </w:rPr>
        <w:footnoteRef/>
      </w:r>
      <w:r w:rsidRPr="00810E28">
        <w:rPr>
          <w:szCs w:val="16"/>
          <w:vertAlign w:val="superscript"/>
          <w:lang w:val="es-ES"/>
        </w:rPr>
        <w:t xml:space="preserve"> </w:t>
      </w:r>
      <w:r w:rsidRPr="00810E28">
        <w:rPr>
          <w:szCs w:val="16"/>
          <w:lang w:val="es-ES"/>
        </w:rPr>
        <w:tab/>
        <w:t>El artículo 63.1 de la Convención dispone que “[c]</w:t>
      </w:r>
      <w:proofErr w:type="spellStart"/>
      <w:r w:rsidRPr="00810E28">
        <w:rPr>
          <w:szCs w:val="16"/>
          <w:lang w:val="es-ES"/>
        </w:rPr>
        <w:t>uando</w:t>
      </w:r>
      <w:proofErr w:type="spellEnd"/>
      <w:r w:rsidRPr="00810E28">
        <w:rPr>
          <w:szCs w:val="16"/>
          <w:lang w:val="es-ES"/>
        </w:rPr>
        <w:t xml:space="preserve"> decida que hubo violación de un derecho o libertad protegidos en [la] Convención, la Corte dispondrá que se garantice al lesionado en el goce de su derecho o libertad conculcados. </w:t>
      </w:r>
      <w:r w:rsidRPr="00810E28">
        <w:rPr>
          <w:szCs w:val="16"/>
          <w:lang w:val="es-CR"/>
        </w:rPr>
        <w:t xml:space="preserve">Dispondrá asimismo, si ello fuera procedente, que se reparen las consecuencias de la medida o situación que ha configurado la vulneración de esos derechos y el pago de una justa indemnización a la parte lesionada”. </w:t>
      </w:r>
    </w:p>
  </w:footnote>
  <w:footnote w:id="186">
    <w:p w14:paraId="7840689B" w14:textId="5FDEC23C" w:rsidR="006B6A4E" w:rsidRPr="00810E28" w:rsidRDefault="006B6A4E" w:rsidP="00810E28">
      <w:pPr>
        <w:pStyle w:val="FootnoteText"/>
        <w:tabs>
          <w:tab w:val="left" w:pos="426"/>
        </w:tabs>
        <w:spacing w:before="120"/>
        <w:rPr>
          <w:szCs w:val="16"/>
          <w:lang w:val="es-CR"/>
        </w:rPr>
      </w:pPr>
      <w:r w:rsidRPr="00810E28">
        <w:rPr>
          <w:rStyle w:val="FootnoteReference"/>
          <w:rFonts w:cstheme="minorBidi"/>
          <w:szCs w:val="16"/>
        </w:rPr>
        <w:footnoteRef/>
      </w:r>
      <w:r w:rsidRPr="00810E28">
        <w:rPr>
          <w:szCs w:val="16"/>
          <w:lang w:val="es-CR"/>
        </w:rPr>
        <w:t xml:space="preserve"> </w:t>
      </w:r>
      <w:r w:rsidRPr="00810E28">
        <w:rPr>
          <w:szCs w:val="16"/>
          <w:lang w:val="es-CR"/>
        </w:rPr>
        <w:tab/>
      </w:r>
      <w:r w:rsidRPr="00810E28">
        <w:rPr>
          <w:i/>
          <w:szCs w:val="16"/>
          <w:lang w:val="es-CR"/>
        </w:rPr>
        <w:t>Cfr. Caso Velásquez Rodríguez Vs. Honduras. Reparaciones y Costas.</w:t>
      </w:r>
      <w:r w:rsidRPr="00810E28">
        <w:rPr>
          <w:szCs w:val="16"/>
          <w:lang w:val="es-CR"/>
        </w:rPr>
        <w:t xml:space="preserve"> Sentencia de 21 de julio de 1989. Serie C No. 7, </w:t>
      </w:r>
      <w:proofErr w:type="spellStart"/>
      <w:r w:rsidRPr="00810E28">
        <w:rPr>
          <w:szCs w:val="16"/>
          <w:lang w:val="es-CR"/>
        </w:rPr>
        <w:t>párrs</w:t>
      </w:r>
      <w:proofErr w:type="spellEnd"/>
      <w:r w:rsidRPr="00810E28">
        <w:rPr>
          <w:szCs w:val="16"/>
          <w:lang w:val="es-CR"/>
        </w:rPr>
        <w:t xml:space="preserve">. 24 y 25, y </w:t>
      </w:r>
      <w:r w:rsidRPr="00810E28">
        <w:rPr>
          <w:i/>
          <w:szCs w:val="16"/>
          <w:lang w:val="es-CR"/>
        </w:rPr>
        <w:t xml:space="preserve">Caso </w:t>
      </w:r>
      <w:proofErr w:type="spellStart"/>
      <w:r w:rsidRPr="00810E28">
        <w:rPr>
          <w:i/>
          <w:szCs w:val="16"/>
          <w:lang w:val="es-CR"/>
        </w:rPr>
        <w:t>Amrhein</w:t>
      </w:r>
      <w:proofErr w:type="spellEnd"/>
      <w:r w:rsidRPr="00810E28">
        <w:rPr>
          <w:i/>
          <w:szCs w:val="16"/>
          <w:lang w:val="es-CR"/>
        </w:rPr>
        <w:t xml:space="preserve"> y otros Vs. Costa Rica. Excepciones Preliminares, Fondo, Reparaciones y Costas.</w:t>
      </w:r>
      <w:r w:rsidRPr="00810E28">
        <w:rPr>
          <w:szCs w:val="16"/>
          <w:lang w:val="es-CR"/>
        </w:rPr>
        <w:t xml:space="preserve"> Sentencia de 25 de abril de 2018. Serie C No. 354, párr. 466.</w:t>
      </w:r>
    </w:p>
  </w:footnote>
  <w:footnote w:id="187">
    <w:p w14:paraId="59F9FB8B" w14:textId="64159F30" w:rsidR="006B6A4E" w:rsidRPr="00810E28" w:rsidRDefault="006B6A4E" w:rsidP="00810E28">
      <w:pPr>
        <w:pStyle w:val="FootnoteText"/>
        <w:tabs>
          <w:tab w:val="left" w:pos="426"/>
        </w:tabs>
        <w:spacing w:before="120"/>
        <w:rPr>
          <w:szCs w:val="16"/>
          <w:lang w:val="es-ES"/>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Caso </w:t>
      </w:r>
      <w:proofErr w:type="spellStart"/>
      <w:r w:rsidRPr="00810E28">
        <w:rPr>
          <w:i/>
          <w:szCs w:val="16"/>
          <w:lang w:val="es-CR"/>
        </w:rPr>
        <w:t>Ticona</w:t>
      </w:r>
      <w:proofErr w:type="spellEnd"/>
      <w:r w:rsidRPr="00810E28">
        <w:rPr>
          <w:i/>
          <w:szCs w:val="16"/>
          <w:lang w:val="es-CR"/>
        </w:rPr>
        <w:t xml:space="preserve"> Estrada y otros Vs. Bolivia, Fondo, Reparaciones y Costas.</w:t>
      </w:r>
      <w:r w:rsidRPr="00810E28">
        <w:rPr>
          <w:szCs w:val="16"/>
          <w:lang w:val="es-CR"/>
        </w:rPr>
        <w:t xml:space="preserve"> Sentencia de 27 de noviembre de 2008. Serie C No. 191, párr. 110, y </w:t>
      </w:r>
      <w:r w:rsidRPr="00810E28">
        <w:rPr>
          <w:i/>
          <w:szCs w:val="16"/>
          <w:lang w:val="es-CR"/>
        </w:rPr>
        <w:t xml:space="preserve">Caso </w:t>
      </w:r>
      <w:proofErr w:type="spellStart"/>
      <w:r w:rsidRPr="00810E28">
        <w:rPr>
          <w:i/>
          <w:szCs w:val="16"/>
          <w:lang w:val="es-CR"/>
        </w:rPr>
        <w:t>Amrhein</w:t>
      </w:r>
      <w:proofErr w:type="spellEnd"/>
      <w:r w:rsidRPr="00810E28">
        <w:rPr>
          <w:i/>
          <w:szCs w:val="16"/>
          <w:lang w:val="es-CR"/>
        </w:rPr>
        <w:t xml:space="preserve"> y otros Vs. Costa Rica. Excepciones Preliminares, Fondo, Reparaciones y Costas.</w:t>
      </w:r>
      <w:r w:rsidRPr="00810E28">
        <w:rPr>
          <w:szCs w:val="16"/>
          <w:lang w:val="es-CR"/>
        </w:rPr>
        <w:t xml:space="preserve"> Sentencia de 25 de abril de 2018. Serie C No. 354, párr. 468.</w:t>
      </w:r>
    </w:p>
  </w:footnote>
  <w:footnote w:id="188">
    <w:p w14:paraId="6633D949" w14:textId="2D391358" w:rsidR="006B6A4E" w:rsidRPr="00810E28" w:rsidRDefault="006B6A4E" w:rsidP="00810E28">
      <w:pPr>
        <w:pStyle w:val="FootnoteText"/>
        <w:tabs>
          <w:tab w:val="left" w:pos="426"/>
        </w:tabs>
        <w:spacing w:before="120"/>
        <w:rPr>
          <w:szCs w:val="16"/>
          <w:lang w:val="es-CR"/>
        </w:rPr>
      </w:pPr>
      <w:r w:rsidRPr="00810E28">
        <w:rPr>
          <w:rStyle w:val="FootnoteReference"/>
          <w:rFonts w:cstheme="minorBidi"/>
          <w:szCs w:val="16"/>
        </w:rPr>
        <w:footnoteRef/>
      </w:r>
      <w:r w:rsidRPr="00810E28">
        <w:rPr>
          <w:szCs w:val="16"/>
          <w:vertAlign w:val="superscript"/>
          <w:lang w:val="es-CR"/>
        </w:rPr>
        <w:t xml:space="preserve"> </w:t>
      </w:r>
      <w:r w:rsidRPr="00810E28">
        <w:rPr>
          <w:szCs w:val="16"/>
          <w:lang w:val="es-CR"/>
        </w:rPr>
        <w:tab/>
      </w:r>
      <w:r w:rsidRPr="00810E28">
        <w:rPr>
          <w:i/>
          <w:szCs w:val="16"/>
          <w:lang w:val="es-CR"/>
        </w:rPr>
        <w:t xml:space="preserve">Cfr. Caso </w:t>
      </w:r>
      <w:proofErr w:type="spellStart"/>
      <w:r w:rsidRPr="00810E28">
        <w:rPr>
          <w:i/>
          <w:szCs w:val="16"/>
          <w:lang w:val="es-CR"/>
        </w:rPr>
        <w:t>Ticona</w:t>
      </w:r>
      <w:proofErr w:type="spellEnd"/>
      <w:r w:rsidRPr="00810E28">
        <w:rPr>
          <w:i/>
          <w:szCs w:val="16"/>
          <w:lang w:val="es-CR"/>
        </w:rPr>
        <w:t xml:space="preserve"> Estrada y otros Vs. Bolivia. Fondo, Reparaciones y Costas.</w:t>
      </w:r>
      <w:r w:rsidRPr="00810E28">
        <w:rPr>
          <w:szCs w:val="16"/>
          <w:lang w:val="es-CR"/>
        </w:rPr>
        <w:t xml:space="preserve"> Sentencia de 27 de noviembre de 2008. Serie C No. 191, párr. 110, y </w:t>
      </w:r>
      <w:r w:rsidRPr="00810E28">
        <w:rPr>
          <w:i/>
          <w:szCs w:val="16"/>
          <w:lang w:val="es-CR"/>
        </w:rPr>
        <w:t xml:space="preserve">Caso </w:t>
      </w:r>
      <w:proofErr w:type="spellStart"/>
      <w:r w:rsidRPr="00810E28">
        <w:rPr>
          <w:i/>
          <w:szCs w:val="16"/>
          <w:lang w:val="es-CR"/>
        </w:rPr>
        <w:t>Amrhein</w:t>
      </w:r>
      <w:proofErr w:type="spellEnd"/>
      <w:r w:rsidRPr="00810E28">
        <w:rPr>
          <w:i/>
          <w:szCs w:val="16"/>
          <w:lang w:val="es-CR"/>
        </w:rPr>
        <w:t xml:space="preserve"> y otros Vs. Costa Rica. Excepciones Preliminares, Fondo, Reparaciones y Costas.</w:t>
      </w:r>
      <w:r w:rsidRPr="00810E28">
        <w:rPr>
          <w:szCs w:val="16"/>
          <w:lang w:val="es-CR"/>
        </w:rPr>
        <w:t xml:space="preserve"> Sentencia de 25 de abril de 2018. Serie C No. 354, párr. 468.</w:t>
      </w:r>
    </w:p>
  </w:footnote>
  <w:footnote w:id="189">
    <w:p w14:paraId="6E23C4E5" w14:textId="6E8084C2" w:rsidR="006B6A4E" w:rsidRPr="00810E28" w:rsidRDefault="006B6A4E" w:rsidP="00810E28">
      <w:pPr>
        <w:pStyle w:val="FootnoteText"/>
        <w:tabs>
          <w:tab w:val="left" w:pos="426"/>
        </w:tabs>
        <w:spacing w:before="120"/>
        <w:rPr>
          <w:szCs w:val="16"/>
          <w:lang w:val="es-CR"/>
        </w:rPr>
      </w:pPr>
      <w:r w:rsidRPr="00810E28">
        <w:rPr>
          <w:rStyle w:val="FootnoteReference"/>
          <w:rFonts w:cstheme="minorBidi"/>
          <w:szCs w:val="16"/>
        </w:rPr>
        <w:footnoteRef/>
      </w:r>
      <w:r w:rsidRPr="00810E28">
        <w:rPr>
          <w:szCs w:val="16"/>
          <w:vertAlign w:val="superscript"/>
          <w:lang w:val="es-ES"/>
        </w:rPr>
        <w:t xml:space="preserve"> </w:t>
      </w:r>
      <w:r w:rsidRPr="00810E28">
        <w:rPr>
          <w:szCs w:val="16"/>
          <w:lang w:val="es-ES"/>
        </w:rPr>
        <w:tab/>
      </w:r>
      <w:r w:rsidRPr="00810E28">
        <w:rPr>
          <w:i/>
          <w:szCs w:val="16"/>
          <w:lang w:val="es-ES"/>
        </w:rPr>
        <w:t xml:space="preserve">Cfr. Caso Velásquez Rodríguez Vs. </w:t>
      </w:r>
      <w:r w:rsidRPr="00810E28">
        <w:rPr>
          <w:i/>
          <w:szCs w:val="16"/>
          <w:lang w:val="es-CR"/>
        </w:rPr>
        <w:t>Honduras. Reparaciones y Costas.</w:t>
      </w:r>
      <w:r w:rsidRPr="00810E28">
        <w:rPr>
          <w:szCs w:val="16"/>
          <w:lang w:val="es-CR"/>
        </w:rPr>
        <w:t xml:space="preserve"> Sentencia de 21 de julio de 1989. Serie C No. 7, </w:t>
      </w:r>
      <w:proofErr w:type="spellStart"/>
      <w:r w:rsidRPr="00810E28">
        <w:rPr>
          <w:szCs w:val="16"/>
          <w:lang w:val="es-CR"/>
        </w:rPr>
        <w:t>párrs</w:t>
      </w:r>
      <w:proofErr w:type="spellEnd"/>
      <w:r w:rsidRPr="00810E28">
        <w:rPr>
          <w:szCs w:val="16"/>
          <w:lang w:val="es-CR"/>
        </w:rPr>
        <w:t xml:space="preserve">. 25 y 26, y </w:t>
      </w:r>
      <w:r w:rsidRPr="00810E28">
        <w:rPr>
          <w:i/>
          <w:szCs w:val="16"/>
          <w:lang w:val="es-CR"/>
        </w:rPr>
        <w:t xml:space="preserve">Caso </w:t>
      </w:r>
      <w:proofErr w:type="spellStart"/>
      <w:r w:rsidRPr="00810E28">
        <w:rPr>
          <w:i/>
          <w:szCs w:val="16"/>
          <w:lang w:val="es-CR"/>
        </w:rPr>
        <w:t>Herzog</w:t>
      </w:r>
      <w:proofErr w:type="spellEnd"/>
      <w:r w:rsidRPr="00810E28">
        <w:rPr>
          <w:i/>
          <w:szCs w:val="16"/>
          <w:lang w:val="es-CR"/>
        </w:rPr>
        <w:t xml:space="preserve"> y otros Vs. Brasil. Excepciones Preliminares, Fondo, Reparaciones y Costas. </w:t>
      </w:r>
      <w:r w:rsidRPr="00810E28">
        <w:rPr>
          <w:szCs w:val="16"/>
          <w:lang w:val="es-CR"/>
        </w:rPr>
        <w:t>Sentencia de 15 de marzo de 2018.Serie C No. 353, párr. 362.</w:t>
      </w:r>
    </w:p>
  </w:footnote>
  <w:footnote w:id="190">
    <w:p w14:paraId="7300A671" w14:textId="262054EF" w:rsidR="006B6A4E" w:rsidRPr="006C2913" w:rsidRDefault="006B6A4E" w:rsidP="00810E28">
      <w:pPr>
        <w:pStyle w:val="FootnoteText"/>
        <w:tabs>
          <w:tab w:val="left" w:pos="426"/>
          <w:tab w:val="left" w:pos="567"/>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Véase por ejemplo</w:t>
      </w:r>
      <w:r w:rsidRPr="006C2913">
        <w:rPr>
          <w:i/>
          <w:szCs w:val="16"/>
        </w:rPr>
        <w:t xml:space="preserve">, </w:t>
      </w:r>
      <w:r w:rsidRPr="006C2913">
        <w:rPr>
          <w:rStyle w:val="Strong"/>
          <w:rFonts w:eastAsiaTheme="majorEastAsia"/>
          <w:b w:val="0"/>
          <w:i/>
          <w:color w:val="000000"/>
          <w:szCs w:val="16"/>
          <w:shd w:val="clear" w:color="auto" w:fill="FFFFFF"/>
          <w:lang w:val="es-CR"/>
        </w:rPr>
        <w:t>Caso Defensor de Derechos Humanos y otros Vs. Guatemala. Excepciones Preliminares, Fondo, Reparaciones y Costas.</w:t>
      </w:r>
      <w:r w:rsidRPr="006C2913">
        <w:rPr>
          <w:rStyle w:val="Strong"/>
          <w:rFonts w:eastAsiaTheme="majorEastAsia"/>
          <w:b w:val="0"/>
          <w:color w:val="000000"/>
          <w:szCs w:val="16"/>
          <w:shd w:val="clear" w:color="auto" w:fill="FFFFFF"/>
          <w:lang w:val="es-CR"/>
        </w:rPr>
        <w:t xml:space="preserve"> Sentencia de 28 de agosto de 2014. Serie C No. 283, </w:t>
      </w:r>
      <w:proofErr w:type="spellStart"/>
      <w:r w:rsidRPr="006C2913">
        <w:rPr>
          <w:rStyle w:val="Strong"/>
          <w:rFonts w:eastAsiaTheme="majorEastAsia"/>
          <w:b w:val="0"/>
          <w:color w:val="000000"/>
          <w:szCs w:val="16"/>
          <w:shd w:val="clear" w:color="auto" w:fill="FFFFFF"/>
          <w:lang w:val="es-CR"/>
        </w:rPr>
        <w:t>párr</w:t>
      </w:r>
      <w:proofErr w:type="spellEnd"/>
      <w:r w:rsidRPr="006C2913">
        <w:rPr>
          <w:rStyle w:val="Strong"/>
          <w:rFonts w:eastAsiaTheme="majorEastAsia"/>
          <w:b w:val="0"/>
          <w:color w:val="000000"/>
          <w:szCs w:val="16"/>
          <w:shd w:val="clear" w:color="auto" w:fill="FFFFFF"/>
        </w:rPr>
        <w:t xml:space="preserve">. 252; </w:t>
      </w:r>
      <w:r w:rsidRPr="006C2913">
        <w:rPr>
          <w:rStyle w:val="Strong"/>
          <w:rFonts w:eastAsiaTheme="majorEastAsia"/>
          <w:b w:val="0"/>
          <w:i/>
          <w:color w:val="000000"/>
          <w:szCs w:val="16"/>
          <w:shd w:val="clear" w:color="auto" w:fill="FFFFFF"/>
          <w:lang w:val="es-CR"/>
        </w:rPr>
        <w:t xml:space="preserve">Caso Miembros de la Aldea </w:t>
      </w:r>
      <w:proofErr w:type="spellStart"/>
      <w:r w:rsidRPr="006C2913">
        <w:rPr>
          <w:rStyle w:val="Strong"/>
          <w:rFonts w:eastAsiaTheme="majorEastAsia"/>
          <w:b w:val="0"/>
          <w:i/>
          <w:color w:val="000000"/>
          <w:szCs w:val="16"/>
          <w:shd w:val="clear" w:color="auto" w:fill="FFFFFF"/>
          <w:lang w:val="es-CR"/>
        </w:rPr>
        <w:t>Chichupac</w:t>
      </w:r>
      <w:proofErr w:type="spellEnd"/>
      <w:r w:rsidRPr="006C2913">
        <w:rPr>
          <w:rStyle w:val="Strong"/>
          <w:rFonts w:eastAsiaTheme="majorEastAsia"/>
          <w:b w:val="0"/>
          <w:i/>
          <w:color w:val="000000"/>
          <w:szCs w:val="16"/>
          <w:shd w:val="clear" w:color="auto" w:fill="FFFFFF"/>
          <w:lang w:val="es-CR"/>
        </w:rPr>
        <w:t xml:space="preserve"> y comunidades vecinas del Municipio de Rabinal Vs. Guatemala. Excepciones Preliminares, Fondo, Reparaciones y Costas.</w:t>
      </w:r>
      <w:r w:rsidRPr="006C2913">
        <w:rPr>
          <w:rStyle w:val="Strong"/>
          <w:rFonts w:eastAsiaTheme="majorEastAsia"/>
          <w:b w:val="0"/>
          <w:color w:val="000000"/>
          <w:szCs w:val="16"/>
          <w:shd w:val="clear" w:color="auto" w:fill="FFFFFF"/>
          <w:lang w:val="es-CR"/>
        </w:rPr>
        <w:t xml:space="preserve"> Sentencia de 30 de noviembre de 2016. Serie C No. 328, párr. 285; </w:t>
      </w:r>
      <w:r w:rsidRPr="006C2913">
        <w:rPr>
          <w:i/>
          <w:szCs w:val="16"/>
        </w:rPr>
        <w:t xml:space="preserve">Caso Vásquez Durand y otros Vs. Ecuador. Excepciones Preliminares, Fondo, Reparaciones y Costas. </w:t>
      </w:r>
      <w:r w:rsidRPr="006C2913">
        <w:rPr>
          <w:szCs w:val="16"/>
        </w:rPr>
        <w:t xml:space="preserve">Sentencia de 15 de febrero de 2017. </w:t>
      </w:r>
      <w:r w:rsidRPr="006C2913">
        <w:rPr>
          <w:szCs w:val="16"/>
          <w:lang w:val="pt-BR"/>
        </w:rPr>
        <w:t xml:space="preserve">Serie C No. 332, párr. 203; </w:t>
      </w:r>
      <w:r w:rsidRPr="006C2913">
        <w:rPr>
          <w:rStyle w:val="Strong"/>
          <w:rFonts w:eastAsiaTheme="majorEastAsia"/>
          <w:b w:val="0"/>
          <w:i/>
          <w:color w:val="000000"/>
          <w:szCs w:val="16"/>
          <w:shd w:val="clear" w:color="auto" w:fill="FFFFFF"/>
          <w:lang w:val="pt-BR"/>
        </w:rPr>
        <w:t xml:space="preserve">Caso Favela Nova Brasília Vs. Brasil. </w:t>
      </w:r>
      <w:r w:rsidRPr="006C2913">
        <w:rPr>
          <w:rStyle w:val="Strong"/>
          <w:rFonts w:eastAsiaTheme="majorEastAsia"/>
          <w:b w:val="0"/>
          <w:i/>
          <w:color w:val="000000"/>
          <w:szCs w:val="16"/>
          <w:shd w:val="clear" w:color="auto" w:fill="FFFFFF"/>
          <w:lang w:val="es-CR"/>
        </w:rPr>
        <w:t>Excepciones Preliminares, Fondo, Reparaciones y Costas.</w:t>
      </w:r>
      <w:r w:rsidRPr="006C2913">
        <w:rPr>
          <w:rStyle w:val="Strong"/>
          <w:rFonts w:eastAsiaTheme="majorEastAsia"/>
          <w:b w:val="0"/>
          <w:color w:val="000000"/>
          <w:szCs w:val="16"/>
          <w:shd w:val="clear" w:color="auto" w:fill="FFFFFF"/>
          <w:lang w:val="es-CR"/>
        </w:rPr>
        <w:t xml:space="preserve"> Sentencia de 16 de febrero de 2017</w:t>
      </w:r>
      <w:r w:rsidRPr="006C2913">
        <w:rPr>
          <w:rStyle w:val="Strong"/>
          <w:rFonts w:eastAsiaTheme="majorEastAsia"/>
          <w:b w:val="0"/>
          <w:i/>
          <w:color w:val="000000"/>
          <w:szCs w:val="16"/>
          <w:shd w:val="clear" w:color="auto" w:fill="FFFFFF"/>
          <w:lang w:val="es-CR"/>
        </w:rPr>
        <w:t>.</w:t>
      </w:r>
      <w:r w:rsidRPr="006C2913">
        <w:rPr>
          <w:rStyle w:val="Strong"/>
          <w:rFonts w:eastAsiaTheme="majorEastAsia"/>
          <w:b w:val="0"/>
          <w:color w:val="000000"/>
          <w:szCs w:val="16"/>
          <w:shd w:val="clear" w:color="auto" w:fill="FFFFFF"/>
          <w:lang w:val="es-CR"/>
        </w:rPr>
        <w:t xml:space="preserve"> Serie C No. 333, párr. 292,</w:t>
      </w:r>
      <w:r w:rsidRPr="006C2913">
        <w:rPr>
          <w:rStyle w:val="Strong"/>
          <w:rFonts w:eastAsiaTheme="majorEastAsia"/>
          <w:b w:val="0"/>
          <w:i/>
          <w:color w:val="000000"/>
          <w:szCs w:val="16"/>
          <w:shd w:val="clear" w:color="auto" w:fill="FFFFFF"/>
        </w:rPr>
        <w:t xml:space="preserve"> </w:t>
      </w:r>
      <w:r w:rsidRPr="006C2913">
        <w:rPr>
          <w:rStyle w:val="Strong"/>
          <w:rFonts w:eastAsiaTheme="majorEastAsia"/>
          <w:b w:val="0"/>
          <w:color w:val="000000"/>
          <w:szCs w:val="16"/>
          <w:shd w:val="clear" w:color="auto" w:fill="FFFFFF"/>
        </w:rPr>
        <w:t xml:space="preserve">y </w:t>
      </w:r>
      <w:r w:rsidRPr="006C2913">
        <w:rPr>
          <w:rStyle w:val="Strong"/>
          <w:rFonts w:eastAsiaTheme="majorEastAsia"/>
          <w:b w:val="0"/>
          <w:i/>
          <w:color w:val="000000"/>
          <w:szCs w:val="16"/>
          <w:shd w:val="clear" w:color="auto" w:fill="FFFFFF"/>
          <w:lang w:val="es-CR"/>
        </w:rPr>
        <w:t>Caso Pacheco León y otros Vs. Honduras. Fondo, Reparaciones y Costas.</w:t>
      </w:r>
      <w:r w:rsidRPr="006C2913">
        <w:rPr>
          <w:rStyle w:val="Strong"/>
          <w:rFonts w:eastAsiaTheme="majorEastAsia"/>
          <w:b w:val="0"/>
          <w:color w:val="000000"/>
          <w:szCs w:val="16"/>
          <w:shd w:val="clear" w:color="auto" w:fill="FFFFFF"/>
          <w:lang w:val="es-CR"/>
        </w:rPr>
        <w:t xml:space="preserve"> Sentencia de 15 de noviembre 2017. Serie C No. 342, párr. 194.</w:t>
      </w:r>
    </w:p>
  </w:footnote>
  <w:footnote w:id="191">
    <w:p w14:paraId="593E9C64" w14:textId="7C8E2730" w:rsidR="006B6A4E" w:rsidRPr="00810E28" w:rsidRDefault="006B6A4E" w:rsidP="00810E28">
      <w:pPr>
        <w:pStyle w:val="FootnoteText"/>
        <w:tabs>
          <w:tab w:val="left" w:pos="426"/>
        </w:tabs>
        <w:spacing w:before="120"/>
        <w:rPr>
          <w:i/>
          <w:szCs w:val="16"/>
          <w:lang w:val="es-CR"/>
        </w:rPr>
      </w:pPr>
      <w:r w:rsidRPr="006C2913">
        <w:rPr>
          <w:rStyle w:val="FootnoteReference"/>
          <w:szCs w:val="16"/>
        </w:rPr>
        <w:footnoteRef/>
      </w:r>
      <w:r w:rsidRPr="006C2913">
        <w:rPr>
          <w:szCs w:val="16"/>
        </w:rPr>
        <w:t xml:space="preserve"> </w:t>
      </w:r>
      <w:r w:rsidRPr="006C2913">
        <w:rPr>
          <w:szCs w:val="16"/>
          <w:lang w:val="es-CR"/>
        </w:rPr>
        <w:tab/>
      </w:r>
      <w:r w:rsidRPr="006C2913">
        <w:rPr>
          <w:i/>
          <w:szCs w:val="16"/>
          <w:lang w:val="es-CR"/>
        </w:rPr>
        <w:t xml:space="preserve">Cfr. Caso Neira Alegría y otros Vs. Perú. Reparaciones y Costas. </w:t>
      </w:r>
      <w:r w:rsidRPr="006C2913">
        <w:rPr>
          <w:szCs w:val="16"/>
          <w:lang w:val="es-CR"/>
        </w:rPr>
        <w:t>Sentencia de 19 de septiembre de 1996. Serie</w:t>
      </w:r>
      <w:r w:rsidRPr="00810E28">
        <w:rPr>
          <w:szCs w:val="16"/>
          <w:lang w:val="es-CR"/>
        </w:rPr>
        <w:t xml:space="preserve"> C No. 29, párr. 69, y </w:t>
      </w:r>
      <w:r w:rsidRPr="00810E28">
        <w:rPr>
          <w:rStyle w:val="Strong"/>
          <w:b w:val="0"/>
          <w:i/>
          <w:szCs w:val="16"/>
          <w:lang w:val="es-CR"/>
        </w:rPr>
        <w:t>Caso Vereda La Esperanza Vs. Colombia. Excepciones Preliminares, Fondo, Reparaciones y Costas.</w:t>
      </w:r>
      <w:r w:rsidRPr="00810E28">
        <w:rPr>
          <w:rStyle w:val="Strong"/>
          <w:b w:val="0"/>
          <w:szCs w:val="16"/>
          <w:lang w:val="es-CR"/>
        </w:rPr>
        <w:t xml:space="preserve"> Sentencia de 31 de agosto de 2017. Serie C No. 341, párr. 273.</w:t>
      </w:r>
    </w:p>
  </w:footnote>
  <w:footnote w:id="192">
    <w:p w14:paraId="7FBE342A" w14:textId="74087095"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 Caso Masacre de las Dos Erres Vs. Guatemala. Excepción Preliminar, Fondo, Reparaciones y Costas.</w:t>
      </w:r>
      <w:r w:rsidRPr="00810E28">
        <w:rPr>
          <w:szCs w:val="16"/>
          <w:lang w:val="es-CR"/>
        </w:rPr>
        <w:t xml:space="preserve"> Sentencia de 24 de noviembre de 2009. Serie C No. 211, párr. 245, y </w:t>
      </w:r>
      <w:r w:rsidRPr="00810E28">
        <w:rPr>
          <w:rStyle w:val="Strong"/>
          <w:b w:val="0"/>
          <w:i/>
          <w:szCs w:val="16"/>
          <w:lang w:val="es-CR"/>
        </w:rPr>
        <w:t>Caso Vereda La Esperanza Vs. Colombia. Excepciones Preliminares, Fondo, Reparaciones y Costas.</w:t>
      </w:r>
      <w:r w:rsidRPr="00810E28">
        <w:rPr>
          <w:rStyle w:val="Strong"/>
          <w:b w:val="0"/>
          <w:szCs w:val="16"/>
          <w:lang w:val="es-CR"/>
        </w:rPr>
        <w:t xml:space="preserve"> Sentencia de 31 de agosto de 2017. Serie C No. 341, párr. 273.</w:t>
      </w:r>
    </w:p>
  </w:footnote>
  <w:footnote w:id="193">
    <w:p w14:paraId="3EE42545" w14:textId="65E282B5" w:rsidR="006B6A4E" w:rsidRPr="00810E28" w:rsidRDefault="006B6A4E" w:rsidP="00810E28">
      <w:pPr>
        <w:tabs>
          <w:tab w:val="left" w:pos="426"/>
        </w:tabs>
        <w:spacing w:before="120"/>
        <w:jc w:val="both"/>
        <w:rPr>
          <w:sz w:val="16"/>
          <w:szCs w:val="16"/>
          <w:lang w:val="es-ES"/>
        </w:rPr>
      </w:pPr>
      <w:r w:rsidRPr="00810E28">
        <w:rPr>
          <w:rStyle w:val="FootnoteReference"/>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Cfr</w:t>
      </w:r>
      <w:r w:rsidRPr="006C2913">
        <w:rPr>
          <w:i/>
          <w:sz w:val="16"/>
          <w:szCs w:val="16"/>
          <w:lang w:val="es-CR"/>
        </w:rPr>
        <w:t>.</w:t>
      </w:r>
      <w:r w:rsidRPr="006C2913">
        <w:rPr>
          <w:sz w:val="16"/>
          <w:szCs w:val="16"/>
          <w:lang w:val="es-CR"/>
        </w:rPr>
        <w:t xml:space="preserve"> </w:t>
      </w:r>
      <w:r w:rsidRPr="006C2913">
        <w:rPr>
          <w:i/>
          <w:sz w:val="16"/>
          <w:szCs w:val="16"/>
          <w:lang w:val="es-CR"/>
        </w:rPr>
        <w:t xml:space="preserve">Caso Masacre de las Dos Erres Vs. Guatemala. </w:t>
      </w:r>
      <w:r w:rsidRPr="006C2913">
        <w:rPr>
          <w:bCs/>
          <w:i/>
          <w:sz w:val="16"/>
          <w:szCs w:val="16"/>
          <w:shd w:val="clear" w:color="auto" w:fill="FFFFFF"/>
          <w:lang w:val="es-ES"/>
        </w:rPr>
        <w:t>Excepción</w:t>
      </w:r>
      <w:r w:rsidRPr="00810E28">
        <w:rPr>
          <w:bCs/>
          <w:i/>
          <w:sz w:val="16"/>
          <w:szCs w:val="16"/>
          <w:shd w:val="clear" w:color="auto" w:fill="FFFFFF"/>
          <w:lang w:val="es-ES"/>
        </w:rPr>
        <w:t xml:space="preserve"> Preliminar, Fondo, Reparaciones y Costas. </w:t>
      </w:r>
      <w:r w:rsidRPr="00810E28">
        <w:rPr>
          <w:bCs/>
          <w:sz w:val="16"/>
          <w:szCs w:val="16"/>
          <w:shd w:val="clear" w:color="auto" w:fill="FFFFFF"/>
          <w:lang w:val="es-ES"/>
        </w:rPr>
        <w:t>Sentencia de 24 de noviembre de 2009. Serie C No. 211,</w:t>
      </w:r>
      <w:r w:rsidRPr="00810E28">
        <w:rPr>
          <w:sz w:val="16"/>
          <w:szCs w:val="16"/>
          <w:lang w:val="es-ES"/>
        </w:rPr>
        <w:t xml:space="preserve"> </w:t>
      </w:r>
      <w:r w:rsidRPr="00810E28">
        <w:rPr>
          <w:sz w:val="16"/>
          <w:szCs w:val="16"/>
          <w:lang w:val="es-CR"/>
        </w:rPr>
        <w:t xml:space="preserve">párr. 245, y </w:t>
      </w:r>
      <w:r w:rsidRPr="00810E28">
        <w:rPr>
          <w:rStyle w:val="Strong"/>
          <w:b w:val="0"/>
          <w:i/>
          <w:sz w:val="16"/>
          <w:szCs w:val="16"/>
          <w:lang w:val="es-CR"/>
        </w:rPr>
        <w:t>Caso Vereda La Esperanza Vs. Colombia. Excepciones Preliminares, Fondo, Reparaciones y Costas.</w:t>
      </w:r>
      <w:r w:rsidRPr="00810E28">
        <w:rPr>
          <w:rStyle w:val="Strong"/>
          <w:b w:val="0"/>
          <w:sz w:val="16"/>
          <w:szCs w:val="16"/>
          <w:lang w:val="es-CR"/>
        </w:rPr>
        <w:t xml:space="preserve"> Sentencia de 31 de agosto de 2017. Serie C No. 341, párr. 273.</w:t>
      </w:r>
    </w:p>
  </w:footnote>
  <w:footnote w:id="194">
    <w:p w14:paraId="5176A534" w14:textId="79639B02"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 xml:space="preserve">Cfr. Caso Masacres de Río Negro Vs. Guatemala. </w:t>
      </w:r>
      <w:r w:rsidRPr="00810E28">
        <w:rPr>
          <w:bCs/>
          <w:i/>
          <w:sz w:val="16"/>
          <w:szCs w:val="16"/>
          <w:shd w:val="clear" w:color="auto" w:fill="FFFFFF"/>
          <w:lang w:val="es-ES"/>
        </w:rPr>
        <w:t>Excepción Preliminar, Fondo, Reparaciones y Costas.</w:t>
      </w:r>
      <w:r w:rsidRPr="00810E28">
        <w:rPr>
          <w:bCs/>
          <w:sz w:val="16"/>
          <w:szCs w:val="16"/>
          <w:shd w:val="clear" w:color="auto" w:fill="FFFFFF"/>
          <w:lang w:val="es-ES"/>
        </w:rPr>
        <w:t xml:space="preserve"> </w:t>
      </w:r>
      <w:r w:rsidRPr="00810E28">
        <w:rPr>
          <w:bCs/>
          <w:sz w:val="16"/>
          <w:szCs w:val="16"/>
          <w:shd w:val="clear" w:color="auto" w:fill="FFFFFF"/>
          <w:lang w:val="es-CR"/>
        </w:rPr>
        <w:t>Sentencia de 4 de septiembre de 2012. Serie C No. 250</w:t>
      </w:r>
      <w:r w:rsidRPr="00810E28">
        <w:rPr>
          <w:sz w:val="16"/>
          <w:szCs w:val="16"/>
          <w:lang w:val="es-CR"/>
        </w:rPr>
        <w:t xml:space="preserve">, párr. 266, y </w:t>
      </w:r>
      <w:r w:rsidRPr="00810E28">
        <w:rPr>
          <w:rStyle w:val="Strong"/>
          <w:b w:val="0"/>
          <w:i/>
          <w:sz w:val="16"/>
          <w:szCs w:val="16"/>
          <w:lang w:val="es-CR"/>
        </w:rPr>
        <w:t>Caso Vereda La Esperanza Vs. Colombia. Excepciones Preliminares, Fondo, Reparaciones y Costas.</w:t>
      </w:r>
      <w:r w:rsidRPr="00810E28">
        <w:rPr>
          <w:rStyle w:val="Strong"/>
          <w:b w:val="0"/>
          <w:sz w:val="16"/>
          <w:szCs w:val="16"/>
          <w:lang w:val="es-CR"/>
        </w:rPr>
        <w:t xml:space="preserve"> Sentencia de 31 de agosto de 2017. Serie C No. 341, párr. 273.</w:t>
      </w:r>
    </w:p>
  </w:footnote>
  <w:footnote w:id="195">
    <w:p w14:paraId="28DA2F12" w14:textId="027FBC33"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 Caso Contreras y otros Vs. El Salvador. Fondo. Reparaciones y Costas.</w:t>
      </w:r>
      <w:r w:rsidRPr="00810E28">
        <w:rPr>
          <w:szCs w:val="16"/>
          <w:lang w:val="es-CR"/>
        </w:rPr>
        <w:t xml:space="preserve"> Sentencia de 31 de agosto de 2011. Serie C No. 232, párr. 191, y </w:t>
      </w:r>
      <w:r w:rsidRPr="00810E28">
        <w:rPr>
          <w:rStyle w:val="Strong"/>
          <w:b w:val="0"/>
          <w:i/>
          <w:szCs w:val="16"/>
          <w:lang w:val="es-CR"/>
        </w:rPr>
        <w:t>Caso Vereda La Esperanza Vs. Colombia. Excepciones Preliminares, Fondo, Reparaciones y Costas.</w:t>
      </w:r>
      <w:r w:rsidRPr="00810E28">
        <w:rPr>
          <w:rStyle w:val="Strong"/>
          <w:b w:val="0"/>
          <w:szCs w:val="16"/>
          <w:lang w:val="es-CR"/>
        </w:rPr>
        <w:t xml:space="preserve"> Sentencia de 31 de agosto de 2017. Serie C No. 341, párr. 275.</w:t>
      </w:r>
    </w:p>
  </w:footnote>
  <w:footnote w:id="196">
    <w:p w14:paraId="242B27C3" w14:textId="33FEE10D"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i/>
          <w:sz w:val="16"/>
          <w:szCs w:val="16"/>
          <w:lang w:val="es-ES"/>
        </w:rPr>
        <w:t xml:space="preserve"> </w:t>
      </w:r>
      <w:r w:rsidRPr="00810E28">
        <w:rPr>
          <w:i/>
          <w:sz w:val="16"/>
          <w:szCs w:val="16"/>
          <w:lang w:val="es-ES"/>
        </w:rPr>
        <w:tab/>
        <w:t xml:space="preserve">Cfr. Caso </w:t>
      </w:r>
      <w:proofErr w:type="spellStart"/>
      <w:r w:rsidRPr="00810E28">
        <w:rPr>
          <w:i/>
          <w:sz w:val="16"/>
          <w:szCs w:val="16"/>
          <w:lang w:val="es-ES"/>
        </w:rPr>
        <w:t>Anzualdo</w:t>
      </w:r>
      <w:proofErr w:type="spellEnd"/>
      <w:r w:rsidRPr="00810E28">
        <w:rPr>
          <w:i/>
          <w:sz w:val="16"/>
          <w:szCs w:val="16"/>
          <w:lang w:val="es-ES"/>
        </w:rPr>
        <w:t xml:space="preserve"> Castro Vs. </w:t>
      </w:r>
      <w:r w:rsidRPr="00810E28">
        <w:rPr>
          <w:i/>
          <w:sz w:val="16"/>
          <w:szCs w:val="16"/>
          <w:lang w:val="es-CR"/>
        </w:rPr>
        <w:t xml:space="preserve">Perú. </w:t>
      </w:r>
      <w:r w:rsidRPr="00810E28">
        <w:rPr>
          <w:bCs/>
          <w:i/>
          <w:sz w:val="16"/>
          <w:szCs w:val="16"/>
          <w:shd w:val="clear" w:color="auto" w:fill="FFFFFF"/>
          <w:lang w:val="es-ES"/>
        </w:rPr>
        <w:t>Excepción Preliminar. Fondo, Reparaciones y Costas.</w:t>
      </w:r>
      <w:r w:rsidRPr="00810E28">
        <w:rPr>
          <w:bCs/>
          <w:sz w:val="16"/>
          <w:szCs w:val="16"/>
          <w:shd w:val="clear" w:color="auto" w:fill="FFFFFF"/>
          <w:lang w:val="es-ES"/>
        </w:rPr>
        <w:t xml:space="preserve"> Sentencia de 22 de septiembre de 2009. Serie C No. 202</w:t>
      </w:r>
      <w:r w:rsidRPr="00810E28">
        <w:rPr>
          <w:sz w:val="16"/>
          <w:szCs w:val="16"/>
          <w:lang w:val="es-CR"/>
        </w:rPr>
        <w:t xml:space="preserve">, párr. 185, y </w:t>
      </w:r>
      <w:r w:rsidRPr="00810E28">
        <w:rPr>
          <w:rStyle w:val="Strong"/>
          <w:b w:val="0"/>
          <w:i/>
          <w:sz w:val="16"/>
          <w:szCs w:val="16"/>
          <w:lang w:val="es-CR"/>
        </w:rPr>
        <w:t>Caso Vereda La Esperanza Vs. Colombia. Excepciones Preliminares, Fondo, Reparaciones y Costas.</w:t>
      </w:r>
      <w:r w:rsidRPr="00810E28">
        <w:rPr>
          <w:rStyle w:val="Strong"/>
          <w:b w:val="0"/>
          <w:sz w:val="16"/>
          <w:szCs w:val="16"/>
          <w:lang w:val="es-CR"/>
        </w:rPr>
        <w:t xml:space="preserve"> Sentencia de 31 de </w:t>
      </w:r>
      <w:r>
        <w:rPr>
          <w:rStyle w:val="Strong"/>
          <w:b w:val="0"/>
          <w:sz w:val="16"/>
          <w:szCs w:val="16"/>
          <w:lang w:val="es-CR"/>
        </w:rPr>
        <w:t>agosto de 2017. Serie C No. 341, p</w:t>
      </w:r>
      <w:r w:rsidRPr="00810E28">
        <w:rPr>
          <w:rStyle w:val="Strong"/>
          <w:b w:val="0"/>
          <w:sz w:val="16"/>
          <w:szCs w:val="16"/>
          <w:lang w:val="es-CR"/>
        </w:rPr>
        <w:t>árr. 275.</w:t>
      </w:r>
    </w:p>
  </w:footnote>
  <w:footnote w:id="197">
    <w:p w14:paraId="6B2E2681"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 Caso Barrios Altos Vs. Perú. Reparaciones y Costas.</w:t>
      </w:r>
      <w:r w:rsidRPr="00810E28">
        <w:rPr>
          <w:szCs w:val="16"/>
          <w:lang w:val="es-CR"/>
        </w:rPr>
        <w:t xml:space="preserve"> Sentencia de 30 de noviembre de 2001. Serie C No. 87, </w:t>
      </w:r>
      <w:proofErr w:type="spellStart"/>
      <w:r w:rsidRPr="00810E28">
        <w:rPr>
          <w:szCs w:val="16"/>
          <w:lang w:val="es-CR"/>
        </w:rPr>
        <w:t>párrs</w:t>
      </w:r>
      <w:proofErr w:type="spellEnd"/>
      <w:r w:rsidRPr="00810E28">
        <w:rPr>
          <w:szCs w:val="16"/>
          <w:lang w:val="es-CR"/>
        </w:rPr>
        <w:t xml:space="preserve">. 42 y 45, y </w:t>
      </w:r>
      <w:r w:rsidRPr="00810E28">
        <w:rPr>
          <w:i/>
          <w:szCs w:val="16"/>
          <w:lang w:val="es-CR"/>
        </w:rPr>
        <w:t xml:space="preserve">Caso Carvajal </w:t>
      </w:r>
      <w:proofErr w:type="spellStart"/>
      <w:r w:rsidRPr="00810E28">
        <w:rPr>
          <w:i/>
          <w:szCs w:val="16"/>
          <w:lang w:val="es-CR"/>
        </w:rPr>
        <w:t>Carvajal</w:t>
      </w:r>
      <w:proofErr w:type="spellEnd"/>
      <w:r w:rsidRPr="00810E28">
        <w:rPr>
          <w:i/>
          <w:szCs w:val="16"/>
          <w:lang w:val="es-CR"/>
        </w:rPr>
        <w:t xml:space="preserve"> </w:t>
      </w:r>
      <w:r w:rsidRPr="00810E28">
        <w:rPr>
          <w:rStyle w:val="Strong"/>
          <w:b w:val="0"/>
          <w:i/>
          <w:szCs w:val="16"/>
          <w:lang w:val="es-CR"/>
        </w:rPr>
        <w:t>y otros Vs. Colombia. Fondo, Reparaciones y Costas.</w:t>
      </w:r>
      <w:r w:rsidRPr="00810E28">
        <w:rPr>
          <w:rStyle w:val="Strong"/>
          <w:b w:val="0"/>
          <w:szCs w:val="16"/>
          <w:lang w:val="es-CR"/>
        </w:rPr>
        <w:t xml:space="preserve"> Sentencia de 13 de marzo de 2018. Serie C No. 352, párr. 206.</w:t>
      </w:r>
    </w:p>
  </w:footnote>
  <w:footnote w:id="198">
    <w:p w14:paraId="6488028B" w14:textId="204F4EC9"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rPr>
        <w:tab/>
      </w:r>
      <w:r w:rsidRPr="00810E28">
        <w:rPr>
          <w:i/>
          <w:szCs w:val="16"/>
          <w:lang w:val="es-CR"/>
        </w:rPr>
        <w:t>Cfr. Caso Heliodoro Portugal Vs. Panamá. Supervisión de Cumplimiento de Sentencia.</w:t>
      </w:r>
      <w:r w:rsidRPr="00810E28">
        <w:rPr>
          <w:szCs w:val="16"/>
          <w:lang w:val="es-CR"/>
        </w:rPr>
        <w:t xml:space="preserve"> Resolución emitida por la Corte Interamericana el 28 de mayo de 2010, Considerando 28, y </w:t>
      </w:r>
      <w:r w:rsidRPr="004B50D6">
        <w:rPr>
          <w:rStyle w:val="Strong"/>
          <w:rFonts w:eastAsiaTheme="majorEastAsia"/>
          <w:b w:val="0"/>
          <w:i/>
          <w:color w:val="000000"/>
          <w:shd w:val="clear" w:color="auto" w:fill="FFFFFF"/>
        </w:rPr>
        <w:t>Caso Ortiz Hernández y otros Vs. Venezuela. Fondo, Reparaciones y Costas.</w:t>
      </w:r>
      <w:r w:rsidRPr="000C2FE5">
        <w:rPr>
          <w:rStyle w:val="Strong"/>
          <w:rFonts w:eastAsiaTheme="majorEastAsia"/>
          <w:b w:val="0"/>
          <w:color w:val="000000"/>
          <w:shd w:val="clear" w:color="auto" w:fill="FFFFFF"/>
        </w:rPr>
        <w:t xml:space="preserve"> Sentencia de 22 de agosto de 2017. Serie C No. 338, párr. 199</w:t>
      </w:r>
      <w:r w:rsidRPr="00810E28">
        <w:rPr>
          <w:bCs/>
          <w:szCs w:val="16"/>
          <w:lang w:val="es-ES"/>
        </w:rPr>
        <w:t>.</w:t>
      </w:r>
    </w:p>
  </w:footnote>
  <w:footnote w:id="199">
    <w:p w14:paraId="50D68D0D" w14:textId="2411AD9E"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Style w:val="Strong"/>
          <w:b w:val="0"/>
          <w:i/>
          <w:szCs w:val="16"/>
          <w:lang w:val="es-CR"/>
        </w:rPr>
        <w:t>Caso de la Masacre de Las Dos Erres Vs. Guatemala. Excepción Preliminar, Fondo, Reparaciones y Costas.</w:t>
      </w:r>
      <w:r w:rsidRPr="00810E28">
        <w:rPr>
          <w:rStyle w:val="Strong"/>
          <w:b w:val="0"/>
          <w:szCs w:val="16"/>
          <w:lang w:val="es-CR"/>
        </w:rPr>
        <w:t xml:space="preserve"> Sentencia de 24 de noviembre de 2009. Serie C No. 211</w:t>
      </w:r>
      <w:r w:rsidRPr="00810E28">
        <w:rPr>
          <w:szCs w:val="16"/>
          <w:lang w:val="es-CR"/>
        </w:rPr>
        <w:t xml:space="preserve">, párr. 270, y </w:t>
      </w:r>
      <w:r w:rsidRPr="00810E28">
        <w:rPr>
          <w:bCs/>
          <w:i/>
          <w:szCs w:val="16"/>
          <w:lang w:val="es-CR"/>
        </w:rPr>
        <w:t xml:space="preserve">Caso Carvajal </w:t>
      </w:r>
      <w:proofErr w:type="spellStart"/>
      <w:r w:rsidRPr="00810E28">
        <w:rPr>
          <w:bCs/>
          <w:i/>
          <w:szCs w:val="16"/>
          <w:lang w:val="es-CR"/>
        </w:rPr>
        <w:t>Carvajal</w:t>
      </w:r>
      <w:proofErr w:type="spellEnd"/>
      <w:r w:rsidRPr="00810E28">
        <w:rPr>
          <w:bCs/>
          <w:i/>
          <w:szCs w:val="16"/>
          <w:lang w:val="es-CR"/>
        </w:rPr>
        <w:t xml:space="preserve"> y otros Vs. Colombia. Fondo, Reparaciones y Costas.</w:t>
      </w:r>
      <w:r w:rsidRPr="00810E28">
        <w:rPr>
          <w:bCs/>
          <w:szCs w:val="16"/>
          <w:lang w:val="es-CR"/>
        </w:rPr>
        <w:t xml:space="preserve"> Sentencia de 13 de marzo de 2018. Serie C No. 352, párr. 207.</w:t>
      </w:r>
    </w:p>
  </w:footnote>
  <w:footnote w:id="200">
    <w:p w14:paraId="51EDFD8B" w14:textId="77777777" w:rsidR="006B6A4E" w:rsidRPr="00810E28" w:rsidRDefault="006B6A4E" w:rsidP="00810E28">
      <w:pPr>
        <w:pStyle w:val="FootnoteText"/>
        <w:tabs>
          <w:tab w:val="left" w:pos="426"/>
        </w:tabs>
        <w:spacing w:before="120"/>
        <w:rPr>
          <w:bCs/>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 xml:space="preserve">Cfr. </w:t>
      </w:r>
      <w:r w:rsidRPr="00810E28">
        <w:rPr>
          <w:rStyle w:val="Strong"/>
          <w:b w:val="0"/>
          <w:i/>
          <w:szCs w:val="16"/>
          <w:lang w:val="es-CR"/>
        </w:rPr>
        <w:t>Caso 19 Comerciantes Vs. Colombia. Fondo, Reparaciones y Costas.</w:t>
      </w:r>
      <w:r w:rsidRPr="00810E28">
        <w:rPr>
          <w:rStyle w:val="Strong"/>
          <w:b w:val="0"/>
          <w:szCs w:val="16"/>
          <w:lang w:val="es-CR"/>
        </w:rPr>
        <w:t xml:space="preserve"> Sentencia de 5 de julio de 2004. Serie C No. 109 párr. 278, y</w:t>
      </w:r>
      <w:r w:rsidRPr="00810E28">
        <w:rPr>
          <w:rStyle w:val="Strong"/>
          <w:szCs w:val="16"/>
          <w:lang w:val="es-CR"/>
        </w:rPr>
        <w:t xml:space="preserve"> </w:t>
      </w:r>
      <w:r w:rsidRPr="00810E28">
        <w:rPr>
          <w:i/>
          <w:szCs w:val="16"/>
          <w:lang w:val="es-CR"/>
        </w:rPr>
        <w:t xml:space="preserve">Caso Carvajal </w:t>
      </w:r>
      <w:proofErr w:type="spellStart"/>
      <w:r w:rsidRPr="00810E28">
        <w:rPr>
          <w:i/>
          <w:szCs w:val="16"/>
          <w:lang w:val="es-CR"/>
        </w:rPr>
        <w:t>Carvajal</w:t>
      </w:r>
      <w:proofErr w:type="spellEnd"/>
      <w:r w:rsidRPr="00810E28">
        <w:rPr>
          <w:i/>
          <w:szCs w:val="16"/>
          <w:lang w:val="es-CR"/>
        </w:rPr>
        <w:t xml:space="preserve"> </w:t>
      </w:r>
      <w:r w:rsidRPr="00810E28">
        <w:rPr>
          <w:rStyle w:val="Strong"/>
          <w:b w:val="0"/>
          <w:i/>
          <w:szCs w:val="16"/>
          <w:lang w:val="es-CR"/>
        </w:rPr>
        <w:t>y otros Vs. Colombia. Fondo, Reparaciones y Costas.</w:t>
      </w:r>
      <w:r w:rsidRPr="00810E28">
        <w:rPr>
          <w:rStyle w:val="Strong"/>
          <w:b w:val="0"/>
          <w:szCs w:val="16"/>
          <w:lang w:val="es-CR"/>
        </w:rPr>
        <w:t xml:space="preserve"> Sentencia de 13 de marzo de 2018. Serie C No. 352, párr. 207.</w:t>
      </w:r>
    </w:p>
  </w:footnote>
  <w:footnote w:id="201">
    <w:p w14:paraId="3224A4D3"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 Caso Cantoral Benavides Vs. Perú. Reparaciones y Costas</w:t>
      </w:r>
      <w:r w:rsidRPr="00810E28">
        <w:rPr>
          <w:szCs w:val="16"/>
          <w:lang w:val="es-CR"/>
        </w:rPr>
        <w:t xml:space="preserve">. Sentencia de 3 de diciembre de 2001. Serie C No. 88, párr. 79, y </w:t>
      </w:r>
      <w:r w:rsidRPr="00810E28">
        <w:rPr>
          <w:i/>
          <w:szCs w:val="16"/>
          <w:lang w:val="es-CR"/>
        </w:rPr>
        <w:t xml:space="preserve">Caso Carvajal </w:t>
      </w:r>
      <w:proofErr w:type="spellStart"/>
      <w:r w:rsidRPr="00810E28">
        <w:rPr>
          <w:i/>
          <w:szCs w:val="16"/>
          <w:lang w:val="es-CR"/>
        </w:rPr>
        <w:t>Carvajal</w:t>
      </w:r>
      <w:proofErr w:type="spellEnd"/>
      <w:r w:rsidRPr="00810E28">
        <w:rPr>
          <w:i/>
          <w:szCs w:val="16"/>
          <w:lang w:val="es-CR"/>
        </w:rPr>
        <w:t xml:space="preserve"> </w:t>
      </w:r>
      <w:r w:rsidRPr="00810E28">
        <w:rPr>
          <w:rStyle w:val="Strong"/>
          <w:b w:val="0"/>
          <w:i/>
          <w:szCs w:val="16"/>
          <w:lang w:val="es-CR"/>
        </w:rPr>
        <w:t>y otros Vs. Colombia. Fondo, Reparaciones y Costas</w:t>
      </w:r>
      <w:r w:rsidRPr="00810E28">
        <w:rPr>
          <w:rStyle w:val="Strong"/>
          <w:b w:val="0"/>
          <w:szCs w:val="16"/>
          <w:lang w:val="es-CR"/>
        </w:rPr>
        <w:t>. Sentencia de 13 de marzo de 2018. Serie C No. 352, párr. 207.</w:t>
      </w:r>
    </w:p>
  </w:footnote>
  <w:footnote w:id="202">
    <w:p w14:paraId="71F7D956" w14:textId="684B9A26" w:rsidR="006B6A4E" w:rsidRPr="00810E28" w:rsidRDefault="006B6A4E" w:rsidP="00810E28">
      <w:pPr>
        <w:pStyle w:val="FootnoteText"/>
        <w:tabs>
          <w:tab w:val="left" w:pos="426"/>
        </w:tabs>
        <w:spacing w:before="120"/>
        <w:rPr>
          <w:szCs w:val="16"/>
          <w:vertAlign w:val="superscript"/>
          <w:lang w:val="es-CR"/>
        </w:rPr>
      </w:pPr>
      <w:r w:rsidRPr="00810E28">
        <w:rPr>
          <w:rStyle w:val="FootnoteReference"/>
          <w:rFonts w:cstheme="minorBidi"/>
          <w:szCs w:val="16"/>
        </w:rPr>
        <w:footnoteRef/>
      </w:r>
      <w:r w:rsidRPr="00810E28">
        <w:rPr>
          <w:szCs w:val="16"/>
          <w:vertAlign w:val="superscript"/>
          <w:lang w:val="es-ES"/>
        </w:rPr>
        <w:t xml:space="preserve"> </w:t>
      </w:r>
      <w:r w:rsidRPr="00810E28">
        <w:rPr>
          <w:szCs w:val="16"/>
          <w:vertAlign w:val="superscript"/>
          <w:lang w:val="es-ES"/>
        </w:rPr>
        <w:tab/>
      </w:r>
      <w:r w:rsidRPr="00810E28">
        <w:rPr>
          <w:i/>
          <w:szCs w:val="16"/>
          <w:lang w:val="es-ES"/>
        </w:rPr>
        <w:t xml:space="preserve">Cfr. Caso Cantoral Benavides Vs. </w:t>
      </w:r>
      <w:r w:rsidRPr="00810E28">
        <w:rPr>
          <w:i/>
          <w:szCs w:val="16"/>
          <w:lang w:val="es-CR"/>
        </w:rPr>
        <w:t>Perú. Reparaciones y Costas.</w:t>
      </w:r>
      <w:r w:rsidRPr="00810E28">
        <w:rPr>
          <w:szCs w:val="16"/>
          <w:lang w:val="es-CR"/>
        </w:rPr>
        <w:t xml:space="preserve"> Sentencia de 3 de diciembre de 2001. Serie C No. 88, párr. 79, y </w:t>
      </w:r>
      <w:r w:rsidRPr="00810E28">
        <w:rPr>
          <w:i/>
          <w:szCs w:val="16"/>
          <w:lang w:val="es-CR"/>
        </w:rPr>
        <w:t xml:space="preserve">Caso </w:t>
      </w:r>
      <w:proofErr w:type="spellStart"/>
      <w:r w:rsidRPr="00810E28">
        <w:rPr>
          <w:i/>
          <w:szCs w:val="16"/>
          <w:lang w:val="es-CR"/>
        </w:rPr>
        <w:t>Herzog</w:t>
      </w:r>
      <w:proofErr w:type="spellEnd"/>
      <w:r w:rsidRPr="00810E28">
        <w:rPr>
          <w:i/>
          <w:szCs w:val="16"/>
          <w:lang w:val="es-CR"/>
        </w:rPr>
        <w:t xml:space="preserve"> y otros Vs. Brasil. Excepciones Preliminares, Fondo, Reparaciones y Costas. </w:t>
      </w:r>
      <w:r w:rsidRPr="00810E28">
        <w:rPr>
          <w:szCs w:val="16"/>
          <w:lang w:val="es-CR"/>
        </w:rPr>
        <w:t>Sentencia de 15 de marzo de 2018.Serie C No. 353, párr. 383.</w:t>
      </w:r>
    </w:p>
  </w:footnote>
  <w:footnote w:id="203">
    <w:p w14:paraId="4C59B8BE" w14:textId="77777777" w:rsidR="006B6A4E" w:rsidRPr="00810E28" w:rsidRDefault="006B6A4E" w:rsidP="00810E28">
      <w:pPr>
        <w:pStyle w:val="FootnoteText"/>
        <w:tabs>
          <w:tab w:val="left" w:pos="426"/>
        </w:tabs>
        <w:spacing w:before="120"/>
        <w:rPr>
          <w:szCs w:val="16"/>
          <w:lang w:val="es-CR"/>
        </w:rPr>
      </w:pPr>
      <w:r w:rsidRPr="00810E28">
        <w:rPr>
          <w:rStyle w:val="FootnoteReference"/>
          <w:rFonts w:cstheme="minorBidi"/>
          <w:szCs w:val="16"/>
        </w:rPr>
        <w:footnoteRef/>
      </w:r>
      <w:r w:rsidRPr="00810E28">
        <w:rPr>
          <w:szCs w:val="16"/>
          <w:vertAlign w:val="superscript"/>
          <w:lang w:val="es-CR"/>
        </w:rPr>
        <w:t xml:space="preserve"> </w:t>
      </w:r>
      <w:r w:rsidRPr="00810E28">
        <w:rPr>
          <w:szCs w:val="16"/>
          <w:vertAlign w:val="superscript"/>
          <w:lang w:val="es-CR"/>
        </w:rPr>
        <w:tab/>
      </w:r>
      <w:r w:rsidRPr="00810E28">
        <w:rPr>
          <w:i/>
          <w:szCs w:val="16"/>
          <w:lang w:val="es-CR"/>
        </w:rPr>
        <w:t>Cfr. Caso Cantoral Benavides Vs. Perú. Reparaciones y Costas.</w:t>
      </w:r>
      <w:r w:rsidRPr="00810E28">
        <w:rPr>
          <w:szCs w:val="16"/>
          <w:lang w:val="es-CR"/>
        </w:rPr>
        <w:t xml:space="preserve"> Sentencia de 3 de diciembre de 2001. Serie C No. 88, párr. 81, y </w:t>
      </w:r>
      <w:r w:rsidRPr="00810E28">
        <w:rPr>
          <w:i/>
          <w:szCs w:val="16"/>
          <w:lang w:val="es-CR"/>
        </w:rPr>
        <w:t xml:space="preserve">Caso Carvajal </w:t>
      </w:r>
      <w:proofErr w:type="spellStart"/>
      <w:r w:rsidRPr="00810E28">
        <w:rPr>
          <w:i/>
          <w:szCs w:val="16"/>
          <w:lang w:val="es-CR"/>
        </w:rPr>
        <w:t>Carvajal</w:t>
      </w:r>
      <w:proofErr w:type="spellEnd"/>
      <w:r w:rsidRPr="00810E28">
        <w:rPr>
          <w:i/>
          <w:szCs w:val="16"/>
          <w:lang w:val="es-CR"/>
        </w:rPr>
        <w:t xml:space="preserve"> </w:t>
      </w:r>
      <w:r w:rsidRPr="00810E28">
        <w:rPr>
          <w:rStyle w:val="Strong"/>
          <w:b w:val="0"/>
          <w:i/>
          <w:szCs w:val="16"/>
          <w:lang w:val="es-CR"/>
        </w:rPr>
        <w:t>y otros Vs. Colombia. Fondo, Reparaciones y Costas.</w:t>
      </w:r>
      <w:r w:rsidRPr="00810E28">
        <w:rPr>
          <w:rStyle w:val="Strong"/>
          <w:b w:val="0"/>
          <w:szCs w:val="16"/>
          <w:lang w:val="es-CR"/>
        </w:rPr>
        <w:t xml:space="preserve"> Sentencia de 13 de marzo de 2018. Serie C No. 352, párr. 212.</w:t>
      </w:r>
    </w:p>
  </w:footnote>
  <w:footnote w:id="204">
    <w:p w14:paraId="2F95F68B"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ES"/>
        </w:rPr>
        <w:t xml:space="preserve"> </w:t>
      </w:r>
      <w:r w:rsidRPr="00810E28">
        <w:rPr>
          <w:szCs w:val="16"/>
          <w:lang w:val="es-ES"/>
        </w:rPr>
        <w:tab/>
      </w:r>
      <w:r w:rsidRPr="00810E28">
        <w:rPr>
          <w:i/>
          <w:szCs w:val="16"/>
          <w:lang w:val="es-ES"/>
        </w:rPr>
        <w:t xml:space="preserve">Cfr. Caso </w:t>
      </w:r>
      <w:proofErr w:type="spellStart"/>
      <w:r w:rsidRPr="00810E28">
        <w:rPr>
          <w:i/>
          <w:szCs w:val="16"/>
          <w:lang w:val="es-ES"/>
        </w:rPr>
        <w:t>Bámaca</w:t>
      </w:r>
      <w:proofErr w:type="spellEnd"/>
      <w:r w:rsidRPr="00810E28">
        <w:rPr>
          <w:i/>
          <w:szCs w:val="16"/>
          <w:lang w:val="es-ES"/>
        </w:rPr>
        <w:t xml:space="preserve"> Velásquez Vs. </w:t>
      </w:r>
      <w:r w:rsidRPr="00810E28">
        <w:rPr>
          <w:i/>
          <w:szCs w:val="16"/>
          <w:lang w:val="es-CR"/>
        </w:rPr>
        <w:t>Guatemala. Reparaciones y Costas.</w:t>
      </w:r>
      <w:r w:rsidRPr="00810E28">
        <w:rPr>
          <w:szCs w:val="16"/>
          <w:lang w:val="es-CR"/>
        </w:rPr>
        <w:t xml:space="preserve"> Sentencia de 22 de febrero de 2002. Serie C No. 91, párr. 43, y </w:t>
      </w:r>
      <w:r w:rsidRPr="00810E28">
        <w:rPr>
          <w:i/>
          <w:szCs w:val="16"/>
          <w:lang w:val="es-CR"/>
        </w:rPr>
        <w:t xml:space="preserve">Caso Carvajal </w:t>
      </w:r>
      <w:proofErr w:type="spellStart"/>
      <w:r w:rsidRPr="00810E28">
        <w:rPr>
          <w:i/>
          <w:szCs w:val="16"/>
          <w:lang w:val="es-CR"/>
        </w:rPr>
        <w:t>Carvajal</w:t>
      </w:r>
      <w:proofErr w:type="spellEnd"/>
      <w:r w:rsidRPr="00810E28">
        <w:rPr>
          <w:i/>
          <w:szCs w:val="16"/>
          <w:lang w:val="es-CR"/>
        </w:rPr>
        <w:t xml:space="preserve"> </w:t>
      </w:r>
      <w:r w:rsidRPr="00810E28">
        <w:rPr>
          <w:rStyle w:val="Strong"/>
          <w:b w:val="0"/>
          <w:i/>
          <w:szCs w:val="16"/>
          <w:lang w:val="es-CR"/>
        </w:rPr>
        <w:t>y otros Vs. Colombia. Fondo, Reparaciones y Costas.</w:t>
      </w:r>
      <w:r w:rsidRPr="00810E28">
        <w:rPr>
          <w:rStyle w:val="Strong"/>
          <w:b w:val="0"/>
          <w:szCs w:val="16"/>
          <w:lang w:val="es-CR"/>
        </w:rPr>
        <w:t xml:space="preserve"> Sentencia de 13 de marzo de 2018. Serie C No. 352, párr. 227.</w:t>
      </w:r>
    </w:p>
  </w:footnote>
  <w:footnote w:id="205">
    <w:p w14:paraId="08D09542"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lang w:val="es-CR"/>
        </w:rPr>
        <w:tab/>
      </w:r>
      <w:r w:rsidRPr="00810E28">
        <w:rPr>
          <w:i/>
          <w:szCs w:val="16"/>
          <w:lang w:val="es-CR"/>
        </w:rPr>
        <w:t xml:space="preserve">Cfr. </w:t>
      </w:r>
      <w:r w:rsidRPr="00810E28">
        <w:rPr>
          <w:szCs w:val="16"/>
          <w:lang w:val="es-CR"/>
        </w:rPr>
        <w:t>Cuadro de lucro cesante presentado por los representantes (expediente de prueba, folio 1763).</w:t>
      </w:r>
    </w:p>
  </w:footnote>
  <w:footnote w:id="206">
    <w:p w14:paraId="18129B52" w14:textId="77777777"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rPr>
        <w:t xml:space="preserve"> </w:t>
      </w:r>
      <w:r w:rsidRPr="00810E28">
        <w:rPr>
          <w:szCs w:val="16"/>
          <w:lang w:val="es-CR"/>
        </w:rPr>
        <w:tab/>
      </w:r>
      <w:r w:rsidRPr="00810E28">
        <w:rPr>
          <w:i/>
          <w:szCs w:val="16"/>
          <w:lang w:val="es-CR"/>
        </w:rPr>
        <w:t xml:space="preserve">Cfr. </w:t>
      </w:r>
      <w:r w:rsidRPr="00810E28">
        <w:rPr>
          <w:szCs w:val="16"/>
          <w:lang w:val="es-CR"/>
        </w:rPr>
        <w:t>Cuadro de lucro cesante presentado por los representantes (expediente de prueba, folio 1763).</w:t>
      </w:r>
    </w:p>
  </w:footnote>
  <w:footnote w:id="207">
    <w:p w14:paraId="0C9D4C3C" w14:textId="19542824"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CR"/>
        </w:rPr>
        <w:t xml:space="preserve"> </w:t>
      </w:r>
      <w:r w:rsidRPr="00810E28">
        <w:rPr>
          <w:szCs w:val="16"/>
          <w:lang w:val="es-CR"/>
        </w:rPr>
        <w:tab/>
      </w:r>
      <w:r w:rsidRPr="00810E28">
        <w:rPr>
          <w:i/>
          <w:szCs w:val="16"/>
          <w:lang w:val="es-CR"/>
        </w:rPr>
        <w:t>Cfr. Caso Velásquez Rodríguez Vs. Honduras. Reparaciones y Costas.</w:t>
      </w:r>
      <w:r w:rsidRPr="00810E28">
        <w:rPr>
          <w:szCs w:val="16"/>
          <w:lang w:val="es-CR"/>
        </w:rPr>
        <w:t xml:space="preserve"> Sentencia de 21 de julio de 1989. Serie C No. 7, párr. 46 y 47, y </w:t>
      </w:r>
      <w:r w:rsidRPr="00810E28">
        <w:rPr>
          <w:i/>
          <w:szCs w:val="16"/>
          <w:lang w:val="es-CR"/>
        </w:rPr>
        <w:t xml:space="preserve">Caso Vásquez Durand y otros Vs. Ecuador. Excepciones Preliminares, Fondo, Reparaciones y Costas. </w:t>
      </w:r>
      <w:r w:rsidRPr="00810E28">
        <w:rPr>
          <w:szCs w:val="16"/>
          <w:lang w:val="es-CR"/>
        </w:rPr>
        <w:t>Sentencia de 15 de febrero de 2017. Serie C No. 332, párr. 230.</w:t>
      </w:r>
    </w:p>
  </w:footnote>
  <w:footnote w:id="208">
    <w:p w14:paraId="09824974" w14:textId="3D927CAF" w:rsidR="006B6A4E" w:rsidRPr="00810E28" w:rsidRDefault="006B6A4E" w:rsidP="00810E28">
      <w:pPr>
        <w:pStyle w:val="Heading1"/>
        <w:shd w:val="clear" w:color="auto" w:fill="FFFFFF"/>
        <w:tabs>
          <w:tab w:val="left" w:pos="426"/>
        </w:tabs>
        <w:spacing w:before="120"/>
        <w:rPr>
          <w:sz w:val="16"/>
          <w:szCs w:val="16"/>
          <w:lang w:val="es-CR"/>
        </w:rPr>
      </w:pPr>
      <w:r w:rsidRPr="00810E28">
        <w:rPr>
          <w:rStyle w:val="FootnoteReference"/>
          <w:b w:val="0"/>
          <w:szCs w:val="16"/>
        </w:rPr>
        <w:footnoteRef/>
      </w:r>
      <w:r w:rsidRPr="00810E28">
        <w:rPr>
          <w:sz w:val="16"/>
          <w:szCs w:val="16"/>
          <w:lang w:val="es-CR"/>
        </w:rPr>
        <w:t xml:space="preserve"> </w:t>
      </w:r>
      <w:r w:rsidRPr="00810E28">
        <w:rPr>
          <w:sz w:val="16"/>
          <w:szCs w:val="16"/>
          <w:lang w:val="es-CR"/>
        </w:rPr>
        <w:tab/>
      </w:r>
      <w:r w:rsidRPr="00810E28">
        <w:rPr>
          <w:b w:val="0"/>
          <w:i/>
          <w:sz w:val="16"/>
          <w:szCs w:val="16"/>
          <w:lang w:val="es-CR"/>
        </w:rPr>
        <w:t>Cfr.</w:t>
      </w:r>
      <w:r w:rsidRPr="00810E28">
        <w:rPr>
          <w:b w:val="0"/>
          <w:sz w:val="16"/>
          <w:szCs w:val="16"/>
          <w:lang w:val="es-CR"/>
        </w:rPr>
        <w:t xml:space="preserve"> </w:t>
      </w:r>
      <w:r w:rsidRPr="00810E28">
        <w:rPr>
          <w:b w:val="0"/>
          <w:sz w:val="16"/>
          <w:szCs w:val="16"/>
        </w:rPr>
        <w:t>Datos del Banco Mundial sobre esperanza de vida al nacer en el Perú en 1980 http://datos.bancomundial.org/indicador/SP.DYN.LE00.IN?locations=PE&amp;view=chart.</w:t>
      </w:r>
    </w:p>
  </w:footnote>
  <w:footnote w:id="209">
    <w:p w14:paraId="734BB9D9" w14:textId="05B69588"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 xml:space="preserve">Cfr. Caso Neira Alegría y otros. </w:t>
      </w:r>
      <w:r w:rsidRPr="00810E28">
        <w:rPr>
          <w:i/>
          <w:sz w:val="16"/>
          <w:szCs w:val="16"/>
          <w:lang w:val="es-ES"/>
        </w:rPr>
        <w:t>Reparaciones y Costas</w:t>
      </w:r>
      <w:r w:rsidRPr="00810E28">
        <w:rPr>
          <w:sz w:val="16"/>
          <w:szCs w:val="16"/>
          <w:lang w:val="es-ES"/>
        </w:rPr>
        <w:t xml:space="preserve">. </w:t>
      </w:r>
      <w:r w:rsidRPr="00810E28">
        <w:rPr>
          <w:rStyle w:val="Strong"/>
          <w:b w:val="0"/>
          <w:sz w:val="16"/>
          <w:szCs w:val="16"/>
          <w:lang w:val="es-ES"/>
        </w:rPr>
        <w:t>Sentencia de 19 de septiembre de 1996. Serie C No. 29</w:t>
      </w:r>
      <w:r w:rsidRPr="00810E28">
        <w:rPr>
          <w:b/>
          <w:sz w:val="16"/>
          <w:szCs w:val="16"/>
          <w:lang w:val="es-ES"/>
        </w:rPr>
        <w:t>,</w:t>
      </w:r>
      <w:r w:rsidRPr="00810E28">
        <w:rPr>
          <w:sz w:val="16"/>
          <w:szCs w:val="16"/>
          <w:lang w:val="es-ES"/>
        </w:rPr>
        <w:t xml:space="preserve"> párr. 56, y </w:t>
      </w:r>
      <w:r w:rsidRPr="00237E5E">
        <w:rPr>
          <w:i/>
          <w:sz w:val="16"/>
          <w:szCs w:val="16"/>
          <w:lang w:val="es-CR"/>
        </w:rPr>
        <w:t xml:space="preserve">Caso </w:t>
      </w:r>
      <w:proofErr w:type="spellStart"/>
      <w:r w:rsidRPr="00237E5E">
        <w:rPr>
          <w:i/>
          <w:sz w:val="16"/>
          <w:szCs w:val="16"/>
          <w:lang w:val="es-CR"/>
        </w:rPr>
        <w:t>Amrhein</w:t>
      </w:r>
      <w:proofErr w:type="spellEnd"/>
      <w:r w:rsidRPr="00237E5E">
        <w:rPr>
          <w:i/>
          <w:sz w:val="16"/>
          <w:szCs w:val="16"/>
          <w:lang w:val="es-CR"/>
        </w:rPr>
        <w:t xml:space="preserve"> y otros vs. Costa Rica. Excepciones Preliminares, Fondo, Reparaciones y Costas. Sentencia de 25 de</w:t>
      </w:r>
      <w:r>
        <w:rPr>
          <w:i/>
          <w:sz w:val="16"/>
          <w:szCs w:val="16"/>
          <w:lang w:val="es-CR"/>
        </w:rPr>
        <w:t xml:space="preserve"> abril de 2018. </w:t>
      </w:r>
      <w:r w:rsidRPr="00237E5E">
        <w:rPr>
          <w:sz w:val="16"/>
          <w:szCs w:val="16"/>
          <w:lang w:val="es-CR"/>
        </w:rPr>
        <w:t>Serie C No. 354, párr. 474.</w:t>
      </w:r>
    </w:p>
  </w:footnote>
  <w:footnote w:id="210">
    <w:p w14:paraId="3B25A8A7" w14:textId="0C0D4DBD" w:rsidR="006B6A4E" w:rsidRPr="00810E28" w:rsidRDefault="006B6A4E" w:rsidP="00810E28">
      <w:pPr>
        <w:pStyle w:val="FootnoteText"/>
        <w:tabs>
          <w:tab w:val="left" w:pos="426"/>
        </w:tabs>
        <w:spacing w:before="120"/>
        <w:rPr>
          <w:szCs w:val="16"/>
          <w:lang w:val="es-CR"/>
        </w:rPr>
      </w:pPr>
      <w:r w:rsidRPr="00810E28">
        <w:rPr>
          <w:rStyle w:val="FootnoteReference"/>
          <w:szCs w:val="16"/>
        </w:rPr>
        <w:footnoteRef/>
      </w:r>
      <w:r w:rsidRPr="00810E28">
        <w:rPr>
          <w:szCs w:val="16"/>
          <w:lang w:val="es-ES"/>
        </w:rPr>
        <w:t xml:space="preserve"> </w:t>
      </w:r>
      <w:r w:rsidRPr="00810E28">
        <w:rPr>
          <w:szCs w:val="16"/>
          <w:lang w:val="es-ES"/>
        </w:rPr>
        <w:tab/>
      </w:r>
      <w:r w:rsidRPr="00810E28">
        <w:rPr>
          <w:i/>
          <w:szCs w:val="16"/>
          <w:lang w:val="es-ES"/>
        </w:rPr>
        <w:t xml:space="preserve">Cfr. Caso de los “Niños de la Calle” (Villagrán Morales y otros) Vs. </w:t>
      </w:r>
      <w:r w:rsidRPr="00810E28">
        <w:rPr>
          <w:i/>
          <w:szCs w:val="16"/>
          <w:lang w:val="es-CR"/>
        </w:rPr>
        <w:t>Guatemala. Reparaciones y Costas.</w:t>
      </w:r>
      <w:r w:rsidRPr="00810E28">
        <w:rPr>
          <w:szCs w:val="16"/>
          <w:lang w:val="es-CR"/>
        </w:rPr>
        <w:t xml:space="preserve"> Sentencia de 26 de mayo de 2001. Serie C No. 77, párr. 84, y </w:t>
      </w:r>
      <w:r w:rsidRPr="00810E28">
        <w:rPr>
          <w:i/>
          <w:szCs w:val="16"/>
          <w:lang w:val="es-CR"/>
        </w:rPr>
        <w:t xml:space="preserve">Caso </w:t>
      </w:r>
      <w:proofErr w:type="spellStart"/>
      <w:r w:rsidRPr="00810E28">
        <w:rPr>
          <w:i/>
          <w:szCs w:val="16"/>
          <w:lang w:val="es-CR"/>
        </w:rPr>
        <w:t>Amrhein</w:t>
      </w:r>
      <w:proofErr w:type="spellEnd"/>
      <w:r w:rsidRPr="00810E28">
        <w:rPr>
          <w:i/>
          <w:szCs w:val="16"/>
          <w:lang w:val="es-CR"/>
        </w:rPr>
        <w:t xml:space="preserve"> y otros Vs. Costa Rica. Excepciones Preliminares, Fondo, Reparaciones y Costas.</w:t>
      </w:r>
      <w:r w:rsidRPr="00810E28">
        <w:rPr>
          <w:szCs w:val="16"/>
          <w:lang w:val="es-CR"/>
        </w:rPr>
        <w:t xml:space="preserve"> Sentencia de 25 de abril de 2018. Serie C No. 354, párr. 482.</w:t>
      </w:r>
    </w:p>
  </w:footnote>
  <w:footnote w:id="211">
    <w:p w14:paraId="29C9A0A0" w14:textId="51503294"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ES"/>
        </w:rPr>
        <w:t xml:space="preserve"> </w:t>
      </w:r>
      <w:r w:rsidRPr="00810E28">
        <w:rPr>
          <w:sz w:val="16"/>
          <w:szCs w:val="16"/>
          <w:lang w:val="es-ES"/>
        </w:rPr>
        <w:tab/>
      </w:r>
      <w:r w:rsidRPr="00810E28">
        <w:rPr>
          <w:i/>
          <w:sz w:val="16"/>
          <w:szCs w:val="16"/>
          <w:lang w:val="es-ES"/>
        </w:rPr>
        <w:t xml:space="preserve">Cfr. Caso Osorio Rivera y familiares Vs. Perú. </w:t>
      </w:r>
      <w:r w:rsidRPr="00810E28">
        <w:rPr>
          <w:rStyle w:val="Strong"/>
          <w:b w:val="0"/>
          <w:i/>
          <w:sz w:val="16"/>
          <w:szCs w:val="16"/>
          <w:lang w:val="es-ES"/>
        </w:rPr>
        <w:t>Excepciones Preliminares, Fondo, Reparaciones y Costas.</w:t>
      </w:r>
      <w:r w:rsidRPr="00810E28">
        <w:rPr>
          <w:rStyle w:val="Strong"/>
          <w:b w:val="0"/>
          <w:sz w:val="16"/>
          <w:szCs w:val="16"/>
          <w:lang w:val="es-ES"/>
        </w:rPr>
        <w:t xml:space="preserve"> </w:t>
      </w:r>
      <w:r w:rsidRPr="00810E28">
        <w:rPr>
          <w:rStyle w:val="Strong"/>
          <w:b w:val="0"/>
          <w:sz w:val="16"/>
          <w:szCs w:val="16"/>
          <w:lang w:val="es-CR"/>
        </w:rPr>
        <w:t>Sentencia de 26 de noviembre de 2013. Serie C No. 274</w:t>
      </w:r>
      <w:r w:rsidRPr="00810E28">
        <w:rPr>
          <w:b/>
          <w:sz w:val="16"/>
          <w:szCs w:val="16"/>
          <w:lang w:val="es-CR"/>
        </w:rPr>
        <w:t>,</w:t>
      </w:r>
      <w:r w:rsidRPr="00810E28">
        <w:rPr>
          <w:sz w:val="16"/>
          <w:szCs w:val="16"/>
          <w:lang w:val="es-CR"/>
        </w:rPr>
        <w:t xml:space="preserve"> párr. </w:t>
      </w:r>
      <w:r w:rsidRPr="00810E28">
        <w:rPr>
          <w:sz w:val="16"/>
          <w:szCs w:val="16"/>
          <w:lang w:val="es-ES"/>
        </w:rPr>
        <w:t xml:space="preserve">288, y </w:t>
      </w:r>
      <w:r w:rsidRPr="00810E28">
        <w:rPr>
          <w:i/>
          <w:sz w:val="16"/>
          <w:szCs w:val="16"/>
        </w:rPr>
        <w:t>Caso Vásquez Durand y otros Vs. Ecuador. Excepciones Preliminares, Fondo, Reparaciones y Costas.</w:t>
      </w:r>
      <w:r w:rsidRPr="00810E28">
        <w:rPr>
          <w:sz w:val="16"/>
          <w:szCs w:val="16"/>
        </w:rPr>
        <w:t xml:space="preserve"> Sentencia de 22 de junio de 2016. Serie C No. 332, párr. 233.</w:t>
      </w:r>
    </w:p>
  </w:footnote>
  <w:footnote w:id="212">
    <w:p w14:paraId="3723F1A4" w14:textId="18E12B94"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ES"/>
        </w:rPr>
        <w:t xml:space="preserve"> </w:t>
      </w:r>
      <w:r w:rsidRPr="00810E28">
        <w:rPr>
          <w:sz w:val="16"/>
          <w:szCs w:val="16"/>
          <w:lang w:val="es-ES"/>
        </w:rPr>
        <w:tab/>
      </w:r>
      <w:r w:rsidRPr="00810E28">
        <w:rPr>
          <w:i/>
          <w:sz w:val="16"/>
          <w:szCs w:val="16"/>
          <w:lang w:val="es-ES"/>
        </w:rPr>
        <w:t>Cfr</w:t>
      </w:r>
      <w:r w:rsidRPr="00810E28">
        <w:rPr>
          <w:sz w:val="16"/>
          <w:szCs w:val="16"/>
          <w:lang w:val="es-ES"/>
        </w:rPr>
        <w:t xml:space="preserve">. </w:t>
      </w:r>
      <w:r w:rsidRPr="00810E28">
        <w:rPr>
          <w:i/>
          <w:sz w:val="16"/>
          <w:szCs w:val="16"/>
          <w:lang w:val="es-ES"/>
        </w:rPr>
        <w:t>Caso Velásquez Rodríguez Vs. Honduras. Reparaciones y Costas.</w:t>
      </w:r>
      <w:r w:rsidRPr="00810E28">
        <w:rPr>
          <w:sz w:val="16"/>
          <w:szCs w:val="16"/>
          <w:lang w:val="es-ES"/>
        </w:rPr>
        <w:t xml:space="preserve"> Sentencia de 21 de julio de 1989. Serie C No. 7, párr. 42, y </w:t>
      </w:r>
      <w:r w:rsidRPr="00810E28">
        <w:rPr>
          <w:i/>
          <w:sz w:val="16"/>
          <w:szCs w:val="16"/>
          <w:lang w:val="es-CR"/>
        </w:rPr>
        <w:t xml:space="preserve">Caso </w:t>
      </w:r>
      <w:proofErr w:type="spellStart"/>
      <w:r w:rsidRPr="00810E28">
        <w:rPr>
          <w:i/>
          <w:sz w:val="16"/>
          <w:szCs w:val="16"/>
          <w:lang w:val="es-CR"/>
        </w:rPr>
        <w:t>Herzog</w:t>
      </w:r>
      <w:proofErr w:type="spellEnd"/>
      <w:r w:rsidRPr="00810E28">
        <w:rPr>
          <w:i/>
          <w:sz w:val="16"/>
          <w:szCs w:val="16"/>
          <w:lang w:val="es-CR"/>
        </w:rPr>
        <w:t xml:space="preserve"> y otros Vs. Brasil. Excepciones Preliminares, Fondo, Reparaciones y Costas. </w:t>
      </w:r>
      <w:r w:rsidRPr="00810E28">
        <w:rPr>
          <w:sz w:val="16"/>
          <w:szCs w:val="16"/>
          <w:lang w:val="es-CR"/>
        </w:rPr>
        <w:t>Sentencia de 15 de marzo de 2018.Serie C No. 353, párr. 401.</w:t>
      </w:r>
    </w:p>
  </w:footnote>
  <w:footnote w:id="213">
    <w:p w14:paraId="78FA0069" w14:textId="425C980E"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ES"/>
        </w:rPr>
        <w:t xml:space="preserve"> </w:t>
      </w:r>
      <w:r w:rsidRPr="00810E28">
        <w:rPr>
          <w:sz w:val="16"/>
          <w:szCs w:val="16"/>
          <w:lang w:val="es-ES"/>
        </w:rPr>
        <w:tab/>
      </w:r>
      <w:r w:rsidRPr="00810E28">
        <w:rPr>
          <w:i/>
          <w:sz w:val="16"/>
          <w:szCs w:val="16"/>
          <w:lang w:val="es-ES"/>
        </w:rPr>
        <w:t xml:space="preserve">Cfr. Caso Garrido y </w:t>
      </w:r>
      <w:proofErr w:type="spellStart"/>
      <w:r w:rsidRPr="00810E28">
        <w:rPr>
          <w:i/>
          <w:sz w:val="16"/>
          <w:szCs w:val="16"/>
          <w:lang w:val="es-ES"/>
        </w:rPr>
        <w:t>Baigorria</w:t>
      </w:r>
      <w:proofErr w:type="spellEnd"/>
      <w:r w:rsidRPr="00810E28">
        <w:rPr>
          <w:i/>
          <w:sz w:val="16"/>
          <w:szCs w:val="16"/>
          <w:lang w:val="es-ES"/>
        </w:rPr>
        <w:t xml:space="preserve"> Vs. </w:t>
      </w:r>
      <w:r w:rsidRPr="00810E28">
        <w:rPr>
          <w:i/>
          <w:sz w:val="16"/>
          <w:szCs w:val="16"/>
          <w:lang w:val="es-CR"/>
        </w:rPr>
        <w:t>Argentina. Reparaciones y Costas.</w:t>
      </w:r>
      <w:r w:rsidRPr="00810E28">
        <w:rPr>
          <w:sz w:val="16"/>
          <w:szCs w:val="16"/>
          <w:lang w:val="es-CR"/>
        </w:rPr>
        <w:t xml:space="preserve"> Sentencia de 27 de agosto de 1998. Serie C No. 39, párr. </w:t>
      </w:r>
      <w:r w:rsidRPr="00810E28">
        <w:rPr>
          <w:sz w:val="16"/>
          <w:szCs w:val="16"/>
          <w:lang w:val="es-ES"/>
        </w:rPr>
        <w:t xml:space="preserve">82, y </w:t>
      </w:r>
      <w:r w:rsidRPr="00810E28">
        <w:rPr>
          <w:i/>
          <w:sz w:val="16"/>
          <w:szCs w:val="16"/>
          <w:lang w:val="es-CR"/>
        </w:rPr>
        <w:t xml:space="preserve">Caso </w:t>
      </w:r>
      <w:proofErr w:type="spellStart"/>
      <w:r w:rsidRPr="00810E28">
        <w:rPr>
          <w:i/>
          <w:sz w:val="16"/>
          <w:szCs w:val="16"/>
          <w:lang w:val="es-CR"/>
        </w:rPr>
        <w:t>Herzog</w:t>
      </w:r>
      <w:proofErr w:type="spellEnd"/>
      <w:r w:rsidRPr="00810E28">
        <w:rPr>
          <w:i/>
          <w:sz w:val="16"/>
          <w:szCs w:val="16"/>
          <w:lang w:val="es-CR"/>
        </w:rPr>
        <w:t xml:space="preserve"> y otros Vs. Brasil. Excepciones Preliminares, Fondo, Reparaciones y Costas. </w:t>
      </w:r>
      <w:r w:rsidRPr="00810E28">
        <w:rPr>
          <w:sz w:val="16"/>
          <w:szCs w:val="16"/>
          <w:lang w:val="es-CR"/>
        </w:rPr>
        <w:t>Sentencia de 15 de marzo de 2018.Serie C No. 353, párr. 401.</w:t>
      </w:r>
    </w:p>
  </w:footnote>
  <w:footnote w:id="214">
    <w:p w14:paraId="29EEA233" w14:textId="156B4964"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 xml:space="preserve">Cfr. Caso Garrido y </w:t>
      </w:r>
      <w:proofErr w:type="spellStart"/>
      <w:r w:rsidRPr="00810E28">
        <w:rPr>
          <w:i/>
          <w:sz w:val="16"/>
          <w:szCs w:val="16"/>
          <w:lang w:val="es-CR"/>
        </w:rPr>
        <w:t>Baigorria</w:t>
      </w:r>
      <w:proofErr w:type="spellEnd"/>
      <w:r w:rsidRPr="00810E28">
        <w:rPr>
          <w:i/>
          <w:sz w:val="16"/>
          <w:szCs w:val="16"/>
          <w:lang w:val="es-CR"/>
        </w:rPr>
        <w:t xml:space="preserve"> Vs. Argentina. </w:t>
      </w:r>
      <w:r w:rsidRPr="00810E28">
        <w:rPr>
          <w:i/>
          <w:sz w:val="16"/>
          <w:szCs w:val="16"/>
          <w:lang w:val="es-ES"/>
        </w:rPr>
        <w:t>Reparaciones y Costas</w:t>
      </w:r>
      <w:r w:rsidRPr="00810E28">
        <w:rPr>
          <w:sz w:val="16"/>
          <w:szCs w:val="16"/>
          <w:lang w:val="es-ES"/>
        </w:rPr>
        <w:t xml:space="preserve">. </w:t>
      </w:r>
      <w:r w:rsidRPr="00810E28">
        <w:rPr>
          <w:rStyle w:val="Strong"/>
          <w:b w:val="0"/>
          <w:sz w:val="16"/>
          <w:szCs w:val="16"/>
          <w:lang w:val="es-CR"/>
        </w:rPr>
        <w:t>Sentencia de 27 de agosto de 1998. Serie C No. 39</w:t>
      </w:r>
      <w:r w:rsidRPr="00810E28">
        <w:rPr>
          <w:sz w:val="16"/>
          <w:szCs w:val="16"/>
          <w:lang w:val="es-ES"/>
        </w:rPr>
        <w:t xml:space="preserve">, párr. </w:t>
      </w:r>
      <w:r w:rsidRPr="00810E28">
        <w:rPr>
          <w:sz w:val="16"/>
          <w:szCs w:val="16"/>
          <w:lang w:val="es-CR"/>
        </w:rPr>
        <w:t xml:space="preserve">82, y </w:t>
      </w:r>
      <w:r w:rsidRPr="00810E28">
        <w:rPr>
          <w:i/>
          <w:sz w:val="16"/>
          <w:szCs w:val="16"/>
        </w:rPr>
        <w:t>Caso Ramírez Escobar y otros Vs. Guatemala. Fondo, Reparaciones y Costas.</w:t>
      </w:r>
      <w:r w:rsidRPr="00810E28">
        <w:rPr>
          <w:sz w:val="16"/>
          <w:szCs w:val="16"/>
        </w:rPr>
        <w:t xml:space="preserve"> Sentencia de 9 de marzo de 2018. Serie C No. 351, párr. 424.</w:t>
      </w:r>
    </w:p>
  </w:footnote>
  <w:footnote w:id="215">
    <w:p w14:paraId="42D14124" w14:textId="5EDEB516" w:rsidR="006B6A4E" w:rsidRPr="00810E28" w:rsidRDefault="006B6A4E" w:rsidP="00810E28">
      <w:pPr>
        <w:tabs>
          <w:tab w:val="left" w:pos="426"/>
        </w:tabs>
        <w:spacing w:before="120"/>
        <w:jc w:val="both"/>
        <w:rPr>
          <w:sz w:val="16"/>
          <w:szCs w:val="16"/>
          <w:lang w:val="es-CR"/>
        </w:rPr>
      </w:pPr>
      <w:r w:rsidRPr="00810E28">
        <w:rPr>
          <w:rStyle w:val="FootnoteReference"/>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 xml:space="preserve">Cfr. Caso Chaparro Álvarez y Lapo Íñiguez Vs. </w:t>
      </w:r>
      <w:r w:rsidRPr="00810E28">
        <w:rPr>
          <w:i/>
          <w:sz w:val="16"/>
          <w:szCs w:val="16"/>
          <w:lang w:val="es-ES"/>
        </w:rPr>
        <w:t xml:space="preserve">Ecuador. </w:t>
      </w:r>
      <w:r w:rsidRPr="00810E28">
        <w:rPr>
          <w:rStyle w:val="Strong"/>
          <w:b w:val="0"/>
          <w:i/>
          <w:sz w:val="16"/>
          <w:szCs w:val="16"/>
          <w:lang w:val="es-ES"/>
        </w:rPr>
        <w:t>Excepciones Preliminares, Fondo, Reparaciones y Costas.</w:t>
      </w:r>
      <w:r w:rsidRPr="00810E28">
        <w:rPr>
          <w:rStyle w:val="Strong"/>
          <w:b w:val="0"/>
          <w:sz w:val="16"/>
          <w:szCs w:val="16"/>
          <w:lang w:val="es-ES"/>
        </w:rPr>
        <w:t xml:space="preserve"> Sentencia de 21 de noviembre de 2007. Serie C No. 170</w:t>
      </w:r>
      <w:r w:rsidRPr="00810E28">
        <w:rPr>
          <w:sz w:val="16"/>
          <w:szCs w:val="16"/>
          <w:lang w:val="es-ES"/>
        </w:rPr>
        <w:t xml:space="preserve">, párr. 277, y </w:t>
      </w:r>
      <w:r w:rsidRPr="00810E28">
        <w:rPr>
          <w:i/>
          <w:sz w:val="16"/>
          <w:szCs w:val="16"/>
          <w:lang w:val="es-CR"/>
        </w:rPr>
        <w:t xml:space="preserve">Caso </w:t>
      </w:r>
      <w:proofErr w:type="spellStart"/>
      <w:r w:rsidRPr="00810E28">
        <w:rPr>
          <w:i/>
          <w:sz w:val="16"/>
          <w:szCs w:val="16"/>
          <w:lang w:val="es-CR"/>
        </w:rPr>
        <w:t>Herzog</w:t>
      </w:r>
      <w:proofErr w:type="spellEnd"/>
      <w:r w:rsidRPr="00810E28">
        <w:rPr>
          <w:i/>
          <w:sz w:val="16"/>
          <w:szCs w:val="16"/>
          <w:lang w:val="es-CR"/>
        </w:rPr>
        <w:t xml:space="preserve"> y otros Vs. Brasil. Excepciones Preliminares, Fondo, Reparaciones y Costas. </w:t>
      </w:r>
      <w:r w:rsidRPr="00810E28">
        <w:rPr>
          <w:sz w:val="16"/>
          <w:szCs w:val="16"/>
          <w:lang w:val="es-CR"/>
        </w:rPr>
        <w:t>Sentencia de 15 de marzo de 2018.Serie C No. 353, párr. 401.</w:t>
      </w:r>
    </w:p>
  </w:footnote>
  <w:footnote w:id="216">
    <w:p w14:paraId="70BCC7E9" w14:textId="1B4EB28C" w:rsidR="006B6A4E" w:rsidRPr="00810E28" w:rsidRDefault="006B6A4E" w:rsidP="00810E28">
      <w:pPr>
        <w:tabs>
          <w:tab w:val="left" w:pos="426"/>
        </w:tabs>
        <w:spacing w:before="120"/>
        <w:jc w:val="both"/>
        <w:rPr>
          <w:sz w:val="16"/>
          <w:szCs w:val="16"/>
          <w:lang w:val="es-ES"/>
        </w:rPr>
      </w:pPr>
      <w:r w:rsidRPr="00810E28">
        <w:rPr>
          <w:rStyle w:val="FootnoteReference"/>
          <w:szCs w:val="16"/>
        </w:rPr>
        <w:footnoteRef/>
      </w:r>
      <w:r w:rsidRPr="00810E28">
        <w:rPr>
          <w:sz w:val="16"/>
          <w:szCs w:val="16"/>
          <w:lang w:val="es-CR"/>
        </w:rPr>
        <w:t xml:space="preserve"> </w:t>
      </w:r>
      <w:r w:rsidRPr="00810E28">
        <w:rPr>
          <w:sz w:val="16"/>
          <w:szCs w:val="16"/>
          <w:lang w:val="es-CR"/>
        </w:rPr>
        <w:tab/>
      </w:r>
      <w:r w:rsidRPr="00810E28">
        <w:rPr>
          <w:i/>
          <w:sz w:val="16"/>
          <w:szCs w:val="16"/>
          <w:lang w:val="es-CR"/>
        </w:rPr>
        <w:t xml:space="preserve">Cfr. Caso </w:t>
      </w:r>
      <w:proofErr w:type="spellStart"/>
      <w:r w:rsidRPr="00810E28">
        <w:rPr>
          <w:i/>
          <w:sz w:val="16"/>
          <w:szCs w:val="16"/>
          <w:lang w:val="es-CR"/>
        </w:rPr>
        <w:t>Ibsen</w:t>
      </w:r>
      <w:proofErr w:type="spellEnd"/>
      <w:r w:rsidRPr="00810E28">
        <w:rPr>
          <w:i/>
          <w:sz w:val="16"/>
          <w:szCs w:val="16"/>
          <w:lang w:val="es-CR"/>
        </w:rPr>
        <w:t xml:space="preserve"> Cárdenas e </w:t>
      </w:r>
      <w:proofErr w:type="spellStart"/>
      <w:r w:rsidRPr="00810E28">
        <w:rPr>
          <w:i/>
          <w:sz w:val="16"/>
          <w:szCs w:val="16"/>
          <w:lang w:val="es-CR"/>
        </w:rPr>
        <w:t>Ibsen</w:t>
      </w:r>
      <w:proofErr w:type="spellEnd"/>
      <w:r w:rsidRPr="00810E28">
        <w:rPr>
          <w:i/>
          <w:sz w:val="16"/>
          <w:szCs w:val="16"/>
          <w:lang w:val="es-CR"/>
        </w:rPr>
        <w:t xml:space="preserve"> Peña Vs. Bolivia. Fondo, Reparaciones y Costas.</w:t>
      </w:r>
      <w:r w:rsidRPr="00810E28">
        <w:rPr>
          <w:sz w:val="16"/>
          <w:szCs w:val="16"/>
          <w:lang w:val="es-CR"/>
        </w:rPr>
        <w:t xml:space="preserve"> Sentencia de 1 de septiembre de 2010. Serie C No. 217, párr. 291, y </w:t>
      </w:r>
      <w:r w:rsidRPr="00810E28">
        <w:rPr>
          <w:i/>
          <w:sz w:val="16"/>
          <w:szCs w:val="16"/>
          <w:lang w:val="es-CR"/>
        </w:rPr>
        <w:t xml:space="preserve">Caso </w:t>
      </w:r>
      <w:proofErr w:type="spellStart"/>
      <w:r w:rsidRPr="00810E28">
        <w:rPr>
          <w:i/>
          <w:sz w:val="16"/>
          <w:szCs w:val="16"/>
          <w:lang w:val="es-CR"/>
        </w:rPr>
        <w:t>Herzog</w:t>
      </w:r>
      <w:proofErr w:type="spellEnd"/>
      <w:r w:rsidRPr="00810E28">
        <w:rPr>
          <w:i/>
          <w:sz w:val="16"/>
          <w:szCs w:val="16"/>
          <w:lang w:val="es-CR"/>
        </w:rPr>
        <w:t xml:space="preserve"> y otros Vs. Brasil. Excepciones Preliminares, Fondo, Reparaciones y Costas. </w:t>
      </w:r>
      <w:r w:rsidRPr="00810E28">
        <w:rPr>
          <w:sz w:val="16"/>
          <w:szCs w:val="16"/>
          <w:lang w:val="es-CR"/>
        </w:rPr>
        <w:t>Sentencia de 15 de marzo de 2018.Serie C No. 353, párr. 40</w:t>
      </w:r>
      <w:r>
        <w:rPr>
          <w:sz w:val="16"/>
          <w:szCs w:val="16"/>
          <w:lang w:val="es-CR"/>
        </w:rPr>
        <w:t>4</w:t>
      </w:r>
      <w:r w:rsidRPr="00810E28">
        <w:rPr>
          <w:sz w:val="16"/>
          <w:szCs w:val="16"/>
          <w:lang w:val="es-CR"/>
        </w:rPr>
        <w:t>.</w:t>
      </w:r>
    </w:p>
  </w:footnote>
  <w:footnote w:id="217">
    <w:p w14:paraId="12FE09F5" w14:textId="250747E3" w:rsidR="006B6A4E" w:rsidRPr="00810E28" w:rsidRDefault="006B6A4E" w:rsidP="00810E28">
      <w:pPr>
        <w:pStyle w:val="FootnoteText"/>
        <w:tabs>
          <w:tab w:val="left" w:pos="426"/>
        </w:tabs>
        <w:spacing w:before="120"/>
        <w:rPr>
          <w:szCs w:val="16"/>
        </w:rPr>
      </w:pPr>
      <w:r w:rsidRPr="00810E28">
        <w:rPr>
          <w:rStyle w:val="FootnoteReference"/>
          <w:szCs w:val="16"/>
        </w:rPr>
        <w:footnoteRef/>
      </w:r>
      <w:r w:rsidRPr="00810E28">
        <w:rPr>
          <w:szCs w:val="16"/>
        </w:rPr>
        <w:t xml:space="preserve">  </w:t>
      </w:r>
      <w:r w:rsidRPr="00810E28">
        <w:rPr>
          <w:szCs w:val="16"/>
        </w:rPr>
        <w:tab/>
      </w:r>
      <w:r w:rsidRPr="00810E28">
        <w:rPr>
          <w:i/>
          <w:szCs w:val="16"/>
        </w:rPr>
        <w:t>Cfr. Caso Comunidad Campesina de Santa Bárbara Vs. Perú. Excepciones Preliminares, fondo, Reparaciones y Costas.</w:t>
      </w:r>
      <w:r w:rsidRPr="00810E28">
        <w:rPr>
          <w:szCs w:val="16"/>
        </w:rPr>
        <w:t xml:space="preserve"> Sentencia de 1 de septiembre de 2015. Serie C No. 299, párr. 355</w:t>
      </w:r>
      <w:r w:rsidRPr="00810E28">
        <w:rPr>
          <w:rStyle w:val="Strong"/>
          <w:b w:val="0"/>
          <w:color w:val="000000"/>
          <w:szCs w:val="16"/>
          <w:shd w:val="clear" w:color="auto" w:fill="FFFFFF"/>
        </w:rPr>
        <w:t xml:space="preserve">, y </w:t>
      </w:r>
      <w:r w:rsidRPr="00810E28">
        <w:rPr>
          <w:rStyle w:val="Strong"/>
          <w:b w:val="0"/>
          <w:i/>
          <w:color w:val="000000"/>
          <w:szCs w:val="16"/>
          <w:shd w:val="clear" w:color="auto" w:fill="FFFFFF"/>
        </w:rPr>
        <w:t>Caso V.R.P., V.P.C. y otros Vs. Nicaragua. Excepciones Preliminares, Fondo, Reparaciones y Costas</w:t>
      </w:r>
      <w:r w:rsidRPr="00810E28">
        <w:rPr>
          <w:rStyle w:val="Strong"/>
          <w:b w:val="0"/>
          <w:color w:val="000000"/>
          <w:szCs w:val="16"/>
          <w:shd w:val="clear" w:color="auto" w:fill="FFFFFF"/>
        </w:rPr>
        <w:t>. Sentencia de 8 de marzo de 2018. Serie C No. 350, párr. 437.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924387556"/>
      <w:docPartObj>
        <w:docPartGallery w:val="Page Numbers (Top of Page)"/>
        <w:docPartUnique/>
      </w:docPartObj>
    </w:sdtPr>
    <w:sdtEndPr>
      <w:rPr>
        <w:rFonts w:ascii="Garamond" w:hAnsi="Garamond"/>
        <w:noProof/>
      </w:rPr>
    </w:sdtEndPr>
    <w:sdtContent>
      <w:p w14:paraId="6441EECD" w14:textId="71564C9A" w:rsidR="006B6A4E" w:rsidRDefault="006B6A4E" w:rsidP="007C3BF1">
        <w:pPr>
          <w:pStyle w:val="Header"/>
          <w:tabs>
            <w:tab w:val="left" w:pos="4425"/>
            <w:tab w:val="center" w:pos="4702"/>
          </w:tabs>
        </w:pPr>
        <w:r w:rsidRPr="007C3BF1">
          <w:rPr>
            <w:rFonts w:ascii="Verdana" w:hAnsi="Verdana"/>
          </w:rPr>
          <w:tab/>
        </w:r>
        <w:r w:rsidRPr="007C3BF1">
          <w:rPr>
            <w:rFonts w:ascii="Verdana" w:hAnsi="Verdana"/>
          </w:rPr>
          <w:tab/>
        </w:r>
        <w:r w:rsidRPr="007C3BF1">
          <w:rPr>
            <w:rFonts w:ascii="Verdana" w:hAnsi="Verdana"/>
          </w:rPr>
          <w:tab/>
        </w:r>
        <w:r w:rsidRPr="007C3BF1">
          <w:rPr>
            <w:rFonts w:ascii="Verdana" w:hAnsi="Verdana"/>
          </w:rPr>
          <w:fldChar w:fldCharType="begin"/>
        </w:r>
        <w:r w:rsidRPr="007C3BF1">
          <w:rPr>
            <w:rFonts w:ascii="Verdana" w:hAnsi="Verdana"/>
          </w:rPr>
          <w:instrText xml:space="preserve"> PAGE   \* MERGEFORMAT </w:instrText>
        </w:r>
        <w:r w:rsidRPr="007C3BF1">
          <w:rPr>
            <w:rFonts w:ascii="Verdana" w:hAnsi="Verdana"/>
          </w:rPr>
          <w:fldChar w:fldCharType="separate"/>
        </w:r>
        <w:r w:rsidR="00087178">
          <w:rPr>
            <w:rFonts w:ascii="Verdana" w:hAnsi="Verdana"/>
            <w:noProof/>
          </w:rPr>
          <w:t>51</w:t>
        </w:r>
        <w:r w:rsidRPr="007C3BF1">
          <w:rPr>
            <w:rFonts w:ascii="Verdana" w:hAnsi="Verdana"/>
            <w:noProof/>
          </w:rPr>
          <w:fldChar w:fldCharType="end"/>
        </w:r>
      </w:p>
    </w:sdtContent>
  </w:sdt>
  <w:p w14:paraId="2B1178E0" w14:textId="77777777" w:rsidR="006B6A4E" w:rsidRDefault="006B6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8D"/>
    <w:multiLevelType w:val="hybridMultilevel"/>
    <w:tmpl w:val="BE8C91BC"/>
    <w:lvl w:ilvl="0" w:tplc="B80C3CFA">
      <w:start w:val="1"/>
      <w:numFmt w:val="decimal"/>
      <w:lvlText w:val="%1."/>
      <w:lvlJc w:val="left"/>
      <w:pPr>
        <w:ind w:left="720" w:hanging="360"/>
      </w:pPr>
      <w:rPr>
        <w:rFonts w:cs="Cambria,Italic"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3F6B66"/>
    <w:multiLevelType w:val="hybridMultilevel"/>
    <w:tmpl w:val="78E0B574"/>
    <w:lvl w:ilvl="0" w:tplc="AC3AE318">
      <w:start w:val="1"/>
      <w:numFmt w:val="decimal"/>
      <w:pStyle w:val="PrrafodeSentencia"/>
      <w:lvlText w:val="%1."/>
      <w:lvlJc w:val="left"/>
      <w:pPr>
        <w:ind w:left="5038" w:hanging="360"/>
      </w:pPr>
      <w:rPr>
        <w:rFonts w:ascii="Verdana" w:hAnsi="Verdana" w:hint="default"/>
        <w:b w:val="0"/>
        <w:i w:val="0"/>
        <w:strike w:val="0"/>
        <w:dstrike w:val="0"/>
        <w:color w:val="auto"/>
        <w:sz w:val="20"/>
        <w:szCs w:val="20"/>
        <w:u w:val="none"/>
        <w:effect w:val="none"/>
        <w:vertAlign w:val="baseline"/>
        <w:lang w:val="es-CR"/>
      </w:rPr>
    </w:lvl>
    <w:lvl w:ilvl="1" w:tplc="05862478">
      <w:start w:val="1"/>
      <w:numFmt w:val="upperLetter"/>
      <w:pStyle w:val="Heading2"/>
      <w:lvlText w:val="%2."/>
      <w:lvlJc w:val="left"/>
      <w:pPr>
        <w:ind w:left="786"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04F138BD"/>
    <w:multiLevelType w:val="hybridMultilevel"/>
    <w:tmpl w:val="E4788452"/>
    <w:lvl w:ilvl="0" w:tplc="DD0803C6">
      <w:start w:val="1"/>
      <w:numFmt w:val="decimal"/>
      <w:lvlText w:val="%1."/>
      <w:lvlJc w:val="left"/>
      <w:pPr>
        <w:ind w:left="720" w:hanging="360"/>
      </w:pPr>
      <w:rPr>
        <w:rFonts w:ascii="Verdana" w:hAnsi="Verdana" w:hint="default"/>
        <w:b w:val="0"/>
        <w:i w:val="0"/>
        <w:strike w:val="0"/>
        <w:color w:val="000000" w:themeColor="text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2C19C3"/>
    <w:multiLevelType w:val="hybridMultilevel"/>
    <w:tmpl w:val="EC02C7A0"/>
    <w:lvl w:ilvl="0" w:tplc="5F3CDC52">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E1C4E26"/>
    <w:multiLevelType w:val="hybridMultilevel"/>
    <w:tmpl w:val="489009B0"/>
    <w:lvl w:ilvl="0" w:tplc="40067148">
      <w:start w:val="1"/>
      <w:numFmt w:val="lowerRoman"/>
      <w:lvlText w:val="%1)"/>
      <w:lvlJc w:val="left"/>
      <w:pPr>
        <w:ind w:left="1080" w:hanging="720"/>
      </w:pPr>
      <w:rPr>
        <w:rFonts w:hint="default"/>
        <w:i/>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B9B135F"/>
    <w:multiLevelType w:val="hybridMultilevel"/>
    <w:tmpl w:val="2AC04E32"/>
    <w:lvl w:ilvl="0" w:tplc="3384DE12">
      <w:start w:val="7"/>
      <w:numFmt w:val="decimal"/>
      <w:lvlText w:val="%1."/>
      <w:lvlJc w:val="left"/>
      <w:pPr>
        <w:ind w:left="786" w:hanging="360"/>
      </w:pPr>
      <w:rPr>
        <w:rFonts w:cs="Cambria,Italic"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nsid w:val="31F837A4"/>
    <w:multiLevelType w:val="hybridMultilevel"/>
    <w:tmpl w:val="CB5041D4"/>
    <w:lvl w:ilvl="0" w:tplc="E642F53A">
      <w:start w:val="1"/>
      <w:numFmt w:val="decimal"/>
      <w:lvlText w:val="%1."/>
      <w:lvlJc w:val="left"/>
      <w:pPr>
        <w:ind w:left="720" w:hanging="360"/>
      </w:pPr>
      <w:rPr>
        <w:rFonts w:ascii="Verdana" w:hAnsi="Verdana" w:hint="default"/>
        <w:b w:val="0"/>
        <w:i w:val="0"/>
        <w:strike w:val="0"/>
        <w:dstrike w:val="0"/>
        <w:color w:val="auto"/>
        <w:sz w:val="18"/>
        <w:szCs w:val="18"/>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C45ED"/>
    <w:multiLevelType w:val="hybridMultilevel"/>
    <w:tmpl w:val="A654691A"/>
    <w:lvl w:ilvl="0" w:tplc="915AB1F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nsid w:val="43B23737"/>
    <w:multiLevelType w:val="hybridMultilevel"/>
    <w:tmpl w:val="E8BC0766"/>
    <w:lvl w:ilvl="0" w:tplc="4140A8E2">
      <w:start w:val="1"/>
      <w:numFmt w:val="decimal"/>
      <w:lvlText w:val="%1."/>
      <w:lvlJc w:val="left"/>
      <w:pPr>
        <w:ind w:left="720" w:hanging="360"/>
      </w:pPr>
      <w:rPr>
        <w:rFonts w:ascii="Verdana" w:hAnsi="Verdana" w:hint="default"/>
        <w:b w:val="0"/>
        <w:i w:val="0"/>
        <w:color w:val="auto"/>
        <w:sz w:val="20"/>
        <w:szCs w:val="20"/>
      </w:rPr>
    </w:lvl>
    <w:lvl w:ilvl="1" w:tplc="140A0001">
      <w:start w:val="1"/>
      <w:numFmt w:val="bullet"/>
      <w:lvlText w:val=""/>
      <w:lvlJc w:val="left"/>
      <w:pPr>
        <w:ind w:left="1440" w:hanging="360"/>
      </w:pPr>
      <w:rPr>
        <w:rFonts w:ascii="Symbol" w:hAnsi="Symbol" w:hint="default"/>
      </w:rPr>
    </w:lvl>
    <w:lvl w:ilvl="2" w:tplc="140A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E3531"/>
    <w:multiLevelType w:val="hybridMultilevel"/>
    <w:tmpl w:val="5490B468"/>
    <w:lvl w:ilvl="0" w:tplc="2A184F22">
      <w:start w:val="15"/>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B537135"/>
    <w:multiLevelType w:val="hybridMultilevel"/>
    <w:tmpl w:val="C25A88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B750916"/>
    <w:multiLevelType w:val="hybridMultilevel"/>
    <w:tmpl w:val="C028712C"/>
    <w:lvl w:ilvl="0" w:tplc="08587E46">
      <w:start w:val="1"/>
      <w:numFmt w:val="upperLetter"/>
      <w:lvlText w:val="%1."/>
      <w:lvlJc w:val="left"/>
      <w:pPr>
        <w:ind w:left="1428" w:hanging="360"/>
      </w:pPr>
      <w:rPr>
        <w:rFonts w:hint="default"/>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4">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D1B5F"/>
    <w:multiLevelType w:val="hybridMultilevel"/>
    <w:tmpl w:val="DC904284"/>
    <w:lvl w:ilvl="0" w:tplc="AA7E235C">
      <w:start w:val="1"/>
      <w:numFmt w:val="decimal"/>
      <w:lvlText w:val="%1."/>
      <w:lvlJc w:val="left"/>
      <w:pPr>
        <w:ind w:left="360" w:hanging="360"/>
      </w:pPr>
      <w:rPr>
        <w:rFonts w:ascii="Verdana" w:eastAsia="Batang" w:hAnsi="Verdana" w:cs="Times"/>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02846DB"/>
    <w:multiLevelType w:val="hybridMultilevel"/>
    <w:tmpl w:val="0A9C6F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2961968"/>
    <w:multiLevelType w:val="hybridMultilevel"/>
    <w:tmpl w:val="7042ED02"/>
    <w:lvl w:ilvl="0" w:tplc="59767836">
      <w:start w:val="1"/>
      <w:numFmt w:val="upperLetter"/>
      <w:lvlText w:val="%1."/>
      <w:lvlJc w:val="left"/>
      <w:pPr>
        <w:ind w:left="1080" w:hanging="360"/>
      </w:pPr>
      <w:rPr>
        <w:rFonts w:hint="default"/>
        <w:b/>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9">
    <w:nsid w:val="585E6161"/>
    <w:multiLevelType w:val="hybridMultilevel"/>
    <w:tmpl w:val="2AC04E32"/>
    <w:lvl w:ilvl="0" w:tplc="3384DE12">
      <w:start w:val="7"/>
      <w:numFmt w:val="decimal"/>
      <w:lvlText w:val="%1."/>
      <w:lvlJc w:val="left"/>
      <w:pPr>
        <w:ind w:left="786" w:hanging="360"/>
      </w:pPr>
      <w:rPr>
        <w:rFonts w:cs="Cambria,Italic"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nsid w:val="59542BA5"/>
    <w:multiLevelType w:val="hybridMultilevel"/>
    <w:tmpl w:val="4664E0FC"/>
    <w:lvl w:ilvl="0" w:tplc="887A47F8">
      <w:start w:val="1"/>
      <w:numFmt w:val="decimal"/>
      <w:lvlText w:val="%1."/>
      <w:lvlJc w:val="left"/>
      <w:pPr>
        <w:ind w:left="72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A8C0434"/>
    <w:multiLevelType w:val="hybridMultilevel"/>
    <w:tmpl w:val="FA5E765A"/>
    <w:lvl w:ilvl="0" w:tplc="D9564908">
      <w:start w:val="1"/>
      <w:numFmt w:val="decimal"/>
      <w:lvlText w:val="%1."/>
      <w:lvlJc w:val="left"/>
      <w:pPr>
        <w:ind w:left="720" w:hanging="360"/>
      </w:pPr>
      <w:rPr>
        <w:b w:val="0"/>
        <w:i w:val="0"/>
        <w:strike w:val="0"/>
        <w:dstrike w:val="0"/>
        <w:sz w:val="20"/>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nsid w:val="5D9A154B"/>
    <w:multiLevelType w:val="hybridMultilevel"/>
    <w:tmpl w:val="857ED6CC"/>
    <w:lvl w:ilvl="0" w:tplc="DE46B00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DDB6DC6"/>
    <w:multiLevelType w:val="hybridMultilevel"/>
    <w:tmpl w:val="456EF242"/>
    <w:lvl w:ilvl="0" w:tplc="53A8DD5C">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0"/>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F8D3F8F"/>
    <w:multiLevelType w:val="hybridMultilevel"/>
    <w:tmpl w:val="EC02C7A0"/>
    <w:lvl w:ilvl="0" w:tplc="5F3CDC5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7"/>
  </w:num>
  <w:num w:numId="4">
    <w:abstractNumId w:val="9"/>
  </w:num>
  <w:num w:numId="5">
    <w:abstractNumId w:val="24"/>
  </w:num>
  <w:num w:numId="6">
    <w:abstractNumId w:val="14"/>
  </w:num>
  <w:num w:numId="7">
    <w:abstractNumId w:val="18"/>
  </w:num>
  <w:num w:numId="8">
    <w:abstractNumId w:val="25"/>
  </w:num>
  <w:num w:numId="9">
    <w:abstractNumId w:val="1"/>
    <w:lvlOverride w:ilvl="0">
      <w:startOverride w:val="1"/>
    </w:lvlOverride>
    <w:lvlOverride w:ilvl="1">
      <w:startOverride w:val="2"/>
    </w:lvlOverride>
  </w:num>
  <w:num w:numId="10">
    <w:abstractNumId w:val="13"/>
  </w:num>
  <w:num w:numId="11">
    <w:abstractNumId w:val="0"/>
  </w:num>
  <w:num w:numId="12">
    <w:abstractNumId w:val="6"/>
  </w:num>
  <w:num w:numId="13">
    <w:abstractNumId w:val="12"/>
  </w:num>
  <w:num w:numId="14">
    <w:abstractNumId w:val="10"/>
  </w:num>
  <w:num w:numId="15">
    <w:abstractNumId w:val="5"/>
  </w:num>
  <w:num w:numId="16">
    <w:abstractNumId w:val="1"/>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20"/>
  </w:num>
  <w:num w:numId="21">
    <w:abstractNumId w:val="11"/>
  </w:num>
  <w:num w:numId="22">
    <w:abstractNumId w:val="17"/>
  </w:num>
  <w:num w:numId="23">
    <w:abstractNumId w:val="23"/>
  </w:num>
  <w:num w:numId="24">
    <w:abstractNumId w:val="22"/>
  </w:num>
  <w:num w:numId="25">
    <w:abstractNumId w:val="4"/>
  </w:num>
  <w:num w:numId="26">
    <w:abstractNumId w:va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
  </w:num>
  <w:num w:numId="30">
    <w:abstractNumId w:val="2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72"/>
    <w:rsid w:val="00001E89"/>
    <w:rsid w:val="00002BD0"/>
    <w:rsid w:val="00003139"/>
    <w:rsid w:val="0000396E"/>
    <w:rsid w:val="00003B41"/>
    <w:rsid w:val="00015EB0"/>
    <w:rsid w:val="00016691"/>
    <w:rsid w:val="00016941"/>
    <w:rsid w:val="00017B2C"/>
    <w:rsid w:val="00020F4D"/>
    <w:rsid w:val="000219F9"/>
    <w:rsid w:val="00023CE0"/>
    <w:rsid w:val="000248EC"/>
    <w:rsid w:val="0002679E"/>
    <w:rsid w:val="0002708C"/>
    <w:rsid w:val="00030251"/>
    <w:rsid w:val="00034569"/>
    <w:rsid w:val="00035ABF"/>
    <w:rsid w:val="00036315"/>
    <w:rsid w:val="0004233D"/>
    <w:rsid w:val="00043075"/>
    <w:rsid w:val="00046794"/>
    <w:rsid w:val="00050F90"/>
    <w:rsid w:val="00057E9A"/>
    <w:rsid w:val="00065ADD"/>
    <w:rsid w:val="000678D2"/>
    <w:rsid w:val="00074C14"/>
    <w:rsid w:val="000752DF"/>
    <w:rsid w:val="00076E7B"/>
    <w:rsid w:val="0007758F"/>
    <w:rsid w:val="00077ADB"/>
    <w:rsid w:val="00080F7C"/>
    <w:rsid w:val="0008242D"/>
    <w:rsid w:val="00082963"/>
    <w:rsid w:val="00083416"/>
    <w:rsid w:val="00085120"/>
    <w:rsid w:val="00085807"/>
    <w:rsid w:val="00087178"/>
    <w:rsid w:val="000871D6"/>
    <w:rsid w:val="00087892"/>
    <w:rsid w:val="00092C1D"/>
    <w:rsid w:val="00097F6A"/>
    <w:rsid w:val="000A2FCD"/>
    <w:rsid w:val="000A3DBD"/>
    <w:rsid w:val="000B0480"/>
    <w:rsid w:val="000B1960"/>
    <w:rsid w:val="000B3B78"/>
    <w:rsid w:val="000B46FB"/>
    <w:rsid w:val="000B6265"/>
    <w:rsid w:val="000B7B04"/>
    <w:rsid w:val="000C2070"/>
    <w:rsid w:val="000C5050"/>
    <w:rsid w:val="000C716B"/>
    <w:rsid w:val="000D146B"/>
    <w:rsid w:val="000D14B6"/>
    <w:rsid w:val="000D1A0F"/>
    <w:rsid w:val="000D3EE7"/>
    <w:rsid w:val="000D6AEB"/>
    <w:rsid w:val="000E52D3"/>
    <w:rsid w:val="000E5E07"/>
    <w:rsid w:val="000F16E1"/>
    <w:rsid w:val="000F2E65"/>
    <w:rsid w:val="000F4135"/>
    <w:rsid w:val="00100230"/>
    <w:rsid w:val="0010144B"/>
    <w:rsid w:val="00102A7A"/>
    <w:rsid w:val="00102F0D"/>
    <w:rsid w:val="0010437B"/>
    <w:rsid w:val="00105260"/>
    <w:rsid w:val="00105629"/>
    <w:rsid w:val="00106B7D"/>
    <w:rsid w:val="00106FFE"/>
    <w:rsid w:val="001100EA"/>
    <w:rsid w:val="0011186E"/>
    <w:rsid w:val="00111CC9"/>
    <w:rsid w:val="00113E3B"/>
    <w:rsid w:val="001148DB"/>
    <w:rsid w:val="001157C2"/>
    <w:rsid w:val="00115A70"/>
    <w:rsid w:val="0011736B"/>
    <w:rsid w:val="00126084"/>
    <w:rsid w:val="0012781B"/>
    <w:rsid w:val="001322C8"/>
    <w:rsid w:val="001337BA"/>
    <w:rsid w:val="00140E15"/>
    <w:rsid w:val="001415AA"/>
    <w:rsid w:val="001446C9"/>
    <w:rsid w:val="00144914"/>
    <w:rsid w:val="00145D6A"/>
    <w:rsid w:val="0015351C"/>
    <w:rsid w:val="001577EC"/>
    <w:rsid w:val="0016282D"/>
    <w:rsid w:val="001636CE"/>
    <w:rsid w:val="001710E5"/>
    <w:rsid w:val="00171323"/>
    <w:rsid w:val="00171B63"/>
    <w:rsid w:val="0017366C"/>
    <w:rsid w:val="001864CE"/>
    <w:rsid w:val="001872C6"/>
    <w:rsid w:val="00192200"/>
    <w:rsid w:val="0019271E"/>
    <w:rsid w:val="00192825"/>
    <w:rsid w:val="0019385F"/>
    <w:rsid w:val="00196562"/>
    <w:rsid w:val="00196F44"/>
    <w:rsid w:val="001A5C17"/>
    <w:rsid w:val="001A620D"/>
    <w:rsid w:val="001B0808"/>
    <w:rsid w:val="001B7ACC"/>
    <w:rsid w:val="001C2405"/>
    <w:rsid w:val="001C44EE"/>
    <w:rsid w:val="001D259E"/>
    <w:rsid w:val="001D47C6"/>
    <w:rsid w:val="001D4864"/>
    <w:rsid w:val="001D5861"/>
    <w:rsid w:val="001F0E21"/>
    <w:rsid w:val="001F152C"/>
    <w:rsid w:val="001F3AB0"/>
    <w:rsid w:val="001F4245"/>
    <w:rsid w:val="001F42BD"/>
    <w:rsid w:val="001F459D"/>
    <w:rsid w:val="001F4835"/>
    <w:rsid w:val="001F5EBE"/>
    <w:rsid w:val="002047FE"/>
    <w:rsid w:val="00204D73"/>
    <w:rsid w:val="00205962"/>
    <w:rsid w:val="0020664B"/>
    <w:rsid w:val="00210FCE"/>
    <w:rsid w:val="00215C5D"/>
    <w:rsid w:val="002167B6"/>
    <w:rsid w:val="002168C0"/>
    <w:rsid w:val="00223993"/>
    <w:rsid w:val="00230053"/>
    <w:rsid w:val="00231CFC"/>
    <w:rsid w:val="0023683C"/>
    <w:rsid w:val="00237E5E"/>
    <w:rsid w:val="0024014A"/>
    <w:rsid w:val="00251E26"/>
    <w:rsid w:val="0025379F"/>
    <w:rsid w:val="00253BD2"/>
    <w:rsid w:val="002620D2"/>
    <w:rsid w:val="00270193"/>
    <w:rsid w:val="00270E99"/>
    <w:rsid w:val="00274174"/>
    <w:rsid w:val="0027455C"/>
    <w:rsid w:val="00276102"/>
    <w:rsid w:val="0027656D"/>
    <w:rsid w:val="00280EF8"/>
    <w:rsid w:val="00282E5B"/>
    <w:rsid w:val="00290AD3"/>
    <w:rsid w:val="002966FA"/>
    <w:rsid w:val="002A0B01"/>
    <w:rsid w:val="002A23A5"/>
    <w:rsid w:val="002A547A"/>
    <w:rsid w:val="002A601A"/>
    <w:rsid w:val="002B1B46"/>
    <w:rsid w:val="002B6F25"/>
    <w:rsid w:val="002C2B30"/>
    <w:rsid w:val="002C3990"/>
    <w:rsid w:val="002C645B"/>
    <w:rsid w:val="002D3FAA"/>
    <w:rsid w:val="002E0886"/>
    <w:rsid w:val="002E1B01"/>
    <w:rsid w:val="002E2131"/>
    <w:rsid w:val="002E443C"/>
    <w:rsid w:val="002E4A26"/>
    <w:rsid w:val="002F0D77"/>
    <w:rsid w:val="002F678F"/>
    <w:rsid w:val="00305548"/>
    <w:rsid w:val="0030594A"/>
    <w:rsid w:val="00306DB9"/>
    <w:rsid w:val="00312F01"/>
    <w:rsid w:val="003132E7"/>
    <w:rsid w:val="003147B0"/>
    <w:rsid w:val="003158E8"/>
    <w:rsid w:val="003223CB"/>
    <w:rsid w:val="00325E57"/>
    <w:rsid w:val="00326F12"/>
    <w:rsid w:val="00327E7C"/>
    <w:rsid w:val="00337EBE"/>
    <w:rsid w:val="00346CF7"/>
    <w:rsid w:val="00346D86"/>
    <w:rsid w:val="0034724F"/>
    <w:rsid w:val="00353A35"/>
    <w:rsid w:val="003573EF"/>
    <w:rsid w:val="003633D2"/>
    <w:rsid w:val="00365120"/>
    <w:rsid w:val="00375D66"/>
    <w:rsid w:val="00377696"/>
    <w:rsid w:val="00377DE7"/>
    <w:rsid w:val="00380422"/>
    <w:rsid w:val="00385F7B"/>
    <w:rsid w:val="00386041"/>
    <w:rsid w:val="003879A4"/>
    <w:rsid w:val="00390F27"/>
    <w:rsid w:val="0039280A"/>
    <w:rsid w:val="00395F27"/>
    <w:rsid w:val="003A07F0"/>
    <w:rsid w:val="003A39DF"/>
    <w:rsid w:val="003A4C04"/>
    <w:rsid w:val="003A6D25"/>
    <w:rsid w:val="003B5CEB"/>
    <w:rsid w:val="003B5F78"/>
    <w:rsid w:val="003B7122"/>
    <w:rsid w:val="003C3DAC"/>
    <w:rsid w:val="003C4991"/>
    <w:rsid w:val="003C52A6"/>
    <w:rsid w:val="003D30F6"/>
    <w:rsid w:val="003D7D89"/>
    <w:rsid w:val="003E1EF7"/>
    <w:rsid w:val="003E401B"/>
    <w:rsid w:val="003E4D1B"/>
    <w:rsid w:val="003E5472"/>
    <w:rsid w:val="003F38A0"/>
    <w:rsid w:val="003F421D"/>
    <w:rsid w:val="003F49F8"/>
    <w:rsid w:val="003F4A7E"/>
    <w:rsid w:val="00402DCB"/>
    <w:rsid w:val="004108C8"/>
    <w:rsid w:val="00412EFC"/>
    <w:rsid w:val="00416CD1"/>
    <w:rsid w:val="00416FEF"/>
    <w:rsid w:val="0042044C"/>
    <w:rsid w:val="004213B4"/>
    <w:rsid w:val="004245F3"/>
    <w:rsid w:val="00427C49"/>
    <w:rsid w:val="004341BD"/>
    <w:rsid w:val="00440C5C"/>
    <w:rsid w:val="00442D2C"/>
    <w:rsid w:val="00443FED"/>
    <w:rsid w:val="00446CE4"/>
    <w:rsid w:val="00452C41"/>
    <w:rsid w:val="00456DB8"/>
    <w:rsid w:val="00461A6E"/>
    <w:rsid w:val="00462C63"/>
    <w:rsid w:val="00466B67"/>
    <w:rsid w:val="00471C3C"/>
    <w:rsid w:val="004720A2"/>
    <w:rsid w:val="004720D6"/>
    <w:rsid w:val="00472BD3"/>
    <w:rsid w:val="00473B31"/>
    <w:rsid w:val="00475E9D"/>
    <w:rsid w:val="00482821"/>
    <w:rsid w:val="00483A77"/>
    <w:rsid w:val="00483D26"/>
    <w:rsid w:val="00492DA7"/>
    <w:rsid w:val="00493769"/>
    <w:rsid w:val="00497435"/>
    <w:rsid w:val="00497E03"/>
    <w:rsid w:val="004A318F"/>
    <w:rsid w:val="004A481A"/>
    <w:rsid w:val="004A60D0"/>
    <w:rsid w:val="004B4490"/>
    <w:rsid w:val="004B71E6"/>
    <w:rsid w:val="004C0EB6"/>
    <w:rsid w:val="004C20A3"/>
    <w:rsid w:val="004C7E2C"/>
    <w:rsid w:val="004D1055"/>
    <w:rsid w:val="004D2E4F"/>
    <w:rsid w:val="004D4928"/>
    <w:rsid w:val="004D6480"/>
    <w:rsid w:val="004E080C"/>
    <w:rsid w:val="004E5757"/>
    <w:rsid w:val="004F1606"/>
    <w:rsid w:val="004F2631"/>
    <w:rsid w:val="004F34DB"/>
    <w:rsid w:val="004F43BA"/>
    <w:rsid w:val="005033F4"/>
    <w:rsid w:val="00507248"/>
    <w:rsid w:val="00512ECC"/>
    <w:rsid w:val="00514600"/>
    <w:rsid w:val="0051519F"/>
    <w:rsid w:val="00521B74"/>
    <w:rsid w:val="0052662C"/>
    <w:rsid w:val="005354D8"/>
    <w:rsid w:val="00537A85"/>
    <w:rsid w:val="00541F10"/>
    <w:rsid w:val="00542C61"/>
    <w:rsid w:val="005430DF"/>
    <w:rsid w:val="005461E0"/>
    <w:rsid w:val="005464E4"/>
    <w:rsid w:val="00546BDF"/>
    <w:rsid w:val="00547A50"/>
    <w:rsid w:val="00552103"/>
    <w:rsid w:val="0055217A"/>
    <w:rsid w:val="0055348C"/>
    <w:rsid w:val="00553A9E"/>
    <w:rsid w:val="00560E51"/>
    <w:rsid w:val="00560EEA"/>
    <w:rsid w:val="005618AB"/>
    <w:rsid w:val="00563AB9"/>
    <w:rsid w:val="005674A9"/>
    <w:rsid w:val="00570AFB"/>
    <w:rsid w:val="0057281C"/>
    <w:rsid w:val="00576C3A"/>
    <w:rsid w:val="00576E66"/>
    <w:rsid w:val="00577B95"/>
    <w:rsid w:val="00581723"/>
    <w:rsid w:val="0058233A"/>
    <w:rsid w:val="005833CE"/>
    <w:rsid w:val="00584690"/>
    <w:rsid w:val="00585A8D"/>
    <w:rsid w:val="00587F72"/>
    <w:rsid w:val="00596A82"/>
    <w:rsid w:val="005A23F8"/>
    <w:rsid w:val="005A3EFB"/>
    <w:rsid w:val="005A5080"/>
    <w:rsid w:val="005A6182"/>
    <w:rsid w:val="005A7B05"/>
    <w:rsid w:val="005C09F1"/>
    <w:rsid w:val="005C2F76"/>
    <w:rsid w:val="005D0196"/>
    <w:rsid w:val="005D15F5"/>
    <w:rsid w:val="005D5351"/>
    <w:rsid w:val="005E1F87"/>
    <w:rsid w:val="005E42DE"/>
    <w:rsid w:val="005E5616"/>
    <w:rsid w:val="005E57D9"/>
    <w:rsid w:val="005E6FFB"/>
    <w:rsid w:val="005F1278"/>
    <w:rsid w:val="005F2B69"/>
    <w:rsid w:val="005F58FC"/>
    <w:rsid w:val="005F5A76"/>
    <w:rsid w:val="005F6A9B"/>
    <w:rsid w:val="005F7F26"/>
    <w:rsid w:val="00602E69"/>
    <w:rsid w:val="0060314C"/>
    <w:rsid w:val="00605429"/>
    <w:rsid w:val="006064BD"/>
    <w:rsid w:val="00611434"/>
    <w:rsid w:val="00612BA7"/>
    <w:rsid w:val="00616522"/>
    <w:rsid w:val="0061796D"/>
    <w:rsid w:val="006275CF"/>
    <w:rsid w:val="00627CF2"/>
    <w:rsid w:val="00633A9F"/>
    <w:rsid w:val="00633F6E"/>
    <w:rsid w:val="0063495B"/>
    <w:rsid w:val="00636759"/>
    <w:rsid w:val="00636CCC"/>
    <w:rsid w:val="00650284"/>
    <w:rsid w:val="00650A66"/>
    <w:rsid w:val="006521B6"/>
    <w:rsid w:val="006541DE"/>
    <w:rsid w:val="00657922"/>
    <w:rsid w:val="00663CE3"/>
    <w:rsid w:val="006657C7"/>
    <w:rsid w:val="0066728F"/>
    <w:rsid w:val="00667A3D"/>
    <w:rsid w:val="00673434"/>
    <w:rsid w:val="00676374"/>
    <w:rsid w:val="006766F4"/>
    <w:rsid w:val="00677BC5"/>
    <w:rsid w:val="0068327B"/>
    <w:rsid w:val="00683A47"/>
    <w:rsid w:val="0068724F"/>
    <w:rsid w:val="00690161"/>
    <w:rsid w:val="006911E7"/>
    <w:rsid w:val="006918CA"/>
    <w:rsid w:val="00691F3F"/>
    <w:rsid w:val="006939BE"/>
    <w:rsid w:val="00694E16"/>
    <w:rsid w:val="006A556E"/>
    <w:rsid w:val="006A6B8D"/>
    <w:rsid w:val="006A75FC"/>
    <w:rsid w:val="006A7C1C"/>
    <w:rsid w:val="006B0986"/>
    <w:rsid w:val="006B4777"/>
    <w:rsid w:val="006B6A4E"/>
    <w:rsid w:val="006B6D9F"/>
    <w:rsid w:val="006B71A6"/>
    <w:rsid w:val="006C1E6F"/>
    <w:rsid w:val="006C2579"/>
    <w:rsid w:val="006C2913"/>
    <w:rsid w:val="006C43D5"/>
    <w:rsid w:val="006D0A35"/>
    <w:rsid w:val="006D1784"/>
    <w:rsid w:val="006D1FEC"/>
    <w:rsid w:val="006D359A"/>
    <w:rsid w:val="006D37DC"/>
    <w:rsid w:val="006D512F"/>
    <w:rsid w:val="006E1C8E"/>
    <w:rsid w:val="006E41D6"/>
    <w:rsid w:val="006E595D"/>
    <w:rsid w:val="006E6869"/>
    <w:rsid w:val="00702304"/>
    <w:rsid w:val="00706EB3"/>
    <w:rsid w:val="00714422"/>
    <w:rsid w:val="00726DDC"/>
    <w:rsid w:val="00727BEC"/>
    <w:rsid w:val="00730E98"/>
    <w:rsid w:val="007312EE"/>
    <w:rsid w:val="00733E9C"/>
    <w:rsid w:val="00736973"/>
    <w:rsid w:val="007370BA"/>
    <w:rsid w:val="0074179C"/>
    <w:rsid w:val="00755C81"/>
    <w:rsid w:val="00757CA9"/>
    <w:rsid w:val="00760ACF"/>
    <w:rsid w:val="007708B0"/>
    <w:rsid w:val="00770C67"/>
    <w:rsid w:val="0077409E"/>
    <w:rsid w:val="007753D2"/>
    <w:rsid w:val="007764F9"/>
    <w:rsid w:val="00776A2F"/>
    <w:rsid w:val="00777C5D"/>
    <w:rsid w:val="00780A90"/>
    <w:rsid w:val="00781FEA"/>
    <w:rsid w:val="00784491"/>
    <w:rsid w:val="00784A2E"/>
    <w:rsid w:val="00785857"/>
    <w:rsid w:val="007976D6"/>
    <w:rsid w:val="007B31AA"/>
    <w:rsid w:val="007B39CF"/>
    <w:rsid w:val="007B43BB"/>
    <w:rsid w:val="007B6706"/>
    <w:rsid w:val="007C00B2"/>
    <w:rsid w:val="007C3BF1"/>
    <w:rsid w:val="007C4645"/>
    <w:rsid w:val="007C491B"/>
    <w:rsid w:val="007C763B"/>
    <w:rsid w:val="007D0D86"/>
    <w:rsid w:val="007D1915"/>
    <w:rsid w:val="007E022C"/>
    <w:rsid w:val="007E1C35"/>
    <w:rsid w:val="007E2805"/>
    <w:rsid w:val="007E4798"/>
    <w:rsid w:val="007F5F2C"/>
    <w:rsid w:val="007F6C54"/>
    <w:rsid w:val="007F7C76"/>
    <w:rsid w:val="0080066E"/>
    <w:rsid w:val="00800A3A"/>
    <w:rsid w:val="00800B1D"/>
    <w:rsid w:val="0080376B"/>
    <w:rsid w:val="00805805"/>
    <w:rsid w:val="00810E28"/>
    <w:rsid w:val="0081287A"/>
    <w:rsid w:val="0081350B"/>
    <w:rsid w:val="00814B5D"/>
    <w:rsid w:val="00815550"/>
    <w:rsid w:val="00816E15"/>
    <w:rsid w:val="008208B3"/>
    <w:rsid w:val="0082539D"/>
    <w:rsid w:val="00825A6A"/>
    <w:rsid w:val="00833016"/>
    <w:rsid w:val="00833A54"/>
    <w:rsid w:val="008369F9"/>
    <w:rsid w:val="008374E2"/>
    <w:rsid w:val="00841A80"/>
    <w:rsid w:val="00842F43"/>
    <w:rsid w:val="00843D06"/>
    <w:rsid w:val="00844D63"/>
    <w:rsid w:val="0084698D"/>
    <w:rsid w:val="008479F6"/>
    <w:rsid w:val="00847C4F"/>
    <w:rsid w:val="00855D9E"/>
    <w:rsid w:val="008567B6"/>
    <w:rsid w:val="00866702"/>
    <w:rsid w:val="00866BF2"/>
    <w:rsid w:val="0087200B"/>
    <w:rsid w:val="0087492B"/>
    <w:rsid w:val="00877AC1"/>
    <w:rsid w:val="008830E3"/>
    <w:rsid w:val="0088348D"/>
    <w:rsid w:val="00883CFF"/>
    <w:rsid w:val="00884F48"/>
    <w:rsid w:val="008870CD"/>
    <w:rsid w:val="008900CC"/>
    <w:rsid w:val="00892866"/>
    <w:rsid w:val="0089525E"/>
    <w:rsid w:val="008A09FA"/>
    <w:rsid w:val="008A1266"/>
    <w:rsid w:val="008A18DC"/>
    <w:rsid w:val="008A2A16"/>
    <w:rsid w:val="008A30B1"/>
    <w:rsid w:val="008A575D"/>
    <w:rsid w:val="008B108A"/>
    <w:rsid w:val="008B186A"/>
    <w:rsid w:val="008B69C6"/>
    <w:rsid w:val="008D7713"/>
    <w:rsid w:val="008E3361"/>
    <w:rsid w:val="008E4B03"/>
    <w:rsid w:val="008E4EEF"/>
    <w:rsid w:val="008E6807"/>
    <w:rsid w:val="008F0271"/>
    <w:rsid w:val="008F21AF"/>
    <w:rsid w:val="008F379A"/>
    <w:rsid w:val="008F6091"/>
    <w:rsid w:val="008F7660"/>
    <w:rsid w:val="00902597"/>
    <w:rsid w:val="00912E9E"/>
    <w:rsid w:val="00913F68"/>
    <w:rsid w:val="0091765C"/>
    <w:rsid w:val="00920A66"/>
    <w:rsid w:val="00923A9B"/>
    <w:rsid w:val="00923B01"/>
    <w:rsid w:val="00924748"/>
    <w:rsid w:val="009262AA"/>
    <w:rsid w:val="00926E10"/>
    <w:rsid w:val="00927E31"/>
    <w:rsid w:val="009301B6"/>
    <w:rsid w:val="00930E08"/>
    <w:rsid w:val="00931AFA"/>
    <w:rsid w:val="0093370D"/>
    <w:rsid w:val="0093373A"/>
    <w:rsid w:val="009434EB"/>
    <w:rsid w:val="00950EC4"/>
    <w:rsid w:val="00954158"/>
    <w:rsid w:val="009563E3"/>
    <w:rsid w:val="00956982"/>
    <w:rsid w:val="00956CDE"/>
    <w:rsid w:val="00957FA0"/>
    <w:rsid w:val="0096285E"/>
    <w:rsid w:val="00963A58"/>
    <w:rsid w:val="009655EB"/>
    <w:rsid w:val="009674FE"/>
    <w:rsid w:val="00972997"/>
    <w:rsid w:val="0097335D"/>
    <w:rsid w:val="00973C8C"/>
    <w:rsid w:val="009749FF"/>
    <w:rsid w:val="00975915"/>
    <w:rsid w:val="00977B5E"/>
    <w:rsid w:val="00981DBB"/>
    <w:rsid w:val="00981EF0"/>
    <w:rsid w:val="00983529"/>
    <w:rsid w:val="00987121"/>
    <w:rsid w:val="00990FCA"/>
    <w:rsid w:val="00993E87"/>
    <w:rsid w:val="00997CE8"/>
    <w:rsid w:val="00997F58"/>
    <w:rsid w:val="009A4700"/>
    <w:rsid w:val="009B1BB1"/>
    <w:rsid w:val="009B625C"/>
    <w:rsid w:val="009C27B1"/>
    <w:rsid w:val="009C7778"/>
    <w:rsid w:val="009D0B7B"/>
    <w:rsid w:val="009D2099"/>
    <w:rsid w:val="009D2481"/>
    <w:rsid w:val="009E0BB4"/>
    <w:rsid w:val="009E188E"/>
    <w:rsid w:val="009E3E87"/>
    <w:rsid w:val="009E3F6C"/>
    <w:rsid w:val="009E4659"/>
    <w:rsid w:val="009E633A"/>
    <w:rsid w:val="009E7F5E"/>
    <w:rsid w:val="009F4BD9"/>
    <w:rsid w:val="009F643C"/>
    <w:rsid w:val="009F7500"/>
    <w:rsid w:val="00A01300"/>
    <w:rsid w:val="00A02D5C"/>
    <w:rsid w:val="00A03141"/>
    <w:rsid w:val="00A041E1"/>
    <w:rsid w:val="00A0601D"/>
    <w:rsid w:val="00A06030"/>
    <w:rsid w:val="00A06181"/>
    <w:rsid w:val="00A061C2"/>
    <w:rsid w:val="00A10C7E"/>
    <w:rsid w:val="00A11630"/>
    <w:rsid w:val="00A127F5"/>
    <w:rsid w:val="00A12C77"/>
    <w:rsid w:val="00A14D78"/>
    <w:rsid w:val="00A16F19"/>
    <w:rsid w:val="00A2065C"/>
    <w:rsid w:val="00A2442A"/>
    <w:rsid w:val="00A25CAF"/>
    <w:rsid w:val="00A26F1C"/>
    <w:rsid w:val="00A27C3A"/>
    <w:rsid w:val="00A305D8"/>
    <w:rsid w:val="00A31365"/>
    <w:rsid w:val="00A323CE"/>
    <w:rsid w:val="00A331C6"/>
    <w:rsid w:val="00A342D6"/>
    <w:rsid w:val="00A354C0"/>
    <w:rsid w:val="00A37D58"/>
    <w:rsid w:val="00A46C75"/>
    <w:rsid w:val="00A47A0B"/>
    <w:rsid w:val="00A61090"/>
    <w:rsid w:val="00A61952"/>
    <w:rsid w:val="00A62E34"/>
    <w:rsid w:val="00A66EE2"/>
    <w:rsid w:val="00A70A17"/>
    <w:rsid w:val="00A71F8C"/>
    <w:rsid w:val="00A72439"/>
    <w:rsid w:val="00A77B02"/>
    <w:rsid w:val="00A77B36"/>
    <w:rsid w:val="00A81124"/>
    <w:rsid w:val="00A83F0B"/>
    <w:rsid w:val="00A8500B"/>
    <w:rsid w:val="00A86DAF"/>
    <w:rsid w:val="00AA0150"/>
    <w:rsid w:val="00AA029F"/>
    <w:rsid w:val="00AA06FB"/>
    <w:rsid w:val="00AA2727"/>
    <w:rsid w:val="00AA4440"/>
    <w:rsid w:val="00AA69FA"/>
    <w:rsid w:val="00AB0DA7"/>
    <w:rsid w:val="00AB0F93"/>
    <w:rsid w:val="00AB2739"/>
    <w:rsid w:val="00AB4690"/>
    <w:rsid w:val="00AB6132"/>
    <w:rsid w:val="00AC0AD5"/>
    <w:rsid w:val="00AC143A"/>
    <w:rsid w:val="00AC38B1"/>
    <w:rsid w:val="00AC5E63"/>
    <w:rsid w:val="00AD1616"/>
    <w:rsid w:val="00AD164A"/>
    <w:rsid w:val="00AD3160"/>
    <w:rsid w:val="00AE0B24"/>
    <w:rsid w:val="00AE21A0"/>
    <w:rsid w:val="00AE4261"/>
    <w:rsid w:val="00AE6764"/>
    <w:rsid w:val="00AE7AEE"/>
    <w:rsid w:val="00AF14F2"/>
    <w:rsid w:val="00AF2328"/>
    <w:rsid w:val="00AF3158"/>
    <w:rsid w:val="00AF4396"/>
    <w:rsid w:val="00AF5FEB"/>
    <w:rsid w:val="00B066B1"/>
    <w:rsid w:val="00B25C85"/>
    <w:rsid w:val="00B31DE4"/>
    <w:rsid w:val="00B36A25"/>
    <w:rsid w:val="00B42BFB"/>
    <w:rsid w:val="00B446AF"/>
    <w:rsid w:val="00B51034"/>
    <w:rsid w:val="00B5160D"/>
    <w:rsid w:val="00B53177"/>
    <w:rsid w:val="00B542F7"/>
    <w:rsid w:val="00B629F1"/>
    <w:rsid w:val="00B62CFD"/>
    <w:rsid w:val="00B63B0C"/>
    <w:rsid w:val="00B751A5"/>
    <w:rsid w:val="00B8286B"/>
    <w:rsid w:val="00B90C83"/>
    <w:rsid w:val="00B911E7"/>
    <w:rsid w:val="00B9149A"/>
    <w:rsid w:val="00B92F82"/>
    <w:rsid w:val="00B93505"/>
    <w:rsid w:val="00B93757"/>
    <w:rsid w:val="00B94F7B"/>
    <w:rsid w:val="00B96AA0"/>
    <w:rsid w:val="00BA0261"/>
    <w:rsid w:val="00BB2976"/>
    <w:rsid w:val="00BB2CB4"/>
    <w:rsid w:val="00BC0586"/>
    <w:rsid w:val="00BC552A"/>
    <w:rsid w:val="00BC7716"/>
    <w:rsid w:val="00BD46A2"/>
    <w:rsid w:val="00BD6573"/>
    <w:rsid w:val="00BE0517"/>
    <w:rsid w:val="00BE29A5"/>
    <w:rsid w:val="00BE2E89"/>
    <w:rsid w:val="00BE6BAF"/>
    <w:rsid w:val="00BF199D"/>
    <w:rsid w:val="00BF3DDB"/>
    <w:rsid w:val="00BF670E"/>
    <w:rsid w:val="00BF6D8F"/>
    <w:rsid w:val="00C03B9E"/>
    <w:rsid w:val="00C06728"/>
    <w:rsid w:val="00C06916"/>
    <w:rsid w:val="00C06FF7"/>
    <w:rsid w:val="00C127AB"/>
    <w:rsid w:val="00C13DBF"/>
    <w:rsid w:val="00C13E01"/>
    <w:rsid w:val="00C14FBA"/>
    <w:rsid w:val="00C16118"/>
    <w:rsid w:val="00C2142F"/>
    <w:rsid w:val="00C22E55"/>
    <w:rsid w:val="00C234C2"/>
    <w:rsid w:val="00C30979"/>
    <w:rsid w:val="00C32EA2"/>
    <w:rsid w:val="00C346B1"/>
    <w:rsid w:val="00C36F9C"/>
    <w:rsid w:val="00C37E99"/>
    <w:rsid w:val="00C40039"/>
    <w:rsid w:val="00C40D6B"/>
    <w:rsid w:val="00C417D4"/>
    <w:rsid w:val="00C43B82"/>
    <w:rsid w:val="00C45A6C"/>
    <w:rsid w:val="00C46ED6"/>
    <w:rsid w:val="00C53A50"/>
    <w:rsid w:val="00C5693B"/>
    <w:rsid w:val="00C5743E"/>
    <w:rsid w:val="00C62987"/>
    <w:rsid w:val="00C7108A"/>
    <w:rsid w:val="00C73DD0"/>
    <w:rsid w:val="00C77B7F"/>
    <w:rsid w:val="00C804DA"/>
    <w:rsid w:val="00C91112"/>
    <w:rsid w:val="00C9168A"/>
    <w:rsid w:val="00C9195A"/>
    <w:rsid w:val="00C919EE"/>
    <w:rsid w:val="00C934F4"/>
    <w:rsid w:val="00C94189"/>
    <w:rsid w:val="00CA49DA"/>
    <w:rsid w:val="00CA5674"/>
    <w:rsid w:val="00CB0A36"/>
    <w:rsid w:val="00CB123D"/>
    <w:rsid w:val="00CB2B9A"/>
    <w:rsid w:val="00CB43BC"/>
    <w:rsid w:val="00CB64B3"/>
    <w:rsid w:val="00CC7078"/>
    <w:rsid w:val="00CD0A01"/>
    <w:rsid w:val="00CD1B1E"/>
    <w:rsid w:val="00CD4FF9"/>
    <w:rsid w:val="00CE1BC0"/>
    <w:rsid w:val="00CE6DDF"/>
    <w:rsid w:val="00CE6FAA"/>
    <w:rsid w:val="00CE7489"/>
    <w:rsid w:val="00CF2A88"/>
    <w:rsid w:val="00CF3CB1"/>
    <w:rsid w:val="00CF5BCE"/>
    <w:rsid w:val="00CF7631"/>
    <w:rsid w:val="00D03647"/>
    <w:rsid w:val="00D05CAA"/>
    <w:rsid w:val="00D06057"/>
    <w:rsid w:val="00D077CB"/>
    <w:rsid w:val="00D07973"/>
    <w:rsid w:val="00D101A2"/>
    <w:rsid w:val="00D16462"/>
    <w:rsid w:val="00D16772"/>
    <w:rsid w:val="00D20F4A"/>
    <w:rsid w:val="00D237BA"/>
    <w:rsid w:val="00D243C7"/>
    <w:rsid w:val="00D24BCF"/>
    <w:rsid w:val="00D31485"/>
    <w:rsid w:val="00D33409"/>
    <w:rsid w:val="00D34001"/>
    <w:rsid w:val="00D35DE3"/>
    <w:rsid w:val="00D374D3"/>
    <w:rsid w:val="00D4743E"/>
    <w:rsid w:val="00D47C86"/>
    <w:rsid w:val="00D530D6"/>
    <w:rsid w:val="00D5723B"/>
    <w:rsid w:val="00D61FAB"/>
    <w:rsid w:val="00D63D16"/>
    <w:rsid w:val="00D70903"/>
    <w:rsid w:val="00D70E4A"/>
    <w:rsid w:val="00D76E9B"/>
    <w:rsid w:val="00D819D8"/>
    <w:rsid w:val="00D81B62"/>
    <w:rsid w:val="00D8224F"/>
    <w:rsid w:val="00D8337C"/>
    <w:rsid w:val="00D84D69"/>
    <w:rsid w:val="00D85305"/>
    <w:rsid w:val="00D85B1A"/>
    <w:rsid w:val="00D85DCB"/>
    <w:rsid w:val="00D90546"/>
    <w:rsid w:val="00D92C66"/>
    <w:rsid w:val="00D9331B"/>
    <w:rsid w:val="00D94983"/>
    <w:rsid w:val="00DA15C8"/>
    <w:rsid w:val="00DA2216"/>
    <w:rsid w:val="00DA2912"/>
    <w:rsid w:val="00DA5534"/>
    <w:rsid w:val="00DA6526"/>
    <w:rsid w:val="00DA7299"/>
    <w:rsid w:val="00DB0C6B"/>
    <w:rsid w:val="00DB27EC"/>
    <w:rsid w:val="00DB63F6"/>
    <w:rsid w:val="00DC6EB8"/>
    <w:rsid w:val="00DD0E99"/>
    <w:rsid w:val="00DD2A34"/>
    <w:rsid w:val="00DE161F"/>
    <w:rsid w:val="00DE2D11"/>
    <w:rsid w:val="00DE30DF"/>
    <w:rsid w:val="00DF1F3A"/>
    <w:rsid w:val="00E01236"/>
    <w:rsid w:val="00E01D84"/>
    <w:rsid w:val="00E03171"/>
    <w:rsid w:val="00E042C3"/>
    <w:rsid w:val="00E07126"/>
    <w:rsid w:val="00E129AF"/>
    <w:rsid w:val="00E1440C"/>
    <w:rsid w:val="00E15D71"/>
    <w:rsid w:val="00E1799E"/>
    <w:rsid w:val="00E20A7A"/>
    <w:rsid w:val="00E21829"/>
    <w:rsid w:val="00E238AC"/>
    <w:rsid w:val="00E24E4D"/>
    <w:rsid w:val="00E25FD2"/>
    <w:rsid w:val="00E265E7"/>
    <w:rsid w:val="00E26EDD"/>
    <w:rsid w:val="00E27A5C"/>
    <w:rsid w:val="00E301DE"/>
    <w:rsid w:val="00E3235A"/>
    <w:rsid w:val="00E4123A"/>
    <w:rsid w:val="00E46168"/>
    <w:rsid w:val="00E53C75"/>
    <w:rsid w:val="00E56D28"/>
    <w:rsid w:val="00E62FDC"/>
    <w:rsid w:val="00E6413C"/>
    <w:rsid w:val="00E64891"/>
    <w:rsid w:val="00E67D91"/>
    <w:rsid w:val="00E7283C"/>
    <w:rsid w:val="00E77121"/>
    <w:rsid w:val="00E77188"/>
    <w:rsid w:val="00E83246"/>
    <w:rsid w:val="00E832D0"/>
    <w:rsid w:val="00E85103"/>
    <w:rsid w:val="00E93B34"/>
    <w:rsid w:val="00E944F6"/>
    <w:rsid w:val="00E95E14"/>
    <w:rsid w:val="00E969FA"/>
    <w:rsid w:val="00EA2797"/>
    <w:rsid w:val="00EB06D0"/>
    <w:rsid w:val="00EB241B"/>
    <w:rsid w:val="00EB4C32"/>
    <w:rsid w:val="00EB4D74"/>
    <w:rsid w:val="00EB7712"/>
    <w:rsid w:val="00EB7891"/>
    <w:rsid w:val="00EC07BB"/>
    <w:rsid w:val="00ED1683"/>
    <w:rsid w:val="00ED3A41"/>
    <w:rsid w:val="00ED6821"/>
    <w:rsid w:val="00EE2542"/>
    <w:rsid w:val="00EE2C7A"/>
    <w:rsid w:val="00EE2E5F"/>
    <w:rsid w:val="00EE356F"/>
    <w:rsid w:val="00EE5E64"/>
    <w:rsid w:val="00EE6D95"/>
    <w:rsid w:val="00EE73E4"/>
    <w:rsid w:val="00EF67EF"/>
    <w:rsid w:val="00EF7443"/>
    <w:rsid w:val="00EF7451"/>
    <w:rsid w:val="00F00A20"/>
    <w:rsid w:val="00F01812"/>
    <w:rsid w:val="00F03574"/>
    <w:rsid w:val="00F10ADC"/>
    <w:rsid w:val="00F1192C"/>
    <w:rsid w:val="00F15BEA"/>
    <w:rsid w:val="00F15C0F"/>
    <w:rsid w:val="00F166F4"/>
    <w:rsid w:val="00F1773E"/>
    <w:rsid w:val="00F20144"/>
    <w:rsid w:val="00F2068D"/>
    <w:rsid w:val="00F2356A"/>
    <w:rsid w:val="00F24F69"/>
    <w:rsid w:val="00F33587"/>
    <w:rsid w:val="00F373F2"/>
    <w:rsid w:val="00F4105D"/>
    <w:rsid w:val="00F45C16"/>
    <w:rsid w:val="00F500CD"/>
    <w:rsid w:val="00F50941"/>
    <w:rsid w:val="00F50970"/>
    <w:rsid w:val="00F5437E"/>
    <w:rsid w:val="00F544C5"/>
    <w:rsid w:val="00F56041"/>
    <w:rsid w:val="00F60F74"/>
    <w:rsid w:val="00F62E7D"/>
    <w:rsid w:val="00F65F6F"/>
    <w:rsid w:val="00F74016"/>
    <w:rsid w:val="00F74061"/>
    <w:rsid w:val="00F74940"/>
    <w:rsid w:val="00F75B17"/>
    <w:rsid w:val="00F77F80"/>
    <w:rsid w:val="00F80016"/>
    <w:rsid w:val="00F808FF"/>
    <w:rsid w:val="00F81024"/>
    <w:rsid w:val="00F82094"/>
    <w:rsid w:val="00F845BC"/>
    <w:rsid w:val="00F87E34"/>
    <w:rsid w:val="00F903E1"/>
    <w:rsid w:val="00F90E13"/>
    <w:rsid w:val="00F91AD8"/>
    <w:rsid w:val="00F9617F"/>
    <w:rsid w:val="00F961A5"/>
    <w:rsid w:val="00F96326"/>
    <w:rsid w:val="00FA347A"/>
    <w:rsid w:val="00FA5D9B"/>
    <w:rsid w:val="00FA74CD"/>
    <w:rsid w:val="00FA7946"/>
    <w:rsid w:val="00FA7A40"/>
    <w:rsid w:val="00FB09A4"/>
    <w:rsid w:val="00FB364B"/>
    <w:rsid w:val="00FB6969"/>
    <w:rsid w:val="00FC106D"/>
    <w:rsid w:val="00FC35A2"/>
    <w:rsid w:val="00FC5A83"/>
    <w:rsid w:val="00FC69E5"/>
    <w:rsid w:val="00FD0E8A"/>
    <w:rsid w:val="00FD237D"/>
    <w:rsid w:val="00FD4389"/>
    <w:rsid w:val="00FE387A"/>
    <w:rsid w:val="00FE608F"/>
    <w:rsid w:val="00FE71AD"/>
    <w:rsid w:val="00FF1335"/>
    <w:rsid w:val="00FF1535"/>
    <w:rsid w:val="00FF2429"/>
    <w:rsid w:val="00FF6D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0FC1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2"/>
    <w:pPr>
      <w:spacing w:after="0" w:line="240" w:lineRule="auto"/>
    </w:pPr>
    <w:rPr>
      <w:rFonts w:ascii="Verdana" w:hAnsi="Verdana" w:cs="Times New Roman"/>
      <w:sz w:val="20"/>
      <w:szCs w:val="24"/>
      <w:lang w:val="es-MX"/>
    </w:rPr>
  </w:style>
  <w:style w:type="paragraph" w:styleId="Heading1">
    <w:name w:val="heading 1"/>
    <w:aliases w:val="Título Verdana"/>
    <w:basedOn w:val="Normal"/>
    <w:next w:val="Normal"/>
    <w:link w:val="Heading1Char"/>
    <w:uiPriority w:val="9"/>
    <w:qFormat/>
    <w:rsid w:val="00D07973"/>
    <w:pPr>
      <w:keepNext/>
      <w:keepLines/>
      <w:spacing w:before="360"/>
      <w:jc w:val="both"/>
      <w:outlineLvl w:val="0"/>
    </w:pPr>
    <w:rPr>
      <w:rFonts w:eastAsiaTheme="majorEastAsia" w:cstheme="majorBidi"/>
      <w:b/>
      <w:bCs/>
      <w:szCs w:val="28"/>
    </w:rPr>
  </w:style>
  <w:style w:type="paragraph" w:styleId="Heading2">
    <w:name w:val="heading 2"/>
    <w:basedOn w:val="Normal"/>
    <w:next w:val="Normal"/>
    <w:link w:val="Heading2Char"/>
    <w:qFormat/>
    <w:rsid w:val="007E2805"/>
    <w:pPr>
      <w:numPr>
        <w:ilvl w:val="1"/>
        <w:numId w:val="1"/>
      </w:numPr>
      <w:tabs>
        <w:tab w:val="left" w:pos="993"/>
      </w:tabs>
      <w:ind w:left="567" w:firstLine="0"/>
      <w:outlineLvl w:val="1"/>
    </w:pPr>
    <w:rPr>
      <w:rFonts w:cstheme="minorBidi"/>
      <w:b/>
      <w:i/>
      <w:szCs w:val="20"/>
      <w:lang w:val="es-ES_tradnl" w:eastAsia="es-ES"/>
    </w:rPr>
  </w:style>
  <w:style w:type="paragraph" w:styleId="Heading3">
    <w:name w:val="heading 3"/>
    <w:basedOn w:val="Normal"/>
    <w:next w:val="Normal"/>
    <w:link w:val="Heading3Char"/>
    <w:uiPriority w:val="9"/>
    <w:qFormat/>
    <w:rsid w:val="005464E4"/>
    <w:pPr>
      <w:tabs>
        <w:tab w:val="left" w:pos="426"/>
      </w:tabs>
      <w:spacing w:after="200" w:line="276" w:lineRule="auto"/>
      <w:ind w:left="709"/>
      <w:contextualSpacing/>
      <w:jc w:val="both"/>
      <w:outlineLvl w:val="2"/>
    </w:pPr>
    <w:rPr>
      <w:rFonts w:eastAsia="Calibri" w:cstheme="minorBidi"/>
      <w:b/>
      <w:szCs w:val="20"/>
      <w:lang w:val="es-ES_tradnl" w:eastAsia="es-ES"/>
    </w:rPr>
  </w:style>
  <w:style w:type="paragraph" w:styleId="Heading4">
    <w:name w:val="heading 4"/>
    <w:basedOn w:val="Normal"/>
    <w:next w:val="Normal"/>
    <w:link w:val="Heading4Char"/>
    <w:uiPriority w:val="9"/>
    <w:unhideWhenUsed/>
    <w:qFormat/>
    <w:rsid w:val="00D90546"/>
    <w:pPr>
      <w:keepNext/>
      <w:keepLines/>
      <w:ind w:left="2268" w:firstLine="36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3E5472"/>
    <w:pPr>
      <w:keepNext/>
      <w:keepLines/>
      <w:ind w:left="1843"/>
      <w:outlineLvl w:val="4"/>
    </w:pPr>
    <w:rPr>
      <w:rFonts w:eastAsiaTheme="majorEastAsia" w:cstheme="majorBidi"/>
      <w:i/>
      <w:lang w:val="es-ES"/>
    </w:rPr>
  </w:style>
  <w:style w:type="paragraph" w:styleId="Heading6">
    <w:name w:val="heading 6"/>
    <w:basedOn w:val="Heading5"/>
    <w:next w:val="Normal"/>
    <w:link w:val="Heading6Char"/>
    <w:uiPriority w:val="9"/>
    <w:unhideWhenUsed/>
    <w:qFormat/>
    <w:rsid w:val="003E5472"/>
    <w:pPr>
      <w:ind w:left="2835"/>
      <w:outlineLvl w:val="5"/>
    </w:pPr>
  </w:style>
  <w:style w:type="paragraph" w:styleId="Heading7">
    <w:name w:val="heading 7"/>
    <w:basedOn w:val="Normal"/>
    <w:next w:val="Normal"/>
    <w:link w:val="Heading7Char"/>
    <w:uiPriority w:val="9"/>
    <w:qFormat/>
    <w:rsid w:val="003E5472"/>
    <w:pPr>
      <w:keepNext/>
      <w:keepLines/>
      <w:spacing w:before="200"/>
      <w:jc w:val="both"/>
      <w:outlineLvl w:val="6"/>
    </w:pPr>
    <w:rPr>
      <w:rFonts w:ascii="Cambria" w:hAnsi="Cambria"/>
      <w:i/>
      <w:iCs/>
      <w:noProof/>
      <w:color w:val="404040"/>
      <w:lang w:val="es-ES_tradnl"/>
    </w:rPr>
  </w:style>
  <w:style w:type="paragraph" w:styleId="Heading8">
    <w:name w:val="heading 8"/>
    <w:basedOn w:val="Normal"/>
    <w:next w:val="Normal"/>
    <w:link w:val="Heading8Char"/>
    <w:uiPriority w:val="9"/>
    <w:unhideWhenUsed/>
    <w:qFormat/>
    <w:rsid w:val="006B6D9F"/>
    <w:pPr>
      <w:keepNext/>
      <w:outlineLvl w:val="7"/>
    </w:pPr>
    <w:rPr>
      <w:b/>
      <w:color w:val="00B050"/>
      <w:lang w:val="es-CR"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D07973"/>
    <w:rPr>
      <w:rFonts w:ascii="Verdana" w:eastAsiaTheme="majorEastAsia" w:hAnsi="Verdana" w:cstheme="majorBidi"/>
      <w:b/>
      <w:bCs/>
      <w:sz w:val="20"/>
      <w:szCs w:val="28"/>
      <w:lang w:val="es-MX"/>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de nota al pie,norma"/>
    <w:link w:val="4GChar"/>
    <w:uiPriority w:val="99"/>
    <w:qFormat/>
    <w:rsid w:val="00087892"/>
    <w:rPr>
      <w:rFonts w:ascii="Verdana" w:hAnsi="Verdana" w:cs="Times New Roman"/>
      <w:sz w:val="16"/>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74179C"/>
    <w:pPr>
      <w:jc w:val="both"/>
    </w:pPr>
    <w:rPr>
      <w:sz w:val="16"/>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74179C"/>
    <w:rPr>
      <w:rFonts w:ascii="Verdana" w:eastAsia="Times New Roman" w:hAnsi="Verdana" w:cs="Times New Roman"/>
      <w:sz w:val="16"/>
      <w:szCs w:val="20"/>
      <w:lang w:val="es-ES_tradnl" w:eastAsia="es-ES"/>
    </w:rPr>
  </w:style>
  <w:style w:type="character" w:customStyle="1" w:styleId="Heading3Char">
    <w:name w:val="Heading 3 Char"/>
    <w:link w:val="Heading3"/>
    <w:uiPriority w:val="9"/>
    <w:rsid w:val="005464E4"/>
    <w:rPr>
      <w:rFonts w:ascii="Verdana" w:eastAsia="Calibri" w:hAnsi="Verdana"/>
      <w:b/>
      <w:sz w:val="20"/>
      <w:szCs w:val="20"/>
      <w:lang w:val="es-ES_tradnl" w:eastAsia="es-ES"/>
    </w:rPr>
  </w:style>
  <w:style w:type="character" w:customStyle="1" w:styleId="Heading2Char">
    <w:name w:val="Heading 2 Char"/>
    <w:link w:val="Heading2"/>
    <w:rsid w:val="007E2805"/>
    <w:rPr>
      <w:rFonts w:ascii="Verdana" w:hAnsi="Verdana"/>
      <w:b/>
      <w:i/>
      <w:sz w:val="20"/>
      <w:szCs w:val="20"/>
      <w:lang w:val="es-ES_tradnl" w:eastAsia="es-ES"/>
    </w:rPr>
  </w:style>
  <w:style w:type="character" w:customStyle="1" w:styleId="Heading4Char">
    <w:name w:val="Heading 4 Char"/>
    <w:basedOn w:val="DefaultParagraphFont"/>
    <w:link w:val="Heading4"/>
    <w:uiPriority w:val="9"/>
    <w:rsid w:val="00D90546"/>
    <w:rPr>
      <w:rFonts w:ascii="Verdana" w:eastAsiaTheme="majorEastAsia" w:hAnsi="Verdana" w:cstheme="majorBidi"/>
      <w:bCs/>
      <w:iCs/>
      <w:sz w:val="20"/>
      <w:szCs w:val="24"/>
      <w:u w:val="single"/>
      <w:lang w:val="es-MX"/>
    </w:rPr>
  </w:style>
  <w:style w:type="character" w:customStyle="1" w:styleId="Heading5Char">
    <w:name w:val="Heading 5 Char"/>
    <w:basedOn w:val="DefaultParagraphFont"/>
    <w:link w:val="Heading5"/>
    <w:uiPriority w:val="9"/>
    <w:rsid w:val="003E5472"/>
    <w:rPr>
      <w:rFonts w:ascii="Verdana" w:eastAsiaTheme="majorEastAsia" w:hAnsi="Verdana" w:cstheme="majorBidi"/>
      <w:i/>
      <w:sz w:val="20"/>
      <w:szCs w:val="24"/>
      <w:lang w:val="es-ES"/>
    </w:rPr>
  </w:style>
  <w:style w:type="character" w:customStyle="1" w:styleId="Heading6Char">
    <w:name w:val="Heading 6 Char"/>
    <w:basedOn w:val="DefaultParagraphFont"/>
    <w:link w:val="Heading6"/>
    <w:uiPriority w:val="9"/>
    <w:rsid w:val="003E5472"/>
    <w:rPr>
      <w:rFonts w:ascii="Verdana" w:eastAsiaTheme="majorEastAsia" w:hAnsi="Verdana" w:cstheme="majorBidi"/>
      <w:i/>
      <w:sz w:val="20"/>
      <w:szCs w:val="24"/>
      <w:lang w:val="es-ES"/>
    </w:rPr>
  </w:style>
  <w:style w:type="character" w:customStyle="1" w:styleId="Heading7Char">
    <w:name w:val="Heading 7 Char"/>
    <w:basedOn w:val="DefaultParagraphFont"/>
    <w:link w:val="Heading7"/>
    <w:uiPriority w:val="9"/>
    <w:rsid w:val="003E5472"/>
    <w:rPr>
      <w:rFonts w:ascii="Cambria" w:hAnsi="Cambria" w:cs="Times New Roman"/>
      <w:i/>
      <w:iCs/>
      <w:noProof/>
      <w:color w:val="404040"/>
      <w:sz w:val="20"/>
      <w:szCs w:val="24"/>
      <w:lang w:val="es-ES_tradnl"/>
    </w:rPr>
  </w:style>
  <w:style w:type="paragraph" w:styleId="Footer">
    <w:name w:val="footer"/>
    <w:basedOn w:val="Normal"/>
    <w:link w:val="FooterChar"/>
    <w:uiPriority w:val="99"/>
    <w:rsid w:val="003E5472"/>
    <w:pPr>
      <w:tabs>
        <w:tab w:val="center" w:pos="4320"/>
        <w:tab w:val="right" w:pos="8640"/>
      </w:tabs>
    </w:pPr>
  </w:style>
  <w:style w:type="character" w:customStyle="1" w:styleId="FooterChar">
    <w:name w:val="Footer Char"/>
    <w:basedOn w:val="DefaultParagraphFont"/>
    <w:link w:val="Footer"/>
    <w:uiPriority w:val="99"/>
    <w:rsid w:val="003E5472"/>
    <w:rPr>
      <w:rFonts w:ascii="Verdana" w:hAnsi="Verdana" w:cs="Times New Roman"/>
      <w:sz w:val="20"/>
      <w:szCs w:val="24"/>
      <w:lang w:val="es-MX"/>
    </w:rPr>
  </w:style>
  <w:style w:type="character" w:styleId="PageNumber">
    <w:name w:val="page number"/>
    <w:basedOn w:val="DefaultParagraphFont"/>
    <w:rsid w:val="003E5472"/>
  </w:style>
  <w:style w:type="character" w:customStyle="1" w:styleId="apple-style-span">
    <w:name w:val="apple-style-span"/>
    <w:basedOn w:val="DefaultParagraphFont"/>
    <w:rsid w:val="003E5472"/>
  </w:style>
  <w:style w:type="paragraph" w:customStyle="1" w:styleId="Textoindependiente1">
    <w:name w:val="Texto independiente1"/>
    <w:basedOn w:val="Normal"/>
    <w:rsid w:val="003E5472"/>
    <w:pPr>
      <w:widowControl w:val="0"/>
      <w:jc w:val="both"/>
    </w:pPr>
    <w:rPr>
      <w:rFonts w:ascii="New York" w:hAnsi="New York"/>
      <w:szCs w:val="20"/>
      <w:lang w:val="es-ES_tradnl"/>
    </w:rPr>
  </w:style>
  <w:style w:type="paragraph" w:styleId="BodyText2">
    <w:name w:val="Body Text 2"/>
    <w:basedOn w:val="Normal"/>
    <w:link w:val="BodyText2Char"/>
    <w:rsid w:val="003E5472"/>
    <w:pPr>
      <w:jc w:val="both"/>
    </w:pPr>
    <w:rPr>
      <w:rFonts w:eastAsia="Times"/>
      <w:szCs w:val="20"/>
      <w:lang w:val="es-ES_tradnl"/>
    </w:rPr>
  </w:style>
  <w:style w:type="character" w:customStyle="1" w:styleId="BodyText2Char">
    <w:name w:val="Body Text 2 Char"/>
    <w:basedOn w:val="DefaultParagraphFont"/>
    <w:link w:val="BodyText2"/>
    <w:rsid w:val="003E5472"/>
    <w:rPr>
      <w:rFonts w:ascii="Verdana" w:eastAsia="Times" w:hAnsi="Verdana" w:cs="Times New Roman"/>
      <w:sz w:val="20"/>
      <w:szCs w:val="20"/>
      <w:lang w:val="es-ES_tradnl"/>
    </w:rPr>
  </w:style>
  <w:style w:type="paragraph" w:styleId="BodyText">
    <w:name w:val="Body Text"/>
    <w:basedOn w:val="Normal"/>
    <w:link w:val="BodyTextChar"/>
    <w:uiPriority w:val="99"/>
    <w:rsid w:val="003E5472"/>
    <w:pPr>
      <w:spacing w:after="120"/>
    </w:pPr>
    <w:rPr>
      <w:rFonts w:ascii="Times" w:eastAsia="Times" w:hAnsi="Times"/>
      <w:szCs w:val="20"/>
      <w:lang w:val="es-ES_tradnl"/>
    </w:rPr>
  </w:style>
  <w:style w:type="character" w:customStyle="1" w:styleId="BodyTextChar">
    <w:name w:val="Body Text Char"/>
    <w:basedOn w:val="DefaultParagraphFont"/>
    <w:link w:val="BodyText"/>
    <w:uiPriority w:val="99"/>
    <w:rsid w:val="003E5472"/>
    <w:rPr>
      <w:rFonts w:ascii="Times" w:eastAsia="Times" w:hAnsi="Times" w:cs="Times New Roman"/>
      <w:sz w:val="20"/>
      <w:szCs w:val="20"/>
      <w:lang w:val="es-ES_tradnl"/>
    </w:rPr>
  </w:style>
  <w:style w:type="character" w:styleId="Hyperlink">
    <w:name w:val="Hyperlink"/>
    <w:basedOn w:val="DefaultParagraphFont"/>
    <w:uiPriority w:val="99"/>
    <w:rsid w:val="003E5472"/>
    <w:rPr>
      <w:color w:val="0000FF"/>
      <w:u w:val="single"/>
    </w:rPr>
  </w:style>
  <w:style w:type="character" w:styleId="Strong">
    <w:name w:val="Strong"/>
    <w:basedOn w:val="DefaultParagraphFont"/>
    <w:uiPriority w:val="22"/>
    <w:qFormat/>
    <w:rsid w:val="003E5472"/>
    <w:rPr>
      <w:b/>
      <w:bCs/>
    </w:rPr>
  </w:style>
  <w:style w:type="paragraph" w:styleId="ListParagraph">
    <w:name w:val="List Paragraph"/>
    <w:aliases w:val="Párrafo de lista1,List Paragraph1,Colorful List - Accent 11,List Paragraph2,Lista vistosa - Énfasis 11"/>
    <w:basedOn w:val="Normal"/>
    <w:link w:val="ListParagraphChar"/>
    <w:uiPriority w:val="34"/>
    <w:qFormat/>
    <w:rsid w:val="003E5472"/>
    <w:pPr>
      <w:ind w:left="708"/>
    </w:pPr>
  </w:style>
  <w:style w:type="character" w:customStyle="1" w:styleId="ListParagraphChar">
    <w:name w:val="List Paragraph Char"/>
    <w:aliases w:val="Párrafo de lista1 Char,List Paragraph1 Char,Colorful List - Accent 11 Char,List Paragraph2 Char,Lista vistosa - Énfasis 11 Char"/>
    <w:link w:val="ListParagraph"/>
    <w:uiPriority w:val="34"/>
    <w:rsid w:val="003E5472"/>
    <w:rPr>
      <w:rFonts w:ascii="Verdana" w:hAnsi="Verdana" w:cs="Times New Roman"/>
      <w:sz w:val="20"/>
      <w:szCs w:val="24"/>
      <w:lang w:val="es-MX"/>
    </w:rPr>
  </w:style>
  <w:style w:type="paragraph" w:styleId="Header">
    <w:name w:val="header"/>
    <w:basedOn w:val="Normal"/>
    <w:link w:val="HeaderChar"/>
    <w:uiPriority w:val="99"/>
    <w:rsid w:val="003E5472"/>
    <w:pPr>
      <w:tabs>
        <w:tab w:val="center" w:pos="4320"/>
        <w:tab w:val="right" w:pos="8640"/>
      </w:tabs>
    </w:pPr>
    <w:rPr>
      <w:rFonts w:ascii="Garamond" w:hAnsi="Garamond"/>
      <w:szCs w:val="20"/>
      <w:lang w:val="es-ES_tradnl"/>
    </w:rPr>
  </w:style>
  <w:style w:type="character" w:customStyle="1" w:styleId="HeaderChar">
    <w:name w:val="Header Char"/>
    <w:basedOn w:val="DefaultParagraphFont"/>
    <w:link w:val="Header"/>
    <w:uiPriority w:val="99"/>
    <w:rsid w:val="003E5472"/>
    <w:rPr>
      <w:rFonts w:ascii="Garamond" w:hAnsi="Garamond" w:cs="Times New Roman"/>
      <w:sz w:val="20"/>
      <w:szCs w:val="20"/>
      <w:lang w:val="es-ES_tradnl"/>
    </w:rPr>
  </w:style>
  <w:style w:type="character" w:customStyle="1" w:styleId="apple-converted-space">
    <w:name w:val="apple-converted-space"/>
    <w:basedOn w:val="DefaultParagraphFont"/>
    <w:rsid w:val="003E5472"/>
  </w:style>
  <w:style w:type="paragraph" w:styleId="BalloonText">
    <w:name w:val="Balloon Text"/>
    <w:basedOn w:val="Normal"/>
    <w:link w:val="BalloonTextChar"/>
    <w:uiPriority w:val="99"/>
    <w:rsid w:val="003E5472"/>
    <w:rPr>
      <w:rFonts w:ascii="Tahoma" w:hAnsi="Tahoma" w:cs="Tahoma"/>
      <w:sz w:val="16"/>
      <w:szCs w:val="16"/>
    </w:rPr>
  </w:style>
  <w:style w:type="character" w:customStyle="1" w:styleId="BalloonTextChar">
    <w:name w:val="Balloon Text Char"/>
    <w:basedOn w:val="DefaultParagraphFont"/>
    <w:link w:val="BalloonText"/>
    <w:uiPriority w:val="99"/>
    <w:rsid w:val="003E5472"/>
    <w:rPr>
      <w:rFonts w:ascii="Tahoma" w:hAnsi="Tahoma" w:cs="Tahoma"/>
      <w:sz w:val="16"/>
      <w:szCs w:val="16"/>
      <w:lang w:val="es-MX"/>
    </w:rPr>
  </w:style>
  <w:style w:type="character" w:styleId="CommentReference">
    <w:name w:val="annotation reference"/>
    <w:basedOn w:val="DefaultParagraphFont"/>
    <w:uiPriority w:val="99"/>
    <w:rsid w:val="003E5472"/>
    <w:rPr>
      <w:sz w:val="16"/>
      <w:szCs w:val="16"/>
    </w:rPr>
  </w:style>
  <w:style w:type="paragraph" w:styleId="CommentText">
    <w:name w:val="annotation text"/>
    <w:basedOn w:val="Normal"/>
    <w:link w:val="CommentTextChar"/>
    <w:uiPriority w:val="99"/>
    <w:rsid w:val="003E5472"/>
    <w:rPr>
      <w:szCs w:val="20"/>
    </w:rPr>
  </w:style>
  <w:style w:type="character" w:customStyle="1" w:styleId="CommentTextChar">
    <w:name w:val="Comment Text Char"/>
    <w:basedOn w:val="DefaultParagraphFont"/>
    <w:link w:val="CommentText"/>
    <w:uiPriority w:val="99"/>
    <w:rsid w:val="003E5472"/>
    <w:rPr>
      <w:rFonts w:ascii="Verdana" w:hAnsi="Verdana" w:cs="Times New Roman"/>
      <w:sz w:val="20"/>
      <w:szCs w:val="20"/>
      <w:lang w:val="es-MX"/>
    </w:rPr>
  </w:style>
  <w:style w:type="paragraph" w:styleId="CommentSubject">
    <w:name w:val="annotation subject"/>
    <w:basedOn w:val="CommentText"/>
    <w:next w:val="CommentText"/>
    <w:link w:val="CommentSubjectChar"/>
    <w:uiPriority w:val="99"/>
    <w:rsid w:val="003E5472"/>
    <w:rPr>
      <w:b/>
      <w:bCs/>
    </w:rPr>
  </w:style>
  <w:style w:type="character" w:customStyle="1" w:styleId="CommentSubjectChar">
    <w:name w:val="Comment Subject Char"/>
    <w:basedOn w:val="CommentTextChar"/>
    <w:link w:val="CommentSubject"/>
    <w:uiPriority w:val="99"/>
    <w:rsid w:val="003E5472"/>
    <w:rPr>
      <w:rFonts w:ascii="Verdana" w:hAnsi="Verdana" w:cs="Times New Roman"/>
      <w:b/>
      <w:bCs/>
      <w:sz w:val="20"/>
      <w:szCs w:val="20"/>
      <w:lang w:val="es-MX"/>
    </w:rPr>
  </w:style>
  <w:style w:type="paragraph" w:styleId="Revision">
    <w:name w:val="Revision"/>
    <w:hidden/>
    <w:uiPriority w:val="71"/>
    <w:rsid w:val="003E5472"/>
    <w:pPr>
      <w:spacing w:after="0" w:line="240" w:lineRule="auto"/>
    </w:pPr>
    <w:rPr>
      <w:rFonts w:ascii="Times New Roman" w:hAnsi="Times New Roman" w:cs="Times New Roman"/>
      <w:sz w:val="24"/>
      <w:szCs w:val="24"/>
      <w:lang w:val="es-MX"/>
    </w:rPr>
  </w:style>
  <w:style w:type="paragraph" w:customStyle="1" w:styleId="Prrafodelista2">
    <w:name w:val="Párrafo de lista2"/>
    <w:basedOn w:val="Normal"/>
    <w:uiPriority w:val="99"/>
    <w:rsid w:val="003E5472"/>
    <w:pPr>
      <w:ind w:left="720"/>
    </w:pPr>
    <w:rPr>
      <w:rFonts w:eastAsia="MS Mincho"/>
      <w:szCs w:val="20"/>
      <w:lang w:val="es-ES_tradnl"/>
    </w:rPr>
  </w:style>
  <w:style w:type="character" w:customStyle="1" w:styleId="ColorfulList-Accent1Char">
    <w:name w:val="Colorful List - Accent 1 Char"/>
    <w:basedOn w:val="DefaultParagraphFont"/>
    <w:link w:val="ColorfulList-Accent1"/>
    <w:uiPriority w:val="99"/>
    <w:locked/>
    <w:rsid w:val="003E5472"/>
  </w:style>
  <w:style w:type="table" w:styleId="ColorfulList-Accent1">
    <w:name w:val="Colorful List Accent 1"/>
    <w:basedOn w:val="TableNormal"/>
    <w:link w:val="ColorfulList-Accent1Char"/>
    <w:uiPriority w:val="99"/>
    <w:rsid w:val="003E5472"/>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umn01">
    <w:name w:val="column01"/>
    <w:basedOn w:val="DefaultParagraphFont"/>
    <w:rsid w:val="003E5472"/>
  </w:style>
  <w:style w:type="character" w:customStyle="1" w:styleId="ListParagraphChar1">
    <w:name w:val="List Paragraph Char1"/>
    <w:aliases w:val="Footnote Char2"/>
    <w:basedOn w:val="DefaultParagraphFont"/>
    <w:rsid w:val="003E5472"/>
    <w:rPr>
      <w:rFonts w:ascii="Verdana" w:eastAsia="Times New Roman" w:hAnsi="Verdana"/>
      <w:lang w:val="es-ES_tradnl" w:eastAsia="en-US"/>
    </w:rPr>
  </w:style>
  <w:style w:type="paragraph" w:styleId="HTMLPreformatted">
    <w:name w:val="HTML Preformatted"/>
    <w:basedOn w:val="Normal"/>
    <w:link w:val="HTMLPreformattedChar"/>
    <w:uiPriority w:val="99"/>
    <w:unhideWhenUsed/>
    <w:rsid w:val="003E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CR" w:eastAsia="es-CR"/>
    </w:rPr>
  </w:style>
  <w:style w:type="character" w:customStyle="1" w:styleId="HTMLPreformattedChar">
    <w:name w:val="HTML Preformatted Char"/>
    <w:basedOn w:val="DefaultParagraphFont"/>
    <w:link w:val="HTMLPreformatted"/>
    <w:uiPriority w:val="99"/>
    <w:rsid w:val="003E5472"/>
    <w:rPr>
      <w:rFonts w:ascii="Courier New" w:hAnsi="Courier New" w:cs="Courier New"/>
      <w:sz w:val="20"/>
      <w:szCs w:val="20"/>
      <w:lang w:eastAsia="es-CR"/>
    </w:rPr>
  </w:style>
  <w:style w:type="character" w:customStyle="1" w:styleId="PrrafodeSentenciaChar">
    <w:name w:val="*. Párrafo de Sentencia Char"/>
    <w:link w:val="PrrafodeSentencia"/>
    <w:locked/>
    <w:rsid w:val="009F7500"/>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9F7500"/>
    <w:pPr>
      <w:numPr>
        <w:numId w:val="1"/>
      </w:numPr>
      <w:tabs>
        <w:tab w:val="left" w:pos="567"/>
      </w:tabs>
      <w:ind w:left="0" w:firstLine="0"/>
      <w:jc w:val="both"/>
    </w:pPr>
    <w:rPr>
      <w:rFonts w:eastAsia="Batang" w:cstheme="minorBidi"/>
      <w:spacing w:val="-4"/>
      <w:szCs w:val="22"/>
      <w:lang w:val="es-CR" w:eastAsia="es-MX"/>
    </w:rPr>
  </w:style>
  <w:style w:type="paragraph" w:customStyle="1" w:styleId="Footnotes">
    <w:name w:val="**. Footnotes"/>
    <w:basedOn w:val="FootnoteText"/>
    <w:link w:val="FootnotesChar"/>
    <w:autoRedefine/>
    <w:qFormat/>
    <w:rsid w:val="003E5472"/>
    <w:pPr>
      <w:tabs>
        <w:tab w:val="left" w:pos="426"/>
      </w:tabs>
      <w:spacing w:before="120" w:after="120"/>
    </w:pPr>
    <w:rPr>
      <w:rFonts w:cs="Palatino-Italic"/>
      <w:iCs/>
      <w:spacing w:val="-4"/>
      <w:szCs w:val="16"/>
      <w:lang w:val="es-ES" w:eastAsia="en-US" w:bidi="en-US"/>
    </w:rPr>
  </w:style>
  <w:style w:type="character" w:customStyle="1" w:styleId="FootnotesChar">
    <w:name w:val="**. Footnotes Char"/>
    <w:basedOn w:val="DefaultParagraphFont"/>
    <w:link w:val="Footnotes"/>
    <w:rsid w:val="003E5472"/>
    <w:rPr>
      <w:rFonts w:ascii="Verdana" w:hAnsi="Verdana" w:cs="Palatino-Italic"/>
      <w:iCs/>
      <w:spacing w:val="-4"/>
      <w:sz w:val="16"/>
      <w:szCs w:val="16"/>
      <w:lang w:val="es-ES" w:bidi="en-US"/>
    </w:rPr>
  </w:style>
  <w:style w:type="character" w:styleId="FollowedHyperlink">
    <w:name w:val="FollowedHyperlink"/>
    <w:basedOn w:val="DefaultParagraphFont"/>
    <w:uiPriority w:val="99"/>
    <w:rsid w:val="003E5472"/>
    <w:rPr>
      <w:color w:val="800080" w:themeColor="followedHyperlink"/>
      <w:u w:val="single"/>
    </w:rPr>
  </w:style>
  <w:style w:type="paragraph" w:customStyle="1" w:styleId="Default">
    <w:name w:val="Default"/>
    <w:link w:val="DefaultChar"/>
    <w:rsid w:val="003E5472"/>
    <w:pPr>
      <w:autoSpaceDE w:val="0"/>
      <w:autoSpaceDN w:val="0"/>
      <w:adjustRightInd w:val="0"/>
      <w:spacing w:after="0" w:line="240" w:lineRule="auto"/>
    </w:pPr>
    <w:rPr>
      <w:rFonts w:ascii="Verdana" w:hAnsi="Verdana" w:cs="Verdana"/>
      <w:color w:val="000000"/>
      <w:sz w:val="24"/>
      <w:szCs w:val="24"/>
      <w:lang w:eastAsia="es-CR"/>
    </w:rPr>
  </w:style>
  <w:style w:type="paragraph" w:styleId="NormalWeb">
    <w:name w:val="Normal (Web)"/>
    <w:aliases w:val="Normal (Web) Char1,Normal (Web) Char Char,Normal (Web) Char1 Char,Normal (Web) Char Char Char"/>
    <w:basedOn w:val="Normal"/>
    <w:uiPriority w:val="99"/>
    <w:unhideWhenUsed/>
    <w:qFormat/>
    <w:rsid w:val="003E5472"/>
    <w:pPr>
      <w:spacing w:before="100" w:beforeAutospacing="1" w:after="100" w:afterAutospacing="1"/>
    </w:pPr>
    <w:rPr>
      <w:lang w:val="es-ES_tradnl" w:eastAsia="es-ES_tradnl"/>
    </w:rPr>
  </w:style>
  <w:style w:type="paragraph" w:styleId="NoSpacing">
    <w:name w:val="No Spacing"/>
    <w:uiPriority w:val="1"/>
    <w:qFormat/>
    <w:rsid w:val="003E5472"/>
    <w:pPr>
      <w:spacing w:after="0" w:line="240" w:lineRule="auto"/>
    </w:pPr>
    <w:rPr>
      <w:rFonts w:ascii="Times New Roman" w:hAnsi="Times New Roman" w:cs="Times New Roman"/>
      <w:sz w:val="24"/>
      <w:szCs w:val="24"/>
      <w:lang w:val="es-MX"/>
    </w:rPr>
  </w:style>
  <w:style w:type="paragraph" w:customStyle="1" w:styleId="citaindirecta">
    <w:name w:val="cita indirecta"/>
    <w:basedOn w:val="Normal"/>
    <w:uiPriority w:val="99"/>
    <w:rsid w:val="003E5472"/>
    <w:pPr>
      <w:ind w:left="708"/>
      <w:jc w:val="both"/>
    </w:pPr>
    <w:rPr>
      <w:szCs w:val="20"/>
      <w:lang w:val="es-ES_tradnl" w:eastAsia="es-MX"/>
    </w:rPr>
  </w:style>
  <w:style w:type="table" w:styleId="TableGrid">
    <w:name w:val="Table Grid"/>
    <w:basedOn w:val="TableNormal"/>
    <w:uiPriority w:val="59"/>
    <w:rsid w:val="003E54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3E5472"/>
    <w:pPr>
      <w:keepNext w:val="0"/>
      <w:keepLines w:val="0"/>
      <w:tabs>
        <w:tab w:val="center" w:pos="4320"/>
        <w:tab w:val="right" w:pos="8640"/>
      </w:tabs>
      <w:spacing w:before="0"/>
      <w:jc w:val="center"/>
    </w:pPr>
    <w:rPr>
      <w:rFonts w:eastAsia="Times New Roman" w:cs="Times New Roman"/>
      <w:bCs w:val="0"/>
      <w:szCs w:val="20"/>
      <w:lang w:val="es-CR" w:eastAsia="es-ES"/>
    </w:rPr>
  </w:style>
  <w:style w:type="character" w:customStyle="1" w:styleId="TitleChar">
    <w:name w:val="Title Char"/>
    <w:basedOn w:val="DefaultParagraphFont"/>
    <w:link w:val="Title"/>
    <w:rsid w:val="003E5472"/>
    <w:rPr>
      <w:rFonts w:ascii="Verdana" w:hAnsi="Verdana" w:cs="Times New Roman"/>
      <w:b/>
      <w:sz w:val="20"/>
      <w:szCs w:val="20"/>
      <w:lang w:eastAsia="es-ES"/>
    </w:rPr>
  </w:style>
  <w:style w:type="paragraph" w:styleId="Subtitle">
    <w:name w:val="Subtitle"/>
    <w:basedOn w:val="Normal"/>
    <w:next w:val="Normal"/>
    <w:link w:val="SubtitleChar"/>
    <w:uiPriority w:val="11"/>
    <w:qFormat/>
    <w:rsid w:val="003E5472"/>
    <w:pPr>
      <w:ind w:left="2268"/>
    </w:pPr>
    <w:rPr>
      <w:i/>
      <w:u w:val="single"/>
      <w:lang w:eastAsia="es-MX"/>
    </w:rPr>
  </w:style>
  <w:style w:type="character" w:customStyle="1" w:styleId="SubtitleChar">
    <w:name w:val="Subtitle Char"/>
    <w:basedOn w:val="DefaultParagraphFont"/>
    <w:link w:val="Subtitle"/>
    <w:uiPriority w:val="11"/>
    <w:rsid w:val="003E5472"/>
    <w:rPr>
      <w:rFonts w:ascii="Verdana" w:hAnsi="Verdana" w:cs="Times New Roman"/>
      <w:i/>
      <w:sz w:val="20"/>
      <w:szCs w:val="24"/>
      <w:u w:val="single"/>
      <w:lang w:val="es-MX" w:eastAsia="es-MX"/>
    </w:rPr>
  </w:style>
  <w:style w:type="character" w:styleId="LineNumber">
    <w:name w:val="line number"/>
    <w:basedOn w:val="DefaultParagraphFont"/>
    <w:uiPriority w:val="99"/>
    <w:semiHidden/>
    <w:unhideWhenUsed/>
    <w:rsid w:val="003E5472"/>
  </w:style>
  <w:style w:type="character" w:styleId="Emphasis">
    <w:name w:val="Emphasis"/>
    <w:uiPriority w:val="20"/>
    <w:qFormat/>
    <w:rsid w:val="003E5472"/>
    <w:rPr>
      <w:b/>
      <w:bCs/>
      <w:i/>
      <w:iCs/>
      <w:spacing w:val="10"/>
      <w:bdr w:val="none" w:sz="0" w:space="0" w:color="auto"/>
      <w:shd w:val="clear" w:color="auto" w:fill="auto"/>
    </w:rPr>
  </w:style>
  <w:style w:type="paragraph" w:styleId="TOCHeading">
    <w:name w:val="TOC Heading"/>
    <w:basedOn w:val="Heading1"/>
    <w:next w:val="Normal"/>
    <w:uiPriority w:val="39"/>
    <w:unhideWhenUsed/>
    <w:qFormat/>
    <w:rsid w:val="003E5472"/>
    <w:pPr>
      <w:keepNext w:val="0"/>
      <w:tabs>
        <w:tab w:val="center" w:pos="4320"/>
        <w:tab w:val="right" w:pos="8640"/>
      </w:tabs>
      <w:spacing w:before="480" w:line="276" w:lineRule="auto"/>
      <w:jc w:val="left"/>
      <w:outlineLvl w:val="9"/>
    </w:pPr>
    <w:rPr>
      <w:rFonts w:asciiTheme="majorHAnsi" w:hAnsiTheme="majorHAnsi"/>
      <w:color w:val="365F91" w:themeColor="accent1" w:themeShade="BF"/>
      <w:sz w:val="28"/>
      <w:lang w:val="es-ES_tradnl" w:eastAsia="es-ES_tradnl"/>
    </w:rPr>
  </w:style>
  <w:style w:type="paragraph" w:styleId="TOC1">
    <w:name w:val="toc 1"/>
    <w:basedOn w:val="Normal"/>
    <w:next w:val="Normal"/>
    <w:uiPriority w:val="39"/>
    <w:unhideWhenUsed/>
    <w:qFormat/>
    <w:rsid w:val="003E5472"/>
    <w:pPr>
      <w:spacing w:before="120" w:after="120"/>
    </w:pPr>
    <w:rPr>
      <w:rFonts w:asciiTheme="minorHAnsi" w:hAnsiTheme="minorHAnsi"/>
      <w:b/>
      <w:bCs/>
      <w:caps/>
      <w:szCs w:val="20"/>
    </w:rPr>
  </w:style>
  <w:style w:type="paragraph" w:styleId="TOC2">
    <w:name w:val="toc 2"/>
    <w:basedOn w:val="Normal"/>
    <w:next w:val="Normal"/>
    <w:uiPriority w:val="39"/>
    <w:unhideWhenUsed/>
    <w:qFormat/>
    <w:rsid w:val="003E5472"/>
    <w:pPr>
      <w:ind w:left="200"/>
    </w:pPr>
    <w:rPr>
      <w:rFonts w:asciiTheme="minorHAnsi" w:hAnsiTheme="minorHAnsi"/>
      <w:smallCaps/>
      <w:szCs w:val="20"/>
    </w:rPr>
  </w:style>
  <w:style w:type="paragraph" w:styleId="TOC3">
    <w:name w:val="toc 3"/>
    <w:basedOn w:val="Normal"/>
    <w:next w:val="Normal"/>
    <w:uiPriority w:val="39"/>
    <w:unhideWhenUsed/>
    <w:qFormat/>
    <w:rsid w:val="003E5472"/>
    <w:pPr>
      <w:ind w:left="400"/>
    </w:pPr>
    <w:rPr>
      <w:rFonts w:asciiTheme="minorHAnsi" w:hAnsiTheme="minorHAnsi"/>
      <w:i/>
      <w:iCs/>
      <w:szCs w:val="20"/>
    </w:rPr>
  </w:style>
  <w:style w:type="paragraph" w:styleId="TOC4">
    <w:name w:val="toc 4"/>
    <w:basedOn w:val="Normal"/>
    <w:next w:val="Normal"/>
    <w:autoRedefine/>
    <w:uiPriority w:val="39"/>
    <w:unhideWhenUsed/>
    <w:rsid w:val="003E5472"/>
    <w:pPr>
      <w:ind w:left="600"/>
    </w:pPr>
    <w:rPr>
      <w:rFonts w:asciiTheme="minorHAnsi" w:hAnsiTheme="minorHAnsi"/>
      <w:sz w:val="18"/>
      <w:szCs w:val="18"/>
    </w:rPr>
  </w:style>
  <w:style w:type="paragraph" w:styleId="TOC5">
    <w:name w:val="toc 5"/>
    <w:basedOn w:val="Normal"/>
    <w:next w:val="Normal"/>
    <w:autoRedefine/>
    <w:uiPriority w:val="39"/>
    <w:unhideWhenUsed/>
    <w:rsid w:val="003E5472"/>
    <w:pPr>
      <w:ind w:left="800"/>
    </w:pPr>
    <w:rPr>
      <w:rFonts w:asciiTheme="minorHAnsi" w:hAnsiTheme="minorHAnsi"/>
      <w:sz w:val="18"/>
      <w:szCs w:val="18"/>
    </w:rPr>
  </w:style>
  <w:style w:type="paragraph" w:styleId="TOC6">
    <w:name w:val="toc 6"/>
    <w:basedOn w:val="Normal"/>
    <w:next w:val="Normal"/>
    <w:autoRedefine/>
    <w:uiPriority w:val="39"/>
    <w:unhideWhenUsed/>
    <w:rsid w:val="003E5472"/>
    <w:pPr>
      <w:ind w:left="1000"/>
    </w:pPr>
    <w:rPr>
      <w:rFonts w:asciiTheme="minorHAnsi" w:hAnsiTheme="minorHAnsi"/>
      <w:sz w:val="18"/>
      <w:szCs w:val="18"/>
    </w:rPr>
  </w:style>
  <w:style w:type="paragraph" w:styleId="TOC7">
    <w:name w:val="toc 7"/>
    <w:basedOn w:val="Normal"/>
    <w:next w:val="Normal"/>
    <w:autoRedefine/>
    <w:uiPriority w:val="39"/>
    <w:unhideWhenUsed/>
    <w:rsid w:val="003E5472"/>
    <w:pPr>
      <w:ind w:left="1200"/>
    </w:pPr>
    <w:rPr>
      <w:rFonts w:asciiTheme="minorHAnsi" w:hAnsiTheme="minorHAnsi"/>
      <w:sz w:val="18"/>
      <w:szCs w:val="18"/>
    </w:rPr>
  </w:style>
  <w:style w:type="paragraph" w:styleId="TOC8">
    <w:name w:val="toc 8"/>
    <w:basedOn w:val="Normal"/>
    <w:next w:val="Normal"/>
    <w:autoRedefine/>
    <w:uiPriority w:val="39"/>
    <w:unhideWhenUsed/>
    <w:rsid w:val="003E5472"/>
    <w:pPr>
      <w:ind w:left="1400"/>
    </w:pPr>
    <w:rPr>
      <w:rFonts w:asciiTheme="minorHAnsi" w:hAnsiTheme="minorHAnsi"/>
      <w:sz w:val="18"/>
      <w:szCs w:val="18"/>
    </w:rPr>
  </w:style>
  <w:style w:type="paragraph" w:styleId="TOC9">
    <w:name w:val="toc 9"/>
    <w:basedOn w:val="Normal"/>
    <w:next w:val="Normal"/>
    <w:autoRedefine/>
    <w:uiPriority w:val="39"/>
    <w:unhideWhenUsed/>
    <w:rsid w:val="003E5472"/>
    <w:pPr>
      <w:ind w:left="1600"/>
    </w:pPr>
    <w:rPr>
      <w:rFonts w:asciiTheme="minorHAnsi" w:hAnsiTheme="minorHAnsi"/>
      <w:sz w:val="18"/>
      <w:szCs w:val="18"/>
    </w:rPr>
  </w:style>
  <w:style w:type="paragraph" w:styleId="BlockText">
    <w:name w:val="Block Text"/>
    <w:basedOn w:val="Normal"/>
    <w:uiPriority w:val="99"/>
    <w:unhideWhenUsed/>
    <w:rsid w:val="003E5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16"/>
      <w:jc w:val="both"/>
    </w:pPr>
    <w:rPr>
      <w:rFonts w:cs="Courier New"/>
      <w:color w:val="212121"/>
      <w:sz w:val="18"/>
      <w:szCs w:val="18"/>
      <w:lang w:val="es-ES" w:eastAsia="es-CR"/>
    </w:rPr>
  </w:style>
  <w:style w:type="paragraph" w:customStyle="1" w:styleId="Estilo1">
    <w:name w:val="Estilo1"/>
    <w:basedOn w:val="Normal"/>
    <w:link w:val="Estilo1Car"/>
    <w:qFormat/>
    <w:rsid w:val="003E5472"/>
    <w:pPr>
      <w:spacing w:after="120"/>
      <w:ind w:left="2018" w:right="6" w:hanging="180"/>
      <w:jc w:val="both"/>
    </w:pPr>
    <w:rPr>
      <w:rFonts w:eastAsia="Batang" w:cs="Times"/>
      <w:i/>
      <w:noProof/>
      <w:lang w:val="es-ES_tradnl"/>
    </w:rPr>
  </w:style>
  <w:style w:type="character" w:customStyle="1" w:styleId="Estilo1Car">
    <w:name w:val="Estilo1 Car"/>
    <w:link w:val="Estilo1"/>
    <w:rsid w:val="003E5472"/>
    <w:rPr>
      <w:rFonts w:ascii="Verdana" w:eastAsia="Batang" w:hAnsi="Verdana" w:cs="Times"/>
      <w:i/>
      <w:noProof/>
      <w:sz w:val="20"/>
      <w:szCs w:val="24"/>
      <w:lang w:val="es-ES_tradnl"/>
    </w:rPr>
  </w:style>
  <w:style w:type="paragraph" w:customStyle="1" w:styleId="Style1">
    <w:name w:val="Style1"/>
    <w:basedOn w:val="Heading1"/>
    <w:link w:val="Style1Char"/>
    <w:qFormat/>
    <w:rsid w:val="003E5472"/>
    <w:pPr>
      <w:keepNext w:val="0"/>
      <w:tabs>
        <w:tab w:val="center" w:pos="4320"/>
        <w:tab w:val="right" w:pos="8640"/>
      </w:tabs>
      <w:spacing w:before="0" w:after="60"/>
      <w:jc w:val="center"/>
    </w:pPr>
    <w:rPr>
      <w:rFonts w:eastAsia="Times New Roman" w:cs="Verdana"/>
      <w:caps/>
      <w:noProof/>
      <w:snapToGrid w:val="0"/>
      <w:szCs w:val="20"/>
      <w:lang w:val="es-ES" w:eastAsia="es-ES"/>
    </w:rPr>
  </w:style>
  <w:style w:type="character" w:customStyle="1" w:styleId="Style1Char">
    <w:name w:val="Style1 Char"/>
    <w:link w:val="Style1"/>
    <w:rsid w:val="003E5472"/>
    <w:rPr>
      <w:rFonts w:ascii="Verdana" w:hAnsi="Verdana" w:cs="Verdana"/>
      <w:b/>
      <w:bCs/>
      <w:caps/>
      <w:noProof/>
      <w:snapToGrid w:val="0"/>
      <w:sz w:val="20"/>
      <w:szCs w:val="20"/>
      <w:lang w:val="es-ES" w:eastAsia="es-ES"/>
    </w:rPr>
  </w:style>
  <w:style w:type="paragraph" w:customStyle="1" w:styleId="Estilo7">
    <w:name w:val="Estilo7"/>
    <w:basedOn w:val="Normal"/>
    <w:qFormat/>
    <w:rsid w:val="003E5472"/>
    <w:pPr>
      <w:tabs>
        <w:tab w:val="left" w:pos="567"/>
        <w:tab w:val="left" w:pos="851"/>
        <w:tab w:val="num" w:pos="2160"/>
      </w:tabs>
      <w:spacing w:before="120" w:after="120"/>
      <w:ind w:left="2160" w:hanging="180"/>
      <w:jc w:val="both"/>
    </w:pPr>
    <w:rPr>
      <w:rFonts w:eastAsia="Batang"/>
      <w:b/>
      <w:i/>
      <w:noProof/>
      <w:szCs w:val="20"/>
      <w:lang w:val="es-ES_tradnl" w:eastAsia="es-MX"/>
    </w:rPr>
  </w:style>
  <w:style w:type="paragraph" w:customStyle="1" w:styleId="Style2">
    <w:name w:val="Style2"/>
    <w:basedOn w:val="Heading2"/>
    <w:link w:val="Style2Char"/>
    <w:autoRedefine/>
    <w:qFormat/>
    <w:rsid w:val="003E5472"/>
    <w:pPr>
      <w:keepNext/>
      <w:keepLines/>
      <w:spacing w:before="360" w:after="60"/>
      <w:jc w:val="both"/>
    </w:pPr>
    <w:rPr>
      <w:rFonts w:cs="Times New Roman"/>
      <w:b w:val="0"/>
      <w:bCs/>
      <w:i w:val="0"/>
      <w:noProof/>
      <w:lang w:val="es-CR" w:eastAsia="en-US"/>
    </w:rPr>
  </w:style>
  <w:style w:type="character" w:customStyle="1" w:styleId="Style2Char">
    <w:name w:val="Style2 Char"/>
    <w:link w:val="Style2"/>
    <w:rsid w:val="003E5472"/>
    <w:rPr>
      <w:rFonts w:ascii="Verdana" w:hAnsi="Verdana" w:cs="Times New Roman"/>
      <w:bCs/>
      <w:noProof/>
      <w:sz w:val="20"/>
      <w:szCs w:val="20"/>
    </w:rPr>
  </w:style>
  <w:style w:type="paragraph" w:customStyle="1" w:styleId="Encabezadodetabladecontenido">
    <w:name w:val="Encabezado de tabla de contenido"/>
    <w:basedOn w:val="Heading1"/>
    <w:next w:val="Normal"/>
    <w:uiPriority w:val="39"/>
    <w:unhideWhenUsed/>
    <w:qFormat/>
    <w:rsid w:val="003E5472"/>
    <w:pPr>
      <w:keepNext w:val="0"/>
      <w:tabs>
        <w:tab w:val="center" w:pos="4320"/>
        <w:tab w:val="right" w:pos="8640"/>
      </w:tabs>
      <w:spacing w:before="480" w:line="276" w:lineRule="auto"/>
      <w:jc w:val="left"/>
      <w:outlineLvl w:val="9"/>
    </w:pPr>
    <w:rPr>
      <w:rFonts w:ascii="Cambria" w:eastAsia="Times New Roman" w:hAnsi="Cambria" w:cs="Times New Roman"/>
      <w:noProof/>
      <w:color w:val="365F91"/>
      <w:sz w:val="28"/>
      <w:lang w:val="en-US"/>
    </w:rPr>
  </w:style>
  <w:style w:type="paragraph" w:customStyle="1" w:styleId="Estilo2">
    <w:name w:val="Estilo2"/>
    <w:basedOn w:val="Normal"/>
    <w:link w:val="Estilo2Car"/>
    <w:qFormat/>
    <w:rsid w:val="003E5472"/>
    <w:pPr>
      <w:tabs>
        <w:tab w:val="left" w:pos="567"/>
        <w:tab w:val="left" w:pos="1134"/>
        <w:tab w:val="num" w:pos="4767"/>
      </w:tabs>
      <w:spacing w:after="120"/>
      <w:ind w:firstLine="357"/>
      <w:jc w:val="both"/>
    </w:pPr>
    <w:rPr>
      <w:rFonts w:eastAsia="Calibri"/>
      <w:noProof/>
      <w:szCs w:val="20"/>
      <w:lang w:val="es-ES_tradnl" w:eastAsia="x-none"/>
    </w:rPr>
  </w:style>
  <w:style w:type="table" w:styleId="LightGrid-Accent3">
    <w:name w:val="Light Grid Accent 3"/>
    <w:basedOn w:val="TableNormal"/>
    <w:uiPriority w:val="99"/>
    <w:rsid w:val="003E5472"/>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3E5472"/>
    <w:rPr>
      <w:rFonts w:cs="Times New Roman"/>
    </w:rPr>
  </w:style>
  <w:style w:type="paragraph" w:customStyle="1" w:styleId="NotasProyectos">
    <w:name w:val="Notas Proyectos"/>
    <w:basedOn w:val="Normal"/>
    <w:link w:val="NotasProyectosChar"/>
    <w:autoRedefine/>
    <w:qFormat/>
    <w:rsid w:val="003E5472"/>
    <w:pPr>
      <w:spacing w:before="120"/>
      <w:ind w:left="720"/>
      <w:jc w:val="both"/>
    </w:pPr>
    <w:rPr>
      <w:noProof/>
      <w:szCs w:val="20"/>
      <w:lang w:val="es-ES_tradnl" w:eastAsia="es-ES"/>
    </w:rPr>
  </w:style>
  <w:style w:type="character" w:customStyle="1" w:styleId="NotasProyectosChar">
    <w:name w:val="Notas Proyectos Char"/>
    <w:link w:val="NotasProyectos"/>
    <w:rsid w:val="003E5472"/>
    <w:rPr>
      <w:rFonts w:ascii="Verdana" w:hAnsi="Verdana" w:cs="Times New Roman"/>
      <w:noProof/>
      <w:sz w:val="20"/>
      <w:szCs w:val="20"/>
      <w:lang w:val="es-ES_tradnl" w:eastAsia="es-ES"/>
    </w:rPr>
  </w:style>
  <w:style w:type="paragraph" w:customStyle="1" w:styleId="1Prrafosentencia">
    <w:name w:val="1. Párrafo sentencia"/>
    <w:autoRedefine/>
    <w:qFormat/>
    <w:rsid w:val="003E5472"/>
    <w:pPr>
      <w:spacing w:before="120" w:after="120" w:line="240" w:lineRule="auto"/>
      <w:ind w:left="1440" w:hanging="360"/>
      <w:jc w:val="both"/>
    </w:pPr>
    <w:rPr>
      <w:rFonts w:ascii="Verdana" w:hAnsi="Verdana" w:cs="Univers"/>
      <w:noProof/>
      <w:color w:val="000000"/>
      <w:sz w:val="24"/>
      <w:szCs w:val="24"/>
      <w:lang w:val="es-ES_tradnl"/>
    </w:rPr>
  </w:style>
  <w:style w:type="paragraph" w:styleId="BodyTextIndent">
    <w:name w:val="Body Text Indent"/>
    <w:basedOn w:val="Normal"/>
    <w:link w:val="BodyTextIndentChar"/>
    <w:uiPriority w:val="99"/>
    <w:unhideWhenUsed/>
    <w:rsid w:val="003E5472"/>
    <w:pPr>
      <w:tabs>
        <w:tab w:val="left" w:pos="1276"/>
      </w:tabs>
      <w:spacing w:before="120" w:after="120"/>
      <w:ind w:left="1996" w:firstLine="164"/>
      <w:jc w:val="both"/>
    </w:pPr>
    <w:rPr>
      <w:rFonts w:eastAsia="Batang" w:cs="Arial"/>
      <w:i/>
      <w:noProof/>
      <w:szCs w:val="20"/>
      <w:lang w:val="es-ES_tradnl"/>
    </w:rPr>
  </w:style>
  <w:style w:type="character" w:customStyle="1" w:styleId="BodyTextIndentChar">
    <w:name w:val="Body Text Indent Char"/>
    <w:basedOn w:val="DefaultParagraphFont"/>
    <w:link w:val="BodyTextIndent"/>
    <w:uiPriority w:val="99"/>
    <w:rsid w:val="003E5472"/>
    <w:rPr>
      <w:rFonts w:ascii="Verdana" w:eastAsia="Batang" w:hAnsi="Verdana" w:cs="Arial"/>
      <w:i/>
      <w:noProof/>
      <w:sz w:val="20"/>
      <w:szCs w:val="20"/>
      <w:lang w:val="es-ES_tradnl"/>
    </w:rPr>
  </w:style>
  <w:style w:type="paragraph" w:customStyle="1" w:styleId="Prrafonumerado">
    <w:name w:val="Párrafo numerado"/>
    <w:basedOn w:val="Normal"/>
    <w:autoRedefine/>
    <w:rsid w:val="003E5472"/>
    <w:pPr>
      <w:spacing w:before="120" w:after="120"/>
      <w:ind w:left="567" w:right="855"/>
      <w:jc w:val="both"/>
    </w:pPr>
    <w:rPr>
      <w:noProof/>
      <w:sz w:val="16"/>
      <w:szCs w:val="16"/>
      <w:lang w:val="es-CO" w:eastAsia="es-ES"/>
    </w:rPr>
  </w:style>
  <w:style w:type="paragraph" w:customStyle="1" w:styleId="2Footnotes">
    <w:name w:val="2. Footnotes"/>
    <w:basedOn w:val="FootnoteText"/>
    <w:link w:val="2FootnotesChar"/>
    <w:autoRedefine/>
    <w:qFormat/>
    <w:rsid w:val="003E5472"/>
    <w:pPr>
      <w:spacing w:before="120" w:after="120"/>
    </w:pPr>
    <w:rPr>
      <w:rFonts w:cs="Palatino-Italic"/>
      <w:iCs/>
      <w:noProof/>
      <w:szCs w:val="18"/>
      <w:lang w:val="es-ES" w:eastAsia="en-US"/>
    </w:rPr>
  </w:style>
  <w:style w:type="character" w:customStyle="1" w:styleId="2FootnotesChar">
    <w:name w:val="2. Footnotes Char"/>
    <w:link w:val="2Footnotes"/>
    <w:rsid w:val="003E5472"/>
    <w:rPr>
      <w:rFonts w:ascii="Verdana" w:hAnsi="Verdana" w:cs="Palatino-Italic"/>
      <w:iCs/>
      <w:noProof/>
      <w:sz w:val="16"/>
      <w:szCs w:val="18"/>
      <w:lang w:val="es-ES"/>
    </w:rPr>
  </w:style>
  <w:style w:type="paragraph" w:styleId="DocumentMap">
    <w:name w:val="Document Map"/>
    <w:basedOn w:val="Normal"/>
    <w:link w:val="DocumentMapChar"/>
    <w:uiPriority w:val="99"/>
    <w:semiHidden/>
    <w:unhideWhenUsed/>
    <w:rsid w:val="003E5472"/>
    <w:pPr>
      <w:jc w:val="both"/>
    </w:pPr>
    <w:rPr>
      <w:rFonts w:ascii="Tahoma" w:eastAsia="Batang" w:hAnsi="Tahoma" w:cs="Tahoma"/>
      <w:noProof/>
      <w:sz w:val="16"/>
      <w:szCs w:val="16"/>
      <w:lang w:val="es-ES_tradnl"/>
    </w:rPr>
  </w:style>
  <w:style w:type="character" w:customStyle="1" w:styleId="DocumentMapChar">
    <w:name w:val="Document Map Char"/>
    <w:basedOn w:val="DefaultParagraphFont"/>
    <w:link w:val="DocumentMap"/>
    <w:uiPriority w:val="99"/>
    <w:semiHidden/>
    <w:rsid w:val="003E5472"/>
    <w:rPr>
      <w:rFonts w:ascii="Tahoma" w:eastAsia="Batang" w:hAnsi="Tahoma" w:cs="Tahoma"/>
      <w:noProof/>
      <w:sz w:val="16"/>
      <w:szCs w:val="16"/>
      <w:lang w:val="es-ES_tradnl"/>
    </w:rPr>
  </w:style>
  <w:style w:type="paragraph" w:styleId="EndnoteText">
    <w:name w:val="endnote text"/>
    <w:basedOn w:val="Normal"/>
    <w:link w:val="EndnoteTextChar"/>
    <w:unhideWhenUsed/>
    <w:rsid w:val="003E5472"/>
    <w:pPr>
      <w:jc w:val="both"/>
    </w:pPr>
    <w:rPr>
      <w:rFonts w:eastAsia="Batang" w:cs="Times"/>
      <w:noProof/>
      <w:szCs w:val="20"/>
      <w:lang w:val="es-ES_tradnl"/>
    </w:rPr>
  </w:style>
  <w:style w:type="character" w:customStyle="1" w:styleId="EndnoteTextChar">
    <w:name w:val="Endnote Text Char"/>
    <w:basedOn w:val="DefaultParagraphFont"/>
    <w:link w:val="EndnoteText"/>
    <w:rsid w:val="003E5472"/>
    <w:rPr>
      <w:rFonts w:ascii="Verdana" w:eastAsia="Batang" w:hAnsi="Verdana" w:cs="Times"/>
      <w:noProof/>
      <w:sz w:val="20"/>
      <w:szCs w:val="20"/>
      <w:lang w:val="es-ES_tradnl"/>
    </w:rPr>
  </w:style>
  <w:style w:type="character" w:styleId="EndnoteReference">
    <w:name w:val="endnote reference"/>
    <w:semiHidden/>
    <w:unhideWhenUsed/>
    <w:rsid w:val="003E5472"/>
    <w:rPr>
      <w:vertAlign w:val="superscript"/>
    </w:rPr>
  </w:style>
  <w:style w:type="paragraph" w:customStyle="1" w:styleId="PrrafodeSentencia0">
    <w:name w:val="Párrafo de Sentencia"/>
    <w:autoRedefine/>
    <w:qFormat/>
    <w:rsid w:val="003E5472"/>
    <w:pPr>
      <w:numPr>
        <w:ilvl w:val="4"/>
        <w:numId w:val="5"/>
      </w:numPr>
      <w:tabs>
        <w:tab w:val="num" w:pos="360"/>
      </w:tabs>
      <w:spacing w:after="0" w:line="240" w:lineRule="auto"/>
      <w:ind w:left="720" w:firstLine="0"/>
      <w:contextualSpacing/>
      <w:jc w:val="both"/>
    </w:pPr>
    <w:rPr>
      <w:rFonts w:ascii="Verdana" w:hAnsi="Verdana" w:cs="Times New Roman"/>
      <w:noProof/>
      <w:sz w:val="20"/>
      <w:szCs w:val="20"/>
      <w:lang w:val="es-ES_tradnl" w:eastAsia="es-ES"/>
    </w:rPr>
  </w:style>
  <w:style w:type="paragraph" w:customStyle="1" w:styleId="Textonotapie1">
    <w:name w:val="Texto nota pie1"/>
    <w:basedOn w:val="Normal"/>
    <w:semiHidden/>
    <w:rsid w:val="003E5472"/>
    <w:rPr>
      <w:rFonts w:ascii="Times New Roman" w:hAnsi="Times New Roman"/>
      <w:noProof/>
      <w:szCs w:val="20"/>
      <w:lang w:val="es-ES_tradnl" w:eastAsia="es-ES"/>
    </w:rPr>
  </w:style>
  <w:style w:type="character" w:customStyle="1" w:styleId="normalchar">
    <w:name w:val="normal__char"/>
    <w:basedOn w:val="DefaultParagraphFont"/>
    <w:rsid w:val="003E5472"/>
  </w:style>
  <w:style w:type="character" w:customStyle="1" w:styleId="Caracteresdenotafinal">
    <w:name w:val="Caracteres de nota final"/>
    <w:rsid w:val="003E5472"/>
    <w:rPr>
      <w:vertAlign w:val="superscript"/>
    </w:rPr>
  </w:style>
  <w:style w:type="character" w:customStyle="1" w:styleId="FootnoteRef">
    <w:name w:val="Footnote Ref"/>
    <w:rsid w:val="003E5472"/>
    <w:rPr>
      <w:rFonts w:cs="Times New Roman"/>
      <w:vertAlign w:val="superscript"/>
    </w:rPr>
  </w:style>
  <w:style w:type="paragraph" w:styleId="PlainText">
    <w:name w:val="Plain Text"/>
    <w:basedOn w:val="Normal"/>
    <w:link w:val="PlainTextChar"/>
    <w:uiPriority w:val="99"/>
    <w:unhideWhenUsed/>
    <w:rsid w:val="003E5472"/>
    <w:rPr>
      <w:rFonts w:ascii="Consolas" w:eastAsia="Calibri" w:hAnsi="Consolas" w:cs="Consolas"/>
      <w:noProof/>
      <w:sz w:val="21"/>
      <w:szCs w:val="21"/>
      <w:lang w:val="es-CR" w:eastAsia="es-CR"/>
    </w:rPr>
  </w:style>
  <w:style w:type="character" w:customStyle="1" w:styleId="PlainTextChar">
    <w:name w:val="Plain Text Char"/>
    <w:basedOn w:val="DefaultParagraphFont"/>
    <w:link w:val="PlainText"/>
    <w:uiPriority w:val="99"/>
    <w:rsid w:val="003E5472"/>
    <w:rPr>
      <w:rFonts w:ascii="Consolas" w:eastAsia="Calibri" w:hAnsi="Consolas" w:cs="Consolas"/>
      <w:noProof/>
      <w:sz w:val="21"/>
      <w:szCs w:val="21"/>
      <w:lang w:eastAsia="es-CR"/>
    </w:rPr>
  </w:style>
  <w:style w:type="paragraph" w:customStyle="1" w:styleId="CM15">
    <w:name w:val="CM15"/>
    <w:basedOn w:val="Default"/>
    <w:next w:val="Default"/>
    <w:uiPriority w:val="99"/>
    <w:rsid w:val="003E5472"/>
    <w:pPr>
      <w:spacing w:line="276" w:lineRule="atLeast"/>
    </w:pPr>
    <w:rPr>
      <w:rFonts w:ascii="Arial" w:eastAsia="Calibri" w:hAnsi="Arial" w:cs="Arial"/>
      <w:color w:val="auto"/>
      <w:lang w:val="en-US" w:eastAsia="en-US"/>
    </w:rPr>
  </w:style>
  <w:style w:type="character" w:customStyle="1" w:styleId="longtext1">
    <w:name w:val="long_text1"/>
    <w:rsid w:val="003E5472"/>
    <w:rPr>
      <w:sz w:val="14"/>
      <w:szCs w:val="14"/>
    </w:rPr>
  </w:style>
  <w:style w:type="character" w:customStyle="1" w:styleId="Refdenotaalpie2">
    <w:name w:val="Ref. de nota al pie2"/>
    <w:rsid w:val="003E5472"/>
    <w:rPr>
      <w:vertAlign w:val="superscript"/>
    </w:rPr>
  </w:style>
  <w:style w:type="paragraph" w:customStyle="1" w:styleId="xl66">
    <w:name w:val="xl66"/>
    <w:basedOn w:val="Normal"/>
    <w:rsid w:val="003E5472"/>
    <w:pPr>
      <w:pBdr>
        <w:top w:val="single" w:sz="8" w:space="0" w:color="auto"/>
        <w:lef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7">
    <w:name w:val="xl67"/>
    <w:basedOn w:val="Normal"/>
    <w:rsid w:val="003E5472"/>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8">
    <w:name w:val="xl68"/>
    <w:basedOn w:val="Normal"/>
    <w:rsid w:val="003E5472"/>
    <w:pPr>
      <w:pBdr>
        <w:top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0">
    <w:name w:val="xl70"/>
    <w:basedOn w:val="Normal"/>
    <w:rsid w:val="003E5472"/>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1">
    <w:name w:val="xl71"/>
    <w:basedOn w:val="Normal"/>
    <w:rsid w:val="003E547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2">
    <w:name w:val="xl72"/>
    <w:basedOn w:val="Normal"/>
    <w:rsid w:val="003E5472"/>
    <w:pPr>
      <w:pBdr>
        <w:top w:val="single" w:sz="4" w:space="0" w:color="auto"/>
        <w:bottom w:val="single" w:sz="4"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3">
    <w:name w:val="xl73"/>
    <w:basedOn w:val="Normal"/>
    <w:rsid w:val="003E547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4">
    <w:name w:val="xl74"/>
    <w:basedOn w:val="Normal"/>
    <w:rsid w:val="003E5472"/>
    <w:pPr>
      <w:pBdr>
        <w:top w:val="single" w:sz="4" w:space="0" w:color="auto"/>
        <w:left w:val="single" w:sz="8"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5">
    <w:name w:val="xl75"/>
    <w:basedOn w:val="Normal"/>
    <w:rsid w:val="003E5472"/>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6">
    <w:name w:val="xl76"/>
    <w:basedOn w:val="Normal"/>
    <w:rsid w:val="003E5472"/>
    <w:pPr>
      <w:pBdr>
        <w:top w:val="single" w:sz="4" w:space="0" w:color="auto"/>
        <w:bottom w:val="single" w:sz="4"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7">
    <w:name w:val="xl77"/>
    <w:basedOn w:val="Normal"/>
    <w:rsid w:val="003E5472"/>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69">
    <w:name w:val="xl69"/>
    <w:basedOn w:val="Normal"/>
    <w:rsid w:val="003E54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s-CR" w:eastAsia="es-CR"/>
    </w:rPr>
  </w:style>
  <w:style w:type="paragraph" w:styleId="BodyTextIndent2">
    <w:name w:val="Body Text Indent 2"/>
    <w:basedOn w:val="Normal"/>
    <w:link w:val="BodyTextIndent2Char"/>
    <w:uiPriority w:val="99"/>
    <w:semiHidden/>
    <w:unhideWhenUsed/>
    <w:rsid w:val="003E5472"/>
    <w:pPr>
      <w:spacing w:after="120" w:line="480" w:lineRule="auto"/>
      <w:ind w:left="283"/>
      <w:jc w:val="both"/>
    </w:pPr>
    <w:rPr>
      <w:rFonts w:eastAsia="Batang" w:cs="Times"/>
      <w:noProof/>
      <w:lang w:val="es-ES_tradnl"/>
    </w:rPr>
  </w:style>
  <w:style w:type="character" w:customStyle="1" w:styleId="BodyTextIndent2Char">
    <w:name w:val="Body Text Indent 2 Char"/>
    <w:basedOn w:val="DefaultParagraphFont"/>
    <w:link w:val="BodyTextIndent2"/>
    <w:uiPriority w:val="99"/>
    <w:semiHidden/>
    <w:rsid w:val="003E5472"/>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3E5472"/>
    <w:pPr>
      <w:spacing w:before="120"/>
      <w:ind w:left="720"/>
      <w:jc w:val="both"/>
    </w:pPr>
    <w:rPr>
      <w:szCs w:val="20"/>
      <w:lang w:val="es-ES_tradnl" w:eastAsia="es-ES"/>
    </w:rPr>
  </w:style>
  <w:style w:type="character" w:customStyle="1" w:styleId="NotasProyectosChar0">
    <w:name w:val="***. Notas Proyectos Char"/>
    <w:link w:val="NotasProyectos0"/>
    <w:rsid w:val="003E5472"/>
    <w:rPr>
      <w:rFonts w:ascii="Verdana" w:hAnsi="Verdana" w:cs="Times New Roman"/>
      <w:sz w:val="20"/>
      <w:szCs w:val="20"/>
      <w:lang w:val="es-ES_tradnl" w:eastAsia="es-ES"/>
    </w:rPr>
  </w:style>
  <w:style w:type="character" w:customStyle="1" w:styleId="Smbolodenotaalpie">
    <w:name w:val="Símbolo de nota al pie"/>
    <w:rsid w:val="003E5472"/>
    <w:rPr>
      <w:vertAlign w:val="superscript"/>
    </w:rPr>
  </w:style>
  <w:style w:type="paragraph" w:customStyle="1" w:styleId="BodyText31">
    <w:name w:val="Body Text 31"/>
    <w:basedOn w:val="Normal"/>
    <w:rsid w:val="003E5472"/>
    <w:pPr>
      <w:overflowPunct w:val="0"/>
      <w:autoSpaceDE w:val="0"/>
      <w:autoSpaceDN w:val="0"/>
      <w:adjustRightInd w:val="0"/>
      <w:textAlignment w:val="baseline"/>
    </w:pPr>
    <w:rPr>
      <w:rFonts w:ascii="Times" w:hAnsi="Times"/>
      <w:b/>
      <w:caps/>
      <w:sz w:val="24"/>
      <w:szCs w:val="20"/>
      <w:lang w:val="en-US" w:eastAsia="es-ES"/>
    </w:rPr>
  </w:style>
  <w:style w:type="character" w:customStyle="1" w:styleId="Estilo2Car">
    <w:name w:val="Estilo2 Car"/>
    <w:link w:val="Estilo2"/>
    <w:rsid w:val="003E5472"/>
    <w:rPr>
      <w:rFonts w:ascii="Verdana" w:eastAsia="Calibri" w:hAnsi="Verdana" w:cs="Times New Roman"/>
      <w:noProof/>
      <w:sz w:val="20"/>
      <w:szCs w:val="20"/>
      <w:lang w:val="es-ES_tradnl" w:eastAsia="x-none"/>
    </w:rPr>
  </w:style>
  <w:style w:type="paragraph" w:customStyle="1" w:styleId="xmsonormal">
    <w:name w:val="x_msonormal"/>
    <w:basedOn w:val="Normal"/>
    <w:rsid w:val="003E5472"/>
    <w:pPr>
      <w:spacing w:before="100" w:beforeAutospacing="1" w:after="100" w:afterAutospacing="1"/>
    </w:pPr>
    <w:rPr>
      <w:rFonts w:ascii="Times New Roman" w:hAnsi="Times New Roman"/>
      <w:sz w:val="24"/>
      <w:lang w:val="es-CR" w:eastAsia="es-CR"/>
    </w:rPr>
  </w:style>
  <w:style w:type="character" w:customStyle="1" w:styleId="normal--char">
    <w:name w:val="normal--char"/>
    <w:basedOn w:val="DefaultParagraphFont"/>
    <w:rsid w:val="003E5472"/>
  </w:style>
  <w:style w:type="character" w:customStyle="1" w:styleId="ju-005fpara-002cleft-002cfirst-0020line-003a-0020-00200-0020cm--char">
    <w:name w:val="ju-005fpara-002cleft-002cfirst-0020line-003a-0020-00200-0020cm--char"/>
    <w:basedOn w:val="DefaultParagraphFont"/>
    <w:rsid w:val="003E5472"/>
  </w:style>
  <w:style w:type="character" w:customStyle="1" w:styleId="skypepnhprintcontainer">
    <w:name w:val="skype_pnh_print_container"/>
    <w:basedOn w:val="DefaultParagraphFont"/>
    <w:rsid w:val="003E5472"/>
  </w:style>
  <w:style w:type="character" w:customStyle="1" w:styleId="s6b621b36">
    <w:name w:val="s6b621b36"/>
    <w:basedOn w:val="DefaultParagraphFont"/>
    <w:rsid w:val="003E5472"/>
  </w:style>
  <w:style w:type="paragraph" w:customStyle="1" w:styleId="ng-scope1">
    <w:name w:val="ng-scope1"/>
    <w:basedOn w:val="Normal"/>
    <w:rsid w:val="003E5472"/>
    <w:pPr>
      <w:spacing w:before="100" w:beforeAutospacing="1" w:after="100" w:afterAutospacing="1"/>
    </w:pPr>
    <w:rPr>
      <w:rFonts w:ascii="Times New Roman" w:hAnsi="Times New Roman"/>
      <w:sz w:val="24"/>
      <w:lang w:val="en-US"/>
    </w:rPr>
  </w:style>
  <w:style w:type="character" w:customStyle="1" w:styleId="nfasissutil1">
    <w:name w:val="Énfasis sutil1"/>
    <w:uiPriority w:val="19"/>
    <w:qFormat/>
    <w:rsid w:val="003E5472"/>
    <w:rPr>
      <w:rFonts w:ascii="Verdana" w:hAnsi="Verdana"/>
      <w:i/>
      <w:iCs/>
      <w:color w:val="auto"/>
      <w:sz w:val="20"/>
    </w:rPr>
  </w:style>
  <w:style w:type="character" w:customStyle="1" w:styleId="CarCar">
    <w:name w:val="Car Car"/>
    <w:rsid w:val="003E5472"/>
    <w:rPr>
      <w:rFonts w:ascii="Times New Roman" w:eastAsia="Times New Roman" w:hAnsi="Times New Roman" w:cs="Times New Roman"/>
      <w:sz w:val="20"/>
      <w:szCs w:val="20"/>
      <w:lang w:val="es-ES_tradnl"/>
    </w:rPr>
  </w:style>
  <w:style w:type="character" w:customStyle="1" w:styleId="skypepnhcontainer">
    <w:name w:val="skype_pnh_container"/>
    <w:rsid w:val="003E5472"/>
    <w:rPr>
      <w:rFonts w:cs="Times New Roman"/>
    </w:rPr>
  </w:style>
  <w:style w:type="paragraph" w:customStyle="1" w:styleId="TextoArtculo">
    <w:name w:val="Texto Artículo"/>
    <w:next w:val="Normal"/>
    <w:rsid w:val="003E5472"/>
    <w:pPr>
      <w:autoSpaceDE w:val="0"/>
      <w:autoSpaceDN w:val="0"/>
      <w:adjustRightInd w:val="0"/>
      <w:spacing w:after="0" w:line="240" w:lineRule="auto"/>
      <w:ind w:left="90" w:right="1"/>
      <w:jc w:val="both"/>
    </w:pPr>
    <w:rPr>
      <w:rFonts w:ascii="Verdana" w:hAnsi="Verdana" w:cs="Verdana"/>
      <w:color w:val="000000"/>
      <w:sz w:val="20"/>
      <w:szCs w:val="20"/>
      <w:u w:color="000000"/>
      <w:shd w:val="clear" w:color="auto" w:fill="FFFFFF"/>
      <w:lang w:val="es-EC" w:eastAsia="es-ES"/>
    </w:rPr>
  </w:style>
  <w:style w:type="character" w:customStyle="1" w:styleId="nrmar">
    <w:name w:val="nrmar"/>
    <w:rsid w:val="003E5472"/>
  </w:style>
  <w:style w:type="paragraph" w:customStyle="1" w:styleId="s32b251d">
    <w:name w:val="s32b251d"/>
    <w:basedOn w:val="Normal"/>
    <w:rsid w:val="003E5472"/>
    <w:pPr>
      <w:spacing w:before="100" w:beforeAutospacing="1" w:after="100" w:afterAutospacing="1"/>
    </w:pPr>
    <w:rPr>
      <w:rFonts w:ascii="Times New Roman" w:hAnsi="Times New Roman"/>
      <w:sz w:val="24"/>
      <w:lang w:val="es-EC" w:eastAsia="es-EC"/>
    </w:rPr>
  </w:style>
  <w:style w:type="paragraph" w:customStyle="1" w:styleId="Prrafodelista4">
    <w:name w:val="Párrafo de lista4"/>
    <w:basedOn w:val="Normal"/>
    <w:uiPriority w:val="99"/>
    <w:qFormat/>
    <w:rsid w:val="003E5472"/>
    <w:pPr>
      <w:ind w:left="720"/>
      <w:jc w:val="both"/>
    </w:pPr>
    <w:rPr>
      <w:szCs w:val="20"/>
      <w:lang w:val="es-ES_tradnl"/>
    </w:rPr>
  </w:style>
  <w:style w:type="character" w:customStyle="1" w:styleId="MediumGrid2-Accent2Char">
    <w:name w:val="Medium Grid 2 - Accent 2 Char"/>
    <w:link w:val="MediumGrid2-Accent2"/>
    <w:uiPriority w:val="29"/>
    <w:rsid w:val="003E5472"/>
    <w:rPr>
      <w:rFonts w:ascii="Calibri" w:hAnsi="Calibri" w:cs="Times New Roman"/>
      <w:i/>
      <w:iCs/>
      <w:color w:val="000000"/>
      <w:sz w:val="20"/>
    </w:rPr>
  </w:style>
  <w:style w:type="paragraph" w:customStyle="1" w:styleId="Style8">
    <w:name w:val="Style 8"/>
    <w:basedOn w:val="Normal"/>
    <w:rsid w:val="003E5472"/>
    <w:pPr>
      <w:widowControl w:val="0"/>
      <w:autoSpaceDE w:val="0"/>
      <w:autoSpaceDN w:val="0"/>
      <w:ind w:left="1440"/>
      <w:jc w:val="both"/>
    </w:pPr>
    <w:rPr>
      <w:rFonts w:ascii="Times New Roman" w:hAnsi="Times New Roman"/>
      <w:sz w:val="24"/>
      <w:lang w:val="es-ES_tradnl" w:eastAsia="es-ES_tradnl"/>
    </w:rPr>
  </w:style>
  <w:style w:type="paragraph" w:customStyle="1" w:styleId="Style16">
    <w:name w:val="Style 16"/>
    <w:basedOn w:val="Normal"/>
    <w:rsid w:val="003E5472"/>
    <w:pPr>
      <w:widowControl w:val="0"/>
      <w:autoSpaceDE w:val="0"/>
      <w:autoSpaceDN w:val="0"/>
      <w:spacing w:before="108" w:line="288" w:lineRule="atLeast"/>
      <w:ind w:left="1080"/>
      <w:jc w:val="both"/>
    </w:pPr>
    <w:rPr>
      <w:rFonts w:ascii="Times New Roman" w:hAnsi="Times New Roman"/>
      <w:sz w:val="24"/>
      <w:lang w:val="es-ES_tradnl" w:eastAsia="es-ES_tradnl"/>
    </w:rPr>
  </w:style>
  <w:style w:type="character" w:customStyle="1" w:styleId="Listavistosa-nfasis1Car">
    <w:name w:val="Lista vistosa - Énfasis 1 Car"/>
    <w:uiPriority w:val="99"/>
    <w:locked/>
    <w:rsid w:val="003E5472"/>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3E5472"/>
    <w:pPr>
      <w:keepNext w:val="0"/>
      <w:tabs>
        <w:tab w:val="center" w:pos="4320"/>
        <w:tab w:val="right" w:pos="8640"/>
      </w:tabs>
      <w:spacing w:before="120" w:line="276" w:lineRule="auto"/>
      <w:jc w:val="left"/>
      <w:outlineLvl w:val="9"/>
    </w:pPr>
    <w:rPr>
      <w:rFonts w:ascii="Cambria" w:eastAsia="Times New Roman" w:hAnsi="Cambria" w:cs="Times New Roman"/>
      <w:color w:val="365F91"/>
      <w:lang w:val="en-US"/>
    </w:rPr>
  </w:style>
  <w:style w:type="paragraph" w:customStyle="1" w:styleId="Style10">
    <w:name w:val="Style 1"/>
    <w:basedOn w:val="Normal"/>
    <w:rsid w:val="003E5472"/>
    <w:pPr>
      <w:widowControl w:val="0"/>
      <w:autoSpaceDE w:val="0"/>
      <w:autoSpaceDN w:val="0"/>
      <w:spacing w:line="288" w:lineRule="atLeast"/>
      <w:ind w:left="720" w:hanging="360"/>
      <w:jc w:val="both"/>
    </w:pPr>
    <w:rPr>
      <w:rFonts w:ascii="Times New Roman" w:hAnsi="Times New Roman"/>
      <w:sz w:val="24"/>
      <w:lang w:val="es-ES_tradnl" w:eastAsia="es-ES_tradnl"/>
    </w:rPr>
  </w:style>
  <w:style w:type="paragraph" w:customStyle="1" w:styleId="Style22">
    <w:name w:val="Style 22"/>
    <w:basedOn w:val="Normal"/>
    <w:rsid w:val="003E5472"/>
    <w:pPr>
      <w:widowControl w:val="0"/>
      <w:autoSpaceDE w:val="0"/>
      <w:autoSpaceDN w:val="0"/>
      <w:spacing w:before="180" w:line="288" w:lineRule="atLeast"/>
      <w:ind w:left="360" w:right="72" w:hanging="360"/>
      <w:jc w:val="both"/>
    </w:pPr>
    <w:rPr>
      <w:rFonts w:ascii="Times New Roman" w:hAnsi="Times New Roman"/>
      <w:sz w:val="24"/>
      <w:lang w:val="es-ES_tradnl" w:eastAsia="es-ES_tradnl"/>
    </w:rPr>
  </w:style>
  <w:style w:type="paragraph" w:customStyle="1" w:styleId="Style20">
    <w:name w:val="Style 20"/>
    <w:basedOn w:val="Normal"/>
    <w:rsid w:val="003E5472"/>
    <w:pPr>
      <w:widowControl w:val="0"/>
      <w:autoSpaceDE w:val="0"/>
      <w:autoSpaceDN w:val="0"/>
      <w:ind w:left="360" w:hanging="360"/>
      <w:jc w:val="both"/>
    </w:pPr>
    <w:rPr>
      <w:rFonts w:ascii="Times New Roman" w:hAnsi="Times New Roman"/>
      <w:sz w:val="24"/>
      <w:lang w:val="es-ES_tradnl" w:eastAsia="es-ES_tradnl"/>
    </w:rPr>
  </w:style>
  <w:style w:type="paragraph" w:customStyle="1" w:styleId="Style17">
    <w:name w:val="Style 17"/>
    <w:basedOn w:val="Normal"/>
    <w:rsid w:val="003E5472"/>
    <w:pPr>
      <w:widowControl w:val="0"/>
      <w:autoSpaceDE w:val="0"/>
      <w:autoSpaceDN w:val="0"/>
      <w:spacing w:line="288" w:lineRule="atLeast"/>
      <w:ind w:left="1080"/>
      <w:jc w:val="both"/>
    </w:pPr>
    <w:rPr>
      <w:rFonts w:ascii="Times New Roman" w:hAnsi="Times New Roman"/>
      <w:sz w:val="24"/>
      <w:lang w:val="es-ES_tradnl" w:eastAsia="es-ES_tradnl"/>
    </w:rPr>
  </w:style>
  <w:style w:type="paragraph" w:customStyle="1" w:styleId="Style13">
    <w:name w:val="Style 13"/>
    <w:basedOn w:val="Normal"/>
    <w:rsid w:val="003E5472"/>
    <w:pPr>
      <w:widowControl w:val="0"/>
      <w:autoSpaceDE w:val="0"/>
      <w:autoSpaceDN w:val="0"/>
      <w:spacing w:before="288" w:line="288" w:lineRule="atLeast"/>
      <w:ind w:left="720" w:hanging="360"/>
      <w:jc w:val="both"/>
    </w:pPr>
    <w:rPr>
      <w:rFonts w:ascii="Times New Roman" w:hAnsi="Times New Roman"/>
      <w:sz w:val="24"/>
      <w:lang w:val="es-ES_tradnl" w:eastAsia="es-ES_tradnl"/>
    </w:rPr>
  </w:style>
  <w:style w:type="paragraph" w:customStyle="1" w:styleId="Style11">
    <w:name w:val="Style 11"/>
    <w:basedOn w:val="Normal"/>
    <w:rsid w:val="003E5472"/>
    <w:pPr>
      <w:widowControl w:val="0"/>
      <w:autoSpaceDE w:val="0"/>
      <w:autoSpaceDN w:val="0"/>
      <w:ind w:left="720" w:right="72" w:hanging="432"/>
      <w:jc w:val="both"/>
    </w:pPr>
    <w:rPr>
      <w:rFonts w:ascii="Times New Roman" w:hAnsi="Times New Roman"/>
      <w:sz w:val="24"/>
      <w:lang w:val="es-ES_tradnl" w:eastAsia="es-ES_tradnl"/>
    </w:rPr>
  </w:style>
  <w:style w:type="paragraph" w:customStyle="1" w:styleId="Style15">
    <w:name w:val="Style 15"/>
    <w:basedOn w:val="Normal"/>
    <w:rsid w:val="003E5472"/>
    <w:pPr>
      <w:widowControl w:val="0"/>
      <w:autoSpaceDE w:val="0"/>
      <w:autoSpaceDN w:val="0"/>
      <w:spacing w:before="108" w:line="288" w:lineRule="atLeast"/>
      <w:ind w:left="1440"/>
      <w:jc w:val="both"/>
    </w:pPr>
    <w:rPr>
      <w:rFonts w:ascii="Times New Roman" w:hAnsi="Times New Roman"/>
      <w:sz w:val="24"/>
      <w:lang w:val="es-ES_tradnl" w:eastAsia="es-ES_tradnl"/>
    </w:rPr>
  </w:style>
  <w:style w:type="paragraph" w:customStyle="1" w:styleId="Style26">
    <w:name w:val="Style 26"/>
    <w:basedOn w:val="Normal"/>
    <w:rsid w:val="003E5472"/>
    <w:pPr>
      <w:widowControl w:val="0"/>
      <w:autoSpaceDE w:val="0"/>
      <w:autoSpaceDN w:val="0"/>
      <w:spacing w:line="288" w:lineRule="atLeast"/>
      <w:ind w:left="1872" w:hanging="432"/>
    </w:pPr>
    <w:rPr>
      <w:rFonts w:ascii="Times New Roman" w:hAnsi="Times New Roman"/>
      <w:sz w:val="24"/>
      <w:lang w:val="es-ES_tradnl" w:eastAsia="es-ES_tradnl"/>
    </w:rPr>
  </w:style>
  <w:style w:type="paragraph" w:customStyle="1" w:styleId="Style27">
    <w:name w:val="Style 27"/>
    <w:basedOn w:val="Normal"/>
    <w:rsid w:val="003E5472"/>
    <w:pPr>
      <w:widowControl w:val="0"/>
      <w:autoSpaceDE w:val="0"/>
      <w:autoSpaceDN w:val="0"/>
      <w:spacing w:line="288" w:lineRule="atLeast"/>
      <w:ind w:left="1440"/>
      <w:jc w:val="both"/>
    </w:pPr>
    <w:rPr>
      <w:rFonts w:ascii="Times New Roman" w:hAnsi="Times New Roman"/>
      <w:sz w:val="24"/>
      <w:lang w:val="es-ES_tradnl" w:eastAsia="es-ES_tradnl"/>
    </w:rPr>
  </w:style>
  <w:style w:type="paragraph" w:customStyle="1" w:styleId="Style14">
    <w:name w:val="Style 14"/>
    <w:basedOn w:val="Normal"/>
    <w:rsid w:val="003E5472"/>
    <w:pPr>
      <w:widowControl w:val="0"/>
      <w:autoSpaceDE w:val="0"/>
      <w:autoSpaceDN w:val="0"/>
      <w:spacing w:before="180" w:line="288" w:lineRule="atLeast"/>
      <w:ind w:left="720" w:hanging="360"/>
      <w:jc w:val="both"/>
    </w:pPr>
    <w:rPr>
      <w:rFonts w:ascii="Times New Roman" w:hAnsi="Times New Roman"/>
      <w:sz w:val="24"/>
      <w:lang w:val="es-ES_tradnl" w:eastAsia="es-ES_tradnl"/>
    </w:rPr>
  </w:style>
  <w:style w:type="paragraph" w:customStyle="1" w:styleId="Style19">
    <w:name w:val="Style 19"/>
    <w:basedOn w:val="Normal"/>
    <w:rsid w:val="003E5472"/>
    <w:pPr>
      <w:widowControl w:val="0"/>
      <w:autoSpaceDE w:val="0"/>
      <w:autoSpaceDN w:val="0"/>
      <w:jc w:val="center"/>
    </w:pPr>
    <w:rPr>
      <w:rFonts w:ascii="Times New Roman" w:hAnsi="Times New Roman"/>
      <w:sz w:val="24"/>
      <w:lang w:val="es-ES_tradnl" w:eastAsia="es-ES_tradnl"/>
    </w:rPr>
  </w:style>
  <w:style w:type="paragraph" w:customStyle="1" w:styleId="Univers">
    <w:name w:val="Univers"/>
    <w:basedOn w:val="Normal"/>
    <w:rsid w:val="003E5472"/>
    <w:pPr>
      <w:spacing w:line="480" w:lineRule="auto"/>
      <w:jc w:val="both"/>
    </w:pPr>
    <w:rPr>
      <w:rFonts w:ascii="Univers" w:hAnsi="Univers"/>
      <w:sz w:val="24"/>
      <w:szCs w:val="32"/>
      <w:lang w:val="es-AR"/>
    </w:rPr>
  </w:style>
  <w:style w:type="paragraph" w:customStyle="1" w:styleId="Estilo4">
    <w:name w:val="Estilo4"/>
    <w:link w:val="Estilo4Car"/>
    <w:qFormat/>
    <w:rsid w:val="003E5472"/>
    <w:pPr>
      <w:numPr>
        <w:ilvl w:val="1"/>
        <w:numId w:val="6"/>
      </w:numPr>
      <w:spacing w:after="120" w:line="240" w:lineRule="auto"/>
      <w:ind w:left="0" w:firstLine="357"/>
      <w:jc w:val="both"/>
    </w:pPr>
    <w:rPr>
      <w:rFonts w:ascii="Verdana" w:hAnsi="Verdana" w:cs="Times New Roman"/>
      <w:spacing w:val="-2"/>
      <w:sz w:val="20"/>
      <w:szCs w:val="20"/>
    </w:rPr>
  </w:style>
  <w:style w:type="paragraph" w:customStyle="1" w:styleId="Footnotes0">
    <w:name w:val="Footnotes"/>
    <w:basedOn w:val="FootnoteText"/>
    <w:autoRedefine/>
    <w:qFormat/>
    <w:rsid w:val="003E5472"/>
    <w:pPr>
      <w:spacing w:after="120"/>
      <w:ind w:firstLine="709"/>
    </w:pPr>
    <w:rPr>
      <w:rFonts w:ascii="Cambria" w:hAnsi="Cambria"/>
      <w:szCs w:val="18"/>
      <w:lang w:eastAsia="en-US"/>
    </w:rPr>
  </w:style>
  <w:style w:type="character" w:customStyle="1" w:styleId="user-highlighted-active">
    <w:name w:val="user-highlighted-active"/>
    <w:basedOn w:val="DefaultParagraphFont"/>
    <w:rsid w:val="003E5472"/>
  </w:style>
  <w:style w:type="character" w:customStyle="1" w:styleId="highlighted">
    <w:name w:val="highlighted"/>
    <w:basedOn w:val="DefaultParagraphFont"/>
    <w:rsid w:val="003E5472"/>
  </w:style>
  <w:style w:type="numbering" w:customStyle="1" w:styleId="NoList1">
    <w:name w:val="No List1"/>
    <w:next w:val="NoList"/>
    <w:uiPriority w:val="99"/>
    <w:semiHidden/>
    <w:unhideWhenUsed/>
    <w:rsid w:val="003E5472"/>
  </w:style>
  <w:style w:type="table" w:customStyle="1" w:styleId="TableGrid1">
    <w:name w:val="Table Grid1"/>
    <w:basedOn w:val="TableNormal"/>
    <w:next w:val="TableGrid"/>
    <w:uiPriority w:val="59"/>
    <w:rsid w:val="003E5472"/>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3E5472"/>
    <w:pPr>
      <w:jc w:val="both"/>
    </w:pPr>
    <w:rPr>
      <w:rFonts w:ascii="Calibri" w:eastAsia="Calibri" w:hAnsi="Calibri"/>
      <w:i/>
      <w:iCs/>
      <w:color w:val="000000"/>
      <w:szCs w:val="22"/>
      <w:lang w:val="en-US"/>
    </w:rPr>
  </w:style>
  <w:style w:type="character" w:customStyle="1" w:styleId="QuoteChar1">
    <w:name w:val="Quote Char1"/>
    <w:uiPriority w:val="29"/>
    <w:rsid w:val="003E5472"/>
    <w:rPr>
      <w:i/>
      <w:iCs/>
      <w:color w:val="000000"/>
    </w:rPr>
  </w:style>
  <w:style w:type="paragraph" w:customStyle="1" w:styleId="Estilo3">
    <w:name w:val="Estilo3"/>
    <w:basedOn w:val="ListParagraph"/>
    <w:qFormat/>
    <w:rsid w:val="003E5472"/>
    <w:pPr>
      <w:spacing w:after="160" w:line="259" w:lineRule="auto"/>
      <w:ind w:left="0" w:firstLine="1440"/>
      <w:contextualSpacing/>
    </w:pPr>
    <w:rPr>
      <w:rFonts w:ascii="Times New Roman" w:eastAsia="Calibri" w:hAnsi="Times New Roman"/>
      <w:sz w:val="24"/>
      <w:lang w:val="es-UY"/>
    </w:rPr>
  </w:style>
  <w:style w:type="paragraph" w:customStyle="1" w:styleId="Estilo5">
    <w:name w:val="Estilo5"/>
    <w:basedOn w:val="Estilo2"/>
    <w:link w:val="Estilo5Car"/>
    <w:qFormat/>
    <w:rsid w:val="003E5472"/>
    <w:pPr>
      <w:numPr>
        <w:numId w:val="7"/>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3E5472"/>
    <w:rPr>
      <w:rFonts w:ascii="Verdana" w:hAnsi="Verdana" w:cs="Times New Roman"/>
      <w:spacing w:val="-2"/>
      <w:sz w:val="20"/>
      <w:szCs w:val="20"/>
    </w:rPr>
  </w:style>
  <w:style w:type="character" w:customStyle="1" w:styleId="Estilo5Car">
    <w:name w:val="Estilo5 Car"/>
    <w:link w:val="Estilo5"/>
    <w:rsid w:val="003E5472"/>
    <w:rPr>
      <w:rFonts w:ascii="Times New Roman" w:eastAsia="Calibri" w:hAnsi="Times New Roman" w:cs="Times New Roman"/>
      <w:i/>
      <w:sz w:val="24"/>
      <w:szCs w:val="24"/>
      <w:lang w:val="es-UY"/>
    </w:rPr>
  </w:style>
  <w:style w:type="table" w:styleId="MediumGrid1-Accent2">
    <w:name w:val="Medium Grid 1 Accent 2"/>
    <w:basedOn w:val="TableNormal"/>
    <w:uiPriority w:val="67"/>
    <w:rsid w:val="003E5472"/>
    <w:pPr>
      <w:spacing w:after="0" w:line="240" w:lineRule="auto"/>
    </w:pPr>
    <w:rPr>
      <w:rFonts w:ascii="Times New Roman" w:hAnsi="Times New Roman" w:cs="Times New Roman"/>
      <w:sz w:val="20"/>
      <w:szCs w:val="20"/>
      <w:lang w:eastAsia="es-C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MediumGrid2-Accent2Char"/>
    <w:uiPriority w:val="29"/>
    <w:rsid w:val="003E5472"/>
    <w:pPr>
      <w:spacing w:after="0" w:line="240" w:lineRule="auto"/>
    </w:pPr>
    <w:rPr>
      <w:rFonts w:ascii="Calibri" w:hAnsi="Calibri" w:cs="Times New Roman"/>
      <w:i/>
      <w:iCs/>
      <w:color w:val="000000"/>
      <w:sz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E5472"/>
    <w:pPr>
      <w:jc w:val="both"/>
    </w:pPr>
    <w:rPr>
      <w:sz w:val="16"/>
      <w:szCs w:val="22"/>
      <w:vertAlign w:val="superscript"/>
      <w:lang w:val="es-CR"/>
    </w:rPr>
  </w:style>
  <w:style w:type="character" w:customStyle="1" w:styleId="sb8d990e2">
    <w:name w:val="sb8d990e2"/>
    <w:basedOn w:val="DefaultParagraphFont"/>
    <w:rsid w:val="00F60F74"/>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uiPriority w:val="99"/>
    <w:rsid w:val="004108C8"/>
    <w:rPr>
      <w:rFonts w:ascii="Verdana" w:eastAsia="Batang" w:hAnsi="Verdana" w:cs="Times"/>
      <w:noProof/>
      <w:sz w:val="16"/>
      <w:szCs w:val="20"/>
      <w:lang w:val="es-ES_tradnl"/>
    </w:rPr>
  </w:style>
  <w:style w:type="paragraph" w:styleId="BodyText3">
    <w:name w:val="Body Text 3"/>
    <w:basedOn w:val="Normal"/>
    <w:link w:val="BodyText3Char"/>
    <w:uiPriority w:val="99"/>
    <w:unhideWhenUsed/>
    <w:rsid w:val="00E01D84"/>
    <w:pPr>
      <w:tabs>
        <w:tab w:val="left" w:pos="567"/>
      </w:tabs>
    </w:pPr>
    <w:rPr>
      <w:b/>
      <w:color w:val="FF0000"/>
      <w:szCs w:val="20"/>
      <w:lang w:eastAsia="es-MX"/>
    </w:rPr>
  </w:style>
  <w:style w:type="character" w:customStyle="1" w:styleId="BodyText3Char">
    <w:name w:val="Body Text 3 Char"/>
    <w:basedOn w:val="DefaultParagraphFont"/>
    <w:link w:val="BodyText3"/>
    <w:uiPriority w:val="99"/>
    <w:rsid w:val="00E01D84"/>
    <w:rPr>
      <w:rFonts w:ascii="Verdana" w:hAnsi="Verdana" w:cs="Times New Roman"/>
      <w:b/>
      <w:color w:val="FF0000"/>
      <w:sz w:val="20"/>
      <w:szCs w:val="20"/>
      <w:lang w:val="es-MX" w:eastAsia="es-MX"/>
    </w:rPr>
  </w:style>
  <w:style w:type="character" w:customStyle="1" w:styleId="Heading8Char">
    <w:name w:val="Heading 8 Char"/>
    <w:basedOn w:val="DefaultParagraphFont"/>
    <w:link w:val="Heading8"/>
    <w:uiPriority w:val="9"/>
    <w:rsid w:val="006B6D9F"/>
    <w:rPr>
      <w:rFonts w:ascii="Verdana" w:hAnsi="Verdana" w:cs="Times New Roman"/>
      <w:b/>
      <w:color w:val="00B050"/>
      <w:sz w:val="20"/>
      <w:szCs w:val="24"/>
      <w:lang w:eastAsia="es-MX"/>
    </w:rPr>
  </w:style>
  <w:style w:type="character" w:customStyle="1" w:styleId="DefaultChar">
    <w:name w:val="Default Char"/>
    <w:link w:val="Default"/>
    <w:rsid w:val="00BF670E"/>
    <w:rPr>
      <w:rFonts w:ascii="Verdana" w:hAnsi="Verdana" w:cs="Verdana"/>
      <w:color w:val="000000"/>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72"/>
    <w:pPr>
      <w:spacing w:after="0" w:line="240" w:lineRule="auto"/>
    </w:pPr>
    <w:rPr>
      <w:rFonts w:ascii="Verdana" w:hAnsi="Verdana" w:cs="Times New Roman"/>
      <w:sz w:val="20"/>
      <w:szCs w:val="24"/>
      <w:lang w:val="es-MX"/>
    </w:rPr>
  </w:style>
  <w:style w:type="paragraph" w:styleId="Heading1">
    <w:name w:val="heading 1"/>
    <w:aliases w:val="Título Verdana"/>
    <w:basedOn w:val="Normal"/>
    <w:next w:val="Normal"/>
    <w:link w:val="Heading1Char"/>
    <w:uiPriority w:val="9"/>
    <w:qFormat/>
    <w:rsid w:val="00D07973"/>
    <w:pPr>
      <w:keepNext/>
      <w:keepLines/>
      <w:spacing w:before="360"/>
      <w:jc w:val="both"/>
      <w:outlineLvl w:val="0"/>
    </w:pPr>
    <w:rPr>
      <w:rFonts w:eastAsiaTheme="majorEastAsia" w:cstheme="majorBidi"/>
      <w:b/>
      <w:bCs/>
      <w:szCs w:val="28"/>
    </w:rPr>
  </w:style>
  <w:style w:type="paragraph" w:styleId="Heading2">
    <w:name w:val="heading 2"/>
    <w:basedOn w:val="Normal"/>
    <w:next w:val="Normal"/>
    <w:link w:val="Heading2Char"/>
    <w:qFormat/>
    <w:rsid w:val="007E2805"/>
    <w:pPr>
      <w:numPr>
        <w:ilvl w:val="1"/>
        <w:numId w:val="1"/>
      </w:numPr>
      <w:tabs>
        <w:tab w:val="left" w:pos="993"/>
      </w:tabs>
      <w:ind w:left="567" w:firstLine="0"/>
      <w:outlineLvl w:val="1"/>
    </w:pPr>
    <w:rPr>
      <w:rFonts w:cstheme="minorBidi"/>
      <w:b/>
      <w:i/>
      <w:szCs w:val="20"/>
      <w:lang w:val="es-ES_tradnl" w:eastAsia="es-ES"/>
    </w:rPr>
  </w:style>
  <w:style w:type="paragraph" w:styleId="Heading3">
    <w:name w:val="heading 3"/>
    <w:basedOn w:val="Normal"/>
    <w:next w:val="Normal"/>
    <w:link w:val="Heading3Char"/>
    <w:uiPriority w:val="9"/>
    <w:qFormat/>
    <w:rsid w:val="005464E4"/>
    <w:pPr>
      <w:tabs>
        <w:tab w:val="left" w:pos="426"/>
      </w:tabs>
      <w:spacing w:after="200" w:line="276" w:lineRule="auto"/>
      <w:ind w:left="709"/>
      <w:contextualSpacing/>
      <w:jc w:val="both"/>
      <w:outlineLvl w:val="2"/>
    </w:pPr>
    <w:rPr>
      <w:rFonts w:eastAsia="Calibri" w:cstheme="minorBidi"/>
      <w:b/>
      <w:szCs w:val="20"/>
      <w:lang w:val="es-ES_tradnl" w:eastAsia="es-ES"/>
    </w:rPr>
  </w:style>
  <w:style w:type="paragraph" w:styleId="Heading4">
    <w:name w:val="heading 4"/>
    <w:basedOn w:val="Normal"/>
    <w:next w:val="Normal"/>
    <w:link w:val="Heading4Char"/>
    <w:uiPriority w:val="9"/>
    <w:unhideWhenUsed/>
    <w:qFormat/>
    <w:rsid w:val="00D90546"/>
    <w:pPr>
      <w:keepNext/>
      <w:keepLines/>
      <w:ind w:left="2268" w:firstLine="36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3E5472"/>
    <w:pPr>
      <w:keepNext/>
      <w:keepLines/>
      <w:ind w:left="1843"/>
      <w:outlineLvl w:val="4"/>
    </w:pPr>
    <w:rPr>
      <w:rFonts w:eastAsiaTheme="majorEastAsia" w:cstheme="majorBidi"/>
      <w:i/>
      <w:lang w:val="es-ES"/>
    </w:rPr>
  </w:style>
  <w:style w:type="paragraph" w:styleId="Heading6">
    <w:name w:val="heading 6"/>
    <w:basedOn w:val="Heading5"/>
    <w:next w:val="Normal"/>
    <w:link w:val="Heading6Char"/>
    <w:uiPriority w:val="9"/>
    <w:unhideWhenUsed/>
    <w:qFormat/>
    <w:rsid w:val="003E5472"/>
    <w:pPr>
      <w:ind w:left="2835"/>
      <w:outlineLvl w:val="5"/>
    </w:pPr>
  </w:style>
  <w:style w:type="paragraph" w:styleId="Heading7">
    <w:name w:val="heading 7"/>
    <w:basedOn w:val="Normal"/>
    <w:next w:val="Normal"/>
    <w:link w:val="Heading7Char"/>
    <w:uiPriority w:val="9"/>
    <w:qFormat/>
    <w:rsid w:val="003E5472"/>
    <w:pPr>
      <w:keepNext/>
      <w:keepLines/>
      <w:spacing w:before="200"/>
      <w:jc w:val="both"/>
      <w:outlineLvl w:val="6"/>
    </w:pPr>
    <w:rPr>
      <w:rFonts w:ascii="Cambria" w:hAnsi="Cambria"/>
      <w:i/>
      <w:iCs/>
      <w:noProof/>
      <w:color w:val="404040"/>
      <w:lang w:val="es-ES_tradnl"/>
    </w:rPr>
  </w:style>
  <w:style w:type="paragraph" w:styleId="Heading8">
    <w:name w:val="heading 8"/>
    <w:basedOn w:val="Normal"/>
    <w:next w:val="Normal"/>
    <w:link w:val="Heading8Char"/>
    <w:uiPriority w:val="9"/>
    <w:unhideWhenUsed/>
    <w:qFormat/>
    <w:rsid w:val="006B6D9F"/>
    <w:pPr>
      <w:keepNext/>
      <w:outlineLvl w:val="7"/>
    </w:pPr>
    <w:rPr>
      <w:b/>
      <w:color w:val="00B050"/>
      <w:lang w:val="es-CR"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D07973"/>
    <w:rPr>
      <w:rFonts w:ascii="Verdana" w:eastAsiaTheme="majorEastAsia" w:hAnsi="Verdana" w:cstheme="majorBidi"/>
      <w:b/>
      <w:bCs/>
      <w:sz w:val="20"/>
      <w:szCs w:val="28"/>
      <w:lang w:val="es-MX"/>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de nota al pie,norma"/>
    <w:link w:val="4GChar"/>
    <w:uiPriority w:val="99"/>
    <w:qFormat/>
    <w:rsid w:val="00087892"/>
    <w:rPr>
      <w:rFonts w:ascii="Verdana" w:hAnsi="Verdana" w:cs="Times New Roman"/>
      <w:sz w:val="16"/>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74179C"/>
    <w:pPr>
      <w:jc w:val="both"/>
    </w:pPr>
    <w:rPr>
      <w:sz w:val="16"/>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qFormat/>
    <w:rsid w:val="0074179C"/>
    <w:rPr>
      <w:rFonts w:ascii="Verdana" w:eastAsia="Times New Roman" w:hAnsi="Verdana" w:cs="Times New Roman"/>
      <w:sz w:val="16"/>
      <w:szCs w:val="20"/>
      <w:lang w:val="es-ES_tradnl" w:eastAsia="es-ES"/>
    </w:rPr>
  </w:style>
  <w:style w:type="character" w:customStyle="1" w:styleId="Heading3Char">
    <w:name w:val="Heading 3 Char"/>
    <w:link w:val="Heading3"/>
    <w:uiPriority w:val="9"/>
    <w:rsid w:val="005464E4"/>
    <w:rPr>
      <w:rFonts w:ascii="Verdana" w:eastAsia="Calibri" w:hAnsi="Verdana"/>
      <w:b/>
      <w:sz w:val="20"/>
      <w:szCs w:val="20"/>
      <w:lang w:val="es-ES_tradnl" w:eastAsia="es-ES"/>
    </w:rPr>
  </w:style>
  <w:style w:type="character" w:customStyle="1" w:styleId="Heading2Char">
    <w:name w:val="Heading 2 Char"/>
    <w:link w:val="Heading2"/>
    <w:rsid w:val="007E2805"/>
    <w:rPr>
      <w:rFonts w:ascii="Verdana" w:hAnsi="Verdana"/>
      <w:b/>
      <w:i/>
      <w:sz w:val="20"/>
      <w:szCs w:val="20"/>
      <w:lang w:val="es-ES_tradnl" w:eastAsia="es-ES"/>
    </w:rPr>
  </w:style>
  <w:style w:type="character" w:customStyle="1" w:styleId="Heading4Char">
    <w:name w:val="Heading 4 Char"/>
    <w:basedOn w:val="DefaultParagraphFont"/>
    <w:link w:val="Heading4"/>
    <w:uiPriority w:val="9"/>
    <w:rsid w:val="00D90546"/>
    <w:rPr>
      <w:rFonts w:ascii="Verdana" w:eastAsiaTheme="majorEastAsia" w:hAnsi="Verdana" w:cstheme="majorBidi"/>
      <w:bCs/>
      <w:iCs/>
      <w:sz w:val="20"/>
      <w:szCs w:val="24"/>
      <w:u w:val="single"/>
      <w:lang w:val="es-MX"/>
    </w:rPr>
  </w:style>
  <w:style w:type="character" w:customStyle="1" w:styleId="Heading5Char">
    <w:name w:val="Heading 5 Char"/>
    <w:basedOn w:val="DefaultParagraphFont"/>
    <w:link w:val="Heading5"/>
    <w:uiPriority w:val="9"/>
    <w:rsid w:val="003E5472"/>
    <w:rPr>
      <w:rFonts w:ascii="Verdana" w:eastAsiaTheme="majorEastAsia" w:hAnsi="Verdana" w:cstheme="majorBidi"/>
      <w:i/>
      <w:sz w:val="20"/>
      <w:szCs w:val="24"/>
      <w:lang w:val="es-ES"/>
    </w:rPr>
  </w:style>
  <w:style w:type="character" w:customStyle="1" w:styleId="Heading6Char">
    <w:name w:val="Heading 6 Char"/>
    <w:basedOn w:val="DefaultParagraphFont"/>
    <w:link w:val="Heading6"/>
    <w:uiPriority w:val="9"/>
    <w:rsid w:val="003E5472"/>
    <w:rPr>
      <w:rFonts w:ascii="Verdana" w:eastAsiaTheme="majorEastAsia" w:hAnsi="Verdana" w:cstheme="majorBidi"/>
      <w:i/>
      <w:sz w:val="20"/>
      <w:szCs w:val="24"/>
      <w:lang w:val="es-ES"/>
    </w:rPr>
  </w:style>
  <w:style w:type="character" w:customStyle="1" w:styleId="Heading7Char">
    <w:name w:val="Heading 7 Char"/>
    <w:basedOn w:val="DefaultParagraphFont"/>
    <w:link w:val="Heading7"/>
    <w:uiPriority w:val="9"/>
    <w:rsid w:val="003E5472"/>
    <w:rPr>
      <w:rFonts w:ascii="Cambria" w:hAnsi="Cambria" w:cs="Times New Roman"/>
      <w:i/>
      <w:iCs/>
      <w:noProof/>
      <w:color w:val="404040"/>
      <w:sz w:val="20"/>
      <w:szCs w:val="24"/>
      <w:lang w:val="es-ES_tradnl"/>
    </w:rPr>
  </w:style>
  <w:style w:type="paragraph" w:styleId="Footer">
    <w:name w:val="footer"/>
    <w:basedOn w:val="Normal"/>
    <w:link w:val="FooterChar"/>
    <w:uiPriority w:val="99"/>
    <w:rsid w:val="003E5472"/>
    <w:pPr>
      <w:tabs>
        <w:tab w:val="center" w:pos="4320"/>
        <w:tab w:val="right" w:pos="8640"/>
      </w:tabs>
    </w:pPr>
  </w:style>
  <w:style w:type="character" w:customStyle="1" w:styleId="FooterChar">
    <w:name w:val="Footer Char"/>
    <w:basedOn w:val="DefaultParagraphFont"/>
    <w:link w:val="Footer"/>
    <w:uiPriority w:val="99"/>
    <w:rsid w:val="003E5472"/>
    <w:rPr>
      <w:rFonts w:ascii="Verdana" w:hAnsi="Verdana" w:cs="Times New Roman"/>
      <w:sz w:val="20"/>
      <w:szCs w:val="24"/>
      <w:lang w:val="es-MX"/>
    </w:rPr>
  </w:style>
  <w:style w:type="character" w:styleId="PageNumber">
    <w:name w:val="page number"/>
    <w:basedOn w:val="DefaultParagraphFont"/>
    <w:rsid w:val="003E5472"/>
  </w:style>
  <w:style w:type="character" w:customStyle="1" w:styleId="apple-style-span">
    <w:name w:val="apple-style-span"/>
    <w:basedOn w:val="DefaultParagraphFont"/>
    <w:rsid w:val="003E5472"/>
  </w:style>
  <w:style w:type="paragraph" w:customStyle="1" w:styleId="Textoindependiente1">
    <w:name w:val="Texto independiente1"/>
    <w:basedOn w:val="Normal"/>
    <w:rsid w:val="003E5472"/>
    <w:pPr>
      <w:widowControl w:val="0"/>
      <w:jc w:val="both"/>
    </w:pPr>
    <w:rPr>
      <w:rFonts w:ascii="New York" w:hAnsi="New York"/>
      <w:szCs w:val="20"/>
      <w:lang w:val="es-ES_tradnl"/>
    </w:rPr>
  </w:style>
  <w:style w:type="paragraph" w:styleId="BodyText2">
    <w:name w:val="Body Text 2"/>
    <w:basedOn w:val="Normal"/>
    <w:link w:val="BodyText2Char"/>
    <w:rsid w:val="003E5472"/>
    <w:pPr>
      <w:jc w:val="both"/>
    </w:pPr>
    <w:rPr>
      <w:rFonts w:eastAsia="Times"/>
      <w:szCs w:val="20"/>
      <w:lang w:val="es-ES_tradnl"/>
    </w:rPr>
  </w:style>
  <w:style w:type="character" w:customStyle="1" w:styleId="BodyText2Char">
    <w:name w:val="Body Text 2 Char"/>
    <w:basedOn w:val="DefaultParagraphFont"/>
    <w:link w:val="BodyText2"/>
    <w:rsid w:val="003E5472"/>
    <w:rPr>
      <w:rFonts w:ascii="Verdana" w:eastAsia="Times" w:hAnsi="Verdana" w:cs="Times New Roman"/>
      <w:sz w:val="20"/>
      <w:szCs w:val="20"/>
      <w:lang w:val="es-ES_tradnl"/>
    </w:rPr>
  </w:style>
  <w:style w:type="paragraph" w:styleId="BodyText">
    <w:name w:val="Body Text"/>
    <w:basedOn w:val="Normal"/>
    <w:link w:val="BodyTextChar"/>
    <w:uiPriority w:val="99"/>
    <w:rsid w:val="003E5472"/>
    <w:pPr>
      <w:spacing w:after="120"/>
    </w:pPr>
    <w:rPr>
      <w:rFonts w:ascii="Times" w:eastAsia="Times" w:hAnsi="Times"/>
      <w:szCs w:val="20"/>
      <w:lang w:val="es-ES_tradnl"/>
    </w:rPr>
  </w:style>
  <w:style w:type="character" w:customStyle="1" w:styleId="BodyTextChar">
    <w:name w:val="Body Text Char"/>
    <w:basedOn w:val="DefaultParagraphFont"/>
    <w:link w:val="BodyText"/>
    <w:uiPriority w:val="99"/>
    <w:rsid w:val="003E5472"/>
    <w:rPr>
      <w:rFonts w:ascii="Times" w:eastAsia="Times" w:hAnsi="Times" w:cs="Times New Roman"/>
      <w:sz w:val="20"/>
      <w:szCs w:val="20"/>
      <w:lang w:val="es-ES_tradnl"/>
    </w:rPr>
  </w:style>
  <w:style w:type="character" w:styleId="Hyperlink">
    <w:name w:val="Hyperlink"/>
    <w:basedOn w:val="DefaultParagraphFont"/>
    <w:uiPriority w:val="99"/>
    <w:rsid w:val="003E5472"/>
    <w:rPr>
      <w:color w:val="0000FF"/>
      <w:u w:val="single"/>
    </w:rPr>
  </w:style>
  <w:style w:type="character" w:styleId="Strong">
    <w:name w:val="Strong"/>
    <w:basedOn w:val="DefaultParagraphFont"/>
    <w:uiPriority w:val="22"/>
    <w:qFormat/>
    <w:rsid w:val="003E5472"/>
    <w:rPr>
      <w:b/>
      <w:bCs/>
    </w:rPr>
  </w:style>
  <w:style w:type="paragraph" w:styleId="ListParagraph">
    <w:name w:val="List Paragraph"/>
    <w:aliases w:val="Párrafo de lista1,List Paragraph1,Colorful List - Accent 11,List Paragraph2,Lista vistosa - Énfasis 11"/>
    <w:basedOn w:val="Normal"/>
    <w:link w:val="ListParagraphChar"/>
    <w:uiPriority w:val="34"/>
    <w:qFormat/>
    <w:rsid w:val="003E5472"/>
    <w:pPr>
      <w:ind w:left="708"/>
    </w:pPr>
  </w:style>
  <w:style w:type="character" w:customStyle="1" w:styleId="ListParagraphChar">
    <w:name w:val="List Paragraph Char"/>
    <w:aliases w:val="Párrafo de lista1 Char,List Paragraph1 Char,Colorful List - Accent 11 Char,List Paragraph2 Char,Lista vistosa - Énfasis 11 Char"/>
    <w:link w:val="ListParagraph"/>
    <w:uiPriority w:val="34"/>
    <w:rsid w:val="003E5472"/>
    <w:rPr>
      <w:rFonts w:ascii="Verdana" w:hAnsi="Verdana" w:cs="Times New Roman"/>
      <w:sz w:val="20"/>
      <w:szCs w:val="24"/>
      <w:lang w:val="es-MX"/>
    </w:rPr>
  </w:style>
  <w:style w:type="paragraph" w:styleId="Header">
    <w:name w:val="header"/>
    <w:basedOn w:val="Normal"/>
    <w:link w:val="HeaderChar"/>
    <w:uiPriority w:val="99"/>
    <w:rsid w:val="003E5472"/>
    <w:pPr>
      <w:tabs>
        <w:tab w:val="center" w:pos="4320"/>
        <w:tab w:val="right" w:pos="8640"/>
      </w:tabs>
    </w:pPr>
    <w:rPr>
      <w:rFonts w:ascii="Garamond" w:hAnsi="Garamond"/>
      <w:szCs w:val="20"/>
      <w:lang w:val="es-ES_tradnl"/>
    </w:rPr>
  </w:style>
  <w:style w:type="character" w:customStyle="1" w:styleId="HeaderChar">
    <w:name w:val="Header Char"/>
    <w:basedOn w:val="DefaultParagraphFont"/>
    <w:link w:val="Header"/>
    <w:uiPriority w:val="99"/>
    <w:rsid w:val="003E5472"/>
    <w:rPr>
      <w:rFonts w:ascii="Garamond" w:hAnsi="Garamond" w:cs="Times New Roman"/>
      <w:sz w:val="20"/>
      <w:szCs w:val="20"/>
      <w:lang w:val="es-ES_tradnl"/>
    </w:rPr>
  </w:style>
  <w:style w:type="character" w:customStyle="1" w:styleId="apple-converted-space">
    <w:name w:val="apple-converted-space"/>
    <w:basedOn w:val="DefaultParagraphFont"/>
    <w:rsid w:val="003E5472"/>
  </w:style>
  <w:style w:type="paragraph" w:styleId="BalloonText">
    <w:name w:val="Balloon Text"/>
    <w:basedOn w:val="Normal"/>
    <w:link w:val="BalloonTextChar"/>
    <w:uiPriority w:val="99"/>
    <w:rsid w:val="003E5472"/>
    <w:rPr>
      <w:rFonts w:ascii="Tahoma" w:hAnsi="Tahoma" w:cs="Tahoma"/>
      <w:sz w:val="16"/>
      <w:szCs w:val="16"/>
    </w:rPr>
  </w:style>
  <w:style w:type="character" w:customStyle="1" w:styleId="BalloonTextChar">
    <w:name w:val="Balloon Text Char"/>
    <w:basedOn w:val="DefaultParagraphFont"/>
    <w:link w:val="BalloonText"/>
    <w:uiPriority w:val="99"/>
    <w:rsid w:val="003E5472"/>
    <w:rPr>
      <w:rFonts w:ascii="Tahoma" w:hAnsi="Tahoma" w:cs="Tahoma"/>
      <w:sz w:val="16"/>
      <w:szCs w:val="16"/>
      <w:lang w:val="es-MX"/>
    </w:rPr>
  </w:style>
  <w:style w:type="character" w:styleId="CommentReference">
    <w:name w:val="annotation reference"/>
    <w:basedOn w:val="DefaultParagraphFont"/>
    <w:uiPriority w:val="99"/>
    <w:rsid w:val="003E5472"/>
    <w:rPr>
      <w:sz w:val="16"/>
      <w:szCs w:val="16"/>
    </w:rPr>
  </w:style>
  <w:style w:type="paragraph" w:styleId="CommentText">
    <w:name w:val="annotation text"/>
    <w:basedOn w:val="Normal"/>
    <w:link w:val="CommentTextChar"/>
    <w:uiPriority w:val="99"/>
    <w:rsid w:val="003E5472"/>
    <w:rPr>
      <w:szCs w:val="20"/>
    </w:rPr>
  </w:style>
  <w:style w:type="character" w:customStyle="1" w:styleId="CommentTextChar">
    <w:name w:val="Comment Text Char"/>
    <w:basedOn w:val="DefaultParagraphFont"/>
    <w:link w:val="CommentText"/>
    <w:uiPriority w:val="99"/>
    <w:rsid w:val="003E5472"/>
    <w:rPr>
      <w:rFonts w:ascii="Verdana" w:hAnsi="Verdana" w:cs="Times New Roman"/>
      <w:sz w:val="20"/>
      <w:szCs w:val="20"/>
      <w:lang w:val="es-MX"/>
    </w:rPr>
  </w:style>
  <w:style w:type="paragraph" w:styleId="CommentSubject">
    <w:name w:val="annotation subject"/>
    <w:basedOn w:val="CommentText"/>
    <w:next w:val="CommentText"/>
    <w:link w:val="CommentSubjectChar"/>
    <w:uiPriority w:val="99"/>
    <w:rsid w:val="003E5472"/>
    <w:rPr>
      <w:b/>
      <w:bCs/>
    </w:rPr>
  </w:style>
  <w:style w:type="character" w:customStyle="1" w:styleId="CommentSubjectChar">
    <w:name w:val="Comment Subject Char"/>
    <w:basedOn w:val="CommentTextChar"/>
    <w:link w:val="CommentSubject"/>
    <w:uiPriority w:val="99"/>
    <w:rsid w:val="003E5472"/>
    <w:rPr>
      <w:rFonts w:ascii="Verdana" w:hAnsi="Verdana" w:cs="Times New Roman"/>
      <w:b/>
      <w:bCs/>
      <w:sz w:val="20"/>
      <w:szCs w:val="20"/>
      <w:lang w:val="es-MX"/>
    </w:rPr>
  </w:style>
  <w:style w:type="paragraph" w:styleId="Revision">
    <w:name w:val="Revision"/>
    <w:hidden/>
    <w:uiPriority w:val="71"/>
    <w:rsid w:val="003E5472"/>
    <w:pPr>
      <w:spacing w:after="0" w:line="240" w:lineRule="auto"/>
    </w:pPr>
    <w:rPr>
      <w:rFonts w:ascii="Times New Roman" w:hAnsi="Times New Roman" w:cs="Times New Roman"/>
      <w:sz w:val="24"/>
      <w:szCs w:val="24"/>
      <w:lang w:val="es-MX"/>
    </w:rPr>
  </w:style>
  <w:style w:type="paragraph" w:customStyle="1" w:styleId="Prrafodelista2">
    <w:name w:val="Párrafo de lista2"/>
    <w:basedOn w:val="Normal"/>
    <w:uiPriority w:val="99"/>
    <w:rsid w:val="003E5472"/>
    <w:pPr>
      <w:ind w:left="720"/>
    </w:pPr>
    <w:rPr>
      <w:rFonts w:eastAsia="MS Mincho"/>
      <w:szCs w:val="20"/>
      <w:lang w:val="es-ES_tradnl"/>
    </w:rPr>
  </w:style>
  <w:style w:type="character" w:customStyle="1" w:styleId="ColorfulList-Accent1Char">
    <w:name w:val="Colorful List - Accent 1 Char"/>
    <w:basedOn w:val="DefaultParagraphFont"/>
    <w:link w:val="ColorfulList-Accent1"/>
    <w:uiPriority w:val="99"/>
    <w:locked/>
    <w:rsid w:val="003E5472"/>
  </w:style>
  <w:style w:type="table" w:styleId="ColorfulList-Accent1">
    <w:name w:val="Colorful List Accent 1"/>
    <w:basedOn w:val="TableNormal"/>
    <w:link w:val="ColorfulList-Accent1Char"/>
    <w:uiPriority w:val="99"/>
    <w:rsid w:val="003E5472"/>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umn01">
    <w:name w:val="column01"/>
    <w:basedOn w:val="DefaultParagraphFont"/>
    <w:rsid w:val="003E5472"/>
  </w:style>
  <w:style w:type="character" w:customStyle="1" w:styleId="ListParagraphChar1">
    <w:name w:val="List Paragraph Char1"/>
    <w:aliases w:val="Footnote Char2"/>
    <w:basedOn w:val="DefaultParagraphFont"/>
    <w:rsid w:val="003E5472"/>
    <w:rPr>
      <w:rFonts w:ascii="Verdana" w:eastAsia="Times New Roman" w:hAnsi="Verdana"/>
      <w:lang w:val="es-ES_tradnl" w:eastAsia="en-US"/>
    </w:rPr>
  </w:style>
  <w:style w:type="paragraph" w:styleId="HTMLPreformatted">
    <w:name w:val="HTML Preformatted"/>
    <w:basedOn w:val="Normal"/>
    <w:link w:val="HTMLPreformattedChar"/>
    <w:uiPriority w:val="99"/>
    <w:unhideWhenUsed/>
    <w:rsid w:val="003E5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CR" w:eastAsia="es-CR"/>
    </w:rPr>
  </w:style>
  <w:style w:type="character" w:customStyle="1" w:styleId="HTMLPreformattedChar">
    <w:name w:val="HTML Preformatted Char"/>
    <w:basedOn w:val="DefaultParagraphFont"/>
    <w:link w:val="HTMLPreformatted"/>
    <w:uiPriority w:val="99"/>
    <w:rsid w:val="003E5472"/>
    <w:rPr>
      <w:rFonts w:ascii="Courier New" w:hAnsi="Courier New" w:cs="Courier New"/>
      <w:sz w:val="20"/>
      <w:szCs w:val="20"/>
      <w:lang w:eastAsia="es-CR"/>
    </w:rPr>
  </w:style>
  <w:style w:type="character" w:customStyle="1" w:styleId="PrrafodeSentenciaChar">
    <w:name w:val="*. Párrafo de Sentencia Char"/>
    <w:link w:val="PrrafodeSentencia"/>
    <w:locked/>
    <w:rsid w:val="009F7500"/>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9F7500"/>
    <w:pPr>
      <w:numPr>
        <w:numId w:val="1"/>
      </w:numPr>
      <w:tabs>
        <w:tab w:val="left" w:pos="567"/>
      </w:tabs>
      <w:ind w:left="0" w:firstLine="0"/>
      <w:jc w:val="both"/>
    </w:pPr>
    <w:rPr>
      <w:rFonts w:eastAsia="Batang" w:cstheme="minorBidi"/>
      <w:spacing w:val="-4"/>
      <w:szCs w:val="22"/>
      <w:lang w:val="es-CR" w:eastAsia="es-MX"/>
    </w:rPr>
  </w:style>
  <w:style w:type="paragraph" w:customStyle="1" w:styleId="Footnotes">
    <w:name w:val="**. Footnotes"/>
    <w:basedOn w:val="FootnoteText"/>
    <w:link w:val="FootnotesChar"/>
    <w:autoRedefine/>
    <w:qFormat/>
    <w:rsid w:val="003E5472"/>
    <w:pPr>
      <w:tabs>
        <w:tab w:val="left" w:pos="426"/>
      </w:tabs>
      <w:spacing w:before="120" w:after="120"/>
    </w:pPr>
    <w:rPr>
      <w:rFonts w:cs="Palatino-Italic"/>
      <w:iCs/>
      <w:spacing w:val="-4"/>
      <w:szCs w:val="16"/>
      <w:lang w:val="es-ES" w:eastAsia="en-US" w:bidi="en-US"/>
    </w:rPr>
  </w:style>
  <w:style w:type="character" w:customStyle="1" w:styleId="FootnotesChar">
    <w:name w:val="**. Footnotes Char"/>
    <w:basedOn w:val="DefaultParagraphFont"/>
    <w:link w:val="Footnotes"/>
    <w:rsid w:val="003E5472"/>
    <w:rPr>
      <w:rFonts w:ascii="Verdana" w:hAnsi="Verdana" w:cs="Palatino-Italic"/>
      <w:iCs/>
      <w:spacing w:val="-4"/>
      <w:sz w:val="16"/>
      <w:szCs w:val="16"/>
      <w:lang w:val="es-ES" w:bidi="en-US"/>
    </w:rPr>
  </w:style>
  <w:style w:type="character" w:styleId="FollowedHyperlink">
    <w:name w:val="FollowedHyperlink"/>
    <w:basedOn w:val="DefaultParagraphFont"/>
    <w:uiPriority w:val="99"/>
    <w:rsid w:val="003E5472"/>
    <w:rPr>
      <w:color w:val="800080" w:themeColor="followedHyperlink"/>
      <w:u w:val="single"/>
    </w:rPr>
  </w:style>
  <w:style w:type="paragraph" w:customStyle="1" w:styleId="Default">
    <w:name w:val="Default"/>
    <w:link w:val="DefaultChar"/>
    <w:rsid w:val="003E5472"/>
    <w:pPr>
      <w:autoSpaceDE w:val="0"/>
      <w:autoSpaceDN w:val="0"/>
      <w:adjustRightInd w:val="0"/>
      <w:spacing w:after="0" w:line="240" w:lineRule="auto"/>
    </w:pPr>
    <w:rPr>
      <w:rFonts w:ascii="Verdana" w:hAnsi="Verdana" w:cs="Verdana"/>
      <w:color w:val="000000"/>
      <w:sz w:val="24"/>
      <w:szCs w:val="24"/>
      <w:lang w:eastAsia="es-CR"/>
    </w:rPr>
  </w:style>
  <w:style w:type="paragraph" w:styleId="NormalWeb">
    <w:name w:val="Normal (Web)"/>
    <w:aliases w:val="Normal (Web) Char1,Normal (Web) Char Char,Normal (Web) Char1 Char,Normal (Web) Char Char Char"/>
    <w:basedOn w:val="Normal"/>
    <w:uiPriority w:val="99"/>
    <w:unhideWhenUsed/>
    <w:qFormat/>
    <w:rsid w:val="003E5472"/>
    <w:pPr>
      <w:spacing w:before="100" w:beforeAutospacing="1" w:after="100" w:afterAutospacing="1"/>
    </w:pPr>
    <w:rPr>
      <w:lang w:val="es-ES_tradnl" w:eastAsia="es-ES_tradnl"/>
    </w:rPr>
  </w:style>
  <w:style w:type="paragraph" w:styleId="NoSpacing">
    <w:name w:val="No Spacing"/>
    <w:uiPriority w:val="1"/>
    <w:qFormat/>
    <w:rsid w:val="003E5472"/>
    <w:pPr>
      <w:spacing w:after="0" w:line="240" w:lineRule="auto"/>
    </w:pPr>
    <w:rPr>
      <w:rFonts w:ascii="Times New Roman" w:hAnsi="Times New Roman" w:cs="Times New Roman"/>
      <w:sz w:val="24"/>
      <w:szCs w:val="24"/>
      <w:lang w:val="es-MX"/>
    </w:rPr>
  </w:style>
  <w:style w:type="paragraph" w:customStyle="1" w:styleId="citaindirecta">
    <w:name w:val="cita indirecta"/>
    <w:basedOn w:val="Normal"/>
    <w:uiPriority w:val="99"/>
    <w:rsid w:val="003E5472"/>
    <w:pPr>
      <w:ind w:left="708"/>
      <w:jc w:val="both"/>
    </w:pPr>
    <w:rPr>
      <w:szCs w:val="20"/>
      <w:lang w:val="es-ES_tradnl" w:eastAsia="es-MX"/>
    </w:rPr>
  </w:style>
  <w:style w:type="table" w:styleId="TableGrid">
    <w:name w:val="Table Grid"/>
    <w:basedOn w:val="TableNormal"/>
    <w:uiPriority w:val="59"/>
    <w:rsid w:val="003E54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3E5472"/>
    <w:pPr>
      <w:keepNext w:val="0"/>
      <w:keepLines w:val="0"/>
      <w:tabs>
        <w:tab w:val="center" w:pos="4320"/>
        <w:tab w:val="right" w:pos="8640"/>
      </w:tabs>
      <w:spacing w:before="0"/>
      <w:jc w:val="center"/>
    </w:pPr>
    <w:rPr>
      <w:rFonts w:eastAsia="Times New Roman" w:cs="Times New Roman"/>
      <w:bCs w:val="0"/>
      <w:szCs w:val="20"/>
      <w:lang w:val="es-CR" w:eastAsia="es-ES"/>
    </w:rPr>
  </w:style>
  <w:style w:type="character" w:customStyle="1" w:styleId="TitleChar">
    <w:name w:val="Title Char"/>
    <w:basedOn w:val="DefaultParagraphFont"/>
    <w:link w:val="Title"/>
    <w:rsid w:val="003E5472"/>
    <w:rPr>
      <w:rFonts w:ascii="Verdana" w:hAnsi="Verdana" w:cs="Times New Roman"/>
      <w:b/>
      <w:sz w:val="20"/>
      <w:szCs w:val="20"/>
      <w:lang w:eastAsia="es-ES"/>
    </w:rPr>
  </w:style>
  <w:style w:type="paragraph" w:styleId="Subtitle">
    <w:name w:val="Subtitle"/>
    <w:basedOn w:val="Normal"/>
    <w:next w:val="Normal"/>
    <w:link w:val="SubtitleChar"/>
    <w:uiPriority w:val="11"/>
    <w:qFormat/>
    <w:rsid w:val="003E5472"/>
    <w:pPr>
      <w:ind w:left="2268"/>
    </w:pPr>
    <w:rPr>
      <w:i/>
      <w:u w:val="single"/>
      <w:lang w:eastAsia="es-MX"/>
    </w:rPr>
  </w:style>
  <w:style w:type="character" w:customStyle="1" w:styleId="SubtitleChar">
    <w:name w:val="Subtitle Char"/>
    <w:basedOn w:val="DefaultParagraphFont"/>
    <w:link w:val="Subtitle"/>
    <w:uiPriority w:val="11"/>
    <w:rsid w:val="003E5472"/>
    <w:rPr>
      <w:rFonts w:ascii="Verdana" w:hAnsi="Verdana" w:cs="Times New Roman"/>
      <w:i/>
      <w:sz w:val="20"/>
      <w:szCs w:val="24"/>
      <w:u w:val="single"/>
      <w:lang w:val="es-MX" w:eastAsia="es-MX"/>
    </w:rPr>
  </w:style>
  <w:style w:type="character" w:styleId="LineNumber">
    <w:name w:val="line number"/>
    <w:basedOn w:val="DefaultParagraphFont"/>
    <w:uiPriority w:val="99"/>
    <w:semiHidden/>
    <w:unhideWhenUsed/>
    <w:rsid w:val="003E5472"/>
  </w:style>
  <w:style w:type="character" w:styleId="Emphasis">
    <w:name w:val="Emphasis"/>
    <w:uiPriority w:val="20"/>
    <w:qFormat/>
    <w:rsid w:val="003E5472"/>
    <w:rPr>
      <w:b/>
      <w:bCs/>
      <w:i/>
      <w:iCs/>
      <w:spacing w:val="10"/>
      <w:bdr w:val="none" w:sz="0" w:space="0" w:color="auto"/>
      <w:shd w:val="clear" w:color="auto" w:fill="auto"/>
    </w:rPr>
  </w:style>
  <w:style w:type="paragraph" w:styleId="TOCHeading">
    <w:name w:val="TOC Heading"/>
    <w:basedOn w:val="Heading1"/>
    <w:next w:val="Normal"/>
    <w:uiPriority w:val="39"/>
    <w:unhideWhenUsed/>
    <w:qFormat/>
    <w:rsid w:val="003E5472"/>
    <w:pPr>
      <w:keepNext w:val="0"/>
      <w:tabs>
        <w:tab w:val="center" w:pos="4320"/>
        <w:tab w:val="right" w:pos="8640"/>
      </w:tabs>
      <w:spacing w:before="480" w:line="276" w:lineRule="auto"/>
      <w:jc w:val="left"/>
      <w:outlineLvl w:val="9"/>
    </w:pPr>
    <w:rPr>
      <w:rFonts w:asciiTheme="majorHAnsi" w:hAnsiTheme="majorHAnsi"/>
      <w:color w:val="365F91" w:themeColor="accent1" w:themeShade="BF"/>
      <w:sz w:val="28"/>
      <w:lang w:val="es-ES_tradnl" w:eastAsia="es-ES_tradnl"/>
    </w:rPr>
  </w:style>
  <w:style w:type="paragraph" w:styleId="TOC1">
    <w:name w:val="toc 1"/>
    <w:basedOn w:val="Normal"/>
    <w:next w:val="Normal"/>
    <w:uiPriority w:val="39"/>
    <w:unhideWhenUsed/>
    <w:qFormat/>
    <w:rsid w:val="003E5472"/>
    <w:pPr>
      <w:spacing w:before="120" w:after="120"/>
    </w:pPr>
    <w:rPr>
      <w:rFonts w:asciiTheme="minorHAnsi" w:hAnsiTheme="minorHAnsi"/>
      <w:b/>
      <w:bCs/>
      <w:caps/>
      <w:szCs w:val="20"/>
    </w:rPr>
  </w:style>
  <w:style w:type="paragraph" w:styleId="TOC2">
    <w:name w:val="toc 2"/>
    <w:basedOn w:val="Normal"/>
    <w:next w:val="Normal"/>
    <w:uiPriority w:val="39"/>
    <w:unhideWhenUsed/>
    <w:qFormat/>
    <w:rsid w:val="003E5472"/>
    <w:pPr>
      <w:ind w:left="200"/>
    </w:pPr>
    <w:rPr>
      <w:rFonts w:asciiTheme="minorHAnsi" w:hAnsiTheme="minorHAnsi"/>
      <w:smallCaps/>
      <w:szCs w:val="20"/>
    </w:rPr>
  </w:style>
  <w:style w:type="paragraph" w:styleId="TOC3">
    <w:name w:val="toc 3"/>
    <w:basedOn w:val="Normal"/>
    <w:next w:val="Normal"/>
    <w:uiPriority w:val="39"/>
    <w:unhideWhenUsed/>
    <w:qFormat/>
    <w:rsid w:val="003E5472"/>
    <w:pPr>
      <w:ind w:left="400"/>
    </w:pPr>
    <w:rPr>
      <w:rFonts w:asciiTheme="minorHAnsi" w:hAnsiTheme="minorHAnsi"/>
      <w:i/>
      <w:iCs/>
      <w:szCs w:val="20"/>
    </w:rPr>
  </w:style>
  <w:style w:type="paragraph" w:styleId="TOC4">
    <w:name w:val="toc 4"/>
    <w:basedOn w:val="Normal"/>
    <w:next w:val="Normal"/>
    <w:autoRedefine/>
    <w:uiPriority w:val="39"/>
    <w:unhideWhenUsed/>
    <w:rsid w:val="003E5472"/>
    <w:pPr>
      <w:ind w:left="600"/>
    </w:pPr>
    <w:rPr>
      <w:rFonts w:asciiTheme="minorHAnsi" w:hAnsiTheme="minorHAnsi"/>
      <w:sz w:val="18"/>
      <w:szCs w:val="18"/>
    </w:rPr>
  </w:style>
  <w:style w:type="paragraph" w:styleId="TOC5">
    <w:name w:val="toc 5"/>
    <w:basedOn w:val="Normal"/>
    <w:next w:val="Normal"/>
    <w:autoRedefine/>
    <w:uiPriority w:val="39"/>
    <w:unhideWhenUsed/>
    <w:rsid w:val="003E5472"/>
    <w:pPr>
      <w:ind w:left="800"/>
    </w:pPr>
    <w:rPr>
      <w:rFonts w:asciiTheme="minorHAnsi" w:hAnsiTheme="minorHAnsi"/>
      <w:sz w:val="18"/>
      <w:szCs w:val="18"/>
    </w:rPr>
  </w:style>
  <w:style w:type="paragraph" w:styleId="TOC6">
    <w:name w:val="toc 6"/>
    <w:basedOn w:val="Normal"/>
    <w:next w:val="Normal"/>
    <w:autoRedefine/>
    <w:uiPriority w:val="39"/>
    <w:unhideWhenUsed/>
    <w:rsid w:val="003E5472"/>
    <w:pPr>
      <w:ind w:left="1000"/>
    </w:pPr>
    <w:rPr>
      <w:rFonts w:asciiTheme="minorHAnsi" w:hAnsiTheme="minorHAnsi"/>
      <w:sz w:val="18"/>
      <w:szCs w:val="18"/>
    </w:rPr>
  </w:style>
  <w:style w:type="paragraph" w:styleId="TOC7">
    <w:name w:val="toc 7"/>
    <w:basedOn w:val="Normal"/>
    <w:next w:val="Normal"/>
    <w:autoRedefine/>
    <w:uiPriority w:val="39"/>
    <w:unhideWhenUsed/>
    <w:rsid w:val="003E5472"/>
    <w:pPr>
      <w:ind w:left="1200"/>
    </w:pPr>
    <w:rPr>
      <w:rFonts w:asciiTheme="minorHAnsi" w:hAnsiTheme="minorHAnsi"/>
      <w:sz w:val="18"/>
      <w:szCs w:val="18"/>
    </w:rPr>
  </w:style>
  <w:style w:type="paragraph" w:styleId="TOC8">
    <w:name w:val="toc 8"/>
    <w:basedOn w:val="Normal"/>
    <w:next w:val="Normal"/>
    <w:autoRedefine/>
    <w:uiPriority w:val="39"/>
    <w:unhideWhenUsed/>
    <w:rsid w:val="003E5472"/>
    <w:pPr>
      <w:ind w:left="1400"/>
    </w:pPr>
    <w:rPr>
      <w:rFonts w:asciiTheme="minorHAnsi" w:hAnsiTheme="minorHAnsi"/>
      <w:sz w:val="18"/>
      <w:szCs w:val="18"/>
    </w:rPr>
  </w:style>
  <w:style w:type="paragraph" w:styleId="TOC9">
    <w:name w:val="toc 9"/>
    <w:basedOn w:val="Normal"/>
    <w:next w:val="Normal"/>
    <w:autoRedefine/>
    <w:uiPriority w:val="39"/>
    <w:unhideWhenUsed/>
    <w:rsid w:val="003E5472"/>
    <w:pPr>
      <w:ind w:left="1600"/>
    </w:pPr>
    <w:rPr>
      <w:rFonts w:asciiTheme="minorHAnsi" w:hAnsiTheme="minorHAnsi"/>
      <w:sz w:val="18"/>
      <w:szCs w:val="18"/>
    </w:rPr>
  </w:style>
  <w:style w:type="paragraph" w:styleId="BlockText">
    <w:name w:val="Block Text"/>
    <w:basedOn w:val="Normal"/>
    <w:uiPriority w:val="99"/>
    <w:unhideWhenUsed/>
    <w:rsid w:val="003E5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16"/>
      <w:jc w:val="both"/>
    </w:pPr>
    <w:rPr>
      <w:rFonts w:cs="Courier New"/>
      <w:color w:val="212121"/>
      <w:sz w:val="18"/>
      <w:szCs w:val="18"/>
      <w:lang w:val="es-ES" w:eastAsia="es-CR"/>
    </w:rPr>
  </w:style>
  <w:style w:type="paragraph" w:customStyle="1" w:styleId="Estilo1">
    <w:name w:val="Estilo1"/>
    <w:basedOn w:val="Normal"/>
    <w:link w:val="Estilo1Car"/>
    <w:qFormat/>
    <w:rsid w:val="003E5472"/>
    <w:pPr>
      <w:spacing w:after="120"/>
      <w:ind w:left="2018" w:right="6" w:hanging="180"/>
      <w:jc w:val="both"/>
    </w:pPr>
    <w:rPr>
      <w:rFonts w:eastAsia="Batang" w:cs="Times"/>
      <w:i/>
      <w:noProof/>
      <w:lang w:val="es-ES_tradnl"/>
    </w:rPr>
  </w:style>
  <w:style w:type="character" w:customStyle="1" w:styleId="Estilo1Car">
    <w:name w:val="Estilo1 Car"/>
    <w:link w:val="Estilo1"/>
    <w:rsid w:val="003E5472"/>
    <w:rPr>
      <w:rFonts w:ascii="Verdana" w:eastAsia="Batang" w:hAnsi="Verdana" w:cs="Times"/>
      <w:i/>
      <w:noProof/>
      <w:sz w:val="20"/>
      <w:szCs w:val="24"/>
      <w:lang w:val="es-ES_tradnl"/>
    </w:rPr>
  </w:style>
  <w:style w:type="paragraph" w:customStyle="1" w:styleId="Style1">
    <w:name w:val="Style1"/>
    <w:basedOn w:val="Heading1"/>
    <w:link w:val="Style1Char"/>
    <w:qFormat/>
    <w:rsid w:val="003E5472"/>
    <w:pPr>
      <w:keepNext w:val="0"/>
      <w:tabs>
        <w:tab w:val="center" w:pos="4320"/>
        <w:tab w:val="right" w:pos="8640"/>
      </w:tabs>
      <w:spacing w:before="0" w:after="60"/>
      <w:jc w:val="center"/>
    </w:pPr>
    <w:rPr>
      <w:rFonts w:eastAsia="Times New Roman" w:cs="Verdana"/>
      <w:caps/>
      <w:noProof/>
      <w:snapToGrid w:val="0"/>
      <w:szCs w:val="20"/>
      <w:lang w:val="es-ES" w:eastAsia="es-ES"/>
    </w:rPr>
  </w:style>
  <w:style w:type="character" w:customStyle="1" w:styleId="Style1Char">
    <w:name w:val="Style1 Char"/>
    <w:link w:val="Style1"/>
    <w:rsid w:val="003E5472"/>
    <w:rPr>
      <w:rFonts w:ascii="Verdana" w:hAnsi="Verdana" w:cs="Verdana"/>
      <w:b/>
      <w:bCs/>
      <w:caps/>
      <w:noProof/>
      <w:snapToGrid w:val="0"/>
      <w:sz w:val="20"/>
      <w:szCs w:val="20"/>
      <w:lang w:val="es-ES" w:eastAsia="es-ES"/>
    </w:rPr>
  </w:style>
  <w:style w:type="paragraph" w:customStyle="1" w:styleId="Estilo7">
    <w:name w:val="Estilo7"/>
    <w:basedOn w:val="Normal"/>
    <w:qFormat/>
    <w:rsid w:val="003E5472"/>
    <w:pPr>
      <w:tabs>
        <w:tab w:val="left" w:pos="567"/>
        <w:tab w:val="left" w:pos="851"/>
        <w:tab w:val="num" w:pos="2160"/>
      </w:tabs>
      <w:spacing w:before="120" w:after="120"/>
      <w:ind w:left="2160" w:hanging="180"/>
      <w:jc w:val="both"/>
    </w:pPr>
    <w:rPr>
      <w:rFonts w:eastAsia="Batang"/>
      <w:b/>
      <w:i/>
      <w:noProof/>
      <w:szCs w:val="20"/>
      <w:lang w:val="es-ES_tradnl" w:eastAsia="es-MX"/>
    </w:rPr>
  </w:style>
  <w:style w:type="paragraph" w:customStyle="1" w:styleId="Style2">
    <w:name w:val="Style2"/>
    <w:basedOn w:val="Heading2"/>
    <w:link w:val="Style2Char"/>
    <w:autoRedefine/>
    <w:qFormat/>
    <w:rsid w:val="003E5472"/>
    <w:pPr>
      <w:keepNext/>
      <w:keepLines/>
      <w:spacing w:before="360" w:after="60"/>
      <w:jc w:val="both"/>
    </w:pPr>
    <w:rPr>
      <w:rFonts w:cs="Times New Roman"/>
      <w:b w:val="0"/>
      <w:bCs/>
      <w:i w:val="0"/>
      <w:noProof/>
      <w:lang w:val="es-CR" w:eastAsia="en-US"/>
    </w:rPr>
  </w:style>
  <w:style w:type="character" w:customStyle="1" w:styleId="Style2Char">
    <w:name w:val="Style2 Char"/>
    <w:link w:val="Style2"/>
    <w:rsid w:val="003E5472"/>
    <w:rPr>
      <w:rFonts w:ascii="Verdana" w:hAnsi="Verdana" w:cs="Times New Roman"/>
      <w:bCs/>
      <w:noProof/>
      <w:sz w:val="20"/>
      <w:szCs w:val="20"/>
    </w:rPr>
  </w:style>
  <w:style w:type="paragraph" w:customStyle="1" w:styleId="Encabezadodetabladecontenido">
    <w:name w:val="Encabezado de tabla de contenido"/>
    <w:basedOn w:val="Heading1"/>
    <w:next w:val="Normal"/>
    <w:uiPriority w:val="39"/>
    <w:unhideWhenUsed/>
    <w:qFormat/>
    <w:rsid w:val="003E5472"/>
    <w:pPr>
      <w:keepNext w:val="0"/>
      <w:tabs>
        <w:tab w:val="center" w:pos="4320"/>
        <w:tab w:val="right" w:pos="8640"/>
      </w:tabs>
      <w:spacing w:before="480" w:line="276" w:lineRule="auto"/>
      <w:jc w:val="left"/>
      <w:outlineLvl w:val="9"/>
    </w:pPr>
    <w:rPr>
      <w:rFonts w:ascii="Cambria" w:eastAsia="Times New Roman" w:hAnsi="Cambria" w:cs="Times New Roman"/>
      <w:noProof/>
      <w:color w:val="365F91"/>
      <w:sz w:val="28"/>
      <w:lang w:val="en-US"/>
    </w:rPr>
  </w:style>
  <w:style w:type="paragraph" w:customStyle="1" w:styleId="Estilo2">
    <w:name w:val="Estilo2"/>
    <w:basedOn w:val="Normal"/>
    <w:link w:val="Estilo2Car"/>
    <w:qFormat/>
    <w:rsid w:val="003E5472"/>
    <w:pPr>
      <w:tabs>
        <w:tab w:val="left" w:pos="567"/>
        <w:tab w:val="left" w:pos="1134"/>
        <w:tab w:val="num" w:pos="4767"/>
      </w:tabs>
      <w:spacing w:after="120"/>
      <w:ind w:firstLine="357"/>
      <w:jc w:val="both"/>
    </w:pPr>
    <w:rPr>
      <w:rFonts w:eastAsia="Calibri"/>
      <w:noProof/>
      <w:szCs w:val="20"/>
      <w:lang w:val="es-ES_tradnl" w:eastAsia="x-none"/>
    </w:rPr>
  </w:style>
  <w:style w:type="table" w:styleId="LightGrid-Accent3">
    <w:name w:val="Light Grid Accent 3"/>
    <w:basedOn w:val="TableNormal"/>
    <w:uiPriority w:val="99"/>
    <w:rsid w:val="003E5472"/>
    <w:pPr>
      <w:spacing w:after="0" w:line="240" w:lineRule="auto"/>
    </w:pPr>
    <w:rPr>
      <w:rFonts w:ascii="Calibri" w:eastAsia="Calibri" w:hAnsi="Calibri" w:cs="Times New Roman"/>
      <w:color w:val="000000"/>
      <w:sz w:val="20"/>
      <w:szCs w:val="20"/>
      <w:lang w:eastAsia="es-C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3E5472"/>
    <w:rPr>
      <w:rFonts w:cs="Times New Roman"/>
    </w:rPr>
  </w:style>
  <w:style w:type="paragraph" w:customStyle="1" w:styleId="NotasProyectos">
    <w:name w:val="Notas Proyectos"/>
    <w:basedOn w:val="Normal"/>
    <w:link w:val="NotasProyectosChar"/>
    <w:autoRedefine/>
    <w:qFormat/>
    <w:rsid w:val="003E5472"/>
    <w:pPr>
      <w:spacing w:before="120"/>
      <w:ind w:left="720"/>
      <w:jc w:val="both"/>
    </w:pPr>
    <w:rPr>
      <w:noProof/>
      <w:szCs w:val="20"/>
      <w:lang w:val="es-ES_tradnl" w:eastAsia="es-ES"/>
    </w:rPr>
  </w:style>
  <w:style w:type="character" w:customStyle="1" w:styleId="NotasProyectosChar">
    <w:name w:val="Notas Proyectos Char"/>
    <w:link w:val="NotasProyectos"/>
    <w:rsid w:val="003E5472"/>
    <w:rPr>
      <w:rFonts w:ascii="Verdana" w:hAnsi="Verdana" w:cs="Times New Roman"/>
      <w:noProof/>
      <w:sz w:val="20"/>
      <w:szCs w:val="20"/>
      <w:lang w:val="es-ES_tradnl" w:eastAsia="es-ES"/>
    </w:rPr>
  </w:style>
  <w:style w:type="paragraph" w:customStyle="1" w:styleId="1Prrafosentencia">
    <w:name w:val="1. Párrafo sentencia"/>
    <w:autoRedefine/>
    <w:qFormat/>
    <w:rsid w:val="003E5472"/>
    <w:pPr>
      <w:spacing w:before="120" w:after="120" w:line="240" w:lineRule="auto"/>
      <w:ind w:left="1440" w:hanging="360"/>
      <w:jc w:val="both"/>
    </w:pPr>
    <w:rPr>
      <w:rFonts w:ascii="Verdana" w:hAnsi="Verdana" w:cs="Univers"/>
      <w:noProof/>
      <w:color w:val="000000"/>
      <w:sz w:val="24"/>
      <w:szCs w:val="24"/>
      <w:lang w:val="es-ES_tradnl"/>
    </w:rPr>
  </w:style>
  <w:style w:type="paragraph" w:styleId="BodyTextIndent">
    <w:name w:val="Body Text Indent"/>
    <w:basedOn w:val="Normal"/>
    <w:link w:val="BodyTextIndentChar"/>
    <w:uiPriority w:val="99"/>
    <w:unhideWhenUsed/>
    <w:rsid w:val="003E5472"/>
    <w:pPr>
      <w:tabs>
        <w:tab w:val="left" w:pos="1276"/>
      </w:tabs>
      <w:spacing w:before="120" w:after="120"/>
      <w:ind w:left="1996" w:firstLine="164"/>
      <w:jc w:val="both"/>
    </w:pPr>
    <w:rPr>
      <w:rFonts w:eastAsia="Batang" w:cs="Arial"/>
      <w:i/>
      <w:noProof/>
      <w:szCs w:val="20"/>
      <w:lang w:val="es-ES_tradnl"/>
    </w:rPr>
  </w:style>
  <w:style w:type="character" w:customStyle="1" w:styleId="BodyTextIndentChar">
    <w:name w:val="Body Text Indent Char"/>
    <w:basedOn w:val="DefaultParagraphFont"/>
    <w:link w:val="BodyTextIndent"/>
    <w:uiPriority w:val="99"/>
    <w:rsid w:val="003E5472"/>
    <w:rPr>
      <w:rFonts w:ascii="Verdana" w:eastAsia="Batang" w:hAnsi="Verdana" w:cs="Arial"/>
      <w:i/>
      <w:noProof/>
      <w:sz w:val="20"/>
      <w:szCs w:val="20"/>
      <w:lang w:val="es-ES_tradnl"/>
    </w:rPr>
  </w:style>
  <w:style w:type="paragraph" w:customStyle="1" w:styleId="Prrafonumerado">
    <w:name w:val="Párrafo numerado"/>
    <w:basedOn w:val="Normal"/>
    <w:autoRedefine/>
    <w:rsid w:val="003E5472"/>
    <w:pPr>
      <w:spacing w:before="120" w:after="120"/>
      <w:ind w:left="567" w:right="855"/>
      <w:jc w:val="both"/>
    </w:pPr>
    <w:rPr>
      <w:noProof/>
      <w:sz w:val="16"/>
      <w:szCs w:val="16"/>
      <w:lang w:val="es-CO" w:eastAsia="es-ES"/>
    </w:rPr>
  </w:style>
  <w:style w:type="paragraph" w:customStyle="1" w:styleId="2Footnotes">
    <w:name w:val="2. Footnotes"/>
    <w:basedOn w:val="FootnoteText"/>
    <w:link w:val="2FootnotesChar"/>
    <w:autoRedefine/>
    <w:qFormat/>
    <w:rsid w:val="003E5472"/>
    <w:pPr>
      <w:spacing w:before="120" w:after="120"/>
    </w:pPr>
    <w:rPr>
      <w:rFonts w:cs="Palatino-Italic"/>
      <w:iCs/>
      <w:noProof/>
      <w:szCs w:val="18"/>
      <w:lang w:val="es-ES" w:eastAsia="en-US"/>
    </w:rPr>
  </w:style>
  <w:style w:type="character" w:customStyle="1" w:styleId="2FootnotesChar">
    <w:name w:val="2. Footnotes Char"/>
    <w:link w:val="2Footnotes"/>
    <w:rsid w:val="003E5472"/>
    <w:rPr>
      <w:rFonts w:ascii="Verdana" w:hAnsi="Verdana" w:cs="Palatino-Italic"/>
      <w:iCs/>
      <w:noProof/>
      <w:sz w:val="16"/>
      <w:szCs w:val="18"/>
      <w:lang w:val="es-ES"/>
    </w:rPr>
  </w:style>
  <w:style w:type="paragraph" w:styleId="DocumentMap">
    <w:name w:val="Document Map"/>
    <w:basedOn w:val="Normal"/>
    <w:link w:val="DocumentMapChar"/>
    <w:uiPriority w:val="99"/>
    <w:semiHidden/>
    <w:unhideWhenUsed/>
    <w:rsid w:val="003E5472"/>
    <w:pPr>
      <w:jc w:val="both"/>
    </w:pPr>
    <w:rPr>
      <w:rFonts w:ascii="Tahoma" w:eastAsia="Batang" w:hAnsi="Tahoma" w:cs="Tahoma"/>
      <w:noProof/>
      <w:sz w:val="16"/>
      <w:szCs w:val="16"/>
      <w:lang w:val="es-ES_tradnl"/>
    </w:rPr>
  </w:style>
  <w:style w:type="character" w:customStyle="1" w:styleId="DocumentMapChar">
    <w:name w:val="Document Map Char"/>
    <w:basedOn w:val="DefaultParagraphFont"/>
    <w:link w:val="DocumentMap"/>
    <w:uiPriority w:val="99"/>
    <w:semiHidden/>
    <w:rsid w:val="003E5472"/>
    <w:rPr>
      <w:rFonts w:ascii="Tahoma" w:eastAsia="Batang" w:hAnsi="Tahoma" w:cs="Tahoma"/>
      <w:noProof/>
      <w:sz w:val="16"/>
      <w:szCs w:val="16"/>
      <w:lang w:val="es-ES_tradnl"/>
    </w:rPr>
  </w:style>
  <w:style w:type="paragraph" w:styleId="EndnoteText">
    <w:name w:val="endnote text"/>
    <w:basedOn w:val="Normal"/>
    <w:link w:val="EndnoteTextChar"/>
    <w:unhideWhenUsed/>
    <w:rsid w:val="003E5472"/>
    <w:pPr>
      <w:jc w:val="both"/>
    </w:pPr>
    <w:rPr>
      <w:rFonts w:eastAsia="Batang" w:cs="Times"/>
      <w:noProof/>
      <w:szCs w:val="20"/>
      <w:lang w:val="es-ES_tradnl"/>
    </w:rPr>
  </w:style>
  <w:style w:type="character" w:customStyle="1" w:styleId="EndnoteTextChar">
    <w:name w:val="Endnote Text Char"/>
    <w:basedOn w:val="DefaultParagraphFont"/>
    <w:link w:val="EndnoteText"/>
    <w:rsid w:val="003E5472"/>
    <w:rPr>
      <w:rFonts w:ascii="Verdana" w:eastAsia="Batang" w:hAnsi="Verdana" w:cs="Times"/>
      <w:noProof/>
      <w:sz w:val="20"/>
      <w:szCs w:val="20"/>
      <w:lang w:val="es-ES_tradnl"/>
    </w:rPr>
  </w:style>
  <w:style w:type="character" w:styleId="EndnoteReference">
    <w:name w:val="endnote reference"/>
    <w:semiHidden/>
    <w:unhideWhenUsed/>
    <w:rsid w:val="003E5472"/>
    <w:rPr>
      <w:vertAlign w:val="superscript"/>
    </w:rPr>
  </w:style>
  <w:style w:type="paragraph" w:customStyle="1" w:styleId="PrrafodeSentencia0">
    <w:name w:val="Párrafo de Sentencia"/>
    <w:autoRedefine/>
    <w:qFormat/>
    <w:rsid w:val="003E5472"/>
    <w:pPr>
      <w:numPr>
        <w:ilvl w:val="4"/>
        <w:numId w:val="5"/>
      </w:numPr>
      <w:tabs>
        <w:tab w:val="num" w:pos="360"/>
      </w:tabs>
      <w:spacing w:after="0" w:line="240" w:lineRule="auto"/>
      <w:ind w:left="720" w:firstLine="0"/>
      <w:contextualSpacing/>
      <w:jc w:val="both"/>
    </w:pPr>
    <w:rPr>
      <w:rFonts w:ascii="Verdana" w:hAnsi="Verdana" w:cs="Times New Roman"/>
      <w:noProof/>
      <w:sz w:val="20"/>
      <w:szCs w:val="20"/>
      <w:lang w:val="es-ES_tradnl" w:eastAsia="es-ES"/>
    </w:rPr>
  </w:style>
  <w:style w:type="paragraph" w:customStyle="1" w:styleId="Textonotapie1">
    <w:name w:val="Texto nota pie1"/>
    <w:basedOn w:val="Normal"/>
    <w:semiHidden/>
    <w:rsid w:val="003E5472"/>
    <w:rPr>
      <w:rFonts w:ascii="Times New Roman" w:hAnsi="Times New Roman"/>
      <w:noProof/>
      <w:szCs w:val="20"/>
      <w:lang w:val="es-ES_tradnl" w:eastAsia="es-ES"/>
    </w:rPr>
  </w:style>
  <w:style w:type="character" w:customStyle="1" w:styleId="normalchar">
    <w:name w:val="normal__char"/>
    <w:basedOn w:val="DefaultParagraphFont"/>
    <w:rsid w:val="003E5472"/>
  </w:style>
  <w:style w:type="character" w:customStyle="1" w:styleId="Caracteresdenotafinal">
    <w:name w:val="Caracteres de nota final"/>
    <w:rsid w:val="003E5472"/>
    <w:rPr>
      <w:vertAlign w:val="superscript"/>
    </w:rPr>
  </w:style>
  <w:style w:type="character" w:customStyle="1" w:styleId="FootnoteRef">
    <w:name w:val="Footnote Ref"/>
    <w:rsid w:val="003E5472"/>
    <w:rPr>
      <w:rFonts w:cs="Times New Roman"/>
      <w:vertAlign w:val="superscript"/>
    </w:rPr>
  </w:style>
  <w:style w:type="paragraph" w:styleId="PlainText">
    <w:name w:val="Plain Text"/>
    <w:basedOn w:val="Normal"/>
    <w:link w:val="PlainTextChar"/>
    <w:uiPriority w:val="99"/>
    <w:unhideWhenUsed/>
    <w:rsid w:val="003E5472"/>
    <w:rPr>
      <w:rFonts w:ascii="Consolas" w:eastAsia="Calibri" w:hAnsi="Consolas" w:cs="Consolas"/>
      <w:noProof/>
      <w:sz w:val="21"/>
      <w:szCs w:val="21"/>
      <w:lang w:val="es-CR" w:eastAsia="es-CR"/>
    </w:rPr>
  </w:style>
  <w:style w:type="character" w:customStyle="1" w:styleId="PlainTextChar">
    <w:name w:val="Plain Text Char"/>
    <w:basedOn w:val="DefaultParagraphFont"/>
    <w:link w:val="PlainText"/>
    <w:uiPriority w:val="99"/>
    <w:rsid w:val="003E5472"/>
    <w:rPr>
      <w:rFonts w:ascii="Consolas" w:eastAsia="Calibri" w:hAnsi="Consolas" w:cs="Consolas"/>
      <w:noProof/>
      <w:sz w:val="21"/>
      <w:szCs w:val="21"/>
      <w:lang w:eastAsia="es-CR"/>
    </w:rPr>
  </w:style>
  <w:style w:type="paragraph" w:customStyle="1" w:styleId="CM15">
    <w:name w:val="CM15"/>
    <w:basedOn w:val="Default"/>
    <w:next w:val="Default"/>
    <w:uiPriority w:val="99"/>
    <w:rsid w:val="003E5472"/>
    <w:pPr>
      <w:spacing w:line="276" w:lineRule="atLeast"/>
    </w:pPr>
    <w:rPr>
      <w:rFonts w:ascii="Arial" w:eastAsia="Calibri" w:hAnsi="Arial" w:cs="Arial"/>
      <w:color w:val="auto"/>
      <w:lang w:val="en-US" w:eastAsia="en-US"/>
    </w:rPr>
  </w:style>
  <w:style w:type="character" w:customStyle="1" w:styleId="longtext1">
    <w:name w:val="long_text1"/>
    <w:rsid w:val="003E5472"/>
    <w:rPr>
      <w:sz w:val="14"/>
      <w:szCs w:val="14"/>
    </w:rPr>
  </w:style>
  <w:style w:type="character" w:customStyle="1" w:styleId="Refdenotaalpie2">
    <w:name w:val="Ref. de nota al pie2"/>
    <w:rsid w:val="003E5472"/>
    <w:rPr>
      <w:vertAlign w:val="superscript"/>
    </w:rPr>
  </w:style>
  <w:style w:type="paragraph" w:customStyle="1" w:styleId="xl66">
    <w:name w:val="xl66"/>
    <w:basedOn w:val="Normal"/>
    <w:rsid w:val="003E5472"/>
    <w:pPr>
      <w:pBdr>
        <w:top w:val="single" w:sz="8" w:space="0" w:color="auto"/>
        <w:lef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7">
    <w:name w:val="xl67"/>
    <w:basedOn w:val="Normal"/>
    <w:rsid w:val="003E5472"/>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8">
    <w:name w:val="xl68"/>
    <w:basedOn w:val="Normal"/>
    <w:rsid w:val="003E5472"/>
    <w:pPr>
      <w:pBdr>
        <w:top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0">
    <w:name w:val="xl70"/>
    <w:basedOn w:val="Normal"/>
    <w:rsid w:val="003E5472"/>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1">
    <w:name w:val="xl71"/>
    <w:basedOn w:val="Normal"/>
    <w:rsid w:val="003E547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2">
    <w:name w:val="xl72"/>
    <w:basedOn w:val="Normal"/>
    <w:rsid w:val="003E5472"/>
    <w:pPr>
      <w:pBdr>
        <w:top w:val="single" w:sz="4" w:space="0" w:color="auto"/>
        <w:bottom w:val="single" w:sz="4"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3">
    <w:name w:val="xl73"/>
    <w:basedOn w:val="Normal"/>
    <w:rsid w:val="003E547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4">
    <w:name w:val="xl74"/>
    <w:basedOn w:val="Normal"/>
    <w:rsid w:val="003E5472"/>
    <w:pPr>
      <w:pBdr>
        <w:top w:val="single" w:sz="4" w:space="0" w:color="auto"/>
        <w:left w:val="single" w:sz="8"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5">
    <w:name w:val="xl75"/>
    <w:basedOn w:val="Normal"/>
    <w:rsid w:val="003E5472"/>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6">
    <w:name w:val="xl76"/>
    <w:basedOn w:val="Normal"/>
    <w:rsid w:val="003E5472"/>
    <w:pPr>
      <w:pBdr>
        <w:top w:val="single" w:sz="4" w:space="0" w:color="auto"/>
        <w:bottom w:val="single" w:sz="4"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7">
    <w:name w:val="xl77"/>
    <w:basedOn w:val="Normal"/>
    <w:rsid w:val="003E5472"/>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69">
    <w:name w:val="xl69"/>
    <w:basedOn w:val="Normal"/>
    <w:rsid w:val="003E54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s-CR" w:eastAsia="es-CR"/>
    </w:rPr>
  </w:style>
  <w:style w:type="paragraph" w:styleId="BodyTextIndent2">
    <w:name w:val="Body Text Indent 2"/>
    <w:basedOn w:val="Normal"/>
    <w:link w:val="BodyTextIndent2Char"/>
    <w:uiPriority w:val="99"/>
    <w:semiHidden/>
    <w:unhideWhenUsed/>
    <w:rsid w:val="003E5472"/>
    <w:pPr>
      <w:spacing w:after="120" w:line="480" w:lineRule="auto"/>
      <w:ind w:left="283"/>
      <w:jc w:val="both"/>
    </w:pPr>
    <w:rPr>
      <w:rFonts w:eastAsia="Batang" w:cs="Times"/>
      <w:noProof/>
      <w:lang w:val="es-ES_tradnl"/>
    </w:rPr>
  </w:style>
  <w:style w:type="character" w:customStyle="1" w:styleId="BodyTextIndent2Char">
    <w:name w:val="Body Text Indent 2 Char"/>
    <w:basedOn w:val="DefaultParagraphFont"/>
    <w:link w:val="BodyTextIndent2"/>
    <w:uiPriority w:val="99"/>
    <w:semiHidden/>
    <w:rsid w:val="003E5472"/>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3E5472"/>
    <w:pPr>
      <w:spacing w:before="120"/>
      <w:ind w:left="720"/>
      <w:jc w:val="both"/>
    </w:pPr>
    <w:rPr>
      <w:szCs w:val="20"/>
      <w:lang w:val="es-ES_tradnl" w:eastAsia="es-ES"/>
    </w:rPr>
  </w:style>
  <w:style w:type="character" w:customStyle="1" w:styleId="NotasProyectosChar0">
    <w:name w:val="***. Notas Proyectos Char"/>
    <w:link w:val="NotasProyectos0"/>
    <w:rsid w:val="003E5472"/>
    <w:rPr>
      <w:rFonts w:ascii="Verdana" w:hAnsi="Verdana" w:cs="Times New Roman"/>
      <w:sz w:val="20"/>
      <w:szCs w:val="20"/>
      <w:lang w:val="es-ES_tradnl" w:eastAsia="es-ES"/>
    </w:rPr>
  </w:style>
  <w:style w:type="character" w:customStyle="1" w:styleId="Smbolodenotaalpie">
    <w:name w:val="Símbolo de nota al pie"/>
    <w:rsid w:val="003E5472"/>
    <w:rPr>
      <w:vertAlign w:val="superscript"/>
    </w:rPr>
  </w:style>
  <w:style w:type="paragraph" w:customStyle="1" w:styleId="BodyText31">
    <w:name w:val="Body Text 31"/>
    <w:basedOn w:val="Normal"/>
    <w:rsid w:val="003E5472"/>
    <w:pPr>
      <w:overflowPunct w:val="0"/>
      <w:autoSpaceDE w:val="0"/>
      <w:autoSpaceDN w:val="0"/>
      <w:adjustRightInd w:val="0"/>
      <w:textAlignment w:val="baseline"/>
    </w:pPr>
    <w:rPr>
      <w:rFonts w:ascii="Times" w:hAnsi="Times"/>
      <w:b/>
      <w:caps/>
      <w:sz w:val="24"/>
      <w:szCs w:val="20"/>
      <w:lang w:val="en-US" w:eastAsia="es-ES"/>
    </w:rPr>
  </w:style>
  <w:style w:type="character" w:customStyle="1" w:styleId="Estilo2Car">
    <w:name w:val="Estilo2 Car"/>
    <w:link w:val="Estilo2"/>
    <w:rsid w:val="003E5472"/>
    <w:rPr>
      <w:rFonts w:ascii="Verdana" w:eastAsia="Calibri" w:hAnsi="Verdana" w:cs="Times New Roman"/>
      <w:noProof/>
      <w:sz w:val="20"/>
      <w:szCs w:val="20"/>
      <w:lang w:val="es-ES_tradnl" w:eastAsia="x-none"/>
    </w:rPr>
  </w:style>
  <w:style w:type="paragraph" w:customStyle="1" w:styleId="xmsonormal">
    <w:name w:val="x_msonormal"/>
    <w:basedOn w:val="Normal"/>
    <w:rsid w:val="003E5472"/>
    <w:pPr>
      <w:spacing w:before="100" w:beforeAutospacing="1" w:after="100" w:afterAutospacing="1"/>
    </w:pPr>
    <w:rPr>
      <w:rFonts w:ascii="Times New Roman" w:hAnsi="Times New Roman"/>
      <w:sz w:val="24"/>
      <w:lang w:val="es-CR" w:eastAsia="es-CR"/>
    </w:rPr>
  </w:style>
  <w:style w:type="character" w:customStyle="1" w:styleId="normal--char">
    <w:name w:val="normal--char"/>
    <w:basedOn w:val="DefaultParagraphFont"/>
    <w:rsid w:val="003E5472"/>
  </w:style>
  <w:style w:type="character" w:customStyle="1" w:styleId="ju-005fpara-002cleft-002cfirst-0020line-003a-0020-00200-0020cm--char">
    <w:name w:val="ju-005fpara-002cleft-002cfirst-0020line-003a-0020-00200-0020cm--char"/>
    <w:basedOn w:val="DefaultParagraphFont"/>
    <w:rsid w:val="003E5472"/>
  </w:style>
  <w:style w:type="character" w:customStyle="1" w:styleId="skypepnhprintcontainer">
    <w:name w:val="skype_pnh_print_container"/>
    <w:basedOn w:val="DefaultParagraphFont"/>
    <w:rsid w:val="003E5472"/>
  </w:style>
  <w:style w:type="character" w:customStyle="1" w:styleId="s6b621b36">
    <w:name w:val="s6b621b36"/>
    <w:basedOn w:val="DefaultParagraphFont"/>
    <w:rsid w:val="003E5472"/>
  </w:style>
  <w:style w:type="paragraph" w:customStyle="1" w:styleId="ng-scope1">
    <w:name w:val="ng-scope1"/>
    <w:basedOn w:val="Normal"/>
    <w:rsid w:val="003E5472"/>
    <w:pPr>
      <w:spacing w:before="100" w:beforeAutospacing="1" w:after="100" w:afterAutospacing="1"/>
    </w:pPr>
    <w:rPr>
      <w:rFonts w:ascii="Times New Roman" w:hAnsi="Times New Roman"/>
      <w:sz w:val="24"/>
      <w:lang w:val="en-US"/>
    </w:rPr>
  </w:style>
  <w:style w:type="character" w:customStyle="1" w:styleId="nfasissutil1">
    <w:name w:val="Énfasis sutil1"/>
    <w:uiPriority w:val="19"/>
    <w:qFormat/>
    <w:rsid w:val="003E5472"/>
    <w:rPr>
      <w:rFonts w:ascii="Verdana" w:hAnsi="Verdana"/>
      <w:i/>
      <w:iCs/>
      <w:color w:val="auto"/>
      <w:sz w:val="20"/>
    </w:rPr>
  </w:style>
  <w:style w:type="character" w:customStyle="1" w:styleId="CarCar">
    <w:name w:val="Car Car"/>
    <w:rsid w:val="003E5472"/>
    <w:rPr>
      <w:rFonts w:ascii="Times New Roman" w:eastAsia="Times New Roman" w:hAnsi="Times New Roman" w:cs="Times New Roman"/>
      <w:sz w:val="20"/>
      <w:szCs w:val="20"/>
      <w:lang w:val="es-ES_tradnl"/>
    </w:rPr>
  </w:style>
  <w:style w:type="character" w:customStyle="1" w:styleId="skypepnhcontainer">
    <w:name w:val="skype_pnh_container"/>
    <w:rsid w:val="003E5472"/>
    <w:rPr>
      <w:rFonts w:cs="Times New Roman"/>
    </w:rPr>
  </w:style>
  <w:style w:type="paragraph" w:customStyle="1" w:styleId="TextoArtculo">
    <w:name w:val="Texto Artículo"/>
    <w:next w:val="Normal"/>
    <w:rsid w:val="003E5472"/>
    <w:pPr>
      <w:autoSpaceDE w:val="0"/>
      <w:autoSpaceDN w:val="0"/>
      <w:adjustRightInd w:val="0"/>
      <w:spacing w:after="0" w:line="240" w:lineRule="auto"/>
      <w:ind w:left="90" w:right="1"/>
      <w:jc w:val="both"/>
    </w:pPr>
    <w:rPr>
      <w:rFonts w:ascii="Verdana" w:hAnsi="Verdana" w:cs="Verdana"/>
      <w:color w:val="000000"/>
      <w:sz w:val="20"/>
      <w:szCs w:val="20"/>
      <w:u w:color="000000"/>
      <w:shd w:val="clear" w:color="auto" w:fill="FFFFFF"/>
      <w:lang w:val="es-EC" w:eastAsia="es-ES"/>
    </w:rPr>
  </w:style>
  <w:style w:type="character" w:customStyle="1" w:styleId="nrmar">
    <w:name w:val="nrmar"/>
    <w:rsid w:val="003E5472"/>
  </w:style>
  <w:style w:type="paragraph" w:customStyle="1" w:styleId="s32b251d">
    <w:name w:val="s32b251d"/>
    <w:basedOn w:val="Normal"/>
    <w:rsid w:val="003E5472"/>
    <w:pPr>
      <w:spacing w:before="100" w:beforeAutospacing="1" w:after="100" w:afterAutospacing="1"/>
    </w:pPr>
    <w:rPr>
      <w:rFonts w:ascii="Times New Roman" w:hAnsi="Times New Roman"/>
      <w:sz w:val="24"/>
      <w:lang w:val="es-EC" w:eastAsia="es-EC"/>
    </w:rPr>
  </w:style>
  <w:style w:type="paragraph" w:customStyle="1" w:styleId="Prrafodelista4">
    <w:name w:val="Párrafo de lista4"/>
    <w:basedOn w:val="Normal"/>
    <w:uiPriority w:val="99"/>
    <w:qFormat/>
    <w:rsid w:val="003E5472"/>
    <w:pPr>
      <w:ind w:left="720"/>
      <w:jc w:val="both"/>
    </w:pPr>
    <w:rPr>
      <w:szCs w:val="20"/>
      <w:lang w:val="es-ES_tradnl"/>
    </w:rPr>
  </w:style>
  <w:style w:type="character" w:customStyle="1" w:styleId="MediumGrid2-Accent2Char">
    <w:name w:val="Medium Grid 2 - Accent 2 Char"/>
    <w:link w:val="MediumGrid2-Accent2"/>
    <w:uiPriority w:val="29"/>
    <w:rsid w:val="003E5472"/>
    <w:rPr>
      <w:rFonts w:ascii="Calibri" w:hAnsi="Calibri" w:cs="Times New Roman"/>
      <w:i/>
      <w:iCs/>
      <w:color w:val="000000"/>
      <w:sz w:val="20"/>
    </w:rPr>
  </w:style>
  <w:style w:type="paragraph" w:customStyle="1" w:styleId="Style8">
    <w:name w:val="Style 8"/>
    <w:basedOn w:val="Normal"/>
    <w:rsid w:val="003E5472"/>
    <w:pPr>
      <w:widowControl w:val="0"/>
      <w:autoSpaceDE w:val="0"/>
      <w:autoSpaceDN w:val="0"/>
      <w:ind w:left="1440"/>
      <w:jc w:val="both"/>
    </w:pPr>
    <w:rPr>
      <w:rFonts w:ascii="Times New Roman" w:hAnsi="Times New Roman"/>
      <w:sz w:val="24"/>
      <w:lang w:val="es-ES_tradnl" w:eastAsia="es-ES_tradnl"/>
    </w:rPr>
  </w:style>
  <w:style w:type="paragraph" w:customStyle="1" w:styleId="Style16">
    <w:name w:val="Style 16"/>
    <w:basedOn w:val="Normal"/>
    <w:rsid w:val="003E5472"/>
    <w:pPr>
      <w:widowControl w:val="0"/>
      <w:autoSpaceDE w:val="0"/>
      <w:autoSpaceDN w:val="0"/>
      <w:spacing w:before="108" w:line="288" w:lineRule="atLeast"/>
      <w:ind w:left="1080"/>
      <w:jc w:val="both"/>
    </w:pPr>
    <w:rPr>
      <w:rFonts w:ascii="Times New Roman" w:hAnsi="Times New Roman"/>
      <w:sz w:val="24"/>
      <w:lang w:val="es-ES_tradnl" w:eastAsia="es-ES_tradnl"/>
    </w:rPr>
  </w:style>
  <w:style w:type="character" w:customStyle="1" w:styleId="Listavistosa-nfasis1Car">
    <w:name w:val="Lista vistosa - Énfasis 1 Car"/>
    <w:uiPriority w:val="99"/>
    <w:locked/>
    <w:rsid w:val="003E5472"/>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3E5472"/>
    <w:pPr>
      <w:keepNext w:val="0"/>
      <w:tabs>
        <w:tab w:val="center" w:pos="4320"/>
        <w:tab w:val="right" w:pos="8640"/>
      </w:tabs>
      <w:spacing w:before="120" w:line="276" w:lineRule="auto"/>
      <w:jc w:val="left"/>
      <w:outlineLvl w:val="9"/>
    </w:pPr>
    <w:rPr>
      <w:rFonts w:ascii="Cambria" w:eastAsia="Times New Roman" w:hAnsi="Cambria" w:cs="Times New Roman"/>
      <w:color w:val="365F91"/>
      <w:lang w:val="en-US"/>
    </w:rPr>
  </w:style>
  <w:style w:type="paragraph" w:customStyle="1" w:styleId="Style10">
    <w:name w:val="Style 1"/>
    <w:basedOn w:val="Normal"/>
    <w:rsid w:val="003E5472"/>
    <w:pPr>
      <w:widowControl w:val="0"/>
      <w:autoSpaceDE w:val="0"/>
      <w:autoSpaceDN w:val="0"/>
      <w:spacing w:line="288" w:lineRule="atLeast"/>
      <w:ind w:left="720" w:hanging="360"/>
      <w:jc w:val="both"/>
    </w:pPr>
    <w:rPr>
      <w:rFonts w:ascii="Times New Roman" w:hAnsi="Times New Roman"/>
      <w:sz w:val="24"/>
      <w:lang w:val="es-ES_tradnl" w:eastAsia="es-ES_tradnl"/>
    </w:rPr>
  </w:style>
  <w:style w:type="paragraph" w:customStyle="1" w:styleId="Style22">
    <w:name w:val="Style 22"/>
    <w:basedOn w:val="Normal"/>
    <w:rsid w:val="003E5472"/>
    <w:pPr>
      <w:widowControl w:val="0"/>
      <w:autoSpaceDE w:val="0"/>
      <w:autoSpaceDN w:val="0"/>
      <w:spacing w:before="180" w:line="288" w:lineRule="atLeast"/>
      <w:ind w:left="360" w:right="72" w:hanging="360"/>
      <w:jc w:val="both"/>
    </w:pPr>
    <w:rPr>
      <w:rFonts w:ascii="Times New Roman" w:hAnsi="Times New Roman"/>
      <w:sz w:val="24"/>
      <w:lang w:val="es-ES_tradnl" w:eastAsia="es-ES_tradnl"/>
    </w:rPr>
  </w:style>
  <w:style w:type="paragraph" w:customStyle="1" w:styleId="Style20">
    <w:name w:val="Style 20"/>
    <w:basedOn w:val="Normal"/>
    <w:rsid w:val="003E5472"/>
    <w:pPr>
      <w:widowControl w:val="0"/>
      <w:autoSpaceDE w:val="0"/>
      <w:autoSpaceDN w:val="0"/>
      <w:ind w:left="360" w:hanging="360"/>
      <w:jc w:val="both"/>
    </w:pPr>
    <w:rPr>
      <w:rFonts w:ascii="Times New Roman" w:hAnsi="Times New Roman"/>
      <w:sz w:val="24"/>
      <w:lang w:val="es-ES_tradnl" w:eastAsia="es-ES_tradnl"/>
    </w:rPr>
  </w:style>
  <w:style w:type="paragraph" w:customStyle="1" w:styleId="Style17">
    <w:name w:val="Style 17"/>
    <w:basedOn w:val="Normal"/>
    <w:rsid w:val="003E5472"/>
    <w:pPr>
      <w:widowControl w:val="0"/>
      <w:autoSpaceDE w:val="0"/>
      <w:autoSpaceDN w:val="0"/>
      <w:spacing w:line="288" w:lineRule="atLeast"/>
      <w:ind w:left="1080"/>
      <w:jc w:val="both"/>
    </w:pPr>
    <w:rPr>
      <w:rFonts w:ascii="Times New Roman" w:hAnsi="Times New Roman"/>
      <w:sz w:val="24"/>
      <w:lang w:val="es-ES_tradnl" w:eastAsia="es-ES_tradnl"/>
    </w:rPr>
  </w:style>
  <w:style w:type="paragraph" w:customStyle="1" w:styleId="Style13">
    <w:name w:val="Style 13"/>
    <w:basedOn w:val="Normal"/>
    <w:rsid w:val="003E5472"/>
    <w:pPr>
      <w:widowControl w:val="0"/>
      <w:autoSpaceDE w:val="0"/>
      <w:autoSpaceDN w:val="0"/>
      <w:spacing w:before="288" w:line="288" w:lineRule="atLeast"/>
      <w:ind w:left="720" w:hanging="360"/>
      <w:jc w:val="both"/>
    </w:pPr>
    <w:rPr>
      <w:rFonts w:ascii="Times New Roman" w:hAnsi="Times New Roman"/>
      <w:sz w:val="24"/>
      <w:lang w:val="es-ES_tradnl" w:eastAsia="es-ES_tradnl"/>
    </w:rPr>
  </w:style>
  <w:style w:type="paragraph" w:customStyle="1" w:styleId="Style11">
    <w:name w:val="Style 11"/>
    <w:basedOn w:val="Normal"/>
    <w:rsid w:val="003E5472"/>
    <w:pPr>
      <w:widowControl w:val="0"/>
      <w:autoSpaceDE w:val="0"/>
      <w:autoSpaceDN w:val="0"/>
      <w:ind w:left="720" w:right="72" w:hanging="432"/>
      <w:jc w:val="both"/>
    </w:pPr>
    <w:rPr>
      <w:rFonts w:ascii="Times New Roman" w:hAnsi="Times New Roman"/>
      <w:sz w:val="24"/>
      <w:lang w:val="es-ES_tradnl" w:eastAsia="es-ES_tradnl"/>
    </w:rPr>
  </w:style>
  <w:style w:type="paragraph" w:customStyle="1" w:styleId="Style15">
    <w:name w:val="Style 15"/>
    <w:basedOn w:val="Normal"/>
    <w:rsid w:val="003E5472"/>
    <w:pPr>
      <w:widowControl w:val="0"/>
      <w:autoSpaceDE w:val="0"/>
      <w:autoSpaceDN w:val="0"/>
      <w:spacing w:before="108" w:line="288" w:lineRule="atLeast"/>
      <w:ind w:left="1440"/>
      <w:jc w:val="both"/>
    </w:pPr>
    <w:rPr>
      <w:rFonts w:ascii="Times New Roman" w:hAnsi="Times New Roman"/>
      <w:sz w:val="24"/>
      <w:lang w:val="es-ES_tradnl" w:eastAsia="es-ES_tradnl"/>
    </w:rPr>
  </w:style>
  <w:style w:type="paragraph" w:customStyle="1" w:styleId="Style26">
    <w:name w:val="Style 26"/>
    <w:basedOn w:val="Normal"/>
    <w:rsid w:val="003E5472"/>
    <w:pPr>
      <w:widowControl w:val="0"/>
      <w:autoSpaceDE w:val="0"/>
      <w:autoSpaceDN w:val="0"/>
      <w:spacing w:line="288" w:lineRule="atLeast"/>
      <w:ind w:left="1872" w:hanging="432"/>
    </w:pPr>
    <w:rPr>
      <w:rFonts w:ascii="Times New Roman" w:hAnsi="Times New Roman"/>
      <w:sz w:val="24"/>
      <w:lang w:val="es-ES_tradnl" w:eastAsia="es-ES_tradnl"/>
    </w:rPr>
  </w:style>
  <w:style w:type="paragraph" w:customStyle="1" w:styleId="Style27">
    <w:name w:val="Style 27"/>
    <w:basedOn w:val="Normal"/>
    <w:rsid w:val="003E5472"/>
    <w:pPr>
      <w:widowControl w:val="0"/>
      <w:autoSpaceDE w:val="0"/>
      <w:autoSpaceDN w:val="0"/>
      <w:spacing w:line="288" w:lineRule="atLeast"/>
      <w:ind w:left="1440"/>
      <w:jc w:val="both"/>
    </w:pPr>
    <w:rPr>
      <w:rFonts w:ascii="Times New Roman" w:hAnsi="Times New Roman"/>
      <w:sz w:val="24"/>
      <w:lang w:val="es-ES_tradnl" w:eastAsia="es-ES_tradnl"/>
    </w:rPr>
  </w:style>
  <w:style w:type="paragraph" w:customStyle="1" w:styleId="Style14">
    <w:name w:val="Style 14"/>
    <w:basedOn w:val="Normal"/>
    <w:rsid w:val="003E5472"/>
    <w:pPr>
      <w:widowControl w:val="0"/>
      <w:autoSpaceDE w:val="0"/>
      <w:autoSpaceDN w:val="0"/>
      <w:spacing w:before="180" w:line="288" w:lineRule="atLeast"/>
      <w:ind w:left="720" w:hanging="360"/>
      <w:jc w:val="both"/>
    </w:pPr>
    <w:rPr>
      <w:rFonts w:ascii="Times New Roman" w:hAnsi="Times New Roman"/>
      <w:sz w:val="24"/>
      <w:lang w:val="es-ES_tradnl" w:eastAsia="es-ES_tradnl"/>
    </w:rPr>
  </w:style>
  <w:style w:type="paragraph" w:customStyle="1" w:styleId="Style19">
    <w:name w:val="Style 19"/>
    <w:basedOn w:val="Normal"/>
    <w:rsid w:val="003E5472"/>
    <w:pPr>
      <w:widowControl w:val="0"/>
      <w:autoSpaceDE w:val="0"/>
      <w:autoSpaceDN w:val="0"/>
      <w:jc w:val="center"/>
    </w:pPr>
    <w:rPr>
      <w:rFonts w:ascii="Times New Roman" w:hAnsi="Times New Roman"/>
      <w:sz w:val="24"/>
      <w:lang w:val="es-ES_tradnl" w:eastAsia="es-ES_tradnl"/>
    </w:rPr>
  </w:style>
  <w:style w:type="paragraph" w:customStyle="1" w:styleId="Univers">
    <w:name w:val="Univers"/>
    <w:basedOn w:val="Normal"/>
    <w:rsid w:val="003E5472"/>
    <w:pPr>
      <w:spacing w:line="480" w:lineRule="auto"/>
      <w:jc w:val="both"/>
    </w:pPr>
    <w:rPr>
      <w:rFonts w:ascii="Univers" w:hAnsi="Univers"/>
      <w:sz w:val="24"/>
      <w:szCs w:val="32"/>
      <w:lang w:val="es-AR"/>
    </w:rPr>
  </w:style>
  <w:style w:type="paragraph" w:customStyle="1" w:styleId="Estilo4">
    <w:name w:val="Estilo4"/>
    <w:link w:val="Estilo4Car"/>
    <w:qFormat/>
    <w:rsid w:val="003E5472"/>
    <w:pPr>
      <w:numPr>
        <w:ilvl w:val="1"/>
        <w:numId w:val="6"/>
      </w:numPr>
      <w:spacing w:after="120" w:line="240" w:lineRule="auto"/>
      <w:ind w:left="0" w:firstLine="357"/>
      <w:jc w:val="both"/>
    </w:pPr>
    <w:rPr>
      <w:rFonts w:ascii="Verdana" w:hAnsi="Verdana" w:cs="Times New Roman"/>
      <w:spacing w:val="-2"/>
      <w:sz w:val="20"/>
      <w:szCs w:val="20"/>
    </w:rPr>
  </w:style>
  <w:style w:type="paragraph" w:customStyle="1" w:styleId="Footnotes0">
    <w:name w:val="Footnotes"/>
    <w:basedOn w:val="FootnoteText"/>
    <w:autoRedefine/>
    <w:qFormat/>
    <w:rsid w:val="003E5472"/>
    <w:pPr>
      <w:spacing w:after="120"/>
      <w:ind w:firstLine="709"/>
    </w:pPr>
    <w:rPr>
      <w:rFonts w:ascii="Cambria" w:hAnsi="Cambria"/>
      <w:szCs w:val="18"/>
      <w:lang w:eastAsia="en-US"/>
    </w:rPr>
  </w:style>
  <w:style w:type="character" w:customStyle="1" w:styleId="user-highlighted-active">
    <w:name w:val="user-highlighted-active"/>
    <w:basedOn w:val="DefaultParagraphFont"/>
    <w:rsid w:val="003E5472"/>
  </w:style>
  <w:style w:type="character" w:customStyle="1" w:styleId="highlighted">
    <w:name w:val="highlighted"/>
    <w:basedOn w:val="DefaultParagraphFont"/>
    <w:rsid w:val="003E5472"/>
  </w:style>
  <w:style w:type="numbering" w:customStyle="1" w:styleId="NoList1">
    <w:name w:val="No List1"/>
    <w:next w:val="NoList"/>
    <w:uiPriority w:val="99"/>
    <w:semiHidden/>
    <w:unhideWhenUsed/>
    <w:rsid w:val="003E5472"/>
  </w:style>
  <w:style w:type="table" w:customStyle="1" w:styleId="TableGrid1">
    <w:name w:val="Table Grid1"/>
    <w:basedOn w:val="TableNormal"/>
    <w:next w:val="TableGrid"/>
    <w:uiPriority w:val="59"/>
    <w:rsid w:val="003E5472"/>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3E5472"/>
    <w:pPr>
      <w:jc w:val="both"/>
    </w:pPr>
    <w:rPr>
      <w:rFonts w:ascii="Calibri" w:eastAsia="Calibri" w:hAnsi="Calibri"/>
      <w:i/>
      <w:iCs/>
      <w:color w:val="000000"/>
      <w:szCs w:val="22"/>
      <w:lang w:val="en-US"/>
    </w:rPr>
  </w:style>
  <w:style w:type="character" w:customStyle="1" w:styleId="QuoteChar1">
    <w:name w:val="Quote Char1"/>
    <w:uiPriority w:val="29"/>
    <w:rsid w:val="003E5472"/>
    <w:rPr>
      <w:i/>
      <w:iCs/>
      <w:color w:val="000000"/>
    </w:rPr>
  </w:style>
  <w:style w:type="paragraph" w:customStyle="1" w:styleId="Estilo3">
    <w:name w:val="Estilo3"/>
    <w:basedOn w:val="ListParagraph"/>
    <w:qFormat/>
    <w:rsid w:val="003E5472"/>
    <w:pPr>
      <w:spacing w:after="160" w:line="259" w:lineRule="auto"/>
      <w:ind w:left="0" w:firstLine="1440"/>
      <w:contextualSpacing/>
    </w:pPr>
    <w:rPr>
      <w:rFonts w:ascii="Times New Roman" w:eastAsia="Calibri" w:hAnsi="Times New Roman"/>
      <w:sz w:val="24"/>
      <w:lang w:val="es-UY"/>
    </w:rPr>
  </w:style>
  <w:style w:type="paragraph" w:customStyle="1" w:styleId="Estilo5">
    <w:name w:val="Estilo5"/>
    <w:basedOn w:val="Estilo2"/>
    <w:link w:val="Estilo5Car"/>
    <w:qFormat/>
    <w:rsid w:val="003E5472"/>
    <w:pPr>
      <w:numPr>
        <w:numId w:val="7"/>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3E5472"/>
    <w:rPr>
      <w:rFonts w:ascii="Verdana" w:hAnsi="Verdana" w:cs="Times New Roman"/>
      <w:spacing w:val="-2"/>
      <w:sz w:val="20"/>
      <w:szCs w:val="20"/>
    </w:rPr>
  </w:style>
  <w:style w:type="character" w:customStyle="1" w:styleId="Estilo5Car">
    <w:name w:val="Estilo5 Car"/>
    <w:link w:val="Estilo5"/>
    <w:rsid w:val="003E5472"/>
    <w:rPr>
      <w:rFonts w:ascii="Times New Roman" w:eastAsia="Calibri" w:hAnsi="Times New Roman" w:cs="Times New Roman"/>
      <w:i/>
      <w:sz w:val="24"/>
      <w:szCs w:val="24"/>
      <w:lang w:val="es-UY"/>
    </w:rPr>
  </w:style>
  <w:style w:type="table" w:styleId="MediumGrid1-Accent2">
    <w:name w:val="Medium Grid 1 Accent 2"/>
    <w:basedOn w:val="TableNormal"/>
    <w:uiPriority w:val="67"/>
    <w:rsid w:val="003E5472"/>
    <w:pPr>
      <w:spacing w:after="0" w:line="240" w:lineRule="auto"/>
    </w:pPr>
    <w:rPr>
      <w:rFonts w:ascii="Times New Roman" w:hAnsi="Times New Roman" w:cs="Times New Roman"/>
      <w:sz w:val="20"/>
      <w:szCs w:val="20"/>
      <w:lang w:eastAsia="es-C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MediumGrid2-Accent2Char"/>
    <w:uiPriority w:val="29"/>
    <w:rsid w:val="003E5472"/>
    <w:pPr>
      <w:spacing w:after="0" w:line="240" w:lineRule="auto"/>
    </w:pPr>
    <w:rPr>
      <w:rFonts w:ascii="Calibri" w:hAnsi="Calibri" w:cs="Times New Roman"/>
      <w:i/>
      <w:iCs/>
      <w:color w:val="000000"/>
      <w:sz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E5472"/>
    <w:pPr>
      <w:jc w:val="both"/>
    </w:pPr>
    <w:rPr>
      <w:sz w:val="16"/>
      <w:szCs w:val="22"/>
      <w:vertAlign w:val="superscript"/>
      <w:lang w:val="es-CR"/>
    </w:rPr>
  </w:style>
  <w:style w:type="character" w:customStyle="1" w:styleId="sb8d990e2">
    <w:name w:val="sb8d990e2"/>
    <w:basedOn w:val="DefaultParagraphFont"/>
    <w:rsid w:val="00F60F74"/>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uiPriority w:val="99"/>
    <w:rsid w:val="004108C8"/>
    <w:rPr>
      <w:rFonts w:ascii="Verdana" w:eastAsia="Batang" w:hAnsi="Verdana" w:cs="Times"/>
      <w:noProof/>
      <w:sz w:val="16"/>
      <w:szCs w:val="20"/>
      <w:lang w:val="es-ES_tradnl"/>
    </w:rPr>
  </w:style>
  <w:style w:type="paragraph" w:styleId="BodyText3">
    <w:name w:val="Body Text 3"/>
    <w:basedOn w:val="Normal"/>
    <w:link w:val="BodyText3Char"/>
    <w:uiPriority w:val="99"/>
    <w:unhideWhenUsed/>
    <w:rsid w:val="00E01D84"/>
    <w:pPr>
      <w:tabs>
        <w:tab w:val="left" w:pos="567"/>
      </w:tabs>
    </w:pPr>
    <w:rPr>
      <w:b/>
      <w:color w:val="FF0000"/>
      <w:szCs w:val="20"/>
      <w:lang w:eastAsia="es-MX"/>
    </w:rPr>
  </w:style>
  <w:style w:type="character" w:customStyle="1" w:styleId="BodyText3Char">
    <w:name w:val="Body Text 3 Char"/>
    <w:basedOn w:val="DefaultParagraphFont"/>
    <w:link w:val="BodyText3"/>
    <w:uiPriority w:val="99"/>
    <w:rsid w:val="00E01D84"/>
    <w:rPr>
      <w:rFonts w:ascii="Verdana" w:hAnsi="Verdana" w:cs="Times New Roman"/>
      <w:b/>
      <w:color w:val="FF0000"/>
      <w:sz w:val="20"/>
      <w:szCs w:val="20"/>
      <w:lang w:val="es-MX" w:eastAsia="es-MX"/>
    </w:rPr>
  </w:style>
  <w:style w:type="character" w:customStyle="1" w:styleId="Heading8Char">
    <w:name w:val="Heading 8 Char"/>
    <w:basedOn w:val="DefaultParagraphFont"/>
    <w:link w:val="Heading8"/>
    <w:uiPriority w:val="9"/>
    <w:rsid w:val="006B6D9F"/>
    <w:rPr>
      <w:rFonts w:ascii="Verdana" w:hAnsi="Verdana" w:cs="Times New Roman"/>
      <w:b/>
      <w:color w:val="00B050"/>
      <w:sz w:val="20"/>
      <w:szCs w:val="24"/>
      <w:lang w:eastAsia="es-MX"/>
    </w:rPr>
  </w:style>
  <w:style w:type="character" w:customStyle="1" w:styleId="DefaultChar">
    <w:name w:val="Default Char"/>
    <w:link w:val="Default"/>
    <w:rsid w:val="00BF670E"/>
    <w:rPr>
      <w:rFonts w:ascii="Verdana" w:hAnsi="Verdana" w:cs="Verdana"/>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094">
      <w:bodyDiv w:val="1"/>
      <w:marLeft w:val="0"/>
      <w:marRight w:val="0"/>
      <w:marTop w:val="0"/>
      <w:marBottom w:val="0"/>
      <w:divBdr>
        <w:top w:val="none" w:sz="0" w:space="0" w:color="auto"/>
        <w:left w:val="none" w:sz="0" w:space="0" w:color="auto"/>
        <w:bottom w:val="none" w:sz="0" w:space="0" w:color="auto"/>
        <w:right w:val="none" w:sz="0" w:space="0" w:color="auto"/>
      </w:divBdr>
    </w:div>
    <w:div w:id="97717780">
      <w:bodyDiv w:val="1"/>
      <w:marLeft w:val="0"/>
      <w:marRight w:val="0"/>
      <w:marTop w:val="0"/>
      <w:marBottom w:val="0"/>
      <w:divBdr>
        <w:top w:val="none" w:sz="0" w:space="0" w:color="auto"/>
        <w:left w:val="none" w:sz="0" w:space="0" w:color="auto"/>
        <w:bottom w:val="none" w:sz="0" w:space="0" w:color="auto"/>
        <w:right w:val="none" w:sz="0" w:space="0" w:color="auto"/>
      </w:divBdr>
    </w:div>
    <w:div w:id="238953270">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695540640">
      <w:bodyDiv w:val="1"/>
      <w:marLeft w:val="0"/>
      <w:marRight w:val="0"/>
      <w:marTop w:val="0"/>
      <w:marBottom w:val="0"/>
      <w:divBdr>
        <w:top w:val="none" w:sz="0" w:space="0" w:color="auto"/>
        <w:left w:val="none" w:sz="0" w:space="0" w:color="auto"/>
        <w:bottom w:val="none" w:sz="0" w:space="0" w:color="auto"/>
        <w:right w:val="none" w:sz="0" w:space="0" w:color="auto"/>
      </w:divBdr>
    </w:div>
    <w:div w:id="783425720">
      <w:bodyDiv w:val="1"/>
      <w:marLeft w:val="0"/>
      <w:marRight w:val="0"/>
      <w:marTop w:val="0"/>
      <w:marBottom w:val="0"/>
      <w:divBdr>
        <w:top w:val="none" w:sz="0" w:space="0" w:color="auto"/>
        <w:left w:val="none" w:sz="0" w:space="0" w:color="auto"/>
        <w:bottom w:val="none" w:sz="0" w:space="0" w:color="auto"/>
        <w:right w:val="none" w:sz="0" w:space="0" w:color="auto"/>
      </w:divBdr>
    </w:div>
    <w:div w:id="900091640">
      <w:bodyDiv w:val="1"/>
      <w:marLeft w:val="0"/>
      <w:marRight w:val="0"/>
      <w:marTop w:val="0"/>
      <w:marBottom w:val="0"/>
      <w:divBdr>
        <w:top w:val="none" w:sz="0" w:space="0" w:color="auto"/>
        <w:left w:val="none" w:sz="0" w:space="0" w:color="auto"/>
        <w:bottom w:val="none" w:sz="0" w:space="0" w:color="auto"/>
        <w:right w:val="none" w:sz="0" w:space="0" w:color="auto"/>
      </w:divBdr>
    </w:div>
    <w:div w:id="1163164615">
      <w:bodyDiv w:val="1"/>
      <w:marLeft w:val="0"/>
      <w:marRight w:val="0"/>
      <w:marTop w:val="0"/>
      <w:marBottom w:val="0"/>
      <w:divBdr>
        <w:top w:val="none" w:sz="0" w:space="0" w:color="auto"/>
        <w:left w:val="none" w:sz="0" w:space="0" w:color="auto"/>
        <w:bottom w:val="none" w:sz="0" w:space="0" w:color="auto"/>
        <w:right w:val="none" w:sz="0" w:space="0" w:color="auto"/>
      </w:divBdr>
    </w:div>
    <w:div w:id="1177158757">
      <w:bodyDiv w:val="1"/>
      <w:marLeft w:val="0"/>
      <w:marRight w:val="0"/>
      <w:marTop w:val="0"/>
      <w:marBottom w:val="0"/>
      <w:divBdr>
        <w:top w:val="none" w:sz="0" w:space="0" w:color="auto"/>
        <w:left w:val="none" w:sz="0" w:space="0" w:color="auto"/>
        <w:bottom w:val="none" w:sz="0" w:space="0" w:color="auto"/>
        <w:right w:val="none" w:sz="0" w:space="0" w:color="auto"/>
      </w:divBdr>
    </w:div>
    <w:div w:id="1347320389">
      <w:bodyDiv w:val="1"/>
      <w:marLeft w:val="0"/>
      <w:marRight w:val="0"/>
      <w:marTop w:val="0"/>
      <w:marBottom w:val="0"/>
      <w:divBdr>
        <w:top w:val="none" w:sz="0" w:space="0" w:color="auto"/>
        <w:left w:val="none" w:sz="0" w:space="0" w:color="auto"/>
        <w:bottom w:val="none" w:sz="0" w:space="0" w:color="auto"/>
        <w:right w:val="none" w:sz="0" w:space="0" w:color="auto"/>
      </w:divBdr>
    </w:div>
    <w:div w:id="1520315247">
      <w:bodyDiv w:val="1"/>
      <w:marLeft w:val="0"/>
      <w:marRight w:val="0"/>
      <w:marTop w:val="0"/>
      <w:marBottom w:val="0"/>
      <w:divBdr>
        <w:top w:val="none" w:sz="0" w:space="0" w:color="auto"/>
        <w:left w:val="none" w:sz="0" w:space="0" w:color="auto"/>
        <w:bottom w:val="none" w:sz="0" w:space="0" w:color="auto"/>
        <w:right w:val="none" w:sz="0" w:space="0" w:color="auto"/>
      </w:divBdr>
    </w:div>
    <w:div w:id="1532067728">
      <w:bodyDiv w:val="1"/>
      <w:marLeft w:val="0"/>
      <w:marRight w:val="0"/>
      <w:marTop w:val="0"/>
      <w:marBottom w:val="0"/>
      <w:divBdr>
        <w:top w:val="none" w:sz="0" w:space="0" w:color="auto"/>
        <w:left w:val="none" w:sz="0" w:space="0" w:color="auto"/>
        <w:bottom w:val="none" w:sz="0" w:space="0" w:color="auto"/>
        <w:right w:val="none" w:sz="0" w:space="0" w:color="auto"/>
      </w:divBdr>
    </w:div>
    <w:div w:id="1725448265">
      <w:bodyDiv w:val="1"/>
      <w:marLeft w:val="0"/>
      <w:marRight w:val="0"/>
      <w:marTop w:val="0"/>
      <w:marBottom w:val="0"/>
      <w:divBdr>
        <w:top w:val="none" w:sz="0" w:space="0" w:color="auto"/>
        <w:left w:val="none" w:sz="0" w:space="0" w:color="auto"/>
        <w:bottom w:val="none" w:sz="0" w:space="0" w:color="auto"/>
        <w:right w:val="none" w:sz="0" w:space="0" w:color="auto"/>
      </w:divBdr>
    </w:div>
    <w:div w:id="1890413399">
      <w:bodyDiv w:val="1"/>
      <w:marLeft w:val="0"/>
      <w:marRight w:val="0"/>
      <w:marTop w:val="0"/>
      <w:marBottom w:val="0"/>
      <w:divBdr>
        <w:top w:val="none" w:sz="0" w:space="0" w:color="auto"/>
        <w:left w:val="none" w:sz="0" w:space="0" w:color="auto"/>
        <w:bottom w:val="none" w:sz="0" w:space="0" w:color="auto"/>
        <w:right w:val="none" w:sz="0" w:space="0" w:color="auto"/>
      </w:divBdr>
    </w:div>
    <w:div w:id="19266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asuntos/munarriz_escobar_24_04_18.pdf" TargetMode="External"/><Relationship Id="rId1" Type="http://schemas.openxmlformats.org/officeDocument/2006/relationships/hyperlink" Target="http://www.corteidh.or.cr/docs/asuntos/munarriz_fv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5569-E12B-4205-A925-427BDAB8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19232</Words>
  <Characters>109626</Characters>
  <Application>Microsoft Office Word</Application>
  <DocSecurity>4</DocSecurity>
  <Lines>913</Lines>
  <Paragraphs>257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2018-10-01T21:11:00Z</cp:lastPrinted>
  <dcterms:created xsi:type="dcterms:W3CDTF">2018-10-01T21:11:00Z</dcterms:created>
  <dcterms:modified xsi:type="dcterms:W3CDTF">2018-10-01T21:11:00Z</dcterms:modified>
</cp:coreProperties>
</file>