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BC3" w:rsidRDefault="00595BC3" w:rsidP="00126E97">
      <w:pPr>
        <w:spacing w:after="0" w:line="20" w:lineRule="atLeast"/>
        <w:jc w:val="both"/>
        <w:rPr>
          <w:rFonts w:ascii="Verdana" w:eastAsia="Batang" w:hAnsi="Verdana" w:cs="Times"/>
          <w:sz w:val="20"/>
          <w:szCs w:val="24"/>
          <w:lang w:val="en-US" w:eastAsia="es-CR"/>
        </w:rPr>
      </w:pPr>
    </w:p>
    <w:p w:rsidR="007877C0" w:rsidRDefault="007877C0" w:rsidP="00126E97">
      <w:pPr>
        <w:spacing w:after="0" w:line="20" w:lineRule="atLeast"/>
        <w:jc w:val="both"/>
        <w:rPr>
          <w:rFonts w:ascii="Verdana" w:eastAsia="Batang" w:hAnsi="Verdana" w:cs="Times"/>
          <w:sz w:val="20"/>
          <w:szCs w:val="24"/>
          <w:lang w:val="en-US" w:eastAsia="es-CR"/>
        </w:rPr>
      </w:pPr>
    </w:p>
    <w:p w:rsidR="007877C0" w:rsidRDefault="007877C0" w:rsidP="00126E97">
      <w:pPr>
        <w:spacing w:after="0" w:line="20" w:lineRule="atLeast"/>
        <w:jc w:val="both"/>
        <w:rPr>
          <w:rFonts w:ascii="Verdana" w:eastAsia="Batang" w:hAnsi="Verdana" w:cs="Times"/>
          <w:sz w:val="20"/>
          <w:szCs w:val="24"/>
          <w:lang w:val="en-US" w:eastAsia="es-CR"/>
        </w:rPr>
      </w:pPr>
    </w:p>
    <w:p w:rsidR="007877C0" w:rsidRDefault="007877C0" w:rsidP="00126E97">
      <w:pPr>
        <w:spacing w:after="0" w:line="20" w:lineRule="atLeast"/>
        <w:jc w:val="both"/>
        <w:rPr>
          <w:rFonts w:ascii="Verdana" w:eastAsia="Batang" w:hAnsi="Verdana" w:cs="Times"/>
          <w:sz w:val="20"/>
          <w:szCs w:val="24"/>
          <w:lang w:val="en-US" w:eastAsia="es-CR"/>
        </w:rPr>
      </w:pPr>
    </w:p>
    <w:p w:rsidR="007877C0" w:rsidRDefault="007877C0" w:rsidP="00126E97">
      <w:pPr>
        <w:spacing w:after="0" w:line="20" w:lineRule="atLeast"/>
        <w:jc w:val="both"/>
        <w:rPr>
          <w:rFonts w:ascii="Verdana" w:eastAsia="Batang" w:hAnsi="Verdana" w:cs="Times"/>
          <w:sz w:val="20"/>
          <w:szCs w:val="24"/>
          <w:lang w:val="en-US" w:eastAsia="es-CR"/>
        </w:rPr>
      </w:pPr>
    </w:p>
    <w:p w:rsidR="009F3810" w:rsidRDefault="009F3810" w:rsidP="00126E97">
      <w:pPr>
        <w:spacing w:after="0" w:line="20" w:lineRule="atLeast"/>
        <w:jc w:val="both"/>
        <w:rPr>
          <w:rFonts w:ascii="Verdana" w:eastAsia="Batang" w:hAnsi="Verdana" w:cs="Times"/>
          <w:sz w:val="20"/>
          <w:szCs w:val="24"/>
          <w:lang w:val="en-US" w:eastAsia="es-CR"/>
        </w:rPr>
      </w:pPr>
    </w:p>
    <w:p w:rsidR="00595BC3" w:rsidRPr="00595BC3" w:rsidRDefault="00595BC3" w:rsidP="00126E97">
      <w:pPr>
        <w:spacing w:after="0" w:line="20" w:lineRule="atLeast"/>
        <w:jc w:val="both"/>
        <w:rPr>
          <w:rFonts w:ascii="Verdana" w:eastAsia="Batang" w:hAnsi="Verdana" w:cs="Times"/>
          <w:sz w:val="20"/>
          <w:szCs w:val="24"/>
          <w:lang w:val="en-US" w:eastAsia="es-CR"/>
        </w:rPr>
      </w:pPr>
    </w:p>
    <w:p w:rsidR="00595BC3" w:rsidRPr="00873FEC" w:rsidRDefault="00595BC3" w:rsidP="00126E97">
      <w:pPr>
        <w:spacing w:after="0" w:line="20" w:lineRule="atLeast"/>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CORTE INTERAMERICANA DE DERECHOS HUMANOS</w:t>
      </w:r>
    </w:p>
    <w:p w:rsidR="00595BC3" w:rsidRPr="00873FEC" w:rsidRDefault="00595BC3" w:rsidP="00126E97">
      <w:pPr>
        <w:spacing w:after="0" w:line="20" w:lineRule="atLeast"/>
        <w:jc w:val="center"/>
        <w:rPr>
          <w:rFonts w:ascii="Verdana" w:eastAsia="MS Mincho" w:hAnsi="Verdana" w:cs="Times New Roman"/>
          <w:b/>
          <w:sz w:val="20"/>
          <w:szCs w:val="20"/>
          <w:lang w:val="es-CR" w:eastAsia="es-CR"/>
        </w:rPr>
      </w:pPr>
    </w:p>
    <w:p w:rsidR="00595BC3" w:rsidRPr="00873FEC" w:rsidRDefault="00595BC3" w:rsidP="00126E97">
      <w:pPr>
        <w:spacing w:after="0" w:line="20" w:lineRule="atLeast"/>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CASO COC MAX Y OTROS (MASACRE DE XAMÁN) VS. GUATEMALA</w:t>
      </w:r>
    </w:p>
    <w:p w:rsidR="00595BC3" w:rsidRPr="00873FEC" w:rsidRDefault="00595BC3" w:rsidP="00126E97">
      <w:pPr>
        <w:spacing w:after="0" w:line="20" w:lineRule="atLeast"/>
        <w:jc w:val="center"/>
        <w:rPr>
          <w:rFonts w:ascii="Verdana" w:eastAsia="MS Mincho" w:hAnsi="Verdana" w:cs="Times New Roman"/>
          <w:b/>
          <w:sz w:val="20"/>
          <w:szCs w:val="20"/>
          <w:lang w:val="es-CR" w:eastAsia="es-CR"/>
        </w:rPr>
      </w:pPr>
    </w:p>
    <w:p w:rsidR="00595BC3" w:rsidRPr="00873FEC" w:rsidRDefault="00595BC3" w:rsidP="00126E97">
      <w:pPr>
        <w:spacing w:after="0" w:line="20" w:lineRule="atLeast"/>
        <w:jc w:val="center"/>
        <w:rPr>
          <w:rFonts w:ascii="Verdana" w:eastAsia="MS Mincho" w:hAnsi="Verdana" w:cs="Times New Roman"/>
          <w:b/>
          <w:sz w:val="20"/>
          <w:szCs w:val="20"/>
          <w:lang w:val="es-CR" w:eastAsia="es-CR"/>
        </w:rPr>
      </w:pPr>
      <w:r w:rsidRPr="00873FEC">
        <w:rPr>
          <w:rFonts w:ascii="Verdana" w:eastAsia="MS Mincho" w:hAnsi="Verdana" w:cs="Times New Roman"/>
          <w:b/>
          <w:sz w:val="20"/>
          <w:szCs w:val="20"/>
          <w:lang w:val="es-CR" w:eastAsia="es-CR"/>
        </w:rPr>
        <w:t>SENTENCIA DE 22 DE AGOSTO DE 2018</w:t>
      </w:r>
    </w:p>
    <w:p w:rsidR="00595BC3" w:rsidRPr="00873FEC" w:rsidRDefault="00595BC3" w:rsidP="00126E97">
      <w:pPr>
        <w:spacing w:after="0" w:line="20" w:lineRule="atLeast"/>
        <w:jc w:val="center"/>
        <w:rPr>
          <w:rFonts w:ascii="Verdana" w:eastAsia="Batang" w:hAnsi="Verdana" w:cs="Times"/>
          <w:b/>
          <w:i/>
          <w:smallCaps/>
          <w:sz w:val="20"/>
          <w:szCs w:val="20"/>
          <w:lang w:val="es-CR" w:eastAsia="es-CR"/>
        </w:rPr>
      </w:pPr>
      <w:r w:rsidRPr="00873FEC">
        <w:rPr>
          <w:rFonts w:ascii="Verdana" w:eastAsia="MS Mincho" w:hAnsi="Verdana" w:cs="Times New Roman"/>
          <w:b/>
          <w:i/>
          <w:sz w:val="20"/>
          <w:szCs w:val="20"/>
          <w:lang w:val="es-CR" w:eastAsia="es-CR"/>
        </w:rPr>
        <w:t>(Fondo, Reparaciones y Costas)</w:t>
      </w:r>
    </w:p>
    <w:p w:rsidR="00595BC3" w:rsidRPr="00873FEC" w:rsidRDefault="00595BC3" w:rsidP="00126E97">
      <w:pPr>
        <w:spacing w:after="0" w:line="20" w:lineRule="atLeast"/>
        <w:ind w:right="-4"/>
        <w:jc w:val="center"/>
        <w:rPr>
          <w:rFonts w:ascii="Verdana" w:eastAsia="Batang" w:hAnsi="Verdana" w:cs="Verdana Bold"/>
          <w:b/>
          <w:i/>
          <w:caps/>
          <w:sz w:val="20"/>
          <w:szCs w:val="20"/>
          <w:lang w:val="es-CR" w:eastAsia="es-CR"/>
        </w:rPr>
      </w:pPr>
      <w:r w:rsidRPr="00873FEC">
        <w:rPr>
          <w:rFonts w:ascii="Verdana" w:eastAsia="Batang" w:hAnsi="Verdana" w:cs="Verdana Bold"/>
          <w:b/>
          <w:i/>
          <w:caps/>
          <w:sz w:val="20"/>
          <w:szCs w:val="20"/>
          <w:lang w:val="es-CR" w:eastAsia="es-CR"/>
        </w:rPr>
        <w:t xml:space="preserve"> </w:t>
      </w:r>
    </w:p>
    <w:p w:rsidR="00595BC3" w:rsidRPr="00873FEC" w:rsidRDefault="00595BC3" w:rsidP="00126E97">
      <w:pPr>
        <w:spacing w:after="0" w:line="20" w:lineRule="atLeast"/>
        <w:ind w:left="-142" w:right="-4"/>
        <w:jc w:val="both"/>
        <w:rPr>
          <w:rFonts w:ascii="Verdana" w:eastAsia="Batang" w:hAnsi="Verdana" w:cs="Times"/>
          <w:sz w:val="20"/>
          <w:szCs w:val="20"/>
          <w:lang w:val="es-CR" w:eastAsia="es-CR"/>
        </w:rPr>
      </w:pPr>
    </w:p>
    <w:p w:rsidR="00595BC3" w:rsidRPr="00873FEC" w:rsidRDefault="00595BC3" w:rsidP="00126E97">
      <w:pPr>
        <w:spacing w:after="0" w:line="20" w:lineRule="atLeast"/>
        <w:ind w:left="-142" w:right="-4"/>
        <w:jc w:val="both"/>
        <w:rPr>
          <w:rFonts w:ascii="Verdana" w:eastAsia="Batang" w:hAnsi="Verdana" w:cs="Times"/>
          <w:sz w:val="20"/>
          <w:szCs w:val="20"/>
          <w:lang w:val="es-CR" w:eastAsia="es-CR"/>
        </w:rPr>
      </w:pPr>
    </w:p>
    <w:p w:rsidR="00595BC3" w:rsidRPr="00873FEC" w:rsidRDefault="00595BC3" w:rsidP="00126E97">
      <w:pPr>
        <w:spacing w:after="0" w:line="20" w:lineRule="atLeast"/>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En el caso </w:t>
      </w:r>
      <w:proofErr w:type="spellStart"/>
      <w:r w:rsidRPr="00873FEC">
        <w:rPr>
          <w:rFonts w:ascii="Verdana" w:eastAsia="Batang" w:hAnsi="Verdana" w:cs="Times"/>
          <w:i/>
          <w:sz w:val="20"/>
          <w:szCs w:val="20"/>
          <w:lang w:val="es-CR" w:eastAsia="es-CR"/>
        </w:rPr>
        <w:t>Coc</w:t>
      </w:r>
      <w:proofErr w:type="spellEnd"/>
      <w:r w:rsidRPr="00873FEC">
        <w:rPr>
          <w:rFonts w:ascii="Verdana" w:eastAsia="Batang" w:hAnsi="Verdana" w:cs="Times"/>
          <w:i/>
          <w:sz w:val="20"/>
          <w:szCs w:val="20"/>
          <w:lang w:val="es-CR" w:eastAsia="es-CR"/>
        </w:rPr>
        <w:t xml:space="preserve"> Max y otros (Masacre de </w:t>
      </w:r>
      <w:proofErr w:type="spellStart"/>
      <w:r w:rsidRPr="00873FEC">
        <w:rPr>
          <w:rFonts w:ascii="Verdana" w:eastAsia="Batang" w:hAnsi="Verdana" w:cs="Times"/>
          <w:i/>
          <w:sz w:val="20"/>
          <w:szCs w:val="20"/>
          <w:lang w:val="es-CR" w:eastAsia="es-CR"/>
        </w:rPr>
        <w:t>Xamán</w:t>
      </w:r>
      <w:proofErr w:type="spellEnd"/>
      <w:r w:rsidRPr="00873FEC">
        <w:rPr>
          <w:rFonts w:ascii="Verdana" w:eastAsia="Batang" w:hAnsi="Verdana" w:cs="Times"/>
          <w:i/>
          <w:sz w:val="20"/>
          <w:szCs w:val="20"/>
          <w:lang w:val="es-CR" w:eastAsia="es-CR"/>
        </w:rPr>
        <w:t>) vs. Guatemala,</w:t>
      </w:r>
    </w:p>
    <w:p w:rsidR="00595BC3" w:rsidRPr="00873FEC" w:rsidRDefault="00595BC3" w:rsidP="00126E97">
      <w:pPr>
        <w:spacing w:after="0" w:line="20" w:lineRule="atLeast"/>
        <w:ind w:left="-142" w:right="-138"/>
        <w:jc w:val="both"/>
        <w:rPr>
          <w:rFonts w:ascii="Verdana" w:eastAsia="Batang" w:hAnsi="Verdana" w:cs="Times"/>
          <w:sz w:val="20"/>
          <w:szCs w:val="20"/>
          <w:lang w:val="es-CR" w:eastAsia="es-CR"/>
        </w:rPr>
      </w:pPr>
    </w:p>
    <w:p w:rsidR="009F3810" w:rsidRPr="00873FEC" w:rsidRDefault="009F3810" w:rsidP="00126E97">
      <w:pPr>
        <w:spacing w:after="0" w:line="20" w:lineRule="atLeast"/>
        <w:ind w:left="-142" w:right="-138"/>
        <w:jc w:val="both"/>
        <w:rPr>
          <w:rFonts w:ascii="Verdana" w:eastAsia="Batang" w:hAnsi="Verdana" w:cs="Times"/>
          <w:sz w:val="20"/>
          <w:szCs w:val="20"/>
          <w:lang w:val="es-CR" w:eastAsia="es-CR"/>
        </w:rPr>
      </w:pP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roofErr w:type="gramStart"/>
      <w:r w:rsidRPr="00873FEC">
        <w:rPr>
          <w:rFonts w:ascii="Verdana" w:eastAsia="Batang" w:hAnsi="Verdana" w:cs="Times"/>
          <w:sz w:val="20"/>
          <w:szCs w:val="20"/>
          <w:lang w:val="es-CR" w:eastAsia="es-CR"/>
        </w:rPr>
        <w:t>la</w:t>
      </w:r>
      <w:proofErr w:type="gramEnd"/>
      <w:r w:rsidRPr="00873FEC">
        <w:rPr>
          <w:rFonts w:ascii="Verdana" w:eastAsia="Batang" w:hAnsi="Verdana" w:cs="Times"/>
          <w:sz w:val="20"/>
          <w:szCs w:val="20"/>
          <w:lang w:val="es-CR" w:eastAsia="es-CR"/>
        </w:rPr>
        <w:t xml:space="preserve"> Corte Interamericana de Derechos Humanos (en adelante</w:t>
      </w:r>
      <w:r w:rsidR="005D3A78" w:rsidRPr="00873FEC">
        <w:rPr>
          <w:rFonts w:ascii="Verdana" w:eastAsia="Batang" w:hAnsi="Verdana" w:cs="Times"/>
          <w:sz w:val="20"/>
          <w:szCs w:val="20"/>
          <w:lang w:val="es-CR" w:eastAsia="es-CR"/>
        </w:rPr>
        <w:t xml:space="preserve"> también</w:t>
      </w:r>
      <w:r w:rsidRPr="00873FEC">
        <w:rPr>
          <w:rFonts w:ascii="Verdana" w:eastAsia="Batang" w:hAnsi="Verdana" w:cs="Times"/>
          <w:sz w:val="20"/>
          <w:szCs w:val="20"/>
          <w:lang w:val="es-CR" w:eastAsia="es-CR"/>
        </w:rPr>
        <w:t xml:space="preserve"> “la Corte Interamericana”, “la Corte” o “el Tribunal”), integrada por los siguientes Jueces</w:t>
      </w:r>
      <w:r w:rsidRPr="00873FEC">
        <w:rPr>
          <w:rFonts w:ascii="Verdana" w:eastAsia="Batang" w:hAnsi="Verdana" w:cs="Times New Roman"/>
          <w:sz w:val="20"/>
          <w:szCs w:val="20"/>
          <w:vertAlign w:val="superscript"/>
          <w:lang w:val="es-CR" w:eastAsia="x-none"/>
        </w:rPr>
        <w:footnoteReference w:customMarkFollows="1" w:id="1"/>
        <w:t>*</w:t>
      </w:r>
      <w:r w:rsidRPr="00873FEC">
        <w:rPr>
          <w:rFonts w:ascii="Verdana" w:eastAsia="Batang" w:hAnsi="Verdana" w:cs="Times"/>
          <w:sz w:val="20"/>
          <w:szCs w:val="20"/>
          <w:lang w:val="es-CR" w:eastAsia="es-CR"/>
        </w:rPr>
        <w:t>:</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
    <w:p w:rsidR="00595BC3" w:rsidRPr="00873FEC" w:rsidRDefault="00595BC3" w:rsidP="00126E97">
      <w:pPr>
        <w:spacing w:after="0" w:line="20" w:lineRule="atLeast"/>
        <w:ind w:right="-138"/>
        <w:jc w:val="both"/>
        <w:rPr>
          <w:rFonts w:ascii="Verdana" w:eastAsia="Times New Roman" w:hAnsi="Verdana" w:cs="Times New Roman"/>
          <w:sz w:val="20"/>
          <w:szCs w:val="20"/>
          <w:lang w:val="pt-BR" w:eastAsia="es-CR"/>
        </w:rPr>
      </w:pPr>
      <w:r w:rsidRPr="00873FEC">
        <w:rPr>
          <w:rFonts w:ascii="Verdana" w:eastAsia="Times New Roman" w:hAnsi="Verdana" w:cs="Times New Roman"/>
          <w:sz w:val="20"/>
          <w:szCs w:val="20"/>
          <w:lang w:val="pt-BR" w:eastAsia="es-CR"/>
        </w:rPr>
        <w:t xml:space="preserve">Eduardo Ferrer Mac-Gregor Poisot, Presidente; </w:t>
      </w:r>
    </w:p>
    <w:p w:rsidR="00595BC3" w:rsidRPr="00873FEC" w:rsidRDefault="00595BC3" w:rsidP="00126E97">
      <w:pPr>
        <w:spacing w:after="0" w:line="20" w:lineRule="atLeast"/>
        <w:ind w:right="-138"/>
        <w:jc w:val="both"/>
        <w:rPr>
          <w:rFonts w:ascii="Verdana" w:eastAsia="Times New Roman" w:hAnsi="Verdana" w:cs="Times New Roman"/>
          <w:sz w:val="20"/>
          <w:szCs w:val="20"/>
          <w:lang w:val="es-CR" w:eastAsia="es-CR"/>
        </w:rPr>
      </w:pPr>
      <w:r w:rsidRPr="00873FEC">
        <w:rPr>
          <w:rFonts w:ascii="Verdana" w:eastAsia="Times New Roman" w:hAnsi="Verdana" w:cs="Times New Roman"/>
          <w:sz w:val="20"/>
          <w:szCs w:val="20"/>
          <w:lang w:val="es-CR" w:eastAsia="es-CR"/>
        </w:rPr>
        <w:t>Humberto Antonio Sierra Porto, Juez;</w:t>
      </w:r>
    </w:p>
    <w:p w:rsidR="00595BC3" w:rsidRPr="00873FEC" w:rsidRDefault="00595BC3" w:rsidP="00126E97">
      <w:pPr>
        <w:spacing w:after="0" w:line="20" w:lineRule="atLeast"/>
        <w:ind w:right="-138"/>
        <w:jc w:val="both"/>
        <w:rPr>
          <w:rFonts w:ascii="Verdana" w:eastAsia="Times New Roman" w:hAnsi="Verdana" w:cs="Times New Roman"/>
          <w:sz w:val="20"/>
          <w:szCs w:val="20"/>
          <w:lang w:val="es-CR" w:eastAsia="es-CR"/>
        </w:rPr>
      </w:pPr>
      <w:r w:rsidRPr="00873FEC">
        <w:rPr>
          <w:rFonts w:ascii="Verdana" w:eastAsia="Times New Roman" w:hAnsi="Verdana" w:cs="Times New Roman"/>
          <w:sz w:val="20"/>
          <w:szCs w:val="20"/>
          <w:lang w:val="es-CR" w:eastAsia="es-CR"/>
        </w:rPr>
        <w:t xml:space="preserve">Elizabeth Odio Benito, Jueza; </w:t>
      </w:r>
    </w:p>
    <w:p w:rsidR="00595BC3" w:rsidRPr="00873FEC" w:rsidRDefault="00595BC3" w:rsidP="00126E97">
      <w:pPr>
        <w:spacing w:after="0" w:line="20" w:lineRule="atLeast"/>
        <w:ind w:right="-138"/>
        <w:jc w:val="both"/>
        <w:rPr>
          <w:rFonts w:ascii="Verdana" w:eastAsia="Times New Roman" w:hAnsi="Verdana" w:cs="Times New Roman"/>
          <w:sz w:val="20"/>
          <w:szCs w:val="20"/>
          <w:lang w:val="es-CR" w:eastAsia="es-CR"/>
        </w:rPr>
      </w:pPr>
      <w:r w:rsidRPr="00873FEC">
        <w:rPr>
          <w:rFonts w:ascii="Verdana" w:eastAsia="Times New Roman" w:hAnsi="Verdana" w:cs="Times New Roman"/>
          <w:sz w:val="20"/>
          <w:szCs w:val="20"/>
          <w:lang w:val="es-CR" w:eastAsia="es-CR"/>
        </w:rPr>
        <w:t xml:space="preserve">Eugenio Raúl </w:t>
      </w:r>
      <w:proofErr w:type="spellStart"/>
      <w:r w:rsidRPr="00873FEC">
        <w:rPr>
          <w:rFonts w:ascii="Verdana" w:eastAsia="Times New Roman" w:hAnsi="Verdana" w:cs="Times New Roman"/>
          <w:sz w:val="20"/>
          <w:szCs w:val="20"/>
          <w:lang w:val="es-CR" w:eastAsia="es-CR"/>
        </w:rPr>
        <w:t>Zaffaroni</w:t>
      </w:r>
      <w:proofErr w:type="spellEnd"/>
      <w:r w:rsidRPr="00873FEC">
        <w:rPr>
          <w:rFonts w:ascii="Verdana" w:eastAsia="Times New Roman" w:hAnsi="Verdana" w:cs="Times New Roman"/>
          <w:sz w:val="20"/>
          <w:szCs w:val="20"/>
          <w:lang w:val="es-CR" w:eastAsia="es-CR"/>
        </w:rPr>
        <w:t xml:space="preserve">, Juez, y </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L. Patricio Pazmiño Freire, Juez; </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roofErr w:type="gramStart"/>
      <w:r w:rsidRPr="00873FEC">
        <w:rPr>
          <w:rFonts w:ascii="Verdana" w:eastAsia="Batang" w:hAnsi="Verdana" w:cs="Times"/>
          <w:sz w:val="20"/>
          <w:szCs w:val="20"/>
          <w:lang w:val="es-CR" w:eastAsia="es-CR"/>
        </w:rPr>
        <w:t>presentes</w:t>
      </w:r>
      <w:proofErr w:type="gramEnd"/>
      <w:r w:rsidRPr="00873FEC">
        <w:rPr>
          <w:rFonts w:ascii="Verdana" w:eastAsia="Batang" w:hAnsi="Verdana" w:cs="Times"/>
          <w:sz w:val="20"/>
          <w:szCs w:val="20"/>
          <w:lang w:val="es-CR" w:eastAsia="es-CR"/>
        </w:rPr>
        <w:t>, además,</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
    <w:p w:rsidR="00595BC3" w:rsidRPr="00873FEC" w:rsidRDefault="00595BC3" w:rsidP="00126E97">
      <w:pPr>
        <w:spacing w:after="0" w:line="20" w:lineRule="atLeast"/>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Pablo Saavedra Alessandri, Secretario, y</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Emilia Segares Rodríguez, Secretaria Adjunta,</w:t>
      </w:r>
    </w:p>
    <w:p w:rsidR="00595BC3" w:rsidRPr="00873FEC" w:rsidRDefault="00595BC3" w:rsidP="00126E97">
      <w:pPr>
        <w:spacing w:after="0" w:line="20" w:lineRule="atLeast"/>
        <w:ind w:right="-138"/>
        <w:jc w:val="both"/>
        <w:rPr>
          <w:rFonts w:ascii="Verdana" w:eastAsia="Batang" w:hAnsi="Verdana" w:cs="Times"/>
          <w:sz w:val="20"/>
          <w:szCs w:val="20"/>
          <w:lang w:val="es-CR" w:eastAsia="es-CR"/>
        </w:rPr>
      </w:pPr>
    </w:p>
    <w:p w:rsidR="009F3810" w:rsidRPr="00873FEC" w:rsidRDefault="009F3810" w:rsidP="00126E97">
      <w:pPr>
        <w:spacing w:after="0" w:line="20" w:lineRule="atLeast"/>
        <w:ind w:right="-138"/>
        <w:jc w:val="both"/>
        <w:rPr>
          <w:rFonts w:ascii="Verdana" w:eastAsia="Batang" w:hAnsi="Verdana" w:cs="Times"/>
          <w:sz w:val="20"/>
          <w:szCs w:val="20"/>
          <w:lang w:val="es-CR" w:eastAsia="es-CR"/>
        </w:rPr>
      </w:pPr>
    </w:p>
    <w:p w:rsidR="00E221AF" w:rsidRPr="00873FEC" w:rsidRDefault="00595BC3" w:rsidP="00126E97">
      <w:pPr>
        <w:spacing w:after="0" w:line="20" w:lineRule="atLeast"/>
        <w:jc w:val="both"/>
        <w:rPr>
          <w:rFonts w:ascii="Verdana" w:eastAsia="Batang" w:hAnsi="Verdana" w:cs="Times"/>
          <w:sz w:val="20"/>
          <w:szCs w:val="20"/>
          <w:lang w:val="es-CR" w:eastAsia="es-CR"/>
        </w:rPr>
      </w:pPr>
      <w:proofErr w:type="gramStart"/>
      <w:r w:rsidRPr="00873FEC">
        <w:rPr>
          <w:rFonts w:ascii="Verdana" w:eastAsia="Batang" w:hAnsi="Verdana" w:cs="Times"/>
          <w:sz w:val="20"/>
          <w:szCs w:val="20"/>
          <w:lang w:val="es-CR" w:eastAsia="es-CR"/>
        </w:rPr>
        <w:t>de</w:t>
      </w:r>
      <w:proofErr w:type="gramEnd"/>
      <w:r w:rsidRPr="00873FEC">
        <w:rPr>
          <w:rFonts w:ascii="Verdana" w:eastAsia="Batang" w:hAnsi="Verdana" w:cs="Times"/>
          <w:sz w:val="20"/>
          <w:szCs w:val="20"/>
          <w:lang w:val="es-CR" w:eastAsia="es-CR"/>
        </w:rPr>
        <w:t xml:space="preserve"> conformidad con los artículos 62.3 y 63.1 de la Convención Americana sobre Derechos Humanos</w:t>
      </w:r>
      <w:r w:rsidR="005D3A78" w:rsidRPr="00873FEC">
        <w:rPr>
          <w:rFonts w:ascii="Verdana" w:eastAsia="Batang" w:hAnsi="Verdana" w:cs="Times"/>
          <w:sz w:val="20"/>
          <w:szCs w:val="20"/>
          <w:lang w:val="es-CR" w:eastAsia="es-CR"/>
        </w:rPr>
        <w:t xml:space="preserve"> (en adelante también </w:t>
      </w:r>
      <w:r w:rsidRPr="00873FEC">
        <w:rPr>
          <w:rFonts w:ascii="Verdana" w:eastAsia="Batang" w:hAnsi="Verdana" w:cs="Times"/>
          <w:sz w:val="20"/>
          <w:szCs w:val="20"/>
          <w:lang w:val="es-CR" w:eastAsia="es-CR"/>
        </w:rPr>
        <w:t>“Convención Americana” o “Convención”) y con los artículos 31, 32, 65 y 67 del Reglamento de la Corte (en adelante “el Reglamento”), dicta la presente Sentencia que se estructura en el siguiente orden:</w:t>
      </w:r>
    </w:p>
    <w:p w:rsidR="006166D8" w:rsidRPr="00873FEC" w:rsidRDefault="006166D8" w:rsidP="00126E97">
      <w:pPr>
        <w:spacing w:after="0" w:line="20" w:lineRule="atLeast"/>
        <w:rPr>
          <w:lang w:val="es-CR"/>
        </w:rPr>
      </w:pPr>
    </w:p>
    <w:p w:rsidR="00595BC3" w:rsidRPr="00873FEC" w:rsidRDefault="00595BC3" w:rsidP="00126E97">
      <w:pPr>
        <w:spacing w:after="0" w:line="20" w:lineRule="atLeast"/>
        <w:rPr>
          <w:lang w:val="es-CR"/>
        </w:rPr>
      </w:pPr>
      <w:r w:rsidRPr="00873FEC">
        <w:rPr>
          <w:lang w:val="es-CR"/>
        </w:rPr>
        <w:br w:type="page"/>
      </w:r>
    </w:p>
    <w:p w:rsidR="00595BC3" w:rsidRPr="00873FEC" w:rsidRDefault="00595BC3" w:rsidP="00126E97">
      <w:pPr>
        <w:tabs>
          <w:tab w:val="right" w:pos="9214"/>
        </w:tabs>
        <w:spacing w:after="0" w:line="20" w:lineRule="atLeast"/>
        <w:ind w:right="-283"/>
        <w:jc w:val="center"/>
        <w:rPr>
          <w:rFonts w:ascii="Verdana" w:eastAsia="Batang" w:hAnsi="Verdana" w:cs="Times"/>
          <w:b/>
          <w:sz w:val="20"/>
          <w:szCs w:val="24"/>
          <w:lang w:val="es-CR" w:eastAsia="es-CR"/>
        </w:rPr>
      </w:pPr>
      <w:r w:rsidRPr="00873FEC">
        <w:rPr>
          <w:rFonts w:ascii="Verdana" w:eastAsia="Batang" w:hAnsi="Verdana" w:cs="Times"/>
          <w:b/>
          <w:sz w:val="20"/>
          <w:szCs w:val="24"/>
          <w:lang w:val="es-CR" w:eastAsia="es-CR"/>
        </w:rPr>
        <w:lastRenderedPageBreak/>
        <w:t>TABLA DE CONTENIDO</w:t>
      </w:r>
    </w:p>
    <w:p w:rsidR="00595BC3" w:rsidRPr="00873FEC" w:rsidRDefault="00595BC3" w:rsidP="00126E97">
      <w:pPr>
        <w:tabs>
          <w:tab w:val="right" w:pos="9214"/>
        </w:tabs>
        <w:spacing w:after="0" w:line="20" w:lineRule="atLeast"/>
        <w:ind w:right="-283"/>
        <w:jc w:val="both"/>
        <w:rPr>
          <w:rFonts w:ascii="Verdana" w:eastAsia="Batang" w:hAnsi="Verdana" w:cs="Times"/>
          <w:b/>
          <w:sz w:val="20"/>
          <w:szCs w:val="20"/>
          <w:lang w:val="es-CR" w:eastAsia="es-CR"/>
        </w:rPr>
      </w:pPr>
    </w:p>
    <w:p w:rsidR="00873FEC" w:rsidRPr="000624C7" w:rsidRDefault="00595BC3"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r w:rsidRPr="000624C7">
        <w:rPr>
          <w:rFonts w:ascii="Verdana" w:eastAsia="Batang" w:hAnsi="Verdana" w:cs="Times"/>
          <w:b w:val="0"/>
          <w:lang w:val="es-CR" w:eastAsia="es-CR"/>
        </w:rPr>
        <w:fldChar w:fldCharType="begin"/>
      </w:r>
      <w:r w:rsidRPr="000624C7">
        <w:rPr>
          <w:rFonts w:ascii="Verdana" w:eastAsia="Batang" w:hAnsi="Verdana" w:cs="Times"/>
          <w:b w:val="0"/>
          <w:lang w:val="es-CR" w:eastAsia="es-CR"/>
        </w:rPr>
        <w:instrText xml:space="preserve"> TOC \o \h \z \u </w:instrText>
      </w:r>
      <w:r w:rsidRPr="000624C7">
        <w:rPr>
          <w:rFonts w:ascii="Verdana" w:eastAsia="Batang" w:hAnsi="Verdana" w:cs="Times"/>
          <w:b w:val="0"/>
          <w:lang w:val="es-CR" w:eastAsia="es-CR"/>
        </w:rPr>
        <w:fldChar w:fldCharType="separate"/>
      </w:r>
      <w:hyperlink w:anchor="_Toc525201143" w:history="1">
        <w:r w:rsidR="00873FEC" w:rsidRPr="000624C7">
          <w:rPr>
            <w:rStyle w:val="Hyperlink"/>
            <w:rFonts w:ascii="Verdana" w:eastAsia="Batang" w:hAnsi="Verdana" w:cs="Times"/>
            <w:noProof/>
            <w:color w:val="auto"/>
            <w:u w:val="none"/>
            <w:lang w:val="es-CR" w:eastAsia="es-CR"/>
          </w:rPr>
          <w:t>I INTRODUCCIÓN DE LA CAUSA Y OBJETO DE LA CONTROVERSIA</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_Toc525201143 \h </w:instrText>
        </w:r>
        <w:r w:rsidR="00873FEC" w:rsidRPr="000624C7">
          <w:rPr>
            <w:rFonts w:ascii="Verdana" w:hAnsi="Verdana"/>
            <w:noProof/>
            <w:webHidden/>
          </w:rPr>
        </w:r>
        <w:r w:rsidR="00873FEC" w:rsidRPr="000624C7">
          <w:rPr>
            <w:rFonts w:ascii="Verdana" w:hAnsi="Verdana"/>
            <w:noProof/>
            <w:webHidden/>
          </w:rPr>
          <w:fldChar w:fldCharType="separate"/>
        </w:r>
        <w:r w:rsidR="00B9342F">
          <w:rPr>
            <w:rFonts w:ascii="Verdana" w:hAnsi="Verdana"/>
            <w:noProof/>
            <w:webHidden/>
          </w:rPr>
          <w:t>4</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44" w:history="1">
        <w:r w:rsidR="00873FEC" w:rsidRPr="000624C7">
          <w:rPr>
            <w:rStyle w:val="Hyperlink"/>
            <w:rFonts w:ascii="Verdana" w:eastAsia="Times New Roman" w:hAnsi="Verdana" w:cs="Verdana"/>
            <w:noProof/>
            <w:color w:val="auto"/>
            <w:u w:val="none"/>
            <w:lang w:val="es-CR" w:eastAsia="es-CR"/>
          </w:rPr>
          <w:t>II PROCEDIMIENTO ANTE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_Toc525201144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5</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45" w:history="1">
        <w:r w:rsidR="00873FEC" w:rsidRPr="000624C7">
          <w:rPr>
            <w:rStyle w:val="Hyperlink"/>
            <w:rFonts w:ascii="Verdana" w:eastAsia="Calibri" w:hAnsi="Verdana" w:cs="Verdana"/>
            <w:noProof/>
            <w:color w:val="auto"/>
            <w:spacing w:val="-5"/>
            <w:u w:val="none"/>
            <w:lang w:val="es-CR" w:eastAsia="es-CR"/>
          </w:rPr>
          <w:t>III</w:t>
        </w:r>
      </w:hyperlink>
      <w:r w:rsidR="00873FEC" w:rsidRPr="000624C7">
        <w:rPr>
          <w:rStyle w:val="Hyperlink"/>
          <w:rFonts w:ascii="Verdana" w:hAnsi="Verdana"/>
          <w:noProof/>
          <w:color w:val="auto"/>
          <w:u w:val="none"/>
        </w:rPr>
        <w:t xml:space="preserve"> </w:t>
      </w:r>
      <w:hyperlink w:anchor="_Toc525201146" w:history="1">
        <w:r w:rsidR="00873FEC" w:rsidRPr="000624C7">
          <w:rPr>
            <w:rStyle w:val="Hyperlink"/>
            <w:rFonts w:ascii="Verdana" w:eastAsia="Times New Roman" w:hAnsi="Verdana" w:cs="Verdana"/>
            <w:noProof/>
            <w:color w:val="auto"/>
            <w:spacing w:val="-5"/>
            <w:u w:val="none"/>
            <w:lang w:val="es-CR" w:eastAsia="es-CR"/>
          </w:rPr>
          <w:t>COMPETENCIA</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_Toc525201146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7</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47" w:history="1">
        <w:r w:rsidR="00873FEC" w:rsidRPr="000624C7">
          <w:rPr>
            <w:rStyle w:val="Hyperlink"/>
            <w:rFonts w:ascii="Verdana" w:eastAsia="Calibri" w:hAnsi="Verdana" w:cs="Verdana"/>
            <w:noProof/>
            <w:color w:val="auto"/>
            <w:spacing w:val="-5"/>
            <w:u w:val="none"/>
            <w:lang w:val="es-CR" w:eastAsia="es-CR"/>
          </w:rPr>
          <w:t>IV</w:t>
        </w:r>
      </w:hyperlink>
      <w:r w:rsidR="000624C7" w:rsidRPr="000624C7">
        <w:rPr>
          <w:rStyle w:val="Hyperlink"/>
          <w:rFonts w:ascii="Verdana" w:hAnsi="Verdana"/>
          <w:noProof/>
          <w:color w:val="auto"/>
          <w:u w:val="none"/>
        </w:rPr>
        <w:t xml:space="preserve"> </w:t>
      </w:r>
      <w:hyperlink w:anchor="_Toc525201148" w:history="1">
        <w:r w:rsidR="00873FEC" w:rsidRPr="000624C7">
          <w:rPr>
            <w:rStyle w:val="Hyperlink"/>
            <w:rFonts w:ascii="Verdana" w:eastAsia="Times New Roman" w:hAnsi="Verdana" w:cs="Verdana"/>
            <w:noProof/>
            <w:color w:val="auto"/>
            <w:spacing w:val="-5"/>
            <w:u w:val="none"/>
            <w:lang w:val="es-CR" w:eastAsia="es-CR"/>
          </w:rPr>
          <w:t>CONSIDERACIÓN PREVIA SOBRE LA DETERMINACIÓN DE PRESUNTAS VÍCTIMAS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_Toc525201148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7</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49" w:history="1">
        <w:r w:rsidR="00873FEC" w:rsidRPr="000624C7">
          <w:rPr>
            <w:rStyle w:val="Hyperlink"/>
            <w:rFonts w:ascii="Verdana" w:eastAsia="Calibri" w:hAnsi="Verdana" w:cs="Times"/>
            <w:i/>
            <w:noProof/>
            <w:color w:val="auto"/>
            <w:u w:val="none"/>
            <w:lang w:val="es-CR" w:eastAsia="es-CR"/>
          </w:rPr>
          <w:t>A.Alegatos de la Comisión y de la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_Toc525201149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7</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50" w:history="1">
        <w:r w:rsidR="00873FEC" w:rsidRPr="000624C7">
          <w:rPr>
            <w:rStyle w:val="Hyperlink"/>
            <w:rFonts w:ascii="Verdana" w:eastAsia="Calibri" w:hAnsi="Verdana" w:cs="Times"/>
            <w:i/>
            <w:noProof/>
            <w:color w:val="auto"/>
            <w:u w:val="none"/>
            <w:lang w:val="es-CR" w:eastAsia="es-CR"/>
          </w:rPr>
          <w:t>B.Consideraciones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_Toc525201150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7</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51" w:history="1">
        <w:r w:rsidR="00873FEC" w:rsidRPr="000624C7">
          <w:rPr>
            <w:rStyle w:val="Hyperlink"/>
            <w:rFonts w:ascii="Verdana" w:eastAsia="Calibri" w:hAnsi="Verdana" w:cs="Times"/>
            <w:noProof/>
            <w:color w:val="auto"/>
            <w:u w:val="none"/>
            <w:lang w:eastAsia="es-CR"/>
          </w:rPr>
          <w:t>V</w:t>
        </w:r>
      </w:hyperlink>
      <w:r w:rsidR="00873FEC" w:rsidRPr="000624C7">
        <w:rPr>
          <w:rStyle w:val="Hyperlink"/>
          <w:rFonts w:ascii="Verdana" w:hAnsi="Verdana"/>
          <w:noProof/>
          <w:color w:val="auto"/>
          <w:u w:val="none"/>
        </w:rPr>
        <w:t xml:space="preserve"> </w:t>
      </w:r>
      <w:hyperlink w:anchor="_Toc525201152" w:history="1">
        <w:r w:rsidR="00873FEC" w:rsidRPr="000624C7">
          <w:rPr>
            <w:rStyle w:val="Hyperlink"/>
            <w:rFonts w:ascii="Verdana" w:eastAsia="Calibri" w:hAnsi="Verdana" w:cs="Times"/>
            <w:noProof/>
            <w:color w:val="auto"/>
            <w:u w:val="none"/>
            <w:lang w:eastAsia="es-CR"/>
          </w:rPr>
          <w:t>PRUEBA</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_Toc525201152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8</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53" w:history="1">
        <w:r w:rsidR="00873FEC" w:rsidRPr="000624C7">
          <w:rPr>
            <w:rStyle w:val="Hyperlink"/>
            <w:rFonts w:ascii="Verdana" w:eastAsia="Calibri" w:hAnsi="Verdana" w:cs="Times"/>
            <w:i/>
            <w:noProof/>
            <w:color w:val="auto"/>
            <w:u w:val="none"/>
            <w:lang w:eastAsia="es-CR"/>
          </w:rPr>
          <w:t>A.</w:t>
        </w:r>
        <w:r w:rsidR="000624C7" w:rsidRPr="000624C7">
          <w:rPr>
            <w:rFonts w:ascii="Verdana" w:eastAsiaTheme="minorEastAsia" w:hAnsi="Verdana"/>
            <w:smallCaps w:val="0"/>
            <w:noProof/>
            <w:lang w:val="es-CR" w:eastAsia="es-CR"/>
          </w:rPr>
          <w:t xml:space="preserve"> </w:t>
        </w:r>
        <w:r w:rsidR="00873FEC" w:rsidRPr="000624C7">
          <w:rPr>
            <w:rStyle w:val="Hyperlink"/>
            <w:rFonts w:ascii="Verdana" w:eastAsia="Calibri" w:hAnsi="Verdana" w:cs="Times"/>
            <w:i/>
            <w:noProof/>
            <w:color w:val="auto"/>
            <w:u w:val="none"/>
            <w:lang w:eastAsia="es-CR"/>
          </w:rPr>
          <w:t>Admisibilidad de la prueba documental</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_Toc525201153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8</w:t>
        </w:r>
        <w:r w:rsidR="00873FEC" w:rsidRPr="000624C7">
          <w:rPr>
            <w:rFonts w:ascii="Verdana" w:hAnsi="Verdana"/>
            <w:noProof/>
            <w:webHidden/>
          </w:rPr>
          <w:fldChar w:fldCharType="end"/>
        </w:r>
      </w:hyperlink>
    </w:p>
    <w:p w:rsidR="00873FEC" w:rsidRPr="000624C7" w:rsidRDefault="00B9342F" w:rsidP="00126E97">
      <w:pPr>
        <w:pStyle w:val="TOC2"/>
        <w:tabs>
          <w:tab w:val="right" w:leader="dot" w:pos="8828"/>
        </w:tabs>
        <w:spacing w:line="20" w:lineRule="atLeast"/>
        <w:jc w:val="both"/>
        <w:rPr>
          <w:rFonts w:ascii="Verdana" w:eastAsiaTheme="minorEastAsia" w:hAnsi="Verdana"/>
          <w:smallCaps w:val="0"/>
          <w:noProof/>
          <w:lang w:val="es-CR" w:eastAsia="es-CR"/>
        </w:rPr>
      </w:pPr>
      <w:hyperlink w:anchor="_Toc525201154" w:history="1">
        <w:r w:rsidR="00873FEC" w:rsidRPr="000624C7">
          <w:rPr>
            <w:rStyle w:val="Hyperlink"/>
            <w:rFonts w:ascii="Verdana" w:eastAsia="Calibri" w:hAnsi="Verdana" w:cs="Times"/>
            <w:i/>
            <w:noProof/>
            <w:color w:val="auto"/>
            <w:u w:val="none"/>
            <w:lang w:val="es-CR" w:eastAsia="es-CR"/>
          </w:rPr>
          <w:t>B. Admisibilidad de la prueba testimonial y pericial</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_Toc525201154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10</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55" w:history="1">
        <w:r w:rsidR="00873FEC" w:rsidRPr="000624C7">
          <w:rPr>
            <w:rStyle w:val="Hyperlink"/>
            <w:rFonts w:ascii="Verdana" w:eastAsia="Times New Roman" w:hAnsi="Verdana" w:cs="Verdana"/>
            <w:noProof/>
            <w:color w:val="auto"/>
            <w:u w:val="none"/>
            <w:lang w:val="es-CR" w:eastAsia="es-CR"/>
          </w:rPr>
          <w:t>VI</w:t>
        </w:r>
      </w:hyperlink>
      <w:r w:rsidR="000624C7" w:rsidRPr="000624C7">
        <w:rPr>
          <w:rStyle w:val="Hyperlink"/>
          <w:rFonts w:ascii="Verdana" w:hAnsi="Verdana"/>
          <w:noProof/>
          <w:color w:val="auto"/>
          <w:u w:val="none"/>
        </w:rPr>
        <w:t xml:space="preserve"> </w:t>
      </w:r>
      <w:hyperlink w:anchor="_Toc525201156" w:history="1">
        <w:r w:rsidR="00873FEC" w:rsidRPr="000624C7">
          <w:rPr>
            <w:rStyle w:val="Hyperlink"/>
            <w:rFonts w:ascii="Verdana" w:eastAsia="Times New Roman" w:hAnsi="Verdana" w:cs="Verdana"/>
            <w:noProof/>
            <w:color w:val="auto"/>
            <w:u w:val="none"/>
            <w:lang w:val="es-CR" w:eastAsia="es-CR"/>
          </w:rPr>
          <w:t>HECHOS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10</w:t>
        </w:r>
        <w:r w:rsidR="00873FEC" w:rsidRPr="000624C7">
          <w:rPr>
            <w:rFonts w:ascii="Verdana" w:hAnsi="Verdana"/>
            <w:noProof/>
            <w:webHidden/>
          </w:rPr>
          <w:fldChar w:fldCharType="end"/>
        </w:r>
      </w:hyperlink>
    </w:p>
    <w:p w:rsidR="00873FEC" w:rsidRPr="000624C7" w:rsidRDefault="00B9342F" w:rsidP="00126E97">
      <w:pPr>
        <w:pStyle w:val="TOC2"/>
        <w:tabs>
          <w:tab w:val="right" w:leader="dot" w:pos="8828"/>
        </w:tabs>
        <w:spacing w:line="20" w:lineRule="atLeast"/>
        <w:jc w:val="both"/>
        <w:rPr>
          <w:rFonts w:ascii="Verdana" w:eastAsiaTheme="minorEastAsia" w:hAnsi="Verdana"/>
          <w:smallCaps w:val="0"/>
          <w:noProof/>
          <w:lang w:val="es-CR" w:eastAsia="es-CR"/>
        </w:rPr>
      </w:pPr>
      <w:hyperlink w:anchor="_Toc525201157" w:history="1">
        <w:r w:rsidR="00873FEC" w:rsidRPr="000624C7">
          <w:rPr>
            <w:rStyle w:val="Hyperlink"/>
            <w:rFonts w:ascii="Verdana" w:eastAsia="Batang" w:hAnsi="Verdana" w:cs="Times"/>
            <w:i/>
            <w:noProof/>
            <w:color w:val="auto"/>
            <w:u w:val="none"/>
            <w:lang w:val="es-CR" w:eastAsia="es-CR"/>
          </w:rPr>
          <w:t>A. Contexto</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_Toc525201157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11</w:t>
        </w:r>
        <w:r w:rsidR="00873FEC" w:rsidRPr="000624C7">
          <w:rPr>
            <w:rFonts w:ascii="Verdana" w:hAnsi="Verdana"/>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58" w:history="1">
        <w:r w:rsidR="00873FEC" w:rsidRPr="000624C7">
          <w:rPr>
            <w:rStyle w:val="Hyperlink"/>
            <w:rFonts w:ascii="Verdana" w:eastAsia="Cambria" w:hAnsi="Verdana" w:cs="Times"/>
            <w:noProof/>
            <w:color w:val="auto"/>
            <w:u w:val="none"/>
            <w:lang w:val="es-CR" w:eastAsia="es-CR"/>
          </w:rPr>
          <w:t>A.1 El conflicto armado interno y la violencia contra el pueblo maya</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_Toc525201158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11</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59" w:history="1">
        <w:r w:rsidR="00873FEC" w:rsidRPr="000624C7">
          <w:rPr>
            <w:rStyle w:val="Hyperlink"/>
            <w:rFonts w:ascii="Verdana" w:eastAsia="Calibri" w:hAnsi="Verdana" w:cs="Times"/>
            <w:noProof/>
            <w:color w:val="auto"/>
            <w:u w:val="none"/>
            <w:lang w:val="es-CR" w:eastAsia="es-CR"/>
          </w:rPr>
          <w:t>A.2. Desplazamiento y retorno de personas afectadas por el conflicto</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_Toc525201159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12</w:t>
        </w:r>
        <w:r w:rsidR="00873FEC" w:rsidRPr="001808D1">
          <w:rPr>
            <w:rFonts w:ascii="Verdana" w:hAnsi="Verdana"/>
            <w:i w:val="0"/>
            <w:noProof/>
            <w:webHidden/>
          </w:rPr>
          <w:fldChar w:fldCharType="end"/>
        </w:r>
      </w:hyperlink>
    </w:p>
    <w:p w:rsidR="00873FEC" w:rsidRPr="000624C7" w:rsidRDefault="00B9342F" w:rsidP="00126E97">
      <w:pPr>
        <w:pStyle w:val="TOC2"/>
        <w:tabs>
          <w:tab w:val="right" w:leader="dot" w:pos="8828"/>
        </w:tabs>
        <w:spacing w:line="20" w:lineRule="atLeast"/>
        <w:jc w:val="both"/>
        <w:rPr>
          <w:rFonts w:ascii="Verdana" w:eastAsiaTheme="minorEastAsia" w:hAnsi="Verdana"/>
          <w:smallCaps w:val="0"/>
          <w:noProof/>
          <w:lang w:val="es-CR" w:eastAsia="es-CR"/>
        </w:rPr>
      </w:pPr>
      <w:hyperlink w:anchor="_Toc525201160" w:history="1">
        <w:r w:rsidR="00873FEC" w:rsidRPr="000624C7">
          <w:rPr>
            <w:rStyle w:val="Hyperlink"/>
            <w:rFonts w:ascii="Verdana" w:eastAsia="Times New Roman" w:hAnsi="Verdana" w:cs="Times"/>
            <w:i/>
            <w:noProof/>
            <w:color w:val="auto"/>
            <w:u w:val="none"/>
            <w:lang w:val="es-CR" w:eastAsia="es-CR"/>
          </w:rPr>
          <w:t>B. Sobre la Comunidad “Aurora 8 de octubre” en la finca Xamán</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_Toc525201160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13</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61" w:history="1">
        <w:r w:rsidR="00873FEC" w:rsidRPr="000624C7">
          <w:rPr>
            <w:rStyle w:val="Hyperlink"/>
            <w:rFonts w:ascii="Verdana" w:eastAsia="Calibri" w:hAnsi="Verdana" w:cs="Times"/>
            <w:i/>
            <w:noProof/>
            <w:color w:val="auto"/>
            <w:u w:val="none"/>
            <w:lang w:val="es-CR" w:eastAsia="es-CR"/>
          </w:rPr>
          <w:t>C.Sobre los hechos sucedidos en octubre de 1995 en la finca Xamán</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_Toc525201161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13</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62" w:history="1">
        <w:r w:rsidR="00873FEC" w:rsidRPr="000624C7">
          <w:rPr>
            <w:rStyle w:val="Hyperlink"/>
            <w:rFonts w:ascii="Verdana" w:eastAsia="Times New Roman" w:hAnsi="Verdana" w:cs="Times"/>
            <w:i/>
            <w:noProof/>
            <w:color w:val="auto"/>
            <w:u w:val="none"/>
            <w:lang w:val="en-US" w:eastAsia="es-CR"/>
          </w:rPr>
          <w:t>D.Sobre las actuaciones realizadas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_Toc525201162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15</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63" w:history="1">
        <w:r w:rsidR="00873FEC" w:rsidRPr="000624C7">
          <w:rPr>
            <w:rStyle w:val="Hyperlink"/>
            <w:rFonts w:ascii="Verdana" w:eastAsia="Times New Roman" w:hAnsi="Verdana" w:cs="Verdana"/>
            <w:noProof/>
            <w:color w:val="auto"/>
            <w:u w:val="none"/>
            <w:lang w:val="es-CR" w:eastAsia="es-CR"/>
          </w:rPr>
          <w:t>VIi</w:t>
        </w:r>
      </w:hyperlink>
      <w:r w:rsidR="000624C7" w:rsidRPr="000624C7">
        <w:rPr>
          <w:rStyle w:val="Hyperlink"/>
          <w:rFonts w:ascii="Verdana" w:hAnsi="Verdana"/>
          <w:noProof/>
          <w:color w:val="auto"/>
          <w:u w:val="none"/>
        </w:rPr>
        <w:t xml:space="preserve"> </w:t>
      </w:r>
      <w:hyperlink w:anchor="_Toc525201164" w:history="1">
        <w:r w:rsidR="00873FEC" w:rsidRPr="000624C7">
          <w:rPr>
            <w:rStyle w:val="Hyperlink"/>
            <w:rFonts w:ascii="Verdana" w:eastAsia="Times New Roman" w:hAnsi="Verdana" w:cs="Verdana"/>
            <w:noProof/>
            <w:color w:val="auto"/>
            <w:u w:val="none"/>
            <w:lang w:val="es-CR" w:eastAsia="es-CR"/>
          </w:rPr>
          <w:t>FONDO</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_Toc525201164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21</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65" w:history="1">
        <w:r w:rsidR="00873FEC" w:rsidRPr="000624C7">
          <w:rPr>
            <w:rStyle w:val="Hyperlink"/>
            <w:rFonts w:ascii="Verdana" w:eastAsia="Times New Roman" w:hAnsi="Verdana" w:cs="Verdana"/>
            <w:noProof/>
            <w:color w:val="auto"/>
            <w:u w:val="none"/>
            <w:lang w:val="es-CR" w:eastAsia="es-CR"/>
          </w:rPr>
          <w:t>ViI.1</w:t>
        </w:r>
      </w:hyperlink>
      <w:r w:rsidR="000624C7" w:rsidRPr="000624C7">
        <w:rPr>
          <w:rStyle w:val="Hyperlink"/>
          <w:rFonts w:ascii="Verdana" w:hAnsi="Verdana"/>
          <w:noProof/>
          <w:color w:val="auto"/>
          <w:u w:val="none"/>
        </w:rPr>
        <w:t xml:space="preserve"> </w:t>
      </w:r>
      <w:hyperlink w:anchor="_Toc525201166" w:history="1">
        <w:r w:rsidR="00873FEC" w:rsidRPr="000624C7">
          <w:rPr>
            <w:rStyle w:val="Hyperlink"/>
            <w:rFonts w:ascii="Verdana" w:eastAsia="Batang" w:hAnsi="Verdana" w:cs="Verdana"/>
            <w:noProof/>
            <w:color w:val="auto"/>
            <w:u w:val="none"/>
            <w:lang w:val="es-CR" w:eastAsia="es-CR"/>
          </w:rPr>
          <w:t>DERECHOS A LAS GARANTÍAS JUDICIALES Y A LA PROTECCIÓN JUDICIAL</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23</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67" w:history="1">
        <w:r w:rsidR="00873FEC" w:rsidRPr="000624C7">
          <w:rPr>
            <w:rStyle w:val="Hyperlink"/>
            <w:rFonts w:ascii="Verdana" w:eastAsia="Calibri" w:hAnsi="Verdana" w:cs="Times"/>
            <w:i/>
            <w:noProof/>
            <w:color w:val="auto"/>
            <w:u w:val="none"/>
            <w:lang w:val="es-CR" w:eastAsia="es-CR"/>
          </w:rPr>
          <w:t>A.Argumentos de la Comisión y las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_Toc525201167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23</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68" w:history="1">
        <w:r w:rsidR="00873FEC" w:rsidRPr="000624C7">
          <w:rPr>
            <w:rStyle w:val="Hyperlink"/>
            <w:rFonts w:ascii="Verdana" w:eastAsia="Calibri" w:hAnsi="Verdana" w:cs="Times"/>
            <w:i/>
            <w:noProof/>
            <w:color w:val="auto"/>
            <w:u w:val="none"/>
            <w:lang w:val="es-CR" w:eastAsia="es-CR"/>
          </w:rPr>
          <w:t>B.Consideraciones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_Toc525201168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25</w:t>
        </w:r>
        <w:r w:rsidR="00873FEC" w:rsidRPr="000624C7">
          <w:rPr>
            <w:rFonts w:ascii="Verdana" w:hAnsi="Verdana"/>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69" w:history="1">
        <w:r w:rsidR="00873FEC" w:rsidRPr="000624C7">
          <w:rPr>
            <w:rStyle w:val="Hyperlink"/>
            <w:rFonts w:ascii="Verdana" w:eastAsia="Calibri" w:hAnsi="Verdana" w:cs="Times New Roman"/>
            <w:noProof/>
            <w:color w:val="auto"/>
            <w:u w:val="none"/>
            <w:lang w:val="es-CR" w:eastAsia="es-CR"/>
          </w:rPr>
          <w:t>B.1.Consideraciones generales</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_Toc525201169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25</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0" w:history="1">
        <w:r w:rsidR="00873FEC" w:rsidRPr="000624C7">
          <w:rPr>
            <w:rStyle w:val="Hyperlink"/>
            <w:rFonts w:ascii="Verdana" w:eastAsia="Cambria" w:hAnsi="Verdana" w:cs="Times"/>
            <w:noProof/>
            <w:color w:val="auto"/>
            <w:u w:val="none"/>
            <w:lang w:val="en-US" w:eastAsia="es-CR"/>
          </w:rPr>
          <w:t>B.2</w:t>
        </w:r>
        <w:r w:rsidR="00013017">
          <w:rPr>
            <w:rStyle w:val="Hyperlink"/>
            <w:rFonts w:ascii="Verdana" w:eastAsia="Cambria" w:hAnsi="Verdana" w:cs="Times"/>
            <w:noProof/>
            <w:color w:val="auto"/>
            <w:u w:val="none"/>
            <w:lang w:val="en-US" w:eastAsia="es-CR"/>
          </w:rPr>
          <w:t>.</w:t>
        </w:r>
        <w:r w:rsidR="00873FEC" w:rsidRPr="000624C7">
          <w:rPr>
            <w:rStyle w:val="Hyperlink"/>
            <w:rFonts w:ascii="Verdana" w:eastAsia="Cambria" w:hAnsi="Verdana" w:cs="Times"/>
            <w:noProof/>
            <w:color w:val="auto"/>
            <w:u w:val="none"/>
            <w:lang w:val="en-US" w:eastAsia="es-CR"/>
          </w:rPr>
          <w:t xml:space="preserve"> Fuero militar</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_Toc525201170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27</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1" w:history="1">
        <w:r w:rsidR="00873FEC" w:rsidRPr="000624C7">
          <w:rPr>
            <w:rStyle w:val="Hyperlink"/>
            <w:rFonts w:ascii="Verdana" w:eastAsia="Cambria" w:hAnsi="Verdana" w:cs="Times"/>
            <w:noProof/>
            <w:color w:val="auto"/>
            <w:u w:val="none"/>
            <w:lang w:val="es-CR" w:eastAsia="es-CR"/>
          </w:rPr>
          <w:t>B.3. Investigación de autores intelectuales y de la “cadena de mando”</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_Toc525201171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28</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2" w:history="1">
        <w:r w:rsidR="00873FEC" w:rsidRPr="000624C7">
          <w:rPr>
            <w:rStyle w:val="Hyperlink"/>
            <w:rFonts w:ascii="Verdana" w:eastAsia="Calibri" w:hAnsi="Verdana" w:cs="Times"/>
            <w:noProof/>
            <w:color w:val="auto"/>
            <w:u w:val="none"/>
            <w:lang w:val="es-CR" w:eastAsia="es-CR"/>
          </w:rPr>
          <w:t>B.4. Reducción del tiempo de condena y liberación de condenados</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_Toc525201172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28</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3" w:history="1">
        <w:r w:rsidR="00873FEC" w:rsidRPr="000624C7">
          <w:rPr>
            <w:rStyle w:val="Hyperlink"/>
            <w:rFonts w:ascii="Verdana" w:eastAsia="Calibri" w:hAnsi="Verdana" w:cs="Times"/>
            <w:noProof/>
            <w:color w:val="auto"/>
            <w:u w:val="none"/>
            <w:lang w:val="es-CR" w:eastAsia="es-CR"/>
          </w:rPr>
          <w:t>B.5. Sobre personas prófugas</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_Toc525201173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28</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4" w:history="1">
        <w:r w:rsidR="00873FEC" w:rsidRPr="000624C7">
          <w:rPr>
            <w:rStyle w:val="Hyperlink"/>
            <w:rFonts w:ascii="Verdana" w:eastAsia="Calibri" w:hAnsi="Verdana" w:cs="Times New Roman"/>
            <w:noProof/>
            <w:color w:val="auto"/>
            <w:u w:val="none"/>
            <w:lang w:val="es-CR" w:eastAsia="es-CR"/>
          </w:rPr>
          <w:t>B.6. Duración de las actuaciones</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_Toc525201174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30</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75" w:history="1">
        <w:r w:rsidR="00873FEC" w:rsidRPr="000624C7">
          <w:rPr>
            <w:rStyle w:val="Hyperlink"/>
            <w:rFonts w:ascii="Verdana" w:eastAsia="Calibri" w:hAnsi="Verdana" w:cs="Times"/>
            <w:noProof/>
            <w:color w:val="auto"/>
            <w:u w:val="none"/>
            <w:lang w:val="es-CR" w:eastAsia="es-CR"/>
          </w:rPr>
          <w:t>B.7. Conclusión</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_Toc525201175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31</w:t>
        </w:r>
        <w:r w:rsidR="00873FEC" w:rsidRPr="001808D1">
          <w:rPr>
            <w:rFonts w:ascii="Verdana" w:hAnsi="Verdana"/>
            <w:i w:val="0"/>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76" w:history="1">
        <w:r w:rsidR="00873FEC" w:rsidRPr="000624C7">
          <w:rPr>
            <w:rStyle w:val="Hyperlink"/>
            <w:rFonts w:ascii="Verdana" w:eastAsia="Times New Roman" w:hAnsi="Verdana" w:cs="Times New Roman"/>
            <w:noProof/>
            <w:color w:val="auto"/>
            <w:u w:val="none"/>
            <w:lang w:val="es-CR" w:eastAsia="es-CR"/>
          </w:rPr>
          <w:t>ViI.2</w:t>
        </w:r>
      </w:hyperlink>
      <w:r w:rsidR="000624C7" w:rsidRPr="000624C7">
        <w:rPr>
          <w:rStyle w:val="Hyperlink"/>
          <w:rFonts w:ascii="Verdana" w:hAnsi="Verdana"/>
          <w:noProof/>
          <w:color w:val="auto"/>
          <w:u w:val="none"/>
        </w:rPr>
        <w:t xml:space="preserve"> </w:t>
      </w:r>
      <w:hyperlink w:anchor="_Toc525201177" w:history="1">
        <w:r w:rsidR="00873FEC" w:rsidRPr="000624C7">
          <w:rPr>
            <w:rStyle w:val="Hyperlink"/>
            <w:rFonts w:ascii="Verdana" w:eastAsia="Times New Roman" w:hAnsi="Verdana" w:cs="Times New Roman"/>
            <w:noProof/>
            <w:color w:val="auto"/>
            <w:u w:val="none"/>
            <w:lang w:val="es-CR" w:eastAsia="es-CR"/>
          </w:rPr>
          <w:t>DERECHOS A LA VIDA, INTEGRIDAD PERSONAL Y DERECHOS DEL NIÑO EN RELACIÓN CON LA OBLIGACIÓN DE RESPETAR LOS DERECHOS SIN DISCRIMINACIÓN</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_Toc525201177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31</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78" w:history="1">
        <w:r w:rsidR="00873FEC" w:rsidRPr="000624C7">
          <w:rPr>
            <w:rStyle w:val="Hyperlink"/>
            <w:rFonts w:ascii="Verdana" w:eastAsia="Cambria" w:hAnsi="Verdana" w:cs="Times New Roman"/>
            <w:i/>
            <w:noProof/>
            <w:color w:val="auto"/>
            <w:u w:val="none"/>
            <w:lang w:val="es-CR" w:eastAsia="es-CR"/>
          </w:rPr>
          <w:t>A.</w:t>
        </w:r>
        <w:r w:rsidR="000624C7" w:rsidRPr="000624C7">
          <w:rPr>
            <w:rStyle w:val="Hyperlink"/>
            <w:rFonts w:ascii="Verdana" w:eastAsia="Cambria" w:hAnsi="Verdana" w:cs="Times New Roman"/>
            <w:i/>
            <w:noProof/>
            <w:color w:val="auto"/>
            <w:u w:val="none"/>
            <w:lang w:val="es-CR" w:eastAsia="es-CR"/>
          </w:rPr>
          <w:t xml:space="preserve"> </w:t>
        </w:r>
        <w:r w:rsidR="00873FEC" w:rsidRPr="000624C7">
          <w:rPr>
            <w:rStyle w:val="Hyperlink"/>
            <w:rFonts w:ascii="Verdana" w:eastAsia="Cambria" w:hAnsi="Verdana" w:cs="Times New Roman"/>
            <w:i/>
            <w:noProof/>
            <w:color w:val="auto"/>
            <w:u w:val="none"/>
            <w:lang w:val="es-CR" w:eastAsia="es-CR"/>
          </w:rPr>
          <w:t>Alegatos de la Comisión y de las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_Toc525201178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31</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79" w:history="1">
        <w:r w:rsidR="00873FEC" w:rsidRPr="000624C7">
          <w:rPr>
            <w:rStyle w:val="Hyperlink"/>
            <w:rFonts w:ascii="Verdana" w:eastAsia="Calibri" w:hAnsi="Verdana" w:cs="Times New Roman"/>
            <w:i/>
            <w:noProof/>
            <w:color w:val="auto"/>
            <w:u w:val="none"/>
            <w:lang w:val="es-CR" w:eastAsia="es-CR"/>
          </w:rPr>
          <w:t>B.</w:t>
        </w:r>
        <w:r w:rsidR="000624C7" w:rsidRPr="000624C7">
          <w:rPr>
            <w:rStyle w:val="Hyperlink"/>
            <w:rFonts w:ascii="Verdana" w:eastAsia="Calibri" w:hAnsi="Verdana" w:cs="Times New Roman"/>
            <w:i/>
            <w:noProof/>
            <w:color w:val="auto"/>
            <w:u w:val="none"/>
            <w:lang w:val="es-CR" w:eastAsia="es-CR"/>
          </w:rPr>
          <w:t xml:space="preserve"> </w:t>
        </w:r>
        <w:r w:rsidR="00873FEC" w:rsidRPr="000624C7">
          <w:rPr>
            <w:rStyle w:val="Hyperlink"/>
            <w:rFonts w:ascii="Verdana" w:eastAsia="Calibri" w:hAnsi="Verdana" w:cs="Times New Roman"/>
            <w:i/>
            <w:noProof/>
            <w:color w:val="auto"/>
            <w:u w:val="none"/>
            <w:lang w:val="es-CR" w:eastAsia="es-CR"/>
          </w:rPr>
          <w:t>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_Toc525201179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33</w:t>
        </w:r>
        <w:r w:rsidR="00873FEC" w:rsidRPr="000624C7">
          <w:rPr>
            <w:rFonts w:ascii="Verdana" w:hAnsi="Verdana"/>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80" w:history="1">
        <w:r w:rsidR="00873FEC" w:rsidRPr="000624C7">
          <w:rPr>
            <w:rStyle w:val="Hyperlink"/>
            <w:rFonts w:ascii="Verdana" w:eastAsia="Batang" w:hAnsi="Verdana" w:cs="Times"/>
            <w:noProof/>
            <w:color w:val="auto"/>
            <w:u w:val="none"/>
            <w:lang w:val="es-CR" w:eastAsia="es-CR"/>
          </w:rPr>
          <w:t>B.1. Consideraciones generales</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_Toc525201180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33</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81" w:history="1">
        <w:r w:rsidR="00873FEC" w:rsidRPr="000624C7">
          <w:rPr>
            <w:rStyle w:val="Hyperlink"/>
            <w:rFonts w:ascii="Verdana" w:eastAsia="Batang" w:hAnsi="Verdana" w:cs="Times New Roman"/>
            <w:noProof/>
            <w:color w:val="auto"/>
            <w:u w:val="none"/>
            <w:lang w:val="es-CR" w:eastAsia="es-CR"/>
          </w:rPr>
          <w:t>B.2. Derechos a la vida e integridad personal</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_Toc525201181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34</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82" w:history="1">
        <w:r w:rsidR="00873FEC" w:rsidRPr="000624C7">
          <w:rPr>
            <w:rStyle w:val="Hyperlink"/>
            <w:rFonts w:ascii="Verdana" w:eastAsia="Batang" w:hAnsi="Verdana" w:cs="Times New Roman"/>
            <w:noProof/>
            <w:color w:val="auto"/>
            <w:u w:val="none"/>
            <w:lang w:val="es-CR" w:eastAsia="es-CR"/>
          </w:rPr>
          <w:t>B.3. Derechos del niño</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_Toc525201182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35</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83" w:history="1">
        <w:r w:rsidR="00873FEC" w:rsidRPr="000624C7">
          <w:rPr>
            <w:rStyle w:val="Hyperlink"/>
            <w:rFonts w:ascii="Verdana" w:eastAsia="Calibri" w:hAnsi="Verdana" w:cs="Times"/>
            <w:noProof/>
            <w:color w:val="auto"/>
            <w:u w:val="none"/>
            <w:lang w:eastAsia="es-CR"/>
          </w:rPr>
          <w:t>B.4. Obligación de respetar los derechos sin discriminación</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_Toc525201183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36</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184" w:history="1">
        <w:r w:rsidR="00873FEC" w:rsidRPr="000624C7">
          <w:rPr>
            <w:rStyle w:val="Hyperlink"/>
            <w:rFonts w:ascii="Verdana" w:eastAsia="Calibri" w:hAnsi="Verdana" w:cs="Times New Roman"/>
            <w:noProof/>
            <w:color w:val="auto"/>
            <w:u w:val="none"/>
            <w:lang w:val="es-CR" w:eastAsia="es-CR"/>
          </w:rPr>
          <w:t>B.5. Conclusión</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_Toc525201184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37</w:t>
        </w:r>
        <w:r w:rsidR="00873FEC" w:rsidRPr="001808D1">
          <w:rPr>
            <w:rFonts w:ascii="Verdana" w:hAnsi="Verdana"/>
            <w:i w:val="0"/>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85" w:history="1">
        <w:r w:rsidR="00873FEC" w:rsidRPr="000624C7">
          <w:rPr>
            <w:rStyle w:val="Hyperlink"/>
            <w:rFonts w:ascii="Verdana" w:hAnsi="Verdana"/>
            <w:noProof/>
            <w:color w:val="auto"/>
            <w:u w:val="none"/>
            <w:lang w:val="es-CR"/>
          </w:rPr>
          <w:t>VII.3.</w:t>
        </w:r>
      </w:hyperlink>
      <w:r w:rsidR="000624C7" w:rsidRPr="000624C7">
        <w:rPr>
          <w:rStyle w:val="Hyperlink"/>
          <w:rFonts w:ascii="Verdana" w:hAnsi="Verdana"/>
          <w:noProof/>
          <w:color w:val="auto"/>
          <w:u w:val="none"/>
        </w:rPr>
        <w:t xml:space="preserve"> </w:t>
      </w:r>
      <w:hyperlink w:anchor="_Toc525201186" w:history="1">
        <w:r w:rsidR="00873FEC" w:rsidRPr="000624C7">
          <w:rPr>
            <w:rStyle w:val="Hyperlink"/>
            <w:rFonts w:ascii="Verdana" w:hAnsi="Verdana"/>
            <w:noProof/>
            <w:color w:val="auto"/>
            <w:u w:val="none"/>
            <w:lang w:val="es-CR"/>
          </w:rPr>
          <w:t>DERECHO A LA INTEGRIDAD PERSONAL DE FAMILIARES DE PERSONAS MUERTAS Y HERIDAS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_Toc525201186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38</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87" w:history="1">
        <w:r w:rsidR="00873FEC" w:rsidRPr="000624C7">
          <w:rPr>
            <w:rStyle w:val="Hyperlink"/>
            <w:rFonts w:ascii="Verdana" w:hAnsi="Verdana" w:cs="Times New Roman"/>
            <w:i/>
            <w:noProof/>
            <w:color w:val="auto"/>
            <w:u w:val="none"/>
            <w:lang w:val="es-CR"/>
          </w:rPr>
          <w:t>A.</w:t>
        </w:r>
        <w:r w:rsidR="000624C7" w:rsidRPr="000624C7">
          <w:rPr>
            <w:rStyle w:val="Hyperlink"/>
            <w:rFonts w:ascii="Verdana" w:hAnsi="Verdana" w:cs="Times New Roman"/>
            <w:i/>
            <w:noProof/>
            <w:color w:val="auto"/>
            <w:u w:val="none"/>
            <w:lang w:val="es-CR"/>
          </w:rPr>
          <w:t xml:space="preserve"> </w:t>
        </w:r>
        <w:r w:rsidR="00873FEC" w:rsidRPr="000624C7">
          <w:rPr>
            <w:rStyle w:val="Hyperlink"/>
            <w:rFonts w:ascii="Verdana" w:hAnsi="Verdana" w:cs="Times New Roman"/>
            <w:i/>
            <w:noProof/>
            <w:color w:val="auto"/>
            <w:u w:val="none"/>
            <w:lang w:val="es-CR"/>
          </w:rPr>
          <w:t>Alegatos de la Comisión y de las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_Toc525201187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38</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88" w:history="1">
        <w:r w:rsidR="00873FEC" w:rsidRPr="000624C7">
          <w:rPr>
            <w:rStyle w:val="Hyperlink"/>
            <w:rFonts w:ascii="Verdana" w:hAnsi="Verdana" w:cs="Times New Roman"/>
            <w:i/>
            <w:noProof/>
            <w:color w:val="auto"/>
            <w:u w:val="none"/>
            <w:lang w:val="es-CR"/>
          </w:rPr>
          <w:t>B.</w:t>
        </w:r>
        <w:r w:rsidR="000624C7" w:rsidRPr="000624C7">
          <w:rPr>
            <w:rStyle w:val="Hyperlink"/>
            <w:rFonts w:ascii="Verdana" w:hAnsi="Verdana" w:cs="Times New Roman"/>
            <w:i/>
            <w:noProof/>
            <w:color w:val="auto"/>
            <w:u w:val="none"/>
            <w:lang w:val="es-CR"/>
          </w:rPr>
          <w:t xml:space="preserve"> </w:t>
        </w:r>
        <w:r w:rsidR="00873FEC" w:rsidRPr="000624C7">
          <w:rPr>
            <w:rStyle w:val="Hyperlink"/>
            <w:rFonts w:ascii="Verdana" w:hAnsi="Verdana" w:cs="Times New Roman"/>
            <w:i/>
            <w:noProof/>
            <w:color w:val="auto"/>
            <w:u w:val="none"/>
            <w:lang w:val="es-CR"/>
          </w:rPr>
          <w:t>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_Toc525201188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38</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89" w:history="1">
        <w:r w:rsidR="00873FEC" w:rsidRPr="000624C7">
          <w:rPr>
            <w:rStyle w:val="Hyperlink"/>
            <w:rFonts w:ascii="Verdana" w:hAnsi="Verdana" w:cs="Times New Roman"/>
            <w:noProof/>
            <w:color w:val="auto"/>
            <w:u w:val="none"/>
          </w:rPr>
          <w:t>VII.4</w:t>
        </w:r>
      </w:hyperlink>
      <w:r w:rsidR="000624C7" w:rsidRPr="000624C7">
        <w:rPr>
          <w:rStyle w:val="Hyperlink"/>
          <w:rFonts w:ascii="Verdana" w:hAnsi="Verdana"/>
          <w:noProof/>
          <w:color w:val="auto"/>
          <w:u w:val="none"/>
        </w:rPr>
        <w:t xml:space="preserve"> </w:t>
      </w:r>
      <w:hyperlink w:anchor="_Toc525201190" w:history="1">
        <w:r w:rsidR="00873FEC" w:rsidRPr="000624C7">
          <w:rPr>
            <w:rStyle w:val="Hyperlink"/>
            <w:rFonts w:ascii="Verdana" w:hAnsi="Verdana" w:cs="Times New Roman"/>
            <w:noProof/>
            <w:color w:val="auto"/>
            <w:u w:val="none"/>
          </w:rPr>
          <w:t>ALEGADA VIOLACIÓN AL DERECHO A LA PROPIEDAD PRIVADA</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_Toc525201190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40</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191" w:history="1">
        <w:r w:rsidR="00873FEC" w:rsidRPr="000624C7">
          <w:rPr>
            <w:rStyle w:val="Hyperlink"/>
            <w:rFonts w:ascii="Verdana" w:hAnsi="Verdana" w:cs="Times New Roman"/>
            <w:i/>
            <w:noProof/>
            <w:color w:val="auto"/>
            <w:u w:val="none"/>
            <w:lang w:val="es-CR"/>
          </w:rPr>
          <w:t>A.</w:t>
        </w:r>
        <w:r w:rsidR="000624C7" w:rsidRPr="000624C7">
          <w:rPr>
            <w:rStyle w:val="Hyperlink"/>
            <w:rFonts w:ascii="Verdana" w:hAnsi="Verdana" w:cs="Times New Roman"/>
            <w:i/>
            <w:noProof/>
            <w:color w:val="auto"/>
            <w:u w:val="none"/>
            <w:lang w:val="es-CR"/>
          </w:rPr>
          <w:t xml:space="preserve"> </w:t>
        </w:r>
        <w:r w:rsidR="00873FEC" w:rsidRPr="000624C7">
          <w:rPr>
            <w:rStyle w:val="Hyperlink"/>
            <w:rFonts w:ascii="Verdana" w:hAnsi="Verdana" w:cs="Times New Roman"/>
            <w:i/>
            <w:noProof/>
            <w:color w:val="auto"/>
            <w:u w:val="none"/>
            <w:lang w:val="es-CR"/>
          </w:rPr>
          <w:t>Alegatos de las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_Toc525201191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40</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92" w:history="1">
        <w:r w:rsidR="00873FEC" w:rsidRPr="000624C7">
          <w:rPr>
            <w:rStyle w:val="Hyperlink"/>
            <w:rFonts w:ascii="Verdana" w:hAnsi="Verdana"/>
            <w:i/>
            <w:noProof/>
            <w:color w:val="auto"/>
            <w:u w:val="none"/>
            <w:lang w:val="es-CR"/>
          </w:rPr>
          <w:t>B.Consideraciones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_Toc525201192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41</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93" w:history="1">
        <w:r w:rsidR="00873FEC" w:rsidRPr="000624C7">
          <w:rPr>
            <w:rStyle w:val="Hyperlink"/>
            <w:rFonts w:ascii="Verdana" w:hAnsi="Verdana"/>
            <w:noProof/>
            <w:color w:val="auto"/>
            <w:u w:val="none"/>
            <w:lang w:val="es-CR"/>
          </w:rPr>
          <w:t>VII.5</w:t>
        </w:r>
      </w:hyperlink>
      <w:r w:rsidR="000624C7" w:rsidRPr="000624C7">
        <w:rPr>
          <w:rStyle w:val="Hyperlink"/>
          <w:rFonts w:ascii="Verdana" w:hAnsi="Verdana"/>
          <w:noProof/>
          <w:color w:val="auto"/>
          <w:u w:val="none"/>
        </w:rPr>
        <w:t xml:space="preserve"> </w:t>
      </w:r>
      <w:hyperlink w:anchor="_Toc525201194" w:history="1">
        <w:r w:rsidR="00873FEC" w:rsidRPr="000624C7">
          <w:rPr>
            <w:rStyle w:val="Hyperlink"/>
            <w:rFonts w:ascii="Verdana" w:hAnsi="Verdana"/>
            <w:noProof/>
            <w:color w:val="auto"/>
            <w:u w:val="none"/>
            <w:lang w:val="es-CR"/>
          </w:rPr>
          <w:t>ALEGADA VIOLACIÓN AL DERECHO A LA IGUALDAD ANTE LA LEY</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_Toc525201194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41</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95" w:history="1">
        <w:r w:rsidR="00873FEC" w:rsidRPr="000624C7">
          <w:rPr>
            <w:rStyle w:val="Hyperlink"/>
            <w:rFonts w:ascii="Verdana" w:hAnsi="Verdana"/>
            <w:i/>
            <w:noProof/>
            <w:color w:val="auto"/>
            <w:u w:val="none"/>
            <w:lang w:val="es-CR"/>
          </w:rPr>
          <w:t>A.Alegatos de la Comisión y de las partes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_Toc525201195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41</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196" w:history="1">
        <w:r w:rsidR="00873FEC" w:rsidRPr="000624C7">
          <w:rPr>
            <w:rStyle w:val="Hyperlink"/>
            <w:rFonts w:ascii="Verdana" w:hAnsi="Verdana"/>
            <w:i/>
            <w:noProof/>
            <w:color w:val="auto"/>
            <w:u w:val="none"/>
            <w:lang w:val="es-CR"/>
          </w:rPr>
          <w:t>B.Consideraciones de la Corte</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42</w:t>
        </w:r>
        <w:r w:rsidR="00873FEC" w:rsidRPr="000624C7">
          <w:rPr>
            <w:rFonts w:ascii="Verdana" w:hAnsi="Verdana"/>
            <w:noProof/>
            <w:webHidden/>
          </w:rPr>
          <w:fldChar w:fldCharType="end"/>
        </w:r>
      </w:hyperlink>
    </w:p>
    <w:p w:rsidR="00873FEC" w:rsidRPr="000624C7" w:rsidRDefault="00B9342F"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hyperlink w:anchor="_Toc525201197" w:history="1">
        <w:r w:rsidR="00873FEC" w:rsidRPr="000624C7">
          <w:rPr>
            <w:rStyle w:val="Hyperlink"/>
            <w:rFonts w:ascii="Verdana" w:eastAsia="Calibri" w:hAnsi="Verdana" w:cs="Times"/>
            <w:noProof/>
            <w:color w:val="auto"/>
            <w:u w:val="none"/>
            <w:lang w:eastAsia="es-CR"/>
          </w:rPr>
          <w:t>VIII</w:t>
        </w:r>
      </w:hyperlink>
      <w:r w:rsidR="000624C7" w:rsidRPr="000624C7">
        <w:rPr>
          <w:rStyle w:val="Hyperlink"/>
          <w:rFonts w:ascii="Verdana" w:hAnsi="Verdana"/>
          <w:noProof/>
          <w:color w:val="auto"/>
          <w:u w:val="none"/>
        </w:rPr>
        <w:t xml:space="preserve"> </w:t>
      </w:r>
      <w:hyperlink w:anchor="_Toc525201198" w:history="1">
        <w:r w:rsidR="00873FEC" w:rsidRPr="000624C7">
          <w:rPr>
            <w:rStyle w:val="Hyperlink"/>
            <w:rFonts w:ascii="Verdana" w:eastAsia="Calibri" w:hAnsi="Verdana" w:cs="Times"/>
            <w:noProof/>
            <w:color w:val="auto"/>
            <w:u w:val="none"/>
            <w:lang w:eastAsia="es-CR"/>
          </w:rPr>
          <w:t>REPARACIONES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_Toc525201198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43</w:t>
        </w:r>
        <w:r w:rsidR="00873FEC" w:rsidRPr="000624C7">
          <w:rPr>
            <w:rFonts w:ascii="Verdana" w:hAnsi="Verdana"/>
            <w:noProof/>
            <w:webHidden/>
          </w:rPr>
          <w:fldChar w:fldCharType="end"/>
        </w:r>
      </w:hyperlink>
    </w:p>
    <w:p w:rsidR="00873FEC" w:rsidRPr="000624C7" w:rsidRDefault="00873FEC"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200" w:history="1">
        <w:r w:rsidR="00873FEC" w:rsidRPr="000624C7">
          <w:rPr>
            <w:rStyle w:val="Hyperlink"/>
            <w:rFonts w:ascii="Verdana" w:eastAsia="Cambria" w:hAnsi="Verdana" w:cs="Times"/>
            <w:i/>
            <w:noProof/>
            <w:color w:val="auto"/>
            <w:u w:val="none"/>
            <w:lang w:val="en-US" w:eastAsia="es-CR"/>
          </w:rPr>
          <w:t>A.</w:t>
        </w:r>
        <w:r w:rsidR="000624C7" w:rsidRPr="000624C7">
          <w:rPr>
            <w:rStyle w:val="Hyperlink"/>
            <w:rFonts w:ascii="Verdana" w:eastAsia="Cambria" w:hAnsi="Verdana" w:cs="Times"/>
            <w:i/>
            <w:noProof/>
            <w:color w:val="auto"/>
            <w:u w:val="none"/>
            <w:lang w:val="en-US" w:eastAsia="es-CR"/>
          </w:rPr>
          <w:t xml:space="preserve"> </w:t>
        </w:r>
        <w:r w:rsidR="00873FEC" w:rsidRPr="000624C7">
          <w:rPr>
            <w:rStyle w:val="Hyperlink"/>
            <w:rFonts w:ascii="Verdana" w:eastAsia="Cambria" w:hAnsi="Verdana" w:cs="Times"/>
            <w:i/>
            <w:noProof/>
            <w:color w:val="auto"/>
            <w:u w:val="none"/>
            <w:lang w:val="en-US" w:eastAsia="es-CR"/>
          </w:rPr>
          <w:t>Parte Lesionada</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_Toc525201200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44</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201" w:history="1">
        <w:r w:rsidR="00873FEC" w:rsidRPr="000624C7">
          <w:rPr>
            <w:rStyle w:val="Hyperlink"/>
            <w:rFonts w:ascii="Verdana" w:eastAsia="Cambria" w:hAnsi="Verdana" w:cs="Times"/>
            <w:i/>
            <w:noProof/>
            <w:color w:val="auto"/>
            <w:u w:val="none"/>
            <w:lang w:val="es-CR" w:eastAsia="es-CR"/>
          </w:rPr>
          <w:t>B.</w:t>
        </w:r>
        <w:r w:rsidR="00873FEC" w:rsidRPr="000624C7">
          <w:rPr>
            <w:rStyle w:val="Hyperlink"/>
            <w:rFonts w:ascii="Verdana" w:eastAsia="MS Mincho" w:hAnsi="Verdana" w:cs="Times"/>
            <w:i/>
            <w:noProof/>
            <w:color w:val="auto"/>
            <w:u w:val="none"/>
            <w:lang w:val="es-CR" w:eastAsia="es-CR"/>
          </w:rPr>
          <w:t>Obligación de investigar los hechos del caso y, en su caso, juzgar y sancionar a los responsables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_Toc525201201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44</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202" w:history="1">
        <w:r w:rsidR="00873FEC" w:rsidRPr="000624C7">
          <w:rPr>
            <w:rStyle w:val="Hyperlink"/>
            <w:rFonts w:ascii="Verdana" w:eastAsia="MS Mincho" w:hAnsi="Verdana" w:cs="Times"/>
            <w:i/>
            <w:noProof/>
            <w:color w:val="auto"/>
            <w:u w:val="none"/>
            <w:lang w:val="es-CR" w:eastAsia="es-CR"/>
          </w:rPr>
          <w:t>C.</w:t>
        </w:r>
        <w:r w:rsidR="000624C7" w:rsidRPr="000624C7">
          <w:rPr>
            <w:rFonts w:ascii="Verdana" w:eastAsiaTheme="minorEastAsia" w:hAnsi="Verdana"/>
            <w:smallCaps w:val="0"/>
            <w:noProof/>
            <w:lang w:val="es-CR" w:eastAsia="es-CR"/>
          </w:rPr>
          <w:t xml:space="preserve"> </w:t>
        </w:r>
        <w:r w:rsidR="00873FEC" w:rsidRPr="000624C7">
          <w:rPr>
            <w:rStyle w:val="Hyperlink"/>
            <w:rFonts w:ascii="Verdana" w:eastAsia="MS Mincho" w:hAnsi="Verdana" w:cs="Times"/>
            <w:i/>
            <w:noProof/>
            <w:color w:val="auto"/>
            <w:u w:val="none"/>
            <w:lang w:val="es-CR" w:eastAsia="es-CR"/>
          </w:rPr>
          <w:t>Medidas de rehabilitación, satisfacción y garantías de no repetición</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_Toc525201202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45</w:t>
        </w:r>
        <w:r w:rsidR="00873FEC" w:rsidRPr="000624C7">
          <w:rPr>
            <w:rFonts w:ascii="Verdana" w:hAnsi="Verdana"/>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203" w:history="1">
        <w:r w:rsidR="00873FEC" w:rsidRPr="000624C7">
          <w:rPr>
            <w:rStyle w:val="Hyperlink"/>
            <w:rFonts w:ascii="Verdana" w:eastAsia="Cambria" w:hAnsi="Verdana" w:cs="Times"/>
            <w:noProof/>
            <w:color w:val="auto"/>
            <w:u w:val="none"/>
            <w:lang w:val="en-US" w:eastAsia="es-CR"/>
          </w:rPr>
          <w:t>C.1. Medidas de rehabilitación</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_Toc525201203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45</w:t>
        </w:r>
        <w:r w:rsidR="00873FEC" w:rsidRPr="001808D1">
          <w:rPr>
            <w:rFonts w:ascii="Verdana" w:hAnsi="Verdana"/>
            <w:i w:val="0"/>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204" w:history="1">
        <w:r w:rsidR="00873FEC" w:rsidRPr="000624C7">
          <w:rPr>
            <w:rStyle w:val="Hyperlink"/>
            <w:rFonts w:ascii="Verdana" w:eastAsia="Cambria" w:hAnsi="Verdana" w:cs="Times"/>
            <w:noProof/>
            <w:color w:val="auto"/>
            <w:u w:val="none"/>
            <w:lang w:val="es-CR" w:eastAsia="es-CR"/>
          </w:rPr>
          <w:t>C.2. Medidas de satisfacción</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_Toc525201204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46</w:t>
        </w:r>
        <w:r w:rsidR="00873FEC" w:rsidRPr="001808D1">
          <w:rPr>
            <w:rFonts w:ascii="Verdana" w:hAnsi="Verdana"/>
            <w:i w:val="0"/>
            <w:noProof/>
            <w:webHidden/>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05" w:history="1">
        <w:r w:rsidR="00873FEC" w:rsidRPr="000624C7">
          <w:rPr>
            <w:rStyle w:val="Hyperlink"/>
            <w:rFonts w:ascii="Verdana" w:eastAsia="Cambria" w:hAnsi="Verdana" w:cs="Times"/>
            <w:i/>
            <w:noProof/>
            <w:color w:val="auto"/>
            <w:sz w:val="20"/>
            <w:szCs w:val="20"/>
            <w:u w:val="none"/>
            <w:lang w:eastAsia="es-CR"/>
          </w:rPr>
          <w:t>C.2.1. Publicación de la Sentencia</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_Toc525201205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46</w:t>
        </w:r>
        <w:r w:rsidR="00873FEC" w:rsidRPr="000624C7">
          <w:rPr>
            <w:rFonts w:ascii="Verdana" w:hAnsi="Verdana"/>
            <w:noProof/>
            <w:webHidden/>
            <w:sz w:val="20"/>
            <w:szCs w:val="20"/>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06" w:history="1">
        <w:r w:rsidR="00873FEC" w:rsidRPr="000624C7">
          <w:rPr>
            <w:rStyle w:val="Hyperlink"/>
            <w:rFonts w:ascii="Verdana" w:eastAsia="MS Mincho" w:hAnsi="Verdana" w:cs="Times"/>
            <w:i/>
            <w:noProof/>
            <w:color w:val="auto"/>
            <w:sz w:val="20"/>
            <w:szCs w:val="20"/>
            <w:u w:val="none"/>
            <w:lang w:eastAsia="es-CR"/>
          </w:rPr>
          <w:t>C.2.2. Acto público de reconocimiento de responsabilidad</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_Toc525201206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46</w:t>
        </w:r>
        <w:r w:rsidR="00873FEC" w:rsidRPr="000624C7">
          <w:rPr>
            <w:rFonts w:ascii="Verdana" w:hAnsi="Verdana"/>
            <w:noProof/>
            <w:webHidden/>
            <w:sz w:val="20"/>
            <w:szCs w:val="20"/>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07" w:history="1">
        <w:r w:rsidR="00873FEC" w:rsidRPr="000624C7">
          <w:rPr>
            <w:rStyle w:val="Hyperlink"/>
            <w:rFonts w:ascii="Verdana" w:eastAsia="Cambria" w:hAnsi="Verdana" w:cs="Times"/>
            <w:i/>
            <w:noProof/>
            <w:color w:val="auto"/>
            <w:sz w:val="20"/>
            <w:szCs w:val="20"/>
            <w:u w:val="none"/>
            <w:lang w:eastAsia="es-CR"/>
          </w:rPr>
          <w:t>C.2.3. Centro de Salud</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_Toc525201207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47</w:t>
        </w:r>
        <w:r w:rsidR="00873FEC" w:rsidRPr="000624C7">
          <w:rPr>
            <w:rFonts w:ascii="Verdana" w:hAnsi="Verdana"/>
            <w:noProof/>
            <w:webHidden/>
            <w:sz w:val="20"/>
            <w:szCs w:val="20"/>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08" w:history="1">
        <w:r w:rsidR="00873FEC" w:rsidRPr="000624C7">
          <w:rPr>
            <w:rStyle w:val="Hyperlink"/>
            <w:rFonts w:ascii="Verdana" w:eastAsia="Cambria" w:hAnsi="Verdana" w:cs="Times"/>
            <w:i/>
            <w:noProof/>
            <w:color w:val="auto"/>
            <w:sz w:val="20"/>
            <w:szCs w:val="20"/>
            <w:u w:val="none"/>
            <w:lang w:eastAsia="es-CR"/>
          </w:rPr>
          <w:t>C.2.4. Ampliación y asfalto de una carretera</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_Toc525201208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48</w:t>
        </w:r>
        <w:r w:rsidR="00873FEC" w:rsidRPr="000624C7">
          <w:rPr>
            <w:rFonts w:ascii="Verdana" w:hAnsi="Verdana"/>
            <w:noProof/>
            <w:webHidden/>
            <w:sz w:val="20"/>
            <w:szCs w:val="20"/>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09" w:history="1">
        <w:r w:rsidR="00873FEC" w:rsidRPr="000624C7">
          <w:rPr>
            <w:rStyle w:val="Hyperlink"/>
            <w:rFonts w:ascii="Verdana" w:eastAsia="Cambria" w:hAnsi="Verdana" w:cs="Times"/>
            <w:i/>
            <w:noProof/>
            <w:color w:val="auto"/>
            <w:sz w:val="20"/>
            <w:szCs w:val="20"/>
            <w:u w:val="none"/>
            <w:lang w:val="es-CR" w:eastAsia="es-CR"/>
          </w:rPr>
          <w:t>C.2.5. Visita de la Corte</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_Toc525201209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48</w:t>
        </w:r>
        <w:r w:rsidR="00873FEC" w:rsidRPr="000624C7">
          <w:rPr>
            <w:rFonts w:ascii="Verdana" w:hAnsi="Verdana"/>
            <w:noProof/>
            <w:webHidden/>
            <w:sz w:val="20"/>
            <w:szCs w:val="20"/>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210" w:history="1">
        <w:r w:rsidR="00873FEC" w:rsidRPr="000624C7">
          <w:rPr>
            <w:rStyle w:val="Hyperlink"/>
            <w:rFonts w:ascii="Verdana" w:eastAsia="Cambria" w:hAnsi="Verdana" w:cs="Times"/>
            <w:i/>
            <w:noProof/>
            <w:color w:val="auto"/>
            <w:u w:val="none"/>
            <w:lang w:eastAsia="es-CR"/>
          </w:rPr>
          <w:t>D.</w:t>
        </w:r>
        <w:r w:rsidR="000624C7" w:rsidRPr="000624C7">
          <w:rPr>
            <w:rFonts w:ascii="Verdana" w:eastAsiaTheme="minorEastAsia" w:hAnsi="Verdana"/>
            <w:smallCaps w:val="0"/>
            <w:noProof/>
            <w:lang w:val="es-CR" w:eastAsia="es-CR"/>
          </w:rPr>
          <w:t xml:space="preserve"> </w:t>
        </w:r>
        <w:r w:rsidR="00873FEC" w:rsidRPr="000624C7">
          <w:rPr>
            <w:rStyle w:val="Hyperlink"/>
            <w:rFonts w:ascii="Verdana" w:eastAsia="Cambria" w:hAnsi="Verdana" w:cs="Times"/>
            <w:i/>
            <w:noProof/>
            <w:color w:val="auto"/>
            <w:u w:val="none"/>
            <w:lang w:eastAsia="es-CR"/>
          </w:rPr>
          <w:t>Otras medidas solicitadas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_Toc525201210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48</w:t>
        </w:r>
        <w:r w:rsidR="00873FEC" w:rsidRPr="000624C7">
          <w:rPr>
            <w:rFonts w:ascii="Verdana" w:hAnsi="Verdana"/>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211" w:history="1">
        <w:r w:rsidR="00873FEC" w:rsidRPr="000624C7">
          <w:rPr>
            <w:rStyle w:val="Hyperlink"/>
            <w:rFonts w:ascii="Verdana" w:eastAsia="Batang" w:hAnsi="Verdana" w:cs="Times"/>
            <w:i/>
            <w:noProof/>
            <w:color w:val="auto"/>
            <w:u w:val="none"/>
            <w:lang w:val="es-CR" w:eastAsia="es-CR"/>
          </w:rPr>
          <w:t>E.Indemnizaciones compensatorias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_Toc525201211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50</w:t>
        </w:r>
        <w:r w:rsidR="00873FEC" w:rsidRPr="000624C7">
          <w:rPr>
            <w:rFonts w:ascii="Verdana" w:hAnsi="Verdana"/>
            <w:noProof/>
            <w:webHidden/>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212" w:history="1">
        <w:r w:rsidR="00873FEC" w:rsidRPr="000624C7">
          <w:rPr>
            <w:rStyle w:val="Hyperlink"/>
            <w:rFonts w:ascii="Verdana" w:eastAsia="Cambria" w:hAnsi="Verdana" w:cs="Times"/>
            <w:noProof/>
            <w:color w:val="auto"/>
            <w:u w:val="none"/>
            <w:lang w:val="en-US" w:eastAsia="es-CR"/>
          </w:rPr>
          <w:t>E.1. Daño material</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_Toc525201212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50</w:t>
        </w:r>
        <w:r w:rsidR="00873FEC" w:rsidRPr="001808D1">
          <w:rPr>
            <w:rFonts w:ascii="Verdana" w:hAnsi="Verdana"/>
            <w:i w:val="0"/>
            <w:noProof/>
            <w:webHidden/>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13" w:history="1">
        <w:r w:rsidR="00873FEC" w:rsidRPr="000624C7">
          <w:rPr>
            <w:rStyle w:val="Hyperlink"/>
            <w:rFonts w:ascii="Verdana" w:eastAsia="Cambria" w:hAnsi="Verdana" w:cs="Times"/>
            <w:i/>
            <w:noProof/>
            <w:color w:val="auto"/>
            <w:sz w:val="20"/>
            <w:szCs w:val="20"/>
            <w:u w:val="none"/>
            <w:lang w:eastAsia="es-CR"/>
          </w:rPr>
          <w:t>E.1.1. Daño Emergente</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_Toc525201213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51</w:t>
        </w:r>
        <w:r w:rsidR="00873FEC" w:rsidRPr="000624C7">
          <w:rPr>
            <w:rFonts w:ascii="Verdana" w:hAnsi="Verdana"/>
            <w:noProof/>
            <w:webHidden/>
            <w:sz w:val="20"/>
            <w:szCs w:val="20"/>
          </w:rPr>
          <w:fldChar w:fldCharType="end"/>
        </w:r>
      </w:hyperlink>
    </w:p>
    <w:p w:rsidR="00873FEC" w:rsidRPr="000624C7" w:rsidRDefault="00B9342F" w:rsidP="00126E97">
      <w:pPr>
        <w:pStyle w:val="TOC4"/>
        <w:tabs>
          <w:tab w:val="right" w:leader="dot" w:pos="8828"/>
        </w:tabs>
        <w:spacing w:line="20" w:lineRule="atLeast"/>
        <w:jc w:val="both"/>
        <w:rPr>
          <w:rFonts w:ascii="Verdana" w:eastAsiaTheme="minorEastAsia" w:hAnsi="Verdana"/>
          <w:noProof/>
          <w:sz w:val="20"/>
          <w:szCs w:val="20"/>
          <w:lang w:val="es-CR" w:eastAsia="es-CR"/>
        </w:rPr>
      </w:pPr>
      <w:hyperlink w:anchor="_Toc525201214" w:history="1">
        <w:r w:rsidR="00873FEC" w:rsidRPr="000624C7">
          <w:rPr>
            <w:rStyle w:val="Hyperlink"/>
            <w:rFonts w:ascii="Verdana" w:eastAsia="Cambria" w:hAnsi="Verdana" w:cs="Times"/>
            <w:i/>
            <w:noProof/>
            <w:color w:val="auto"/>
            <w:sz w:val="20"/>
            <w:szCs w:val="20"/>
            <w:u w:val="none"/>
            <w:lang w:eastAsia="es-CR"/>
          </w:rPr>
          <w:t>E.1.2. Lucro Cesante</w:t>
        </w:r>
        <w:r w:rsidR="00873FEC" w:rsidRPr="000624C7">
          <w:rPr>
            <w:rFonts w:ascii="Verdana" w:hAnsi="Verdana"/>
            <w:noProof/>
            <w:webHidden/>
            <w:sz w:val="20"/>
            <w:szCs w:val="20"/>
          </w:rPr>
          <w:tab/>
        </w:r>
        <w:r w:rsidR="00873FEC" w:rsidRPr="000624C7">
          <w:rPr>
            <w:rFonts w:ascii="Verdana" w:hAnsi="Verdana"/>
            <w:noProof/>
            <w:webHidden/>
            <w:sz w:val="20"/>
            <w:szCs w:val="20"/>
          </w:rPr>
          <w:fldChar w:fldCharType="begin"/>
        </w:r>
        <w:r w:rsidR="00873FEC" w:rsidRPr="000624C7">
          <w:rPr>
            <w:rFonts w:ascii="Verdana" w:hAnsi="Verdana"/>
            <w:noProof/>
            <w:webHidden/>
            <w:sz w:val="20"/>
            <w:szCs w:val="20"/>
          </w:rPr>
          <w:instrText xml:space="preserve"> PAGEREF _Toc525201214 \h </w:instrText>
        </w:r>
        <w:r w:rsidR="00873FEC" w:rsidRPr="000624C7">
          <w:rPr>
            <w:rFonts w:ascii="Verdana" w:hAnsi="Verdana"/>
            <w:noProof/>
            <w:webHidden/>
            <w:sz w:val="20"/>
            <w:szCs w:val="20"/>
          </w:rPr>
        </w:r>
        <w:r w:rsidR="00873FEC" w:rsidRPr="000624C7">
          <w:rPr>
            <w:rFonts w:ascii="Verdana" w:hAnsi="Verdana"/>
            <w:noProof/>
            <w:webHidden/>
            <w:sz w:val="20"/>
            <w:szCs w:val="20"/>
          </w:rPr>
          <w:fldChar w:fldCharType="separate"/>
        </w:r>
        <w:r>
          <w:rPr>
            <w:rFonts w:ascii="Verdana" w:hAnsi="Verdana"/>
            <w:noProof/>
            <w:webHidden/>
            <w:sz w:val="20"/>
            <w:szCs w:val="20"/>
          </w:rPr>
          <w:t>51</w:t>
        </w:r>
        <w:r w:rsidR="00873FEC" w:rsidRPr="000624C7">
          <w:rPr>
            <w:rFonts w:ascii="Verdana" w:hAnsi="Verdana"/>
            <w:noProof/>
            <w:webHidden/>
            <w:sz w:val="20"/>
            <w:szCs w:val="20"/>
          </w:rPr>
          <w:fldChar w:fldCharType="end"/>
        </w:r>
      </w:hyperlink>
    </w:p>
    <w:p w:rsidR="00873FEC" w:rsidRPr="000624C7" w:rsidRDefault="00B9342F" w:rsidP="00126E97">
      <w:pPr>
        <w:pStyle w:val="TOC3"/>
        <w:tabs>
          <w:tab w:val="right" w:leader="dot" w:pos="8828"/>
        </w:tabs>
        <w:spacing w:line="20" w:lineRule="atLeast"/>
        <w:jc w:val="both"/>
        <w:rPr>
          <w:rFonts w:ascii="Verdana" w:eastAsiaTheme="minorEastAsia" w:hAnsi="Verdana"/>
          <w:i w:val="0"/>
          <w:iCs w:val="0"/>
          <w:noProof/>
          <w:lang w:val="es-CR" w:eastAsia="es-CR"/>
        </w:rPr>
      </w:pPr>
      <w:hyperlink w:anchor="_Toc525201215" w:history="1">
        <w:r w:rsidR="00873FEC" w:rsidRPr="000624C7">
          <w:rPr>
            <w:rStyle w:val="Hyperlink"/>
            <w:rFonts w:ascii="Verdana" w:eastAsia="Cambria" w:hAnsi="Verdana" w:cs="Times"/>
            <w:noProof/>
            <w:color w:val="auto"/>
            <w:u w:val="none"/>
            <w:lang w:val="en-US" w:eastAsia="es-CR"/>
          </w:rPr>
          <w:t>E.2. Daño inmaterial</w:t>
        </w:r>
        <w:r w:rsidR="00873FEC" w:rsidRPr="000624C7">
          <w:rPr>
            <w:rFonts w:ascii="Verdana" w:hAnsi="Verdana"/>
            <w:noProof/>
            <w:webHidden/>
          </w:rPr>
          <w:tab/>
        </w:r>
        <w:r w:rsidR="00873FEC" w:rsidRPr="001808D1">
          <w:rPr>
            <w:rFonts w:ascii="Verdana" w:hAnsi="Verdana"/>
            <w:i w:val="0"/>
            <w:noProof/>
            <w:webHidden/>
          </w:rPr>
          <w:fldChar w:fldCharType="begin"/>
        </w:r>
        <w:r w:rsidR="00873FEC" w:rsidRPr="001808D1">
          <w:rPr>
            <w:rFonts w:ascii="Verdana" w:hAnsi="Verdana"/>
            <w:i w:val="0"/>
            <w:noProof/>
            <w:webHidden/>
          </w:rPr>
          <w:instrText xml:space="preserve"> PAGEREF _Toc525201215 \h </w:instrText>
        </w:r>
        <w:r w:rsidR="00873FEC" w:rsidRPr="001808D1">
          <w:rPr>
            <w:rFonts w:ascii="Verdana" w:hAnsi="Verdana"/>
            <w:i w:val="0"/>
            <w:noProof/>
            <w:webHidden/>
          </w:rPr>
        </w:r>
        <w:r w:rsidR="00873FEC" w:rsidRPr="001808D1">
          <w:rPr>
            <w:rFonts w:ascii="Verdana" w:hAnsi="Verdana"/>
            <w:i w:val="0"/>
            <w:noProof/>
            <w:webHidden/>
          </w:rPr>
          <w:fldChar w:fldCharType="separate"/>
        </w:r>
        <w:r>
          <w:rPr>
            <w:rFonts w:ascii="Verdana" w:hAnsi="Verdana"/>
            <w:i w:val="0"/>
            <w:noProof/>
            <w:webHidden/>
          </w:rPr>
          <w:t>53</w:t>
        </w:r>
        <w:r w:rsidR="00873FEC" w:rsidRPr="001808D1">
          <w:rPr>
            <w:rFonts w:ascii="Verdana" w:hAnsi="Verdana"/>
            <w:i w:val="0"/>
            <w:noProof/>
            <w:webHidden/>
          </w:rPr>
          <w:fldChar w:fldCharType="end"/>
        </w:r>
      </w:hyperlink>
    </w:p>
    <w:p w:rsidR="00873FEC" w:rsidRPr="000624C7" w:rsidRDefault="00B9342F" w:rsidP="00126E97">
      <w:pPr>
        <w:pStyle w:val="TOC2"/>
        <w:tabs>
          <w:tab w:val="left" w:pos="660"/>
          <w:tab w:val="right" w:leader="dot" w:pos="8828"/>
        </w:tabs>
        <w:spacing w:line="20" w:lineRule="atLeast"/>
        <w:jc w:val="both"/>
        <w:rPr>
          <w:rFonts w:ascii="Verdana" w:eastAsiaTheme="minorEastAsia" w:hAnsi="Verdana"/>
          <w:smallCaps w:val="0"/>
          <w:noProof/>
          <w:lang w:val="es-CR" w:eastAsia="es-CR"/>
        </w:rPr>
      </w:pPr>
      <w:hyperlink w:anchor="_Toc525201216" w:history="1">
        <w:r w:rsidR="00873FEC" w:rsidRPr="000624C7">
          <w:rPr>
            <w:rStyle w:val="Hyperlink"/>
            <w:rFonts w:ascii="Verdana" w:eastAsia="Cambria" w:hAnsi="Verdana" w:cs="Times"/>
            <w:i/>
            <w:noProof/>
            <w:color w:val="auto"/>
            <w:u w:val="none"/>
            <w:lang w:eastAsia="es-CR"/>
          </w:rPr>
          <w:t>F.</w:t>
        </w:r>
        <w:r w:rsidR="000624C7" w:rsidRPr="000624C7">
          <w:rPr>
            <w:rFonts w:ascii="Verdana" w:eastAsiaTheme="minorEastAsia" w:hAnsi="Verdana"/>
            <w:smallCaps w:val="0"/>
            <w:noProof/>
            <w:lang w:val="es-CR" w:eastAsia="es-CR"/>
          </w:rPr>
          <w:t xml:space="preserve"> </w:t>
        </w:r>
        <w:r w:rsidR="00873FEC" w:rsidRPr="000624C7">
          <w:rPr>
            <w:rStyle w:val="Hyperlink"/>
            <w:rFonts w:ascii="Verdana" w:eastAsia="Cambria" w:hAnsi="Verdana" w:cs="Times"/>
            <w:i/>
            <w:noProof/>
            <w:color w:val="auto"/>
            <w:u w:val="none"/>
            <w:lang w:val="en-US" w:eastAsia="es-CR"/>
          </w:rPr>
          <w:t>Costas y Gastos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_Toc525201216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55</w:t>
        </w:r>
        <w:r w:rsidR="00873FEC" w:rsidRPr="000624C7">
          <w:rPr>
            <w:rFonts w:ascii="Verdana" w:hAnsi="Verdana"/>
            <w:noProof/>
            <w:webHidden/>
          </w:rPr>
          <w:fldChar w:fldCharType="end"/>
        </w:r>
      </w:hyperlink>
    </w:p>
    <w:p w:rsidR="00873FEC" w:rsidRPr="000624C7" w:rsidRDefault="00B9342F" w:rsidP="00126E97">
      <w:pPr>
        <w:pStyle w:val="TOC2"/>
        <w:tabs>
          <w:tab w:val="left" w:pos="880"/>
          <w:tab w:val="right" w:leader="dot" w:pos="8828"/>
        </w:tabs>
        <w:spacing w:line="20" w:lineRule="atLeast"/>
        <w:jc w:val="both"/>
        <w:rPr>
          <w:rFonts w:ascii="Verdana" w:eastAsiaTheme="minorEastAsia" w:hAnsi="Verdana"/>
          <w:smallCaps w:val="0"/>
          <w:noProof/>
          <w:lang w:val="es-CR" w:eastAsia="es-CR"/>
        </w:rPr>
      </w:pPr>
      <w:hyperlink w:anchor="_Toc525201217" w:history="1">
        <w:r w:rsidR="00873FEC" w:rsidRPr="000624C7">
          <w:rPr>
            <w:rStyle w:val="Hyperlink"/>
            <w:rFonts w:ascii="Verdana" w:eastAsia="Cambria" w:hAnsi="Verdana" w:cs="Times"/>
            <w:i/>
            <w:noProof/>
            <w:color w:val="auto"/>
            <w:u w:val="none"/>
            <w:lang w:val="es-CR" w:eastAsia="es-CR"/>
          </w:rPr>
          <w:t>G.</w:t>
        </w:r>
        <w:r w:rsidR="000624C7" w:rsidRPr="000624C7">
          <w:rPr>
            <w:rFonts w:ascii="Verdana" w:eastAsiaTheme="minorEastAsia" w:hAnsi="Verdana"/>
            <w:smallCaps w:val="0"/>
            <w:noProof/>
            <w:lang w:val="es-CR" w:eastAsia="es-CR"/>
          </w:rPr>
          <w:t xml:space="preserve"> </w:t>
        </w:r>
        <w:r w:rsidR="00873FEC" w:rsidRPr="000624C7">
          <w:rPr>
            <w:rStyle w:val="Hyperlink"/>
            <w:rFonts w:ascii="Verdana" w:eastAsia="Cambria" w:hAnsi="Verdana" w:cs="Times"/>
            <w:i/>
            <w:noProof/>
            <w:color w:val="auto"/>
            <w:u w:val="none"/>
            <w:lang w:val="es-CR" w:eastAsia="es-CR"/>
          </w:rPr>
          <w:t>Modalidad de cumplimiento de los pagos ordenados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_Toc525201217 \h </w:instrText>
        </w:r>
        <w:r w:rsidR="00873FEC" w:rsidRPr="000624C7">
          <w:rPr>
            <w:rFonts w:ascii="Verdana" w:hAnsi="Verdana"/>
            <w:noProof/>
            <w:webHidden/>
          </w:rPr>
        </w:r>
        <w:r w:rsidR="00873FEC" w:rsidRPr="000624C7">
          <w:rPr>
            <w:rFonts w:ascii="Verdana" w:hAnsi="Verdana"/>
            <w:noProof/>
            <w:webHidden/>
          </w:rPr>
          <w:fldChar w:fldCharType="separate"/>
        </w:r>
        <w:r>
          <w:rPr>
            <w:rFonts w:ascii="Verdana" w:hAnsi="Verdana"/>
            <w:noProof/>
            <w:webHidden/>
          </w:rPr>
          <w:t>56</w:t>
        </w:r>
        <w:r w:rsidR="00873FEC" w:rsidRPr="000624C7">
          <w:rPr>
            <w:rFonts w:ascii="Verdana" w:hAnsi="Verdana"/>
            <w:noProof/>
            <w:webHidden/>
          </w:rPr>
          <w:fldChar w:fldCharType="end"/>
        </w:r>
      </w:hyperlink>
    </w:p>
    <w:p w:rsidR="00873FEC" w:rsidRPr="000624C7" w:rsidRDefault="001E3D1E" w:rsidP="00126E97">
      <w:pPr>
        <w:pStyle w:val="TOC1"/>
        <w:tabs>
          <w:tab w:val="right" w:leader="dot" w:pos="8828"/>
        </w:tabs>
        <w:spacing w:before="0" w:after="0" w:line="20" w:lineRule="atLeast"/>
        <w:jc w:val="both"/>
        <w:rPr>
          <w:rFonts w:ascii="Verdana" w:eastAsiaTheme="minorEastAsia" w:hAnsi="Verdana"/>
          <w:b w:val="0"/>
          <w:bCs w:val="0"/>
          <w:caps w:val="0"/>
          <w:noProof/>
          <w:lang w:val="es-CR" w:eastAsia="es-CR"/>
        </w:rPr>
      </w:pPr>
      <w:r w:rsidRPr="001E3D1E">
        <w:rPr>
          <w:rFonts w:ascii="Verdana" w:hAnsi="Verdana"/>
        </w:rPr>
        <w:t>I</w:t>
      </w:r>
      <w:hyperlink w:anchor="_Toc525201218" w:history="1">
        <w:r w:rsidR="00873FEC" w:rsidRPr="000624C7">
          <w:rPr>
            <w:rStyle w:val="Hyperlink"/>
            <w:rFonts w:ascii="Verdana" w:eastAsia="Calibri" w:hAnsi="Verdana" w:cs="Times"/>
            <w:noProof/>
            <w:color w:val="auto"/>
            <w:u w:val="none"/>
            <w:lang w:eastAsia="es-CR"/>
          </w:rPr>
          <w:t>X</w:t>
        </w:r>
      </w:hyperlink>
      <w:r w:rsidR="000624C7" w:rsidRPr="000624C7">
        <w:rPr>
          <w:rStyle w:val="Hyperlink"/>
          <w:rFonts w:ascii="Verdana" w:hAnsi="Verdana"/>
          <w:noProof/>
          <w:color w:val="auto"/>
          <w:u w:val="none"/>
        </w:rPr>
        <w:t xml:space="preserve"> </w:t>
      </w:r>
      <w:hyperlink w:anchor="_Toc525201219" w:history="1">
        <w:r w:rsidR="00873FEC" w:rsidRPr="000624C7">
          <w:rPr>
            <w:rStyle w:val="Hyperlink"/>
            <w:rFonts w:ascii="Verdana" w:eastAsia="Calibri" w:hAnsi="Verdana" w:cs="Times"/>
            <w:noProof/>
            <w:color w:val="auto"/>
            <w:u w:val="none"/>
            <w:lang w:eastAsia="es-CR"/>
          </w:rPr>
          <w:t>PUNTOS RESOLUTIVOS</w:t>
        </w:r>
        <w:r w:rsidR="00873FEC" w:rsidRPr="000624C7">
          <w:rPr>
            <w:rFonts w:ascii="Verdana" w:hAnsi="Verdana"/>
            <w:noProof/>
            <w:webHidden/>
          </w:rPr>
          <w:tab/>
        </w:r>
        <w:r w:rsidR="00873FEC" w:rsidRPr="000624C7">
          <w:rPr>
            <w:rFonts w:ascii="Verdana" w:hAnsi="Verdana"/>
            <w:noProof/>
            <w:webHidden/>
          </w:rPr>
          <w:fldChar w:fldCharType="begin"/>
        </w:r>
        <w:r w:rsidR="00873FEC" w:rsidRPr="000624C7">
          <w:rPr>
            <w:rFonts w:ascii="Verdana" w:hAnsi="Verdana"/>
            <w:noProof/>
            <w:webHidden/>
          </w:rPr>
          <w:instrText xml:space="preserve"> PAGEREF _Toc525201219 \h </w:instrText>
        </w:r>
        <w:r w:rsidR="00873FEC" w:rsidRPr="000624C7">
          <w:rPr>
            <w:rFonts w:ascii="Verdana" w:hAnsi="Verdana"/>
            <w:noProof/>
            <w:webHidden/>
          </w:rPr>
        </w:r>
        <w:r w:rsidR="00873FEC" w:rsidRPr="000624C7">
          <w:rPr>
            <w:rFonts w:ascii="Verdana" w:hAnsi="Verdana"/>
            <w:noProof/>
            <w:webHidden/>
          </w:rPr>
          <w:fldChar w:fldCharType="separate"/>
        </w:r>
        <w:r w:rsidR="00B9342F">
          <w:rPr>
            <w:rFonts w:ascii="Verdana" w:hAnsi="Verdana"/>
            <w:noProof/>
            <w:webHidden/>
          </w:rPr>
          <w:t>57</w:t>
        </w:r>
        <w:r w:rsidR="00873FEC" w:rsidRPr="000624C7">
          <w:rPr>
            <w:rFonts w:ascii="Verdana" w:hAnsi="Verdana"/>
            <w:noProof/>
            <w:webHidden/>
          </w:rPr>
          <w:fldChar w:fldCharType="end"/>
        </w:r>
      </w:hyperlink>
    </w:p>
    <w:p w:rsidR="00595BC3" w:rsidRPr="00873FEC" w:rsidRDefault="00595BC3" w:rsidP="00126E97">
      <w:pPr>
        <w:tabs>
          <w:tab w:val="right" w:pos="9214"/>
        </w:tabs>
        <w:spacing w:after="0" w:line="20" w:lineRule="atLeast"/>
        <w:ind w:right="-283"/>
        <w:jc w:val="both"/>
        <w:rPr>
          <w:rFonts w:ascii="Verdana" w:eastAsia="Batang" w:hAnsi="Verdana" w:cs="Times"/>
          <w:b/>
          <w:sz w:val="20"/>
          <w:szCs w:val="24"/>
          <w:lang w:val="es-CR" w:eastAsia="es-CR"/>
        </w:rPr>
      </w:pPr>
      <w:r w:rsidRPr="000624C7">
        <w:rPr>
          <w:rFonts w:ascii="Verdana" w:eastAsia="Batang" w:hAnsi="Verdana" w:cs="Times"/>
          <w:b/>
          <w:sz w:val="20"/>
          <w:szCs w:val="20"/>
          <w:lang w:val="es-CR" w:eastAsia="es-CR"/>
        </w:rPr>
        <w:fldChar w:fldCharType="end"/>
      </w:r>
    </w:p>
    <w:p w:rsidR="00595BC3" w:rsidRPr="00873FEC" w:rsidRDefault="00595BC3" w:rsidP="00126E97">
      <w:pPr>
        <w:tabs>
          <w:tab w:val="right" w:pos="9214"/>
        </w:tabs>
        <w:spacing w:after="0" w:line="20" w:lineRule="atLeast"/>
        <w:ind w:right="-283"/>
        <w:jc w:val="center"/>
        <w:rPr>
          <w:rFonts w:ascii="Verdana" w:eastAsia="Batang" w:hAnsi="Verdana" w:cs="Times"/>
          <w:b/>
          <w:sz w:val="20"/>
          <w:szCs w:val="24"/>
          <w:lang w:val="es-CR" w:eastAsia="es-CR"/>
        </w:rPr>
      </w:pPr>
      <w:r w:rsidRPr="00873FEC">
        <w:rPr>
          <w:rFonts w:ascii="Verdana" w:eastAsia="Batang" w:hAnsi="Verdana" w:cs="Times"/>
          <w:b/>
          <w:sz w:val="20"/>
          <w:szCs w:val="24"/>
          <w:lang w:val="es-CR" w:eastAsia="es-CR"/>
        </w:rPr>
        <w:br w:type="page"/>
      </w:r>
    </w:p>
    <w:p w:rsidR="00595BC3" w:rsidRPr="00873FEC" w:rsidRDefault="00595BC3" w:rsidP="00126E97">
      <w:pPr>
        <w:tabs>
          <w:tab w:val="right" w:pos="9214"/>
        </w:tabs>
        <w:spacing w:after="0" w:line="20" w:lineRule="atLeast"/>
        <w:ind w:right="-283"/>
        <w:jc w:val="center"/>
        <w:rPr>
          <w:rFonts w:ascii="Verdana" w:eastAsia="Batang" w:hAnsi="Verdana" w:cs="Times"/>
          <w:b/>
          <w:sz w:val="20"/>
          <w:szCs w:val="24"/>
          <w:lang w:val="es-CR" w:eastAsia="es-CR"/>
        </w:rPr>
      </w:pPr>
    </w:p>
    <w:p w:rsidR="006166D8" w:rsidRPr="00873FEC" w:rsidRDefault="006166D8" w:rsidP="00126E97">
      <w:pPr>
        <w:pStyle w:val="Heading1"/>
        <w:spacing w:before="0" w:line="20" w:lineRule="atLeast"/>
        <w:jc w:val="center"/>
        <w:rPr>
          <w:rFonts w:ascii="Verdana" w:eastAsia="Batang" w:hAnsi="Verdana" w:cs="Times"/>
          <w:color w:val="auto"/>
          <w:sz w:val="20"/>
          <w:szCs w:val="20"/>
          <w:lang w:val="es-CR" w:eastAsia="es-CR"/>
        </w:rPr>
      </w:pPr>
      <w:bookmarkStart w:id="0" w:name="_Toc525201143"/>
      <w:r w:rsidRPr="00873FEC">
        <w:rPr>
          <w:rFonts w:ascii="Verdana" w:eastAsia="Batang" w:hAnsi="Verdana" w:cs="Times"/>
          <w:color w:val="auto"/>
          <w:sz w:val="20"/>
          <w:szCs w:val="24"/>
          <w:lang w:val="es-CR" w:eastAsia="es-CR"/>
        </w:rPr>
        <w:t>I.</w:t>
      </w:r>
      <w:r w:rsidRPr="00873FEC">
        <w:rPr>
          <w:rFonts w:ascii="Verdana" w:eastAsia="Batang" w:hAnsi="Verdana" w:cs="Times"/>
          <w:color w:val="auto"/>
          <w:sz w:val="20"/>
          <w:szCs w:val="24"/>
          <w:lang w:val="es-CR" w:eastAsia="es-CR"/>
        </w:rPr>
        <w:br/>
        <w:t>INTRODUCCIÓN DE LA CAUSA Y OBJETO DE LA CONTROVERSIA</w:t>
      </w:r>
      <w:bookmarkEnd w:id="0"/>
    </w:p>
    <w:p w:rsidR="006166D8" w:rsidRPr="00873FEC" w:rsidRDefault="006166D8" w:rsidP="00126E97">
      <w:pPr>
        <w:spacing w:after="0" w:line="20" w:lineRule="atLeast"/>
        <w:jc w:val="both"/>
        <w:rPr>
          <w:rFonts w:ascii="Verdana" w:eastAsia="Batang" w:hAnsi="Verdana" w:cs="Times"/>
          <w:sz w:val="20"/>
          <w:szCs w:val="24"/>
          <w:lang w:val="es-CR" w:eastAsia="es-CR"/>
        </w:rPr>
      </w:pPr>
    </w:p>
    <w:p w:rsidR="006166D8" w:rsidRPr="00873FEC" w:rsidRDefault="006166D8" w:rsidP="00126E97">
      <w:pPr>
        <w:numPr>
          <w:ilvl w:val="0"/>
          <w:numId w:val="3"/>
        </w:numPr>
        <w:spacing w:after="0" w:line="20" w:lineRule="atLeast"/>
        <w:ind w:right="6"/>
        <w:jc w:val="both"/>
        <w:rPr>
          <w:rFonts w:ascii="Verdana" w:eastAsia="Batang" w:hAnsi="Verdana" w:cs="Times"/>
          <w:sz w:val="20"/>
          <w:szCs w:val="20"/>
          <w:lang w:val="es-CR" w:eastAsia="es-CR"/>
        </w:rPr>
      </w:pPr>
      <w:r w:rsidRPr="00873FEC">
        <w:rPr>
          <w:rFonts w:ascii="Verdana" w:eastAsia="Batang" w:hAnsi="Verdana" w:cs="Times"/>
          <w:i/>
          <w:sz w:val="20"/>
          <w:szCs w:val="20"/>
          <w:lang w:eastAsia="es-CR"/>
        </w:rPr>
        <w:t xml:space="preserve">El caso </w:t>
      </w:r>
      <w:r w:rsidRPr="00873FEC">
        <w:rPr>
          <w:rFonts w:ascii="Verdana" w:eastAsia="Batang" w:hAnsi="Verdana" w:cs="Times"/>
          <w:i/>
          <w:sz w:val="20"/>
          <w:szCs w:val="20"/>
          <w:lang w:val="es-CR" w:eastAsia="es-CR"/>
        </w:rPr>
        <w:t>sometido</w:t>
      </w:r>
      <w:r w:rsidRPr="00873FEC">
        <w:rPr>
          <w:rFonts w:ascii="Verdana" w:eastAsia="Batang" w:hAnsi="Verdana" w:cs="Times"/>
          <w:i/>
          <w:sz w:val="20"/>
          <w:szCs w:val="20"/>
          <w:lang w:eastAsia="es-CR"/>
        </w:rPr>
        <w:t xml:space="preserve"> a la Corte. </w:t>
      </w:r>
      <w:r w:rsidRPr="00873FEC">
        <w:rPr>
          <w:rFonts w:ascii="Verdana" w:eastAsia="Calibri" w:hAnsi="Verdana" w:cs="Times"/>
          <w:sz w:val="20"/>
          <w:szCs w:val="20"/>
          <w:lang w:eastAsia="es-CR"/>
        </w:rPr>
        <w:t xml:space="preserve">– </w:t>
      </w:r>
      <w:r w:rsidRPr="00873FEC">
        <w:rPr>
          <w:rFonts w:ascii="Verdana" w:eastAsia="Batang" w:hAnsi="Verdana" w:cs="Times"/>
          <w:sz w:val="20"/>
          <w:szCs w:val="20"/>
          <w:lang w:val="es-CR" w:eastAsia="es-CR"/>
        </w:rPr>
        <w:t xml:space="preserve">El 21 de septiembre de 2016 la Comisión Interamericana de Derechos Humanos (en adelante también “la Comisión Interamericana” o “la Comisión”) sometió a la Corte el caso </w:t>
      </w:r>
      <w:proofErr w:type="spellStart"/>
      <w:r w:rsidRPr="00873FEC">
        <w:rPr>
          <w:rFonts w:ascii="Verdana" w:eastAsia="Batang" w:hAnsi="Verdana" w:cs="Times"/>
          <w:i/>
          <w:sz w:val="20"/>
          <w:szCs w:val="20"/>
          <w:lang w:val="es-CR" w:eastAsia="es-CR"/>
        </w:rPr>
        <w:t>Coc</w:t>
      </w:r>
      <w:proofErr w:type="spellEnd"/>
      <w:r w:rsidRPr="00873FEC">
        <w:rPr>
          <w:rFonts w:ascii="Verdana" w:eastAsia="Batang" w:hAnsi="Verdana" w:cs="Times"/>
          <w:i/>
          <w:sz w:val="20"/>
          <w:szCs w:val="20"/>
          <w:lang w:val="es-CR" w:eastAsia="es-CR"/>
        </w:rPr>
        <w:t xml:space="preserve"> Max y otros (Masacre de </w:t>
      </w:r>
      <w:proofErr w:type="spellStart"/>
      <w:r w:rsidRPr="00873FEC">
        <w:rPr>
          <w:rFonts w:ascii="Verdana" w:eastAsia="Batang" w:hAnsi="Verdana" w:cs="Times"/>
          <w:i/>
          <w:sz w:val="20"/>
          <w:szCs w:val="20"/>
          <w:lang w:val="es-CR" w:eastAsia="es-CR"/>
        </w:rPr>
        <w:t>Xamán</w:t>
      </w:r>
      <w:proofErr w:type="spellEnd"/>
      <w:r w:rsidRPr="00873FEC">
        <w:rPr>
          <w:rFonts w:ascii="Verdana" w:eastAsia="Batang" w:hAnsi="Verdana" w:cs="Times"/>
          <w:i/>
          <w:sz w:val="20"/>
          <w:szCs w:val="20"/>
          <w:lang w:val="es-CR" w:eastAsia="es-CR"/>
        </w:rPr>
        <w:t>) contra la República de Guatemala</w:t>
      </w:r>
      <w:r w:rsidRPr="00873FEC">
        <w:rPr>
          <w:rFonts w:ascii="Verdana" w:eastAsia="Batang" w:hAnsi="Verdana" w:cs="Times"/>
          <w:sz w:val="20"/>
          <w:szCs w:val="20"/>
          <w:lang w:val="es-CR" w:eastAsia="es-CR"/>
        </w:rPr>
        <w:t>.</w:t>
      </w:r>
      <w:r w:rsidRPr="00873FEC">
        <w:rPr>
          <w:rFonts w:ascii="Verdana" w:eastAsia="Batang" w:hAnsi="Verdana" w:cs="Times"/>
          <w:color w:val="000000"/>
          <w:sz w:val="20"/>
          <w:szCs w:val="20"/>
          <w:lang w:val="es-CR" w:eastAsia="es-CR"/>
        </w:rPr>
        <w:t xml:space="preserve"> De acuerdo con lo indicado por la Comisión, </w:t>
      </w:r>
      <w:r w:rsidRPr="00873FEC">
        <w:rPr>
          <w:rFonts w:ascii="Verdana" w:eastAsia="Batang" w:hAnsi="Verdana" w:cs="Times"/>
          <w:sz w:val="20"/>
          <w:szCs w:val="20"/>
          <w:lang w:val="es-CR" w:eastAsia="es-CR"/>
        </w:rPr>
        <w:t xml:space="preserve">el caso se refiere a la presunta ejecución de una “masacre” por miembros de las Fuerzas Armadas de la República de Guatemala el 5 de octubre de 1995 en contra de 11 personas, incluyendo una niña y dos niños, que formaban parte de la población indígena </w:t>
      </w:r>
      <w:proofErr w:type="spellStart"/>
      <w:r w:rsidRPr="00873FEC">
        <w:rPr>
          <w:rFonts w:ascii="Verdana" w:eastAsia="Batang" w:hAnsi="Verdana" w:cs="Times"/>
          <w:sz w:val="20"/>
          <w:szCs w:val="20"/>
          <w:lang w:val="es-CR" w:eastAsia="es-CR"/>
        </w:rPr>
        <w:t>q'eqchi</w:t>
      </w:r>
      <w:proofErr w:type="spellEnd"/>
      <w:r w:rsidRPr="00873FEC">
        <w:rPr>
          <w:rFonts w:ascii="Verdana" w:eastAsia="Batang" w:hAnsi="Verdana" w:cs="Times"/>
          <w:sz w:val="20"/>
          <w:szCs w:val="20"/>
          <w:lang w:val="es-CR" w:eastAsia="es-CR"/>
        </w:rPr>
        <w:t xml:space="preserve">', </w:t>
      </w:r>
      <w:proofErr w:type="spellStart"/>
      <w:r w:rsidRPr="00873FEC">
        <w:rPr>
          <w:rFonts w:ascii="Verdana" w:eastAsia="Batang" w:hAnsi="Verdana" w:cs="Times"/>
          <w:sz w:val="20"/>
          <w:szCs w:val="20"/>
          <w:lang w:val="es-CR" w:eastAsia="es-CR"/>
        </w:rPr>
        <w:t>mam</w:t>
      </w:r>
      <w:proofErr w:type="spellEnd"/>
      <w:r w:rsidRPr="00873FEC">
        <w:rPr>
          <w:rFonts w:ascii="Verdana" w:eastAsia="Batang" w:hAnsi="Verdana" w:cs="Times"/>
          <w:sz w:val="20"/>
          <w:szCs w:val="20"/>
          <w:lang w:val="es-CR" w:eastAsia="es-CR"/>
        </w:rPr>
        <w:t xml:space="preserve">, </w:t>
      </w:r>
      <w:proofErr w:type="spellStart"/>
      <w:r w:rsidRPr="00873FEC">
        <w:rPr>
          <w:rFonts w:ascii="Verdana" w:eastAsia="Batang" w:hAnsi="Verdana" w:cs="Times"/>
          <w:sz w:val="20"/>
          <w:szCs w:val="20"/>
          <w:lang w:val="es-CR" w:eastAsia="es-CR"/>
        </w:rPr>
        <w:t>q'anjob'al</w:t>
      </w:r>
      <w:proofErr w:type="spellEnd"/>
      <w:r w:rsidRPr="00873FEC">
        <w:rPr>
          <w:rFonts w:ascii="Verdana" w:eastAsia="Batang" w:hAnsi="Verdana" w:cs="Times"/>
          <w:sz w:val="20"/>
          <w:szCs w:val="20"/>
          <w:lang w:val="es-CR" w:eastAsia="es-CR"/>
        </w:rPr>
        <w:t xml:space="preserve">, </w:t>
      </w:r>
      <w:proofErr w:type="spellStart"/>
      <w:r w:rsidRPr="00873FEC">
        <w:rPr>
          <w:rFonts w:ascii="Verdana" w:eastAsia="Batang" w:hAnsi="Verdana" w:cs="Times"/>
          <w:sz w:val="20"/>
          <w:szCs w:val="20"/>
          <w:lang w:val="es-CR" w:eastAsia="es-CR"/>
        </w:rPr>
        <w:t>ixil</w:t>
      </w:r>
      <w:proofErr w:type="spellEnd"/>
      <w:r w:rsidRPr="00873FEC">
        <w:rPr>
          <w:rFonts w:ascii="Verdana" w:eastAsia="Batang" w:hAnsi="Verdana" w:cs="Times"/>
          <w:sz w:val="20"/>
          <w:szCs w:val="20"/>
          <w:lang w:val="es-CR" w:eastAsia="es-CR"/>
        </w:rPr>
        <w:t xml:space="preserve"> y </w:t>
      </w:r>
      <w:proofErr w:type="spellStart"/>
      <w:r w:rsidRPr="00873FEC">
        <w:rPr>
          <w:rFonts w:ascii="Verdana" w:eastAsia="Batang" w:hAnsi="Verdana" w:cs="Times"/>
          <w:sz w:val="20"/>
          <w:szCs w:val="20"/>
          <w:lang w:val="es-CR" w:eastAsia="es-CR"/>
        </w:rPr>
        <w:t>k'iche</w:t>
      </w:r>
      <w:proofErr w:type="spellEnd"/>
      <w:r w:rsidRPr="00873FEC">
        <w:rPr>
          <w:rFonts w:ascii="Verdana" w:eastAsia="Batang" w:hAnsi="Verdana" w:cs="Times"/>
          <w:sz w:val="20"/>
          <w:szCs w:val="20"/>
          <w:lang w:val="es-CR" w:eastAsia="es-CR"/>
        </w:rPr>
        <w:t xml:space="preserve">, que ocupaba la finca </w:t>
      </w:r>
      <w:proofErr w:type="spellStart"/>
      <w:r w:rsidRPr="00873FEC">
        <w:rPr>
          <w:rFonts w:ascii="Verdana" w:eastAsia="Batang" w:hAnsi="Verdana" w:cs="Times"/>
          <w:sz w:val="20"/>
          <w:szCs w:val="20"/>
          <w:lang w:val="es-CR" w:eastAsia="es-CR"/>
        </w:rPr>
        <w:t>Xamán</w:t>
      </w:r>
      <w:proofErr w:type="spellEnd"/>
      <w:r w:rsidRPr="00873FEC">
        <w:rPr>
          <w:rFonts w:ascii="Verdana" w:eastAsia="Batang" w:hAnsi="Verdana" w:cs="Times"/>
          <w:sz w:val="20"/>
          <w:szCs w:val="20"/>
          <w:lang w:val="es-CR" w:eastAsia="es-CR"/>
        </w:rPr>
        <w:t xml:space="preserve"> tras haber estado “refugiada” en México. La Comisión expresó que en los mismos hechos 29 personas resultaron heridas, tres de las cuales murieron con posterioridad. Además, aunque 14 personas fueron condenadas, el caso trata sobre la alegada falta de una investigación independiente e imparcial que, en un plazo razonable, procurase lograr la sanción de todas las personas responsables. Por último, la Comisión determinó que los hechos afectaron también </w:t>
      </w:r>
      <w:r w:rsidR="003F67FE" w:rsidRPr="00873FEC">
        <w:rPr>
          <w:rFonts w:ascii="Verdana" w:eastAsia="Batang" w:hAnsi="Verdana" w:cs="Times"/>
          <w:sz w:val="20"/>
          <w:szCs w:val="20"/>
          <w:lang w:val="es-CR" w:eastAsia="es-CR"/>
        </w:rPr>
        <w:t>a 59</w:t>
      </w:r>
      <w:r w:rsidRPr="00873FEC">
        <w:rPr>
          <w:rFonts w:ascii="Verdana" w:eastAsia="Batang" w:hAnsi="Verdana" w:cs="Times"/>
          <w:sz w:val="20"/>
          <w:szCs w:val="20"/>
          <w:lang w:val="es-CR" w:eastAsia="es-CR"/>
        </w:rPr>
        <w:t xml:space="preserve"> familiares de las personas muertas y heridas, y señaló que constituyeron una expresión de discriminación racial ejercida contra el pueblo maya durante el conflicto armado interno en Guatemala</w:t>
      </w:r>
      <w:r w:rsidR="00767A0F" w:rsidRPr="00873FEC">
        <w:rPr>
          <w:rFonts w:ascii="Verdana" w:eastAsia="Batang" w:hAnsi="Verdana" w:cs="Times"/>
          <w:sz w:val="20"/>
          <w:szCs w:val="20"/>
          <w:lang w:val="es-CR" w:eastAsia="es-CR"/>
        </w:rPr>
        <w:t xml:space="preserve"> (en adelante también “el conflicto” o “el conflicto armado”)</w:t>
      </w:r>
      <w:r w:rsidRPr="00873FEC">
        <w:rPr>
          <w:rFonts w:ascii="Verdana" w:eastAsia="Batang" w:hAnsi="Verdana" w:cs="Times"/>
          <w:sz w:val="20"/>
          <w:szCs w:val="20"/>
          <w:lang w:val="es-CR" w:eastAsia="es-CR"/>
        </w:rPr>
        <w:t xml:space="preserve">. Los nombres de todas las personas aludidas se encuentran en el </w:t>
      </w:r>
      <w:r w:rsidR="00872671" w:rsidRPr="00873FEC">
        <w:rPr>
          <w:rFonts w:ascii="Verdana" w:eastAsia="Batang" w:hAnsi="Verdana" w:cs="Times"/>
          <w:sz w:val="20"/>
          <w:szCs w:val="20"/>
          <w:lang w:val="es-CR" w:eastAsia="es-CR"/>
        </w:rPr>
        <w:t>A</w:t>
      </w:r>
      <w:r w:rsidRPr="00873FEC">
        <w:rPr>
          <w:rFonts w:ascii="Verdana" w:eastAsia="Batang" w:hAnsi="Verdana" w:cs="Times"/>
          <w:sz w:val="20"/>
          <w:szCs w:val="20"/>
          <w:lang w:val="es-CR" w:eastAsia="es-CR"/>
        </w:rPr>
        <w:t xml:space="preserve">nexo A de la presente Sentencia, que integra la misma. </w:t>
      </w:r>
    </w:p>
    <w:p w:rsidR="006166D8" w:rsidRPr="00873FEC" w:rsidRDefault="006166D8" w:rsidP="00126E97">
      <w:pPr>
        <w:spacing w:after="0" w:line="20" w:lineRule="atLeast"/>
        <w:ind w:right="4"/>
        <w:jc w:val="both"/>
        <w:rPr>
          <w:rFonts w:ascii="Verdana" w:eastAsia="Batang" w:hAnsi="Verdana" w:cs="Times"/>
          <w:sz w:val="20"/>
          <w:szCs w:val="20"/>
          <w:lang w:val="es-CR" w:eastAsia="es-CR"/>
        </w:rPr>
      </w:pPr>
    </w:p>
    <w:p w:rsidR="006166D8" w:rsidRPr="00873FEC" w:rsidRDefault="006166D8" w:rsidP="00126E97">
      <w:pPr>
        <w:numPr>
          <w:ilvl w:val="0"/>
          <w:numId w:val="3"/>
        </w:numPr>
        <w:spacing w:after="0" w:line="20" w:lineRule="atLeast"/>
        <w:ind w:right="4"/>
        <w:jc w:val="both"/>
        <w:rPr>
          <w:rFonts w:ascii="Verdana" w:eastAsia="Batang" w:hAnsi="Verdana" w:cs="Times"/>
          <w:sz w:val="20"/>
          <w:szCs w:val="20"/>
          <w:lang w:val="es-CR" w:eastAsia="es-CR"/>
        </w:rPr>
      </w:pPr>
      <w:r w:rsidRPr="00873FEC">
        <w:rPr>
          <w:rFonts w:ascii="Verdana" w:eastAsia="Batang" w:hAnsi="Verdana" w:cs="Times"/>
          <w:i/>
          <w:sz w:val="20"/>
          <w:szCs w:val="20"/>
          <w:lang w:val="es-CR" w:eastAsia="es-CR"/>
        </w:rPr>
        <w:t xml:space="preserve">Trámite ante la Comisión. </w:t>
      </w:r>
      <w:r w:rsidRPr="00873FEC">
        <w:rPr>
          <w:rFonts w:ascii="Verdana" w:eastAsia="Batang" w:hAnsi="Verdana" w:cs="Times"/>
          <w:sz w:val="20"/>
          <w:szCs w:val="20"/>
          <w:lang w:val="es-CR" w:eastAsia="es-CR"/>
        </w:rPr>
        <w:t>– El trámite del caso ante la Comisión fue el siguiente:</w:t>
      </w:r>
    </w:p>
    <w:p w:rsidR="006166D8" w:rsidRPr="00873FEC" w:rsidRDefault="006166D8" w:rsidP="00126E97">
      <w:pPr>
        <w:numPr>
          <w:ilvl w:val="0"/>
          <w:numId w:val="4"/>
        </w:numPr>
        <w:spacing w:after="0" w:line="20" w:lineRule="atLeast"/>
        <w:ind w:left="720" w:right="4" w:hanging="360"/>
        <w:jc w:val="both"/>
        <w:rPr>
          <w:rFonts w:ascii="Verdana" w:eastAsia="Batang" w:hAnsi="Verdana" w:cs="Times"/>
          <w:sz w:val="20"/>
          <w:szCs w:val="20"/>
          <w:lang w:val="es-ES" w:eastAsia="es-CR"/>
        </w:rPr>
      </w:pPr>
      <w:r w:rsidRPr="00873FEC">
        <w:rPr>
          <w:rFonts w:ascii="Verdana" w:eastAsia="Batang" w:hAnsi="Verdana" w:cs="Times"/>
          <w:i/>
          <w:sz w:val="20"/>
          <w:szCs w:val="20"/>
          <w:lang w:val="es-CR" w:eastAsia="es-CR"/>
        </w:rPr>
        <w:t>Petición</w:t>
      </w:r>
      <w:proofErr w:type="gramStart"/>
      <w:r w:rsidRPr="00873FEC">
        <w:rPr>
          <w:rFonts w:ascii="Verdana" w:eastAsia="Batang" w:hAnsi="Verdana" w:cs="Times"/>
          <w:i/>
          <w:sz w:val="20"/>
          <w:szCs w:val="20"/>
          <w:lang w:val="es-CR" w:eastAsia="es-CR"/>
        </w:rPr>
        <w:t>.–</w:t>
      </w:r>
      <w:proofErr w:type="gramEnd"/>
      <w:r w:rsidRPr="00873FEC">
        <w:rPr>
          <w:rFonts w:ascii="Verdana" w:eastAsia="Batang" w:hAnsi="Verdana" w:cs="Times"/>
          <w:i/>
          <w:sz w:val="20"/>
          <w:szCs w:val="20"/>
          <w:lang w:val="es-CR" w:eastAsia="es-CR"/>
        </w:rPr>
        <w:t xml:space="preserve"> </w:t>
      </w:r>
      <w:r w:rsidRPr="00873FEC">
        <w:rPr>
          <w:rFonts w:ascii="Verdana" w:eastAsia="Batang" w:hAnsi="Verdana" w:cs="Times"/>
          <w:sz w:val="20"/>
          <w:szCs w:val="20"/>
          <w:lang w:val="es-CR" w:eastAsia="es-CR"/>
        </w:rPr>
        <w:t xml:space="preserve">El 16 de noviembre de 1995 la Comisión recibió la petición inicial presentada por Rigoberta Menchú </w:t>
      </w:r>
      <w:proofErr w:type="spellStart"/>
      <w:r w:rsidRPr="00873FEC">
        <w:rPr>
          <w:rFonts w:ascii="Verdana" w:eastAsia="Batang" w:hAnsi="Verdana" w:cs="Times"/>
          <w:sz w:val="20"/>
          <w:szCs w:val="20"/>
          <w:lang w:val="es-CR" w:eastAsia="es-CR"/>
        </w:rPr>
        <w:t>Tum</w:t>
      </w:r>
      <w:proofErr w:type="spellEnd"/>
      <w:r w:rsidRPr="00873FEC">
        <w:rPr>
          <w:rFonts w:ascii="Verdana" w:eastAsia="Batang" w:hAnsi="Verdana" w:cs="Times"/>
          <w:sz w:val="20"/>
          <w:szCs w:val="20"/>
          <w:lang w:val="es-CR" w:eastAsia="es-CR"/>
        </w:rPr>
        <w:t xml:space="preserve">, Eduardo Antonio Salerno y María </w:t>
      </w:r>
      <w:proofErr w:type="spellStart"/>
      <w:r w:rsidRPr="00873FEC">
        <w:rPr>
          <w:rFonts w:ascii="Verdana" w:eastAsia="Batang" w:hAnsi="Verdana" w:cs="Times"/>
          <w:sz w:val="20"/>
          <w:szCs w:val="20"/>
          <w:lang w:val="es-CR" w:eastAsia="es-CR"/>
        </w:rPr>
        <w:t>Lopez</w:t>
      </w:r>
      <w:proofErr w:type="spellEnd"/>
      <w:r w:rsidRPr="00873FEC">
        <w:rPr>
          <w:rFonts w:ascii="Verdana" w:eastAsia="Batang" w:hAnsi="Verdana" w:cs="Times"/>
          <w:sz w:val="20"/>
          <w:szCs w:val="20"/>
          <w:lang w:val="es-CR" w:eastAsia="es-CR"/>
        </w:rPr>
        <w:t xml:space="preserve"> Funes, a la cual le fue asignado el número de caso 11.550.</w:t>
      </w:r>
      <w:r w:rsidRPr="00873FEC">
        <w:rPr>
          <w:rFonts w:ascii="Verdana" w:eastAsia="Batang" w:hAnsi="Verdana" w:cs="Times"/>
          <w:b/>
          <w:sz w:val="16"/>
          <w:szCs w:val="16"/>
          <w:lang w:val="es-CR" w:eastAsia="es-CR"/>
        </w:rPr>
        <w:t xml:space="preserve"> </w:t>
      </w:r>
      <w:r w:rsidRPr="00873FEC">
        <w:rPr>
          <w:rFonts w:ascii="Verdana" w:eastAsia="Batang" w:hAnsi="Verdana" w:cs="Times"/>
          <w:sz w:val="20"/>
          <w:szCs w:val="20"/>
          <w:lang w:val="es-CR" w:eastAsia="es-CR"/>
        </w:rPr>
        <w:t>Posteriormente se constituyó como peticionario el Grupo de Apoyo Mutuo –GAM.</w:t>
      </w:r>
    </w:p>
    <w:p w:rsidR="006166D8" w:rsidRPr="00873FEC" w:rsidRDefault="006166D8" w:rsidP="00126E97">
      <w:pPr>
        <w:numPr>
          <w:ilvl w:val="0"/>
          <w:numId w:val="4"/>
        </w:numPr>
        <w:spacing w:after="0" w:line="20" w:lineRule="atLeast"/>
        <w:ind w:left="720" w:right="4" w:hanging="360"/>
        <w:jc w:val="both"/>
        <w:rPr>
          <w:rFonts w:ascii="Verdana" w:eastAsia="Batang" w:hAnsi="Verdana" w:cs="Times"/>
          <w:sz w:val="20"/>
          <w:szCs w:val="20"/>
          <w:lang w:val="es-CR" w:eastAsia="es-CR"/>
        </w:rPr>
      </w:pPr>
      <w:r w:rsidRPr="00873FEC">
        <w:rPr>
          <w:rFonts w:ascii="Verdana" w:eastAsia="Batang" w:hAnsi="Verdana" w:cs="Times"/>
          <w:i/>
          <w:sz w:val="20"/>
          <w:szCs w:val="20"/>
          <w:lang w:val="es-CR" w:eastAsia="es-CR"/>
        </w:rPr>
        <w:t xml:space="preserve">Informe de Admisibilidad y Fondo.- </w:t>
      </w:r>
      <w:r w:rsidRPr="00873FEC">
        <w:rPr>
          <w:rFonts w:ascii="Verdana" w:eastAsia="Batang" w:hAnsi="Verdana" w:cs="Times"/>
          <w:sz w:val="20"/>
          <w:szCs w:val="20"/>
          <w:lang w:val="es-CR" w:eastAsia="es-CR"/>
        </w:rPr>
        <w:t>El 18 de diciembre de 2002 la Comisión comunicó a las partes su decisión de diferir el análisis de la admisibilidad de la petición hasta la decisión sobre el fondo, en aplicación del artículo 37.3 de su Reglamento entonces vigente.</w:t>
      </w:r>
      <w:r w:rsidRPr="00873FEC">
        <w:rPr>
          <w:rFonts w:ascii="Verdana" w:eastAsia="Batang" w:hAnsi="Verdana" w:cs="Times"/>
          <w:sz w:val="20"/>
          <w:szCs w:val="24"/>
          <w:lang w:val="es-CR" w:eastAsia="es-CR"/>
        </w:rPr>
        <w:t xml:space="preserve"> </w:t>
      </w:r>
      <w:r w:rsidRPr="00873FEC">
        <w:rPr>
          <w:rFonts w:ascii="Verdana" w:eastAsia="Batang" w:hAnsi="Verdana" w:cs="Times"/>
          <w:sz w:val="20"/>
          <w:szCs w:val="20"/>
          <w:lang w:val="es-CR" w:eastAsia="es-CR"/>
        </w:rPr>
        <w:t xml:space="preserve">Tras la recepción de diversos escritos y un procedimiento tendiente a lograr una solución amistosa que no prosperó, el 10 de junio de 2016 la Comisión aprobó el Informe de Admisibilidad y Fondo No. 28/16 (en adelante “Informe de Fondo”), </w:t>
      </w:r>
      <w:r w:rsidRPr="00873FEC">
        <w:rPr>
          <w:rFonts w:ascii="Verdana" w:eastAsia="Calibri" w:hAnsi="Verdana" w:cs="Verdana"/>
          <w:sz w:val="20"/>
          <w:szCs w:val="20"/>
          <w:lang w:val="es-CR" w:eastAsia="es-CR"/>
        </w:rPr>
        <w:t>en el cual llegó a una serie de conclusiones y formuló</w:t>
      </w:r>
      <w:r w:rsidRPr="00873FEC">
        <w:rPr>
          <w:rFonts w:ascii="Verdana" w:eastAsia="Batang" w:hAnsi="Verdana" w:cs="Times"/>
          <w:sz w:val="20"/>
          <w:szCs w:val="20"/>
          <w:lang w:val="es-CR" w:eastAsia="es-CR"/>
        </w:rPr>
        <w:t xml:space="preserve"> </w:t>
      </w:r>
      <w:r w:rsidRPr="00873FEC">
        <w:rPr>
          <w:rFonts w:ascii="Verdana" w:eastAsia="Calibri" w:hAnsi="Verdana" w:cs="Verdana"/>
          <w:sz w:val="20"/>
          <w:szCs w:val="20"/>
          <w:lang w:val="es-CR" w:eastAsia="es-CR"/>
        </w:rPr>
        <w:t>varias recomendaciones a la República de Guatemala (en adelante, “Guatemala” o “el Estado”):</w:t>
      </w:r>
    </w:p>
    <w:p w:rsidR="006166D8" w:rsidRPr="00873FEC" w:rsidRDefault="006166D8" w:rsidP="00126E97">
      <w:pPr>
        <w:numPr>
          <w:ilvl w:val="0"/>
          <w:numId w:val="2"/>
        </w:numPr>
        <w:spacing w:after="0" w:line="20" w:lineRule="atLeast"/>
        <w:ind w:left="1701" w:right="29" w:hanging="720"/>
        <w:jc w:val="both"/>
        <w:rPr>
          <w:rFonts w:ascii="Verdana" w:eastAsia="Calibri" w:hAnsi="Verdana" w:cs="Times New Roman"/>
          <w:sz w:val="20"/>
          <w:szCs w:val="20"/>
          <w:lang w:val="es-CR" w:eastAsia="es-CR"/>
        </w:rPr>
      </w:pPr>
      <w:r w:rsidRPr="00873FEC">
        <w:rPr>
          <w:rFonts w:ascii="Verdana" w:eastAsia="Calibri" w:hAnsi="Verdana" w:cs="Times New Roman"/>
          <w:i/>
          <w:sz w:val="20"/>
          <w:szCs w:val="20"/>
          <w:lang w:val="es-CR" w:eastAsia="es-CR"/>
        </w:rPr>
        <w:t xml:space="preserve">Conclusiones.- </w:t>
      </w:r>
      <w:r w:rsidRPr="00873FEC">
        <w:rPr>
          <w:rFonts w:ascii="Verdana" w:eastAsia="Calibri" w:hAnsi="Verdana" w:cs="Times New Roman"/>
          <w:sz w:val="20"/>
          <w:szCs w:val="20"/>
          <w:lang w:val="es-CR" w:eastAsia="es-CR"/>
        </w:rPr>
        <w:t>La Comisión concluyó que Guatemala es responsable internacionalmente por l</w:t>
      </w:r>
      <w:r w:rsidRPr="00873FEC">
        <w:rPr>
          <w:rFonts w:ascii="Verdana" w:eastAsia="Batang" w:hAnsi="Verdana" w:cs="Times"/>
          <w:sz w:val="20"/>
          <w:szCs w:val="20"/>
          <w:lang w:val="es-CR" w:eastAsia="es-CR"/>
        </w:rPr>
        <w:t>a violación de los derechos a la vida, a la integridad personal, a las garantías judiciales, los derechos del niño, el derecho a la igualdad ante la ley y el derecho a la protección judicial, receptados, respectivamente, por los artículos 4.1, 5.1, 8.1, 19, 24 y 25.1 de la Convención Americana sobre Derechos Humanos, en relación con las obligaciones establecidas en el artículo 1.1 del mismo tratado.</w:t>
      </w:r>
    </w:p>
    <w:p w:rsidR="006166D8" w:rsidRPr="00873FEC" w:rsidRDefault="006166D8" w:rsidP="00126E97">
      <w:pPr>
        <w:numPr>
          <w:ilvl w:val="0"/>
          <w:numId w:val="2"/>
        </w:numPr>
        <w:spacing w:after="0" w:line="20" w:lineRule="atLeast"/>
        <w:ind w:left="1701" w:right="29" w:hanging="720"/>
        <w:jc w:val="both"/>
        <w:rPr>
          <w:rFonts w:ascii="Verdana" w:eastAsia="Calibri" w:hAnsi="Verdana" w:cs="Times New Roman"/>
          <w:sz w:val="20"/>
          <w:szCs w:val="20"/>
          <w:lang w:val="es-CR" w:eastAsia="es-CR"/>
        </w:rPr>
      </w:pPr>
      <w:r w:rsidRPr="00873FEC">
        <w:rPr>
          <w:rFonts w:ascii="Verdana" w:eastAsia="Calibri" w:hAnsi="Verdana" w:cs="Verdana"/>
          <w:i/>
          <w:sz w:val="20"/>
          <w:szCs w:val="20"/>
          <w:lang w:val="es-CR" w:eastAsia="es-CR"/>
        </w:rPr>
        <w:t>Recomendaciones</w:t>
      </w:r>
      <w:r w:rsidRPr="00873FEC">
        <w:rPr>
          <w:rFonts w:ascii="Verdana" w:eastAsia="Calibri" w:hAnsi="Verdana" w:cs="Verdana"/>
          <w:sz w:val="20"/>
          <w:szCs w:val="20"/>
          <w:lang w:val="es-CR" w:eastAsia="es-CR"/>
        </w:rPr>
        <w:t xml:space="preserve">.– </w:t>
      </w:r>
      <w:r w:rsidRPr="00873FEC">
        <w:rPr>
          <w:rFonts w:ascii="Verdana" w:eastAsia="Calibri" w:hAnsi="Verdana" w:cs="Times New Roman"/>
          <w:sz w:val="20"/>
          <w:szCs w:val="20"/>
          <w:lang w:val="es-CR" w:eastAsia="es-CR"/>
        </w:rPr>
        <w:t xml:space="preserve">En consecuencia, la Comisión recomendó al Estado lo siguiente: </w:t>
      </w:r>
    </w:p>
    <w:p w:rsidR="006166D8" w:rsidRPr="00873FEC" w:rsidRDefault="006166D8" w:rsidP="00126E97">
      <w:pPr>
        <w:numPr>
          <w:ilvl w:val="0"/>
          <w:numId w:val="1"/>
        </w:numPr>
        <w:spacing w:after="0" w:line="20" w:lineRule="atLeast"/>
        <w:ind w:left="2058" w:right="28" w:hanging="357"/>
        <w:contextualSpacing/>
        <w:jc w:val="both"/>
        <w:rPr>
          <w:rFonts w:ascii="Verdana" w:eastAsia="Calibri" w:hAnsi="Verdana" w:cs="Times New Roman"/>
          <w:sz w:val="20"/>
          <w:szCs w:val="20"/>
          <w:lang w:val="es-CR" w:eastAsia="es-CR"/>
        </w:rPr>
      </w:pPr>
      <w:r w:rsidRPr="00873FEC">
        <w:rPr>
          <w:rFonts w:ascii="Verdana" w:eastAsia="Calibri" w:hAnsi="Verdana" w:cs="Times"/>
          <w:sz w:val="20"/>
          <w:szCs w:val="20"/>
          <w:lang w:val="es-CR" w:eastAsia="es-CR"/>
        </w:rPr>
        <w:t xml:space="preserve">Reparar integralmente las violaciones declaradas en el Informe de Fondo “en el aspecto material, moral y cultural, incluyendo: i) una justa compensación; ii) medidas de satisfacción para la recuperación de la memoria de las víctimas y para el reconocimiento público de la responsabilidad estatal por los </w:t>
      </w:r>
      <w:r w:rsidRPr="00873FEC">
        <w:rPr>
          <w:rFonts w:ascii="Verdana" w:eastAsia="Calibri" w:hAnsi="Verdana" w:cs="Times"/>
          <w:sz w:val="20"/>
          <w:szCs w:val="20"/>
          <w:lang w:val="es-CR" w:eastAsia="es-CR"/>
        </w:rPr>
        <w:lastRenderedPageBreak/>
        <w:t>hechos[,] y iii) medidas de rehabilitación mediante la implementación de un programa de atención en salud física y mental y/o psicosocial culturalmente adecuado a los sobrevivientes y familiares de las víctimas”, y</w:t>
      </w:r>
    </w:p>
    <w:p w:rsidR="006166D8" w:rsidRPr="00873FEC" w:rsidRDefault="006166D8" w:rsidP="00126E97">
      <w:pPr>
        <w:numPr>
          <w:ilvl w:val="0"/>
          <w:numId w:val="1"/>
        </w:numPr>
        <w:spacing w:after="0" w:line="20" w:lineRule="atLeast"/>
        <w:ind w:left="2058" w:right="28" w:hanging="357"/>
        <w:contextualSpacing/>
        <w:jc w:val="both"/>
        <w:rPr>
          <w:rFonts w:ascii="Verdana" w:eastAsia="Calibri" w:hAnsi="Verdana" w:cs="Times New Roman"/>
          <w:sz w:val="20"/>
          <w:szCs w:val="20"/>
          <w:lang w:val="es-CR" w:eastAsia="es-CR"/>
        </w:rPr>
      </w:pPr>
      <w:r w:rsidRPr="00873FEC">
        <w:rPr>
          <w:rFonts w:ascii="Verdana" w:eastAsia="Batang" w:hAnsi="Verdana" w:cs="Times"/>
          <w:sz w:val="20"/>
          <w:szCs w:val="20"/>
          <w:lang w:val="es-CR" w:eastAsia="es-CR"/>
        </w:rPr>
        <w:t xml:space="preserve">“Adoptar las medidas necesarias para evitar que en el futuro se produzcan hechos similares[,] </w:t>
      </w:r>
      <w:proofErr w:type="spellStart"/>
      <w:r w:rsidRPr="00873FEC">
        <w:rPr>
          <w:rFonts w:ascii="Verdana" w:eastAsia="Batang" w:hAnsi="Verdana" w:cs="Times"/>
          <w:sz w:val="20"/>
          <w:szCs w:val="20"/>
          <w:lang w:val="es-CR" w:eastAsia="es-CR"/>
        </w:rPr>
        <w:t>inclu</w:t>
      </w:r>
      <w:proofErr w:type="spellEnd"/>
      <w:r w:rsidRPr="00873FEC">
        <w:rPr>
          <w:rFonts w:ascii="Verdana" w:eastAsia="Batang" w:hAnsi="Verdana" w:cs="Times"/>
          <w:sz w:val="20"/>
          <w:szCs w:val="20"/>
          <w:lang w:val="es-CR" w:eastAsia="es-CR"/>
        </w:rPr>
        <w:t>[yendo]: i) […] programas permanentes de derechos humanos y derecho internacional humanitario en las escuelas de formación de las Fuerzas Armadas; ii) el fortalecimiento de la capacidad institucional para investigar las graves violaciones de derechos humanos ocurridas durante el conflicto armado interno[,] y iii) adoptar mecanismos eficaces para enfrentar las amenazas y hostigamientos contra operadores jurídicos, víctimas y testigos en el marco de dichas investigaciones”.</w:t>
      </w:r>
    </w:p>
    <w:p w:rsidR="006166D8" w:rsidRPr="00873FEC" w:rsidRDefault="006166D8" w:rsidP="00126E97">
      <w:pPr>
        <w:numPr>
          <w:ilvl w:val="0"/>
          <w:numId w:val="4"/>
        </w:numPr>
        <w:spacing w:after="0" w:line="20" w:lineRule="atLeast"/>
        <w:ind w:left="720" w:right="4" w:hanging="360"/>
        <w:jc w:val="both"/>
        <w:rPr>
          <w:rFonts w:ascii="Verdana" w:eastAsia="Batang" w:hAnsi="Verdana" w:cs="Times"/>
          <w:sz w:val="20"/>
          <w:szCs w:val="20"/>
          <w:lang w:val="es-CR" w:eastAsia="es-CR"/>
        </w:rPr>
      </w:pPr>
      <w:r w:rsidRPr="00873FEC">
        <w:rPr>
          <w:rFonts w:ascii="Verdana" w:eastAsia="Batang" w:hAnsi="Verdana" w:cs="Times"/>
          <w:i/>
          <w:sz w:val="20"/>
          <w:szCs w:val="20"/>
          <w:lang w:val="es-CR" w:eastAsia="es-CR"/>
        </w:rPr>
        <w:t>Notificación al Estado</w:t>
      </w:r>
      <w:proofErr w:type="gramStart"/>
      <w:r w:rsidRPr="00873FEC">
        <w:rPr>
          <w:rFonts w:ascii="Verdana" w:eastAsia="Batang" w:hAnsi="Verdana" w:cs="Times"/>
          <w:i/>
          <w:sz w:val="20"/>
          <w:szCs w:val="20"/>
          <w:lang w:val="es-CR" w:eastAsia="es-CR"/>
        </w:rPr>
        <w:t>.–</w:t>
      </w:r>
      <w:proofErr w:type="gramEnd"/>
      <w:r w:rsidRPr="00873FEC">
        <w:rPr>
          <w:rFonts w:ascii="Verdana" w:eastAsia="Batang" w:hAnsi="Verdana" w:cs="Times"/>
          <w:i/>
          <w:sz w:val="20"/>
          <w:szCs w:val="20"/>
          <w:lang w:val="es-CR" w:eastAsia="es-CR"/>
        </w:rPr>
        <w:t xml:space="preserve"> </w:t>
      </w:r>
      <w:r w:rsidRPr="00873FEC">
        <w:rPr>
          <w:rFonts w:ascii="Verdana" w:eastAsia="Batang" w:hAnsi="Verdana" w:cs="Times"/>
          <w:sz w:val="20"/>
          <w:szCs w:val="20"/>
          <w:lang w:val="es-CR" w:eastAsia="es-CR"/>
        </w:rPr>
        <w:t xml:space="preserve">La Comisión indicó que el Informe de Fondo fue notificado al Estado el 21 de junio de 2016, otorgándole un plazo de dos meses para informar sobre el cumplimiento de las recomendaciones. La Comisión señaló que fue informada de “acercamientos” entre el Estado y los peticionarios, pero éstos solicitaron el envío del caso a la Corte y Guatemala no solicitó suspender el plazo previsto en el artículo 51 de la Convención. </w:t>
      </w:r>
    </w:p>
    <w:p w:rsidR="006166D8" w:rsidRPr="00873FEC" w:rsidRDefault="006166D8" w:rsidP="00126E97">
      <w:pPr>
        <w:spacing w:after="0" w:line="20" w:lineRule="atLeast"/>
        <w:jc w:val="both"/>
        <w:rPr>
          <w:rFonts w:ascii="Verdana" w:eastAsia="Batang" w:hAnsi="Verdana" w:cs="Verdana"/>
          <w:sz w:val="20"/>
          <w:szCs w:val="20"/>
          <w:lang w:val="es-CR" w:eastAsia="es-CR"/>
        </w:rPr>
      </w:pPr>
    </w:p>
    <w:p w:rsidR="006166D8" w:rsidRPr="00873FEC" w:rsidRDefault="006166D8" w:rsidP="00126E97">
      <w:pPr>
        <w:numPr>
          <w:ilvl w:val="0"/>
          <w:numId w:val="3"/>
        </w:numPr>
        <w:spacing w:after="0" w:line="20" w:lineRule="atLeast"/>
        <w:ind w:right="6"/>
        <w:jc w:val="both"/>
        <w:rPr>
          <w:rFonts w:ascii="Verdana" w:eastAsia="Batang" w:hAnsi="Verdana" w:cs="Verdana"/>
          <w:sz w:val="20"/>
          <w:szCs w:val="20"/>
          <w:lang w:val="es-CR" w:eastAsia="es-CR"/>
        </w:rPr>
      </w:pPr>
      <w:r w:rsidRPr="00873FEC">
        <w:rPr>
          <w:rFonts w:ascii="Verdana" w:eastAsia="Batang" w:hAnsi="Verdana" w:cs="Verdana"/>
          <w:i/>
          <w:sz w:val="20"/>
          <w:szCs w:val="20"/>
          <w:lang w:val="es-CR" w:eastAsia="es-CR"/>
        </w:rPr>
        <w:t>Sometimiento a la Corte.</w:t>
      </w:r>
      <w:r w:rsidRPr="00873FEC">
        <w:rPr>
          <w:rFonts w:ascii="Verdana" w:eastAsia="Batang" w:hAnsi="Verdana" w:cs="Verdana"/>
          <w:sz w:val="20"/>
          <w:szCs w:val="20"/>
          <w:lang w:val="es-CR" w:eastAsia="es-CR"/>
        </w:rPr>
        <w:t xml:space="preserve">- </w:t>
      </w:r>
      <w:r w:rsidRPr="00873FEC">
        <w:rPr>
          <w:rFonts w:ascii="Verdana" w:eastAsia="Batang" w:hAnsi="Verdana" w:cs="Verdana"/>
          <w:sz w:val="20"/>
          <w:szCs w:val="20"/>
          <w:lang w:eastAsia="es-CR"/>
        </w:rPr>
        <w:t>El 21 de septiembre de 2016 la Comisión sometió a la Corte “la totalidad de los hechos y violaciones” descritos en el Informe de Fondo</w:t>
      </w:r>
      <w:r w:rsidRPr="00873FEC">
        <w:rPr>
          <w:rFonts w:ascii="Verdana" w:eastAsia="Batang" w:hAnsi="Verdana" w:cs="Times New Roman"/>
          <w:sz w:val="20"/>
          <w:szCs w:val="20"/>
          <w:vertAlign w:val="superscript"/>
          <w:lang w:eastAsia="x-none"/>
        </w:rPr>
        <w:footnoteReference w:id="2"/>
      </w:r>
      <w:r w:rsidRPr="00873FEC">
        <w:rPr>
          <w:rFonts w:ascii="Verdana" w:eastAsia="Batang" w:hAnsi="Verdana" w:cs="Verdana"/>
          <w:sz w:val="20"/>
          <w:szCs w:val="20"/>
          <w:lang w:eastAsia="es-CR"/>
        </w:rPr>
        <w:t xml:space="preserve">. </w:t>
      </w:r>
    </w:p>
    <w:p w:rsidR="006166D8" w:rsidRPr="00873FEC" w:rsidRDefault="006166D8" w:rsidP="00126E97">
      <w:pPr>
        <w:spacing w:after="0" w:line="20" w:lineRule="atLeast"/>
        <w:ind w:right="6"/>
        <w:jc w:val="both"/>
        <w:rPr>
          <w:rFonts w:ascii="Verdana" w:eastAsia="Batang" w:hAnsi="Verdana" w:cs="Verdana"/>
          <w:sz w:val="20"/>
          <w:szCs w:val="20"/>
          <w:lang w:val="es-CR" w:eastAsia="es-CR"/>
        </w:rPr>
      </w:pPr>
    </w:p>
    <w:p w:rsidR="006166D8" w:rsidRPr="00873FEC" w:rsidRDefault="006166D8" w:rsidP="00126E97">
      <w:pPr>
        <w:numPr>
          <w:ilvl w:val="0"/>
          <w:numId w:val="3"/>
        </w:numPr>
        <w:spacing w:after="0" w:line="20" w:lineRule="atLeast"/>
        <w:ind w:right="6"/>
        <w:jc w:val="both"/>
        <w:rPr>
          <w:rFonts w:ascii="Verdana" w:eastAsia="Batang" w:hAnsi="Verdana" w:cs="Times"/>
          <w:sz w:val="20"/>
          <w:szCs w:val="20"/>
          <w:lang w:val="es-CR" w:eastAsia="es-CR"/>
        </w:rPr>
      </w:pPr>
      <w:r w:rsidRPr="00873FEC">
        <w:rPr>
          <w:rFonts w:ascii="Verdana" w:eastAsia="Batang" w:hAnsi="Verdana" w:cs="Verdana"/>
          <w:i/>
          <w:sz w:val="20"/>
          <w:szCs w:val="20"/>
          <w:lang w:val="es-CR" w:eastAsia="es-CR"/>
        </w:rPr>
        <w:t>Solicitudes de la Comisión</w:t>
      </w:r>
      <w:proofErr w:type="gramStart"/>
      <w:r w:rsidRPr="00873FEC">
        <w:rPr>
          <w:rFonts w:ascii="Verdana" w:eastAsia="Batang" w:hAnsi="Verdana" w:cs="Verdana"/>
          <w:i/>
          <w:sz w:val="20"/>
          <w:szCs w:val="20"/>
          <w:lang w:val="es-CR" w:eastAsia="es-CR"/>
        </w:rPr>
        <w:t>.–</w:t>
      </w:r>
      <w:proofErr w:type="gramEnd"/>
      <w:r w:rsidRPr="00873FEC">
        <w:rPr>
          <w:rFonts w:ascii="Verdana" w:eastAsia="Batang" w:hAnsi="Verdana" w:cs="Verdana"/>
          <w:i/>
          <w:sz w:val="20"/>
          <w:szCs w:val="20"/>
          <w:lang w:val="es-CR" w:eastAsia="es-CR"/>
        </w:rPr>
        <w:t xml:space="preserve"> </w:t>
      </w:r>
      <w:r w:rsidRPr="00873FEC">
        <w:rPr>
          <w:rFonts w:ascii="Verdana" w:eastAsia="Batang" w:hAnsi="Verdana" w:cs="Verdana"/>
          <w:sz w:val="20"/>
          <w:szCs w:val="20"/>
          <w:lang w:val="es-CR" w:eastAsia="es-CR"/>
        </w:rPr>
        <w:t xml:space="preserve">Con base en lo anterior, la Comisión solicitó a este </w:t>
      </w:r>
      <w:r w:rsidRPr="00873FEC">
        <w:rPr>
          <w:rFonts w:ascii="Verdana" w:eastAsia="Batang" w:hAnsi="Verdana" w:cs="Verdana"/>
          <w:sz w:val="20"/>
          <w:szCs w:val="20"/>
          <w:lang w:eastAsia="es-CR"/>
        </w:rPr>
        <w:t>Tribunal</w:t>
      </w:r>
      <w:r w:rsidRPr="00873FEC">
        <w:rPr>
          <w:rFonts w:ascii="Verdana" w:eastAsia="Batang" w:hAnsi="Verdana" w:cs="Verdana"/>
          <w:sz w:val="20"/>
          <w:szCs w:val="20"/>
          <w:lang w:val="es-CR" w:eastAsia="es-CR"/>
        </w:rPr>
        <w:t xml:space="preserve"> que “concluya y declare la responsabilidad internacional del Estado” por las violaciones contenidas en el Informe de Fondo y que ordene al Estado, como medidas de reparación, las recomendaciones incluidas en dicho Informe de Fondo. </w:t>
      </w:r>
    </w:p>
    <w:p w:rsidR="006166D8" w:rsidRPr="00873FEC" w:rsidRDefault="006166D8" w:rsidP="00126E97">
      <w:pPr>
        <w:spacing w:after="0" w:line="20" w:lineRule="atLeast"/>
        <w:ind w:right="6"/>
        <w:jc w:val="both"/>
        <w:rPr>
          <w:rFonts w:ascii="Verdana" w:eastAsia="Batang" w:hAnsi="Verdana" w:cs="Times"/>
          <w:sz w:val="20"/>
          <w:szCs w:val="20"/>
          <w:lang w:val="es-CR" w:eastAsia="es-CR"/>
        </w:rPr>
      </w:pPr>
    </w:p>
    <w:p w:rsidR="006166D8" w:rsidRPr="00873FEC" w:rsidRDefault="006166D8" w:rsidP="00126E97">
      <w:pPr>
        <w:keepNext/>
        <w:keepLines/>
        <w:spacing w:after="0" w:line="20" w:lineRule="atLeast"/>
        <w:ind w:right="-6"/>
        <w:jc w:val="center"/>
        <w:outlineLvl w:val="0"/>
        <w:rPr>
          <w:rFonts w:ascii="Verdana" w:eastAsia="Times New Roman" w:hAnsi="Verdana" w:cs="Verdana"/>
          <w:b/>
          <w:caps/>
          <w:sz w:val="20"/>
          <w:szCs w:val="20"/>
          <w:lang w:val="es-CR" w:eastAsia="es-CR"/>
        </w:rPr>
      </w:pPr>
      <w:bookmarkStart w:id="1" w:name="_Toc359314415"/>
      <w:bookmarkStart w:id="2" w:name="_Toc361671572"/>
      <w:bookmarkStart w:id="3" w:name="_Toc361671992"/>
      <w:bookmarkStart w:id="4" w:name="_Toc361732789"/>
      <w:bookmarkStart w:id="5" w:name="_Toc361732832"/>
      <w:bookmarkStart w:id="6" w:name="_Toc362456863"/>
      <w:bookmarkStart w:id="7" w:name="_Toc365021392"/>
      <w:bookmarkStart w:id="8" w:name="_Toc369076778"/>
      <w:bookmarkStart w:id="9" w:name="_Toc369989362"/>
      <w:bookmarkStart w:id="10" w:name="_Toc369989449"/>
      <w:bookmarkStart w:id="11" w:name="_Toc369989730"/>
      <w:bookmarkStart w:id="12" w:name="_Toc438132270"/>
      <w:bookmarkStart w:id="13" w:name="_Toc311128156"/>
      <w:bookmarkStart w:id="14" w:name="_Toc311128353"/>
      <w:bookmarkStart w:id="15" w:name="_Toc486693352"/>
      <w:bookmarkStart w:id="16" w:name="_Toc486842768"/>
      <w:bookmarkStart w:id="17" w:name="_Toc486842906"/>
      <w:bookmarkStart w:id="18" w:name="_Toc491935491"/>
      <w:bookmarkStart w:id="19" w:name="_Toc495497540"/>
      <w:bookmarkStart w:id="20" w:name="_Toc515350936"/>
      <w:bookmarkStart w:id="21" w:name="_Toc520207567"/>
      <w:bookmarkStart w:id="22" w:name="_Toc521694798"/>
      <w:bookmarkStart w:id="23" w:name="_Toc52520114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873FEC">
        <w:rPr>
          <w:rFonts w:ascii="Verdana" w:eastAsia="Times New Roman" w:hAnsi="Verdana" w:cs="Verdana"/>
          <w:b/>
          <w:caps/>
          <w:sz w:val="20"/>
          <w:szCs w:val="20"/>
          <w:lang w:val="es-CR" w:eastAsia="es-CR"/>
        </w:rPr>
        <w:t>II</w:t>
      </w:r>
      <w:r w:rsidRPr="00873FEC">
        <w:rPr>
          <w:rFonts w:ascii="Verdana" w:eastAsia="Times New Roman" w:hAnsi="Verdana" w:cs="Verdana"/>
          <w:b/>
          <w:caps/>
          <w:color w:val="FFFFFF"/>
          <w:sz w:val="20"/>
          <w:szCs w:val="20"/>
          <w:lang w:val="es-CR" w:eastAsia="es-CR"/>
        </w:rPr>
        <w:t>.</w:t>
      </w:r>
      <w:r w:rsidRPr="00873FEC">
        <w:rPr>
          <w:rFonts w:ascii="Verdana" w:eastAsia="Times New Roman" w:hAnsi="Verdana" w:cs="Verdana"/>
          <w:b/>
          <w:caps/>
          <w:sz w:val="20"/>
          <w:szCs w:val="20"/>
          <w:lang w:val="es-CR" w:eastAsia="es-CR"/>
        </w:rPr>
        <w:br/>
        <w:t>PROCEDIMIENTO ANTE LA CORTE</w:t>
      </w:r>
      <w:bookmarkEnd w:id="22"/>
      <w:bookmarkEnd w:id="23"/>
    </w:p>
    <w:p w:rsidR="006166D8" w:rsidRPr="00873FEC" w:rsidRDefault="006166D8" w:rsidP="00126E97">
      <w:pPr>
        <w:spacing w:after="0" w:line="20" w:lineRule="atLeast"/>
        <w:ind w:right="6"/>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Notificación al Estado y a los representantes.</w:t>
      </w:r>
      <w:r w:rsidRPr="00873FEC">
        <w:rPr>
          <w:rFonts w:ascii="Verdana" w:eastAsia="Batang" w:hAnsi="Verdana" w:cs="Times"/>
          <w:sz w:val="20"/>
          <w:szCs w:val="24"/>
          <w:lang w:val="es-CR" w:eastAsia="es-CR"/>
        </w:rPr>
        <w:t xml:space="preserve"> – El sometimiento del caso fue notificado al Estado y a los representantes de las presuntas víctimas</w:t>
      </w:r>
      <w:r w:rsidRPr="00873FEC">
        <w:rPr>
          <w:rFonts w:ascii="Verdana" w:eastAsia="Batang" w:hAnsi="Verdana" w:cs="Times New Roman"/>
          <w:sz w:val="20"/>
          <w:szCs w:val="20"/>
          <w:vertAlign w:val="superscript"/>
          <w:lang w:eastAsia="x-none"/>
        </w:rPr>
        <w:footnoteReference w:id="3"/>
      </w:r>
      <w:r w:rsidRPr="00873FEC">
        <w:rPr>
          <w:rFonts w:ascii="Verdana" w:eastAsia="Batang" w:hAnsi="Verdana" w:cs="Times"/>
          <w:sz w:val="20"/>
          <w:szCs w:val="24"/>
          <w:lang w:val="es-CR" w:eastAsia="es-CR"/>
        </w:rPr>
        <w:t xml:space="preserve"> los días 24 y 30 de enero de enero de 2017, respectivamente. </w:t>
      </w:r>
      <w:bookmarkStart w:id="24" w:name="_Ref499811376"/>
      <w:bookmarkEnd w:id="24"/>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Escrito de solicitudes, argumentos y pruebas.</w:t>
      </w:r>
      <w:r w:rsidRPr="00873FEC">
        <w:rPr>
          <w:rFonts w:ascii="Verdana" w:eastAsia="Batang" w:hAnsi="Verdana" w:cs="Times"/>
          <w:sz w:val="20"/>
          <w:szCs w:val="24"/>
          <w:lang w:val="es-CR" w:eastAsia="es-CR"/>
        </w:rPr>
        <w:t xml:space="preserve"> – El 31 de marzo de 2017 el Grupo de Apoyo Mutuo (en adelante también “los representantes” o “GAM”) presentó su escrito de solicitudes, argumentos y pruebas (en adelante también “escrito de solicitudes y argumentos”), conforme a los artículos 25 y 40 del Reglamento de la Corte. Coincidieron sustancialmente con los alegatos de la Comisión y solicitaron a la Corte que declarara la responsabilidad internacional del Estado por la violación de los mismos artículos de la Convención Americana alegados por la Comisión (</w:t>
      </w:r>
      <w:r w:rsidRPr="00873FEC">
        <w:rPr>
          <w:rFonts w:ascii="Verdana" w:eastAsia="Batang" w:hAnsi="Verdana" w:cs="Times"/>
          <w:i/>
          <w:sz w:val="20"/>
          <w:szCs w:val="24"/>
          <w:lang w:val="es-CR" w:eastAsia="es-CR"/>
        </w:rPr>
        <w:t>supra</w:t>
      </w:r>
      <w:r w:rsidRPr="00873FEC">
        <w:rPr>
          <w:rFonts w:ascii="Verdana" w:eastAsia="Batang" w:hAnsi="Verdana" w:cs="Times"/>
          <w:sz w:val="20"/>
          <w:szCs w:val="24"/>
          <w:lang w:val="es-CR" w:eastAsia="es-CR"/>
        </w:rPr>
        <w:t xml:space="preserve"> párr. 2). Además, alegaron la violación del derecho a la propiedad privada. Finalmente, solicitaron que se ordenara al Estado adoptar diversas medidas de reparación y el reintegro de costas y gastos. </w:t>
      </w:r>
      <w:bookmarkStart w:id="25" w:name="_Ref499811389"/>
      <w:bookmarkEnd w:id="25"/>
    </w:p>
    <w:p w:rsidR="006166D8" w:rsidRPr="00873FEC" w:rsidRDefault="006166D8" w:rsidP="00126E97">
      <w:pPr>
        <w:spacing w:after="0" w:line="20" w:lineRule="atLeast"/>
        <w:ind w:left="720"/>
        <w:contextualSpacing/>
        <w:rPr>
          <w:rFonts w:ascii="Calibri" w:eastAsia="Calibri" w:hAnsi="Calibri" w:cs="Times"/>
          <w:i/>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 xml:space="preserve">Escrito de contestación. – </w:t>
      </w:r>
      <w:r w:rsidRPr="00873FEC">
        <w:rPr>
          <w:rFonts w:ascii="Verdana" w:eastAsia="Batang" w:hAnsi="Verdana" w:cs="Times"/>
          <w:sz w:val="20"/>
          <w:szCs w:val="24"/>
          <w:lang w:val="es-CR" w:eastAsia="es-CR"/>
        </w:rPr>
        <w:t>El 3 de julio de 2017 el Estado presentó su escrito de contestación al sometimiento del caso por parte de la Comisión y de observaciones al escrito de solicitudes, argumentos y pruebas (en adelante “escrito de contestación”</w:t>
      </w:r>
      <w:r w:rsidRPr="00873FEC">
        <w:rPr>
          <w:rFonts w:ascii="Verdana" w:eastAsia="Batang" w:hAnsi="Verdana" w:cs="Times"/>
          <w:sz w:val="20"/>
          <w:szCs w:val="20"/>
          <w:lang w:val="es-CR" w:eastAsia="es-CR"/>
        </w:rPr>
        <w:t>)</w:t>
      </w:r>
      <w:r w:rsidRPr="00873FEC">
        <w:rPr>
          <w:rFonts w:ascii="Verdana" w:eastAsia="Batang" w:hAnsi="Verdana" w:cs="Times New Roman"/>
          <w:sz w:val="20"/>
          <w:szCs w:val="20"/>
          <w:vertAlign w:val="superscript"/>
          <w:lang w:eastAsia="x-none"/>
        </w:rPr>
        <w:footnoteReference w:id="4"/>
      </w:r>
      <w:r w:rsidRPr="00873FEC">
        <w:rPr>
          <w:rFonts w:ascii="Verdana" w:eastAsia="Batang" w:hAnsi="Verdana" w:cs="Times"/>
          <w:sz w:val="20"/>
          <w:szCs w:val="20"/>
          <w:lang w:val="es-CR" w:eastAsia="es-CR"/>
        </w:rPr>
        <w:t>.</w:t>
      </w:r>
      <w:r w:rsidRPr="00873FEC">
        <w:rPr>
          <w:rFonts w:ascii="Verdana" w:eastAsia="Batang" w:hAnsi="Verdana" w:cs="Times"/>
          <w:sz w:val="20"/>
          <w:szCs w:val="24"/>
          <w:lang w:val="es-CR" w:eastAsia="es-CR"/>
        </w:rPr>
        <w:t xml:space="preserve"> Se opuso a las violaciones alegadas y respondió a las solicitudes de reparación. </w:t>
      </w:r>
      <w:bookmarkStart w:id="26" w:name="_Ref508208688"/>
      <w:bookmarkEnd w:id="26"/>
    </w:p>
    <w:p w:rsidR="006166D8" w:rsidRPr="00873FEC" w:rsidRDefault="006166D8" w:rsidP="00126E97">
      <w:pPr>
        <w:spacing w:after="0" w:line="20" w:lineRule="atLeast"/>
        <w:ind w:left="720"/>
        <w:contextualSpacing/>
        <w:rPr>
          <w:rFonts w:ascii="Calibri" w:eastAsia="Calibri" w:hAnsi="Calibri" w:cs="Times"/>
          <w:i/>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 xml:space="preserve">Audiencia Pública. </w:t>
      </w:r>
      <w:r w:rsidRPr="00873FEC">
        <w:rPr>
          <w:rFonts w:ascii="Verdana" w:eastAsia="Batang" w:hAnsi="Verdana" w:cs="Times"/>
          <w:sz w:val="20"/>
          <w:szCs w:val="24"/>
          <w:lang w:val="es-CR" w:eastAsia="es-CR"/>
        </w:rPr>
        <w:t>– El 13 de diciembre de 2017 el Presidente de la Corte</w:t>
      </w:r>
      <w:r w:rsidRPr="00873FEC">
        <w:rPr>
          <w:rFonts w:ascii="Verdana" w:eastAsia="Batang" w:hAnsi="Verdana" w:cs="Times New Roman"/>
          <w:sz w:val="20"/>
          <w:szCs w:val="20"/>
          <w:vertAlign w:val="superscript"/>
          <w:lang w:eastAsia="x-none"/>
        </w:rPr>
        <w:footnoteReference w:id="5"/>
      </w:r>
      <w:r w:rsidRPr="00873FEC">
        <w:rPr>
          <w:rFonts w:ascii="Verdana" w:eastAsia="Batang" w:hAnsi="Verdana" w:cs="Times"/>
          <w:sz w:val="20"/>
          <w:szCs w:val="24"/>
          <w:lang w:val="es-CR" w:eastAsia="es-CR"/>
        </w:rPr>
        <w:t xml:space="preserve"> (en adelante, “el Presidente”) emitió una Resolución mediante la cual convocó al Estado, a los representantes y a la Comisión Interamericana </w:t>
      </w:r>
      <w:r w:rsidR="00191A9D" w:rsidRPr="00873FEC">
        <w:rPr>
          <w:rFonts w:ascii="Verdana" w:eastAsia="Batang" w:hAnsi="Verdana" w:cs="Times"/>
          <w:sz w:val="20"/>
          <w:szCs w:val="24"/>
          <w:lang w:val="es-CR" w:eastAsia="es-CR"/>
        </w:rPr>
        <w:t xml:space="preserve">de Derechos Humanos </w:t>
      </w:r>
      <w:r w:rsidRPr="00873FEC">
        <w:rPr>
          <w:rFonts w:ascii="Verdana" w:eastAsia="Batang" w:hAnsi="Verdana" w:cs="Times"/>
          <w:sz w:val="20"/>
          <w:szCs w:val="24"/>
          <w:lang w:val="es-CR" w:eastAsia="es-CR"/>
        </w:rPr>
        <w:t>a la celebración de una audiencia pública respecto del fondo, reparaciones y costas, para escuchar los alegatos finales orales de las partes y las observaciones finales orales de la Comisión respecto de dichos temas</w:t>
      </w:r>
      <w:bookmarkStart w:id="27" w:name="_Ref499811592"/>
      <w:bookmarkEnd w:id="27"/>
      <w:r w:rsidRPr="00873FEC">
        <w:rPr>
          <w:rFonts w:ascii="Verdana" w:eastAsia="Batang" w:hAnsi="Verdana" w:cs="Times New Roman"/>
          <w:sz w:val="20"/>
          <w:szCs w:val="20"/>
          <w:vertAlign w:val="superscript"/>
          <w:lang w:eastAsia="x-none"/>
        </w:rPr>
        <w:footnoteReference w:id="6"/>
      </w:r>
      <w:r w:rsidRPr="00873FEC">
        <w:rPr>
          <w:rFonts w:ascii="Verdana" w:eastAsia="Batang" w:hAnsi="Verdana" w:cs="Times"/>
          <w:sz w:val="20"/>
          <w:szCs w:val="20"/>
          <w:lang w:val="es-CR" w:eastAsia="es-CR"/>
        </w:rPr>
        <w:t xml:space="preserve">. </w:t>
      </w:r>
      <w:r w:rsidRPr="00873FEC">
        <w:rPr>
          <w:rFonts w:ascii="Verdana" w:eastAsia="Batang" w:hAnsi="Verdana" w:cs="Times"/>
          <w:sz w:val="20"/>
          <w:szCs w:val="24"/>
          <w:lang w:val="es-CR" w:eastAsia="es-CR"/>
        </w:rPr>
        <w:t>Además convocó a declarar en esa audiencia a dos presuntas víctimas. Asimismo, ordenó recibir las declaraciones ante fedatario público (afidávits) de una presunta víctima y una perita. La audiencia pública se celebró el 9 de febrero de 2018 durante el 121 Período Ordinario de Sesiones de la Corte, llevado a cabo en su sede</w:t>
      </w:r>
      <w:r w:rsidRPr="00873FEC">
        <w:rPr>
          <w:rFonts w:ascii="Verdana" w:eastAsia="Verdana" w:hAnsi="Verdana" w:cs="Verdana"/>
          <w:sz w:val="20"/>
          <w:szCs w:val="20"/>
          <w:vertAlign w:val="superscript"/>
          <w:lang w:val="en-US" w:eastAsia="x-none"/>
        </w:rPr>
        <w:footnoteReference w:id="7"/>
      </w:r>
      <w:r w:rsidRPr="00873FEC">
        <w:rPr>
          <w:rFonts w:ascii="Verdana" w:eastAsia="Batang" w:hAnsi="Verdana" w:cs="Times"/>
          <w:sz w:val="20"/>
          <w:szCs w:val="24"/>
          <w:lang w:val="es-CR" w:eastAsia="es-CR"/>
        </w:rPr>
        <w:t>. En el curso de dicha audiencia, los Jueces de la Corte solicitaron cierta información y explicaciones a las partes y a la Comisión.</w:t>
      </w:r>
      <w:bookmarkStart w:id="28" w:name="_Ref512937341"/>
      <w:bookmarkEnd w:id="28"/>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 xml:space="preserve">Alegatos y observaciones finales escritos. </w:t>
      </w:r>
      <w:r w:rsidRPr="00873FEC">
        <w:rPr>
          <w:rFonts w:ascii="Verdana" w:eastAsia="Batang" w:hAnsi="Verdana" w:cs="Times"/>
          <w:sz w:val="20"/>
          <w:szCs w:val="24"/>
          <w:lang w:val="es-CR" w:eastAsia="es-CR"/>
        </w:rPr>
        <w:t xml:space="preserve">– El 9 de marzo de 2018 los representantes y el Estado remitieron sus alegatos finales escritos, así como determinados anexos. El 12 de marzo de 2018 la Comisión presentó sus observaciones finales escritas. </w:t>
      </w:r>
      <w:bookmarkStart w:id="29" w:name="_Ref479271603"/>
      <w:bookmarkStart w:id="30" w:name="_Ref464815046"/>
      <w:bookmarkEnd w:id="29"/>
      <w:bookmarkEnd w:id="30"/>
      <w:r w:rsidRPr="00873FEC">
        <w:rPr>
          <w:rFonts w:ascii="Verdana" w:eastAsia="Batang" w:hAnsi="Verdana" w:cs="Times"/>
          <w:sz w:val="20"/>
          <w:szCs w:val="24"/>
          <w:lang w:val="es-CR" w:eastAsia="es-CR"/>
        </w:rPr>
        <w:t>El 2 de abril de 2018</w:t>
      </w:r>
      <w:r w:rsidRPr="00873FEC">
        <w:rPr>
          <w:rFonts w:ascii="Verdana" w:eastAsia="Batang" w:hAnsi="Verdana" w:cs="Times"/>
          <w:b/>
          <w:sz w:val="20"/>
          <w:szCs w:val="24"/>
          <w:lang w:val="es-CR" w:eastAsia="es-CR"/>
        </w:rPr>
        <w:t xml:space="preserve"> </w:t>
      </w:r>
      <w:r w:rsidRPr="00873FEC">
        <w:rPr>
          <w:rFonts w:ascii="Verdana" w:eastAsia="Batang" w:hAnsi="Verdana" w:cs="Times"/>
          <w:sz w:val="20"/>
          <w:szCs w:val="24"/>
          <w:lang w:val="es-CR" w:eastAsia="es-CR"/>
        </w:rPr>
        <w:t xml:space="preserve">los representantes y el Estado presentaron, respectivamente, sus observaciones a los anexos documentales presentada por la otra parte. En esa misma fecha, la Comisión informó que no tenía observaciones sobre la documentación referida. </w:t>
      </w:r>
    </w:p>
    <w:p w:rsidR="006166D8" w:rsidRPr="00873FEC" w:rsidRDefault="006166D8" w:rsidP="00126E97">
      <w:pPr>
        <w:spacing w:after="0" w:line="20" w:lineRule="atLeast"/>
        <w:ind w:left="720"/>
        <w:contextualSpacing/>
        <w:rPr>
          <w:rFonts w:ascii="Calibri" w:eastAsia="Calibri" w:hAnsi="Calibri" w:cs="Times"/>
          <w:i/>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i/>
          <w:iCs/>
          <w:sz w:val="20"/>
          <w:szCs w:val="20"/>
          <w:lang w:val="es-CR" w:eastAsia="es-CR"/>
        </w:rPr>
        <w:t xml:space="preserve">Medidas provisionales. - </w:t>
      </w:r>
      <w:r w:rsidRPr="00873FEC">
        <w:rPr>
          <w:rFonts w:ascii="Verdana" w:eastAsia="Batang" w:hAnsi="Verdana" w:cs="Times"/>
          <w:sz w:val="20"/>
          <w:szCs w:val="20"/>
          <w:lang w:val="es-CR" w:eastAsia="es-CR"/>
        </w:rPr>
        <w:t xml:space="preserve">El 8 de febrero de 2018 la Corte adoptó medidas provisionales a favor de las presuntas víctimas Efraín Grave </w:t>
      </w:r>
      <w:proofErr w:type="spellStart"/>
      <w:r w:rsidRPr="00873FEC">
        <w:rPr>
          <w:rFonts w:ascii="Verdana" w:eastAsia="Batang" w:hAnsi="Verdana" w:cs="Times"/>
          <w:sz w:val="20"/>
          <w:szCs w:val="20"/>
          <w:lang w:val="es-CR" w:eastAsia="es-CR"/>
        </w:rPr>
        <w:t>Morente</w:t>
      </w:r>
      <w:proofErr w:type="spellEnd"/>
      <w:r w:rsidRPr="00873FEC">
        <w:rPr>
          <w:rFonts w:ascii="Verdana" w:eastAsia="Batang" w:hAnsi="Verdana" w:cs="Times"/>
          <w:sz w:val="20"/>
          <w:szCs w:val="20"/>
          <w:lang w:val="es-CR" w:eastAsia="es-CR"/>
        </w:rPr>
        <w:t>, Natividad Sales</w:t>
      </w:r>
      <w:r w:rsidR="000D5D3B">
        <w:rPr>
          <w:rFonts w:ascii="Verdana" w:eastAsia="Batang" w:hAnsi="Verdana" w:cs="Times"/>
          <w:sz w:val="20"/>
          <w:szCs w:val="20"/>
          <w:lang w:val="es-CR" w:eastAsia="es-CR"/>
        </w:rPr>
        <w:t xml:space="preserve"> Calmo</w:t>
      </w:r>
      <w:r w:rsidRPr="00873FEC">
        <w:rPr>
          <w:rFonts w:ascii="Verdana" w:eastAsia="Batang" w:hAnsi="Verdana" w:cs="Times"/>
          <w:sz w:val="20"/>
          <w:szCs w:val="20"/>
          <w:lang w:val="es-CR" w:eastAsia="es-CR"/>
        </w:rPr>
        <w:t xml:space="preserve"> y Tomás Grave </w:t>
      </w:r>
      <w:proofErr w:type="spellStart"/>
      <w:r w:rsidRPr="00873FEC">
        <w:rPr>
          <w:rFonts w:ascii="Verdana" w:eastAsia="Batang" w:hAnsi="Verdana" w:cs="Times"/>
          <w:sz w:val="20"/>
          <w:szCs w:val="20"/>
          <w:lang w:val="es-CR" w:eastAsia="es-CR"/>
        </w:rPr>
        <w:t>Morente</w:t>
      </w:r>
      <w:proofErr w:type="spellEnd"/>
      <w:r w:rsidRPr="00873FEC">
        <w:rPr>
          <w:rFonts w:ascii="Verdana" w:eastAsia="Batang" w:hAnsi="Verdana" w:cs="Times"/>
          <w:sz w:val="20"/>
          <w:szCs w:val="20"/>
          <w:lang w:val="es-CR" w:eastAsia="es-CR"/>
        </w:rPr>
        <w:t xml:space="preserve">, así como de </w:t>
      </w:r>
      <w:proofErr w:type="spellStart"/>
      <w:r w:rsidRPr="00873FEC">
        <w:rPr>
          <w:rFonts w:ascii="Verdana" w:eastAsia="Batang" w:hAnsi="Verdana" w:cs="Times"/>
          <w:sz w:val="20"/>
          <w:szCs w:val="20"/>
          <w:lang w:val="es-CR" w:eastAsia="es-CR"/>
        </w:rPr>
        <w:t>Maynor</w:t>
      </w:r>
      <w:proofErr w:type="spellEnd"/>
      <w:r w:rsidRPr="00873FEC">
        <w:rPr>
          <w:rFonts w:ascii="Verdana" w:eastAsia="Batang" w:hAnsi="Verdana" w:cs="Times"/>
          <w:sz w:val="20"/>
          <w:szCs w:val="20"/>
          <w:lang w:val="es-CR" w:eastAsia="es-CR"/>
        </w:rPr>
        <w:t xml:space="preserve"> Estuardo Alvarado Galeano y Karla Lorena Campos Flores, abogado y abogada de los representantes</w:t>
      </w:r>
      <w:r w:rsidRPr="00873FEC">
        <w:rPr>
          <w:rFonts w:ascii="Verdana" w:eastAsia="Batang" w:hAnsi="Verdana" w:cs="Times New Roman"/>
          <w:sz w:val="20"/>
          <w:szCs w:val="20"/>
          <w:vertAlign w:val="superscript"/>
          <w:lang w:val="en-US" w:eastAsia="x-none"/>
        </w:rPr>
        <w:footnoteReference w:id="8"/>
      </w:r>
      <w:r w:rsidRPr="00873FEC">
        <w:rPr>
          <w:rFonts w:ascii="Verdana" w:eastAsia="Batang" w:hAnsi="Verdana" w:cs="Times"/>
          <w:sz w:val="20"/>
          <w:szCs w:val="20"/>
          <w:lang w:val="es-CR" w:eastAsia="es-CR"/>
        </w:rPr>
        <w:t xml:space="preserve">. Las medidas provisionales continúan vigentes. </w:t>
      </w:r>
    </w:p>
    <w:p w:rsidR="006166D8" w:rsidRPr="00873FEC" w:rsidRDefault="006166D8" w:rsidP="00126E97">
      <w:pPr>
        <w:spacing w:after="0" w:line="20" w:lineRule="atLeast"/>
        <w:ind w:left="720"/>
        <w:contextualSpacing/>
        <w:rPr>
          <w:rFonts w:ascii="Calibri" w:eastAsia="Calibri" w:hAnsi="Calibri" w:cs="Times"/>
          <w:i/>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i/>
          <w:sz w:val="20"/>
          <w:szCs w:val="24"/>
          <w:lang w:val="es-CR" w:eastAsia="es-CR"/>
        </w:rPr>
        <w:t xml:space="preserve">Deliberación del presente caso. </w:t>
      </w:r>
      <w:r w:rsidRPr="00873FEC">
        <w:rPr>
          <w:rFonts w:ascii="Verdana" w:eastAsia="Batang" w:hAnsi="Verdana" w:cs="Times"/>
          <w:sz w:val="20"/>
          <w:szCs w:val="24"/>
          <w:lang w:val="es-CR" w:eastAsia="es-CR"/>
        </w:rPr>
        <w:t>– La Corte deliberó la presente Sentencia los días 21 y 22</w:t>
      </w:r>
      <w:r w:rsidRPr="00873FEC">
        <w:rPr>
          <w:rFonts w:ascii="Verdana" w:eastAsia="Batang" w:hAnsi="Verdana" w:cs="Times"/>
          <w:b/>
          <w:sz w:val="20"/>
          <w:szCs w:val="24"/>
          <w:lang w:val="es-CR" w:eastAsia="es-CR"/>
        </w:rPr>
        <w:t xml:space="preserve"> </w:t>
      </w:r>
      <w:r w:rsidRPr="00873FEC">
        <w:rPr>
          <w:rFonts w:ascii="Verdana" w:eastAsia="Batang" w:hAnsi="Verdana" w:cs="Times"/>
          <w:sz w:val="20"/>
          <w:szCs w:val="24"/>
          <w:lang w:val="es-CR" w:eastAsia="es-CR"/>
        </w:rPr>
        <w:t xml:space="preserve">de agosto de 2018. </w:t>
      </w:r>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keepNext/>
        <w:keepLines/>
        <w:spacing w:after="0" w:line="20" w:lineRule="atLeast"/>
        <w:jc w:val="center"/>
        <w:outlineLvl w:val="0"/>
        <w:rPr>
          <w:rFonts w:ascii="Verdana" w:eastAsia="Calibri" w:hAnsi="Verdana" w:cs="Verdana"/>
          <w:b/>
          <w:caps/>
          <w:spacing w:val="-5"/>
          <w:sz w:val="20"/>
          <w:szCs w:val="20"/>
          <w:lang w:val="es-CR" w:eastAsia="es-CR"/>
        </w:rPr>
      </w:pPr>
      <w:bookmarkStart w:id="31" w:name="_Toc515350937"/>
      <w:bookmarkStart w:id="32" w:name="_Toc520207568"/>
      <w:bookmarkStart w:id="33" w:name="_Toc521694799"/>
      <w:bookmarkStart w:id="34" w:name="_Toc525201145"/>
      <w:bookmarkEnd w:id="31"/>
      <w:bookmarkEnd w:id="32"/>
      <w:r w:rsidRPr="00873FEC">
        <w:rPr>
          <w:rFonts w:ascii="Verdana" w:eastAsia="Calibri" w:hAnsi="Verdana" w:cs="Verdana"/>
          <w:b/>
          <w:caps/>
          <w:spacing w:val="-5"/>
          <w:sz w:val="20"/>
          <w:szCs w:val="20"/>
          <w:lang w:val="es-CR" w:eastAsia="es-CR"/>
        </w:rPr>
        <w:t>III</w:t>
      </w:r>
      <w:bookmarkEnd w:id="33"/>
      <w:bookmarkEnd w:id="34"/>
    </w:p>
    <w:p w:rsidR="006166D8" w:rsidRPr="00873FEC" w:rsidRDefault="006166D8" w:rsidP="00126E97">
      <w:pPr>
        <w:keepNext/>
        <w:keepLines/>
        <w:spacing w:after="0" w:line="20" w:lineRule="atLeast"/>
        <w:jc w:val="center"/>
        <w:outlineLvl w:val="0"/>
        <w:rPr>
          <w:rFonts w:ascii="Verdana" w:eastAsia="Times New Roman" w:hAnsi="Verdana" w:cs="Verdana"/>
          <w:b/>
          <w:caps/>
          <w:spacing w:val="-5"/>
          <w:sz w:val="20"/>
          <w:szCs w:val="20"/>
          <w:lang w:val="es-CR" w:eastAsia="es-CR"/>
        </w:rPr>
      </w:pPr>
      <w:bookmarkStart w:id="35" w:name="_Toc514063374"/>
      <w:bookmarkStart w:id="36" w:name="_Toc512498966"/>
      <w:bookmarkStart w:id="37" w:name="_Toc512447124"/>
      <w:bookmarkStart w:id="38" w:name="_Toc504661192"/>
      <w:bookmarkStart w:id="39" w:name="_Toc504656571"/>
      <w:bookmarkStart w:id="40" w:name="_Toc503594839"/>
      <w:bookmarkStart w:id="41" w:name="_Toc502891543"/>
      <w:bookmarkStart w:id="42" w:name="_Toc502022996"/>
      <w:bookmarkStart w:id="43" w:name="_Toc501802101"/>
      <w:bookmarkStart w:id="44" w:name="_Toc375062724"/>
      <w:bookmarkStart w:id="45" w:name="_Toc375140874"/>
      <w:bookmarkStart w:id="46" w:name="_Toc375504833"/>
      <w:bookmarkStart w:id="47" w:name="_Toc375560907"/>
      <w:bookmarkStart w:id="48" w:name="_Toc395213493"/>
      <w:bookmarkStart w:id="49" w:name="_Toc396514850"/>
      <w:bookmarkStart w:id="50" w:name="_Toc396515126"/>
      <w:bookmarkStart w:id="51" w:name="_Toc402039405"/>
      <w:bookmarkStart w:id="52" w:name="_Toc403670648"/>
      <w:bookmarkStart w:id="53" w:name="_Toc403671384"/>
      <w:bookmarkStart w:id="54" w:name="_Toc405774576"/>
      <w:bookmarkStart w:id="55" w:name="_Toc405857779"/>
      <w:bookmarkStart w:id="56" w:name="_Toc424833999"/>
      <w:bookmarkStart w:id="57" w:name="_Toc424834683"/>
      <w:bookmarkStart w:id="58" w:name="_Toc424834750"/>
      <w:bookmarkStart w:id="59" w:name="_Toc427234538"/>
      <w:bookmarkStart w:id="60" w:name="_Toc427342827"/>
      <w:bookmarkStart w:id="61" w:name="_Toc427663813"/>
      <w:bookmarkStart w:id="62" w:name="_Toc427932789"/>
      <w:bookmarkStart w:id="63" w:name="_Toc427943552"/>
      <w:bookmarkStart w:id="64" w:name="_Toc427943726"/>
      <w:bookmarkStart w:id="65" w:name="_Toc431584606"/>
      <w:bookmarkStart w:id="66" w:name="_Toc431584722"/>
      <w:bookmarkStart w:id="67" w:name="_Toc431585027"/>
      <w:bookmarkStart w:id="68" w:name="_Toc431646544"/>
      <w:bookmarkStart w:id="69" w:name="_Toc431834623"/>
      <w:bookmarkStart w:id="70" w:name="_Toc308537928"/>
      <w:bookmarkStart w:id="71" w:name="_Toc308538148"/>
      <w:bookmarkStart w:id="72" w:name="_Toc434849915"/>
      <w:bookmarkStart w:id="73" w:name="_Toc434850394"/>
      <w:bookmarkStart w:id="74" w:name="_Toc469594902"/>
      <w:bookmarkStart w:id="75" w:name="_Toc469664211"/>
      <w:bookmarkStart w:id="76" w:name="_Toc469664473"/>
      <w:bookmarkStart w:id="77" w:name="_Toc469940918"/>
      <w:bookmarkStart w:id="78" w:name="_Toc515350938"/>
      <w:bookmarkStart w:id="79" w:name="_Toc520207569"/>
      <w:bookmarkStart w:id="80" w:name="_Toc521694800"/>
      <w:bookmarkStart w:id="81" w:name="_Toc52520114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73FEC">
        <w:rPr>
          <w:rFonts w:ascii="Verdana" w:eastAsia="Times New Roman" w:hAnsi="Verdana" w:cs="Verdana"/>
          <w:b/>
          <w:caps/>
          <w:spacing w:val="-5"/>
          <w:sz w:val="20"/>
          <w:szCs w:val="20"/>
          <w:lang w:val="es-CR" w:eastAsia="es-CR"/>
        </w:rPr>
        <w:t>COMPETENCIA</w:t>
      </w:r>
      <w:bookmarkEnd w:id="80"/>
      <w:bookmarkEnd w:id="81"/>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4"/>
          <w:lang w:val="es-CR" w:eastAsia="es-CR"/>
        </w:rPr>
        <w:t xml:space="preserve">La Corte es competente para conocer el presente caso, en los términos del artículo 62.3 de la Convención, en razón de que Guatemala es Estado Parte en la Convención Americana desde el 25 de mayo de 1978 y reconoció la competencia contenciosa de la Corte el 9 de marzo de 1987. </w:t>
      </w:r>
    </w:p>
    <w:p w:rsidR="006166D8" w:rsidRPr="00873FEC" w:rsidRDefault="006166D8" w:rsidP="00126E97">
      <w:pPr>
        <w:spacing w:after="0" w:line="20" w:lineRule="atLeast"/>
        <w:ind w:right="-138"/>
        <w:jc w:val="both"/>
        <w:rPr>
          <w:rFonts w:ascii="Verdana" w:eastAsia="Batang" w:hAnsi="Verdana" w:cs="Times"/>
          <w:sz w:val="20"/>
          <w:szCs w:val="24"/>
          <w:lang w:val="es-CR" w:eastAsia="es-CR"/>
        </w:rPr>
      </w:pPr>
    </w:p>
    <w:p w:rsidR="006166D8" w:rsidRPr="00873FEC" w:rsidRDefault="006166D8" w:rsidP="00126E97">
      <w:pPr>
        <w:keepNext/>
        <w:keepLines/>
        <w:spacing w:after="0" w:line="20" w:lineRule="atLeast"/>
        <w:jc w:val="center"/>
        <w:outlineLvl w:val="0"/>
        <w:rPr>
          <w:rFonts w:ascii="Verdana" w:eastAsia="Calibri" w:hAnsi="Verdana" w:cs="Verdana"/>
          <w:b/>
          <w:caps/>
          <w:spacing w:val="-5"/>
          <w:sz w:val="20"/>
          <w:szCs w:val="20"/>
          <w:lang w:val="es-CR" w:eastAsia="es-CR"/>
        </w:rPr>
      </w:pPr>
      <w:bookmarkStart w:id="82" w:name="_Toc515350939"/>
      <w:bookmarkStart w:id="83" w:name="_Toc520207570"/>
      <w:bookmarkStart w:id="84" w:name="_Toc521694801"/>
      <w:bookmarkStart w:id="85" w:name="_Toc525201147"/>
      <w:bookmarkEnd w:id="82"/>
      <w:bookmarkEnd w:id="83"/>
      <w:r w:rsidRPr="00873FEC">
        <w:rPr>
          <w:rFonts w:ascii="Verdana" w:eastAsia="Calibri" w:hAnsi="Verdana" w:cs="Verdana"/>
          <w:b/>
          <w:caps/>
          <w:spacing w:val="-5"/>
          <w:sz w:val="20"/>
          <w:szCs w:val="20"/>
          <w:lang w:val="es-CR" w:eastAsia="es-CR"/>
        </w:rPr>
        <w:t>IV</w:t>
      </w:r>
      <w:bookmarkEnd w:id="84"/>
      <w:bookmarkEnd w:id="85"/>
    </w:p>
    <w:p w:rsidR="006166D8" w:rsidRPr="00873FEC" w:rsidRDefault="006166D8" w:rsidP="00126E97">
      <w:pPr>
        <w:keepNext/>
        <w:keepLines/>
        <w:spacing w:after="0" w:line="20" w:lineRule="atLeast"/>
        <w:jc w:val="center"/>
        <w:outlineLvl w:val="0"/>
        <w:rPr>
          <w:rFonts w:ascii="Verdana" w:eastAsia="Times New Roman" w:hAnsi="Verdana" w:cs="Verdana"/>
          <w:b/>
          <w:caps/>
          <w:spacing w:val="-5"/>
          <w:sz w:val="20"/>
          <w:szCs w:val="20"/>
          <w:lang w:val="es-CR" w:eastAsia="es-CR"/>
        </w:rPr>
      </w:pPr>
      <w:bookmarkStart w:id="86" w:name="_Toc515350940"/>
      <w:bookmarkStart w:id="87" w:name="_Toc520207571"/>
      <w:bookmarkStart w:id="88" w:name="_Toc521694802"/>
      <w:bookmarkStart w:id="89" w:name="_Toc525201148"/>
      <w:bookmarkEnd w:id="86"/>
      <w:bookmarkEnd w:id="87"/>
      <w:r w:rsidRPr="00873FEC">
        <w:rPr>
          <w:rFonts w:ascii="Verdana" w:eastAsia="Times New Roman" w:hAnsi="Verdana" w:cs="Verdana"/>
          <w:b/>
          <w:caps/>
          <w:spacing w:val="-5"/>
          <w:sz w:val="20"/>
          <w:szCs w:val="20"/>
          <w:lang w:val="es-CR" w:eastAsia="es-CR"/>
        </w:rPr>
        <w:t>CONSIDERACIÓN PREVIA SOBRE LA DETERMINACIÓN DE PRESUNTAS VÍCTIMAS</w:t>
      </w:r>
      <w:bookmarkEnd w:id="88"/>
      <w:bookmarkEnd w:id="89"/>
    </w:p>
    <w:p w:rsidR="006166D8" w:rsidRPr="00873FEC" w:rsidRDefault="006166D8" w:rsidP="00126E97">
      <w:pPr>
        <w:spacing w:after="0" w:line="20" w:lineRule="atLeast"/>
        <w:ind w:right="-138"/>
        <w:jc w:val="both"/>
        <w:rPr>
          <w:rFonts w:ascii="Verdana" w:eastAsia="Batang" w:hAnsi="Verdana" w:cs="Times"/>
          <w:sz w:val="20"/>
          <w:szCs w:val="24"/>
          <w:lang w:val="es-CR" w:eastAsia="es-CR"/>
        </w:rPr>
      </w:pPr>
    </w:p>
    <w:p w:rsidR="006166D8" w:rsidRPr="00873FEC" w:rsidRDefault="006166D8" w:rsidP="00126E97">
      <w:pPr>
        <w:numPr>
          <w:ilvl w:val="2"/>
          <w:numId w:val="2"/>
        </w:numPr>
        <w:spacing w:after="0" w:line="20" w:lineRule="atLeast"/>
        <w:ind w:left="284" w:right="-138"/>
        <w:contextualSpacing/>
        <w:jc w:val="both"/>
        <w:outlineLvl w:val="1"/>
        <w:rPr>
          <w:rFonts w:ascii="Verdana" w:eastAsia="Calibri" w:hAnsi="Verdana" w:cs="Times"/>
          <w:b/>
          <w:i/>
          <w:sz w:val="20"/>
          <w:szCs w:val="20"/>
          <w:lang w:val="es-CR" w:eastAsia="es-CR"/>
        </w:rPr>
      </w:pPr>
      <w:bookmarkStart w:id="90" w:name="_Toc515350941"/>
      <w:bookmarkStart w:id="91" w:name="_Toc520207572"/>
      <w:bookmarkStart w:id="92" w:name="_Toc525201149"/>
      <w:bookmarkEnd w:id="90"/>
      <w:bookmarkEnd w:id="91"/>
      <w:r w:rsidRPr="00873FEC">
        <w:rPr>
          <w:rFonts w:ascii="Verdana" w:eastAsia="Calibri" w:hAnsi="Verdana" w:cs="Times"/>
          <w:b/>
          <w:i/>
          <w:sz w:val="20"/>
          <w:szCs w:val="20"/>
          <w:lang w:val="es-CR" w:eastAsia="es-CR"/>
        </w:rPr>
        <w:t>Alegatos de la Comisión y de la partes</w:t>
      </w:r>
      <w:bookmarkEnd w:id="92"/>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0"/>
          <w:lang w:val="es-CR" w:eastAsia="es-CR"/>
        </w:rPr>
        <w:t xml:space="preserve">La </w:t>
      </w:r>
      <w:r w:rsidRPr="00873FEC">
        <w:rPr>
          <w:rFonts w:ascii="Verdana" w:eastAsia="Batang" w:hAnsi="Verdana" w:cs="Times"/>
          <w:b/>
          <w:i/>
          <w:sz w:val="20"/>
          <w:szCs w:val="20"/>
          <w:lang w:val="es-CR" w:eastAsia="es-CR"/>
        </w:rPr>
        <w:t>Comisión</w:t>
      </w:r>
      <w:r w:rsidRPr="00873FEC">
        <w:rPr>
          <w:rFonts w:ascii="Verdana" w:eastAsia="Batang" w:hAnsi="Verdana" w:cs="Times"/>
          <w:sz w:val="20"/>
          <w:szCs w:val="20"/>
          <w:lang w:val="es-CR" w:eastAsia="es-CR"/>
        </w:rPr>
        <w:t xml:space="preserve"> señaló a </w:t>
      </w:r>
      <w:r w:rsidR="003F67FE" w:rsidRPr="00873FEC">
        <w:rPr>
          <w:rFonts w:ascii="Verdana" w:eastAsia="Batang" w:hAnsi="Verdana" w:cs="Times"/>
          <w:sz w:val="20"/>
          <w:szCs w:val="20"/>
          <w:lang w:val="es-CR" w:eastAsia="es-CR"/>
        </w:rPr>
        <w:t>99</w:t>
      </w:r>
      <w:r w:rsidRPr="00873FEC">
        <w:rPr>
          <w:rFonts w:ascii="Verdana" w:eastAsia="Batang" w:hAnsi="Verdana" w:cs="Times"/>
          <w:sz w:val="20"/>
          <w:szCs w:val="20"/>
          <w:lang w:val="es-CR" w:eastAsia="es-CR"/>
        </w:rPr>
        <w:t xml:space="preserve"> personas como víctimas en el Informe de Fondo (</w:t>
      </w:r>
      <w:r w:rsidRPr="00873FEC">
        <w:rPr>
          <w:rFonts w:ascii="Verdana" w:eastAsia="Batang" w:hAnsi="Verdana" w:cs="Times"/>
          <w:i/>
          <w:sz w:val="20"/>
          <w:szCs w:val="20"/>
          <w:lang w:val="es-CR" w:eastAsia="es-CR"/>
        </w:rPr>
        <w:t>supra</w:t>
      </w:r>
      <w:r w:rsidRPr="00873FEC">
        <w:rPr>
          <w:rFonts w:ascii="Verdana" w:eastAsia="Batang" w:hAnsi="Verdana" w:cs="Times"/>
          <w:sz w:val="20"/>
          <w:szCs w:val="20"/>
          <w:lang w:val="es-CR" w:eastAsia="es-CR"/>
        </w:rPr>
        <w:t xml:space="preserve"> párr. 1). Expresó que efectuó la “individualización más precisa posible” de las mismas, pero “dejó constancia” de que existen diferencias entre los nombres de las personas respectivas en diferentes comunicaciones o en el expediente judicial</w:t>
      </w:r>
      <w:r w:rsidRPr="00873FEC">
        <w:rPr>
          <w:rFonts w:ascii="Verdana" w:eastAsia="Batang" w:hAnsi="Verdana" w:cs="Times New Roman"/>
          <w:sz w:val="20"/>
          <w:szCs w:val="20"/>
          <w:vertAlign w:val="superscript"/>
          <w:lang w:eastAsia="x-none"/>
        </w:rPr>
        <w:footnoteReference w:id="9"/>
      </w:r>
      <w:r w:rsidRPr="00873FEC">
        <w:rPr>
          <w:rFonts w:ascii="Verdana" w:eastAsia="Batang" w:hAnsi="Verdana" w:cs="Times"/>
          <w:sz w:val="20"/>
          <w:szCs w:val="20"/>
          <w:lang w:val="es-CR" w:eastAsia="es-CR"/>
        </w:rPr>
        <w:t>.</w:t>
      </w:r>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0"/>
          <w:lang w:val="es-CR" w:eastAsia="es-CR"/>
        </w:rPr>
        <w:t xml:space="preserve">Los </w:t>
      </w:r>
      <w:r w:rsidRPr="00873FEC">
        <w:rPr>
          <w:rFonts w:ascii="Verdana" w:eastAsia="Batang" w:hAnsi="Verdana" w:cs="Times"/>
          <w:b/>
          <w:i/>
          <w:sz w:val="20"/>
          <w:szCs w:val="20"/>
          <w:lang w:val="es-CR" w:eastAsia="es-CR"/>
        </w:rPr>
        <w:t>representantes</w:t>
      </w:r>
      <w:r w:rsidRPr="00873FEC">
        <w:rPr>
          <w:rFonts w:ascii="Verdana" w:eastAsia="Batang" w:hAnsi="Verdana" w:cs="Times"/>
          <w:sz w:val="20"/>
          <w:szCs w:val="20"/>
          <w:lang w:val="es-CR" w:eastAsia="es-CR"/>
        </w:rPr>
        <w:t xml:space="preserve"> identificaron como víctima a una persona </w:t>
      </w:r>
      <w:r w:rsidR="001F48CC" w:rsidRPr="00873FEC">
        <w:rPr>
          <w:rFonts w:ascii="Verdana" w:eastAsia="Batang" w:hAnsi="Verdana" w:cs="Times"/>
          <w:sz w:val="20"/>
          <w:szCs w:val="20"/>
          <w:lang w:val="es-CR" w:eastAsia="es-CR"/>
        </w:rPr>
        <w:t>distinta de</w:t>
      </w:r>
      <w:r w:rsidRPr="00873FEC">
        <w:rPr>
          <w:rFonts w:ascii="Verdana" w:eastAsia="Batang" w:hAnsi="Verdana" w:cs="Times"/>
          <w:sz w:val="20"/>
          <w:szCs w:val="20"/>
          <w:lang w:val="es-CR" w:eastAsia="es-CR"/>
        </w:rPr>
        <w:t xml:space="preserve"> las indicadas en el Informe de Fondo:</w:t>
      </w:r>
      <w:r w:rsidRPr="00873FEC">
        <w:rPr>
          <w:rFonts w:ascii="Verdana" w:eastAsia="Batang" w:hAnsi="Verdana" w:cs="Times"/>
          <w:sz w:val="20"/>
          <w:szCs w:val="24"/>
          <w:lang w:val="es-CR" w:eastAsia="es-CR"/>
        </w:rPr>
        <w:t xml:space="preserve"> </w:t>
      </w:r>
      <w:r w:rsidRPr="00873FEC">
        <w:rPr>
          <w:rFonts w:ascii="Verdana" w:eastAsia="Batang" w:hAnsi="Verdana" w:cs="Times"/>
          <w:sz w:val="20"/>
          <w:szCs w:val="20"/>
          <w:lang w:val="es-CR" w:eastAsia="es-CR"/>
        </w:rPr>
        <w:t>Eulalia Antonio</w:t>
      </w:r>
      <w:r w:rsidR="00AE69BC" w:rsidRPr="00873FEC">
        <w:rPr>
          <w:rFonts w:ascii="Verdana" w:eastAsia="Batang" w:hAnsi="Verdana" w:cs="Times"/>
          <w:sz w:val="20"/>
          <w:szCs w:val="20"/>
          <w:lang w:val="es-CR" w:eastAsia="es-CR"/>
        </w:rPr>
        <w:t xml:space="preserve">, </w:t>
      </w:r>
      <w:r w:rsidR="004112F9" w:rsidRPr="00873FEC">
        <w:rPr>
          <w:rFonts w:ascii="Verdana" w:eastAsia="Batang" w:hAnsi="Verdana" w:cs="Times"/>
          <w:sz w:val="20"/>
          <w:szCs w:val="20"/>
          <w:lang w:val="es-CR" w:eastAsia="es-CR"/>
        </w:rPr>
        <w:t>madre de Manuela Mateo Antonio</w:t>
      </w:r>
      <w:r w:rsidRPr="00873FEC">
        <w:rPr>
          <w:rFonts w:ascii="Verdana" w:eastAsia="Batang" w:hAnsi="Verdana" w:cs="Times"/>
          <w:sz w:val="20"/>
          <w:szCs w:val="20"/>
          <w:lang w:val="es-CR" w:eastAsia="es-CR"/>
        </w:rPr>
        <w:t xml:space="preserve">. </w:t>
      </w:r>
    </w:p>
    <w:p w:rsidR="006166D8" w:rsidRPr="00873FEC" w:rsidRDefault="006166D8" w:rsidP="00126E97">
      <w:pPr>
        <w:spacing w:after="0" w:line="20" w:lineRule="atLeast"/>
        <w:ind w:left="720"/>
        <w:contextualSpacing/>
        <w:rPr>
          <w:rFonts w:ascii="Calibri" w:eastAsia="Calibri" w:hAnsi="Calibri" w:cs="Times"/>
          <w:szCs w:val="20"/>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0"/>
          <w:lang w:val="es-CR" w:eastAsia="es-CR"/>
        </w:rPr>
        <w:t xml:space="preserve">El </w:t>
      </w:r>
      <w:r w:rsidRPr="00873FEC">
        <w:rPr>
          <w:rFonts w:ascii="Verdana" w:eastAsia="Batang" w:hAnsi="Verdana" w:cs="Times"/>
          <w:b/>
          <w:i/>
          <w:sz w:val="20"/>
          <w:szCs w:val="20"/>
          <w:lang w:val="es-CR" w:eastAsia="es-CR"/>
        </w:rPr>
        <w:t>Estado</w:t>
      </w:r>
      <w:r w:rsidRPr="00873FEC">
        <w:rPr>
          <w:rFonts w:ascii="Verdana" w:eastAsia="Batang" w:hAnsi="Verdana" w:cs="Times"/>
          <w:sz w:val="20"/>
          <w:szCs w:val="20"/>
          <w:lang w:val="es-CR" w:eastAsia="es-CR"/>
        </w:rPr>
        <w:t xml:space="preserve"> consideró las circunstancias del caso no se ajustan a los criterios jurisprudenciales sobre la imposibilidad de determinar las presuntas víctimas, por lo que no debe aplicarse una excepción al respecto. </w:t>
      </w:r>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2"/>
          <w:numId w:val="2"/>
        </w:numPr>
        <w:spacing w:after="0" w:line="20" w:lineRule="atLeast"/>
        <w:ind w:left="284" w:right="-138"/>
        <w:contextualSpacing/>
        <w:jc w:val="both"/>
        <w:outlineLvl w:val="1"/>
        <w:rPr>
          <w:rFonts w:ascii="Verdana" w:eastAsia="Calibri" w:hAnsi="Verdana" w:cs="Times"/>
          <w:b/>
          <w:i/>
          <w:sz w:val="20"/>
          <w:szCs w:val="20"/>
          <w:lang w:val="es-CR" w:eastAsia="es-CR"/>
        </w:rPr>
      </w:pPr>
      <w:bookmarkStart w:id="93" w:name="_Toc520207573"/>
      <w:bookmarkStart w:id="94" w:name="_Toc525201150"/>
      <w:bookmarkEnd w:id="93"/>
      <w:r w:rsidRPr="00873FEC">
        <w:rPr>
          <w:rFonts w:ascii="Verdana" w:eastAsia="Calibri" w:hAnsi="Verdana" w:cs="Times"/>
          <w:b/>
          <w:i/>
          <w:sz w:val="20"/>
          <w:szCs w:val="20"/>
          <w:lang w:val="es-CR" w:eastAsia="es-CR"/>
        </w:rPr>
        <w:t>Consideraciones de la Corte</w:t>
      </w:r>
      <w:bookmarkEnd w:id="94"/>
    </w:p>
    <w:p w:rsidR="006166D8" w:rsidRPr="00873FEC" w:rsidRDefault="006166D8" w:rsidP="00126E97">
      <w:pPr>
        <w:spacing w:after="0" w:line="20" w:lineRule="atLeast"/>
        <w:ind w:right="-138"/>
        <w:jc w:val="both"/>
        <w:rPr>
          <w:rFonts w:ascii="Verdana" w:eastAsia="Batang" w:hAnsi="Verdana" w:cs="Times"/>
          <w:sz w:val="20"/>
          <w:szCs w:val="20"/>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0"/>
          <w:lang w:val="es-CR" w:eastAsia="es-CR"/>
        </w:rPr>
        <w:t>De conformidad con el artículo 35.1 del Reglamento, el Informe de Fondo debe contener la identificación de las presuntas víctimas. El artículo reglamentario 35.2 prevé una excepción. La Corte ha dicho que la misma opera cuando haya “un impedimento material o práctico para identificar a presuntas víctimas en casos de violaciones masivas o colectivas a los derechos humanos”</w:t>
      </w:r>
      <w:r w:rsidRPr="00873FEC">
        <w:rPr>
          <w:rFonts w:ascii="Verdana" w:eastAsia="Batang" w:hAnsi="Verdana" w:cs="Times New Roman"/>
          <w:sz w:val="20"/>
          <w:szCs w:val="20"/>
          <w:vertAlign w:val="superscript"/>
          <w:lang w:val="es-CR" w:eastAsia="x-none"/>
        </w:rPr>
        <w:footnoteReference w:id="10"/>
      </w:r>
      <w:r w:rsidRPr="00873FEC">
        <w:rPr>
          <w:rFonts w:ascii="Verdana" w:eastAsia="Batang" w:hAnsi="Verdana" w:cs="Times"/>
          <w:sz w:val="20"/>
          <w:szCs w:val="20"/>
          <w:lang w:val="es-CR" w:eastAsia="es-CR"/>
        </w:rPr>
        <w:t>. Para determinar la procedencia de la excepción, este Tribunal ha evaluado las características particulares de cada caso</w:t>
      </w:r>
      <w:r w:rsidRPr="00873FEC">
        <w:rPr>
          <w:rFonts w:ascii="Verdana" w:eastAsia="Batang" w:hAnsi="Verdana" w:cs="Times New Roman"/>
          <w:sz w:val="20"/>
          <w:szCs w:val="20"/>
          <w:vertAlign w:val="superscript"/>
          <w:lang w:val="es-CR" w:eastAsia="x-none"/>
        </w:rPr>
        <w:footnoteReference w:id="11"/>
      </w:r>
      <w:r w:rsidRPr="00873FEC">
        <w:rPr>
          <w:rFonts w:ascii="Verdana" w:eastAsia="Batang" w:hAnsi="Verdana" w:cs="Times"/>
          <w:sz w:val="20"/>
          <w:szCs w:val="20"/>
          <w:lang w:val="es-CR" w:eastAsia="es-CR"/>
        </w:rPr>
        <w:t xml:space="preserve">. </w:t>
      </w:r>
    </w:p>
    <w:p w:rsidR="006166D8" w:rsidRPr="00873FEC" w:rsidRDefault="006166D8" w:rsidP="00126E97">
      <w:pPr>
        <w:spacing w:after="0" w:line="20" w:lineRule="atLeast"/>
        <w:ind w:right="-138"/>
        <w:jc w:val="both"/>
        <w:rPr>
          <w:rFonts w:ascii="Verdana" w:eastAsia="Batang" w:hAnsi="Verdana" w:cs="Times"/>
          <w:sz w:val="20"/>
          <w:szCs w:val="20"/>
          <w:lang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eastAsia="es-CR"/>
        </w:rPr>
      </w:pPr>
      <w:r w:rsidRPr="00873FEC">
        <w:rPr>
          <w:rFonts w:ascii="Verdana" w:eastAsia="Batang" w:hAnsi="Verdana" w:cs="Times"/>
          <w:sz w:val="20"/>
          <w:szCs w:val="20"/>
          <w:lang w:val="es-CR" w:eastAsia="es-CR"/>
        </w:rPr>
        <w:t xml:space="preserve">En el presente caso, la Corte encuentra que los hechos afectaron a un número sustancial de miembros de la Comunidad </w:t>
      </w:r>
      <w:r w:rsidR="00F5049E" w:rsidRPr="00873FEC">
        <w:rPr>
          <w:rFonts w:ascii="Verdana" w:eastAsia="Batang" w:hAnsi="Verdana" w:cs="Times"/>
          <w:sz w:val="20"/>
          <w:szCs w:val="20"/>
          <w:lang w:val="es-CR" w:eastAsia="es-CR"/>
        </w:rPr>
        <w:t>“</w:t>
      </w:r>
      <w:r w:rsidRPr="00873FEC">
        <w:rPr>
          <w:rFonts w:ascii="Verdana" w:eastAsia="Batang" w:hAnsi="Verdana" w:cs="Times"/>
          <w:sz w:val="20"/>
          <w:szCs w:val="20"/>
          <w:lang w:val="es-CR" w:eastAsia="es-CR"/>
        </w:rPr>
        <w:t>Aurora 8</w:t>
      </w:r>
      <w:r w:rsidR="00F5049E" w:rsidRPr="00873FEC">
        <w:rPr>
          <w:rFonts w:ascii="Verdana" w:eastAsia="Batang" w:hAnsi="Verdana" w:cs="Times"/>
          <w:sz w:val="20"/>
          <w:szCs w:val="20"/>
          <w:lang w:val="es-CR" w:eastAsia="es-CR"/>
        </w:rPr>
        <w:t xml:space="preserve"> de Octubre” (en adelante también “la Comunidad”)</w:t>
      </w:r>
      <w:r w:rsidRPr="00873FEC">
        <w:rPr>
          <w:rFonts w:ascii="Verdana" w:eastAsia="Batang" w:hAnsi="Verdana" w:cs="Times"/>
          <w:sz w:val="20"/>
          <w:szCs w:val="20"/>
          <w:lang w:val="es-CR" w:eastAsia="es-CR"/>
        </w:rPr>
        <w:t xml:space="preserve"> y que el caso trata de una violación colectiva de derechos humanos. Por lo tanto, dadas las particularidades del caso, es aplicable la excepción prevista en el artículo 35.2 del Reglamento de la Corte. En consecuencia, este Tribunal determina que la señora Eulalia Antonio debe considerarse presunta víctima.  </w:t>
      </w:r>
    </w:p>
    <w:p w:rsidR="006166D8" w:rsidRDefault="006166D8" w:rsidP="00126E97">
      <w:pPr>
        <w:tabs>
          <w:tab w:val="left" w:pos="1860"/>
        </w:tabs>
        <w:spacing w:after="0" w:line="20" w:lineRule="atLeast"/>
        <w:ind w:left="720"/>
        <w:contextualSpacing/>
        <w:jc w:val="center"/>
        <w:rPr>
          <w:rFonts w:ascii="Verdana" w:eastAsia="Calibri" w:hAnsi="Verdana" w:cs="Times"/>
          <w:sz w:val="20"/>
          <w:szCs w:val="20"/>
          <w:lang w:eastAsia="es-CR"/>
        </w:rPr>
      </w:pPr>
    </w:p>
    <w:p w:rsidR="000624C7" w:rsidRDefault="000624C7" w:rsidP="00126E97">
      <w:pPr>
        <w:tabs>
          <w:tab w:val="left" w:pos="1860"/>
        </w:tabs>
        <w:spacing w:after="0" w:line="20" w:lineRule="atLeast"/>
        <w:ind w:left="720"/>
        <w:contextualSpacing/>
        <w:jc w:val="center"/>
        <w:rPr>
          <w:rFonts w:ascii="Verdana" w:eastAsia="Calibri" w:hAnsi="Verdana" w:cs="Times"/>
          <w:sz w:val="20"/>
          <w:szCs w:val="20"/>
          <w:lang w:eastAsia="es-CR"/>
        </w:rPr>
      </w:pPr>
    </w:p>
    <w:p w:rsidR="000624C7" w:rsidRPr="00873FEC" w:rsidRDefault="000624C7" w:rsidP="00126E97">
      <w:pPr>
        <w:tabs>
          <w:tab w:val="left" w:pos="1860"/>
        </w:tabs>
        <w:spacing w:after="0" w:line="20" w:lineRule="atLeast"/>
        <w:ind w:left="720"/>
        <w:contextualSpacing/>
        <w:jc w:val="center"/>
        <w:rPr>
          <w:rFonts w:ascii="Verdana" w:eastAsia="Calibri" w:hAnsi="Verdana" w:cs="Times"/>
          <w:sz w:val="20"/>
          <w:szCs w:val="20"/>
          <w:lang w:eastAsia="es-CR"/>
        </w:rPr>
      </w:pPr>
    </w:p>
    <w:p w:rsidR="006166D8" w:rsidRPr="00873FEC" w:rsidRDefault="006166D8" w:rsidP="00126E97">
      <w:pPr>
        <w:tabs>
          <w:tab w:val="left" w:pos="1860"/>
        </w:tabs>
        <w:spacing w:after="0" w:line="20" w:lineRule="atLeast"/>
        <w:ind w:left="720"/>
        <w:contextualSpacing/>
        <w:jc w:val="center"/>
        <w:outlineLvl w:val="0"/>
        <w:rPr>
          <w:rFonts w:ascii="Verdana" w:eastAsia="Calibri" w:hAnsi="Verdana" w:cs="Times"/>
          <w:b/>
          <w:sz w:val="20"/>
          <w:szCs w:val="20"/>
          <w:lang w:eastAsia="es-CR"/>
        </w:rPr>
      </w:pPr>
      <w:bookmarkStart w:id="95" w:name="_Toc520207574"/>
      <w:bookmarkStart w:id="96" w:name="_Toc525201151"/>
      <w:bookmarkEnd w:id="95"/>
      <w:r w:rsidRPr="00873FEC">
        <w:rPr>
          <w:rFonts w:ascii="Verdana" w:eastAsia="Calibri" w:hAnsi="Verdana" w:cs="Times"/>
          <w:b/>
          <w:sz w:val="20"/>
          <w:szCs w:val="20"/>
          <w:lang w:eastAsia="es-CR"/>
        </w:rPr>
        <w:lastRenderedPageBreak/>
        <w:t>V</w:t>
      </w:r>
      <w:bookmarkEnd w:id="96"/>
    </w:p>
    <w:p w:rsidR="006166D8" w:rsidRPr="00873FEC" w:rsidRDefault="006166D8" w:rsidP="00126E97">
      <w:pPr>
        <w:tabs>
          <w:tab w:val="left" w:pos="1860"/>
        </w:tabs>
        <w:spacing w:after="0" w:line="20" w:lineRule="atLeast"/>
        <w:ind w:left="720"/>
        <w:contextualSpacing/>
        <w:jc w:val="center"/>
        <w:outlineLvl w:val="0"/>
        <w:rPr>
          <w:rFonts w:ascii="Verdana" w:eastAsia="Calibri" w:hAnsi="Verdana" w:cs="Times"/>
          <w:b/>
          <w:sz w:val="20"/>
          <w:szCs w:val="20"/>
          <w:lang w:eastAsia="es-CR"/>
        </w:rPr>
      </w:pPr>
      <w:bookmarkStart w:id="97" w:name="_Toc520207575"/>
      <w:bookmarkStart w:id="98" w:name="_Toc525201152"/>
      <w:bookmarkEnd w:id="97"/>
      <w:r w:rsidRPr="00873FEC">
        <w:rPr>
          <w:rFonts w:ascii="Verdana" w:eastAsia="Calibri" w:hAnsi="Verdana" w:cs="Times"/>
          <w:b/>
          <w:sz w:val="20"/>
          <w:szCs w:val="20"/>
          <w:lang w:eastAsia="es-CR"/>
        </w:rPr>
        <w:t>PRUEBA</w:t>
      </w:r>
      <w:bookmarkEnd w:id="98"/>
    </w:p>
    <w:p w:rsidR="006166D8" w:rsidRPr="00873FEC" w:rsidRDefault="006166D8" w:rsidP="00126E97">
      <w:pPr>
        <w:tabs>
          <w:tab w:val="left" w:pos="1860"/>
        </w:tabs>
        <w:spacing w:after="0" w:line="20" w:lineRule="atLeast"/>
        <w:ind w:left="720"/>
        <w:contextualSpacing/>
        <w:rPr>
          <w:rFonts w:ascii="Verdana" w:eastAsia="Calibri" w:hAnsi="Verdana" w:cs="Times"/>
          <w:sz w:val="20"/>
          <w:szCs w:val="20"/>
          <w:lang w:eastAsia="es-CR"/>
        </w:rPr>
      </w:pPr>
    </w:p>
    <w:p w:rsidR="006166D8" w:rsidRPr="00873FEC" w:rsidRDefault="006166D8" w:rsidP="00126E97">
      <w:pPr>
        <w:tabs>
          <w:tab w:val="left" w:pos="1245"/>
          <w:tab w:val="left" w:pos="1860"/>
        </w:tabs>
        <w:spacing w:after="0" w:line="20" w:lineRule="atLeast"/>
        <w:ind w:left="284"/>
        <w:contextualSpacing/>
        <w:outlineLvl w:val="1"/>
        <w:rPr>
          <w:rFonts w:ascii="Verdana" w:eastAsia="Calibri" w:hAnsi="Verdana" w:cs="Times"/>
          <w:b/>
          <w:i/>
          <w:sz w:val="20"/>
          <w:szCs w:val="20"/>
          <w:lang w:eastAsia="es-CR"/>
        </w:rPr>
      </w:pPr>
      <w:bookmarkStart w:id="99" w:name="_Toc520207576"/>
      <w:bookmarkStart w:id="100" w:name="_Toc525201153"/>
      <w:bookmarkEnd w:id="99"/>
      <w:r w:rsidRPr="00873FEC">
        <w:rPr>
          <w:rFonts w:ascii="Verdana" w:eastAsia="Calibri" w:hAnsi="Verdana" w:cs="Times"/>
          <w:b/>
          <w:i/>
          <w:sz w:val="20"/>
          <w:szCs w:val="20"/>
          <w:lang w:eastAsia="es-CR"/>
        </w:rPr>
        <w:t>A.</w:t>
      </w:r>
      <w:r w:rsidRPr="00873FEC">
        <w:rPr>
          <w:rFonts w:ascii="Verdana" w:eastAsia="Calibri" w:hAnsi="Verdana" w:cs="Times"/>
          <w:b/>
          <w:i/>
          <w:sz w:val="20"/>
          <w:szCs w:val="20"/>
          <w:lang w:eastAsia="es-CR"/>
        </w:rPr>
        <w:tab/>
        <w:t xml:space="preserve"> Admisibilidad de la prueba documental</w:t>
      </w:r>
      <w:bookmarkEnd w:id="100"/>
      <w:r w:rsidRPr="00873FEC">
        <w:rPr>
          <w:rFonts w:ascii="Verdana" w:eastAsia="Calibri" w:hAnsi="Verdana" w:cs="Times"/>
          <w:b/>
          <w:i/>
          <w:sz w:val="20"/>
          <w:szCs w:val="20"/>
          <w:lang w:eastAsia="es-CR"/>
        </w:rPr>
        <w:t xml:space="preserve"> </w:t>
      </w:r>
    </w:p>
    <w:p w:rsidR="006166D8" w:rsidRPr="00873FEC" w:rsidRDefault="006166D8" w:rsidP="00126E97">
      <w:pPr>
        <w:tabs>
          <w:tab w:val="left" w:pos="1860"/>
        </w:tabs>
        <w:spacing w:after="0" w:line="20" w:lineRule="atLeast"/>
        <w:ind w:left="720"/>
        <w:contextualSpacing/>
        <w:rPr>
          <w:rFonts w:ascii="Verdana" w:eastAsia="Calibri" w:hAnsi="Verdana" w:cs="Times"/>
          <w:sz w:val="20"/>
          <w:szCs w:val="20"/>
          <w:lang w:eastAsia="es-CR"/>
        </w:rPr>
      </w:pPr>
    </w:p>
    <w:p w:rsidR="006166D8" w:rsidRPr="00873FEC" w:rsidRDefault="006166D8" w:rsidP="00126E97">
      <w:pPr>
        <w:numPr>
          <w:ilvl w:val="0"/>
          <w:numId w:val="3"/>
        </w:numPr>
        <w:spacing w:after="0" w:line="20" w:lineRule="atLeast"/>
        <w:ind w:right="-136"/>
        <w:jc w:val="both"/>
        <w:rPr>
          <w:rFonts w:ascii="Verdana" w:eastAsia="Batang" w:hAnsi="Verdana" w:cs="Times"/>
          <w:strike/>
          <w:sz w:val="20"/>
          <w:szCs w:val="24"/>
          <w:lang w:val="en-US" w:eastAsia="es-CR"/>
        </w:rPr>
      </w:pPr>
      <w:r w:rsidRPr="00873FEC">
        <w:rPr>
          <w:rFonts w:ascii="Verdana" w:eastAsia="Batang" w:hAnsi="Verdana" w:cs="Times"/>
          <w:sz w:val="20"/>
          <w:szCs w:val="20"/>
          <w:lang w:val="es-CR" w:eastAsia="es-CR"/>
        </w:rPr>
        <w:t>La Corte recibió documentos presentados como prueba por la Comisión y las partes junto a sus escritos principales (</w:t>
      </w:r>
      <w:r w:rsidRPr="00873FEC">
        <w:rPr>
          <w:rFonts w:ascii="Verdana" w:eastAsia="Batang" w:hAnsi="Verdana" w:cs="Times"/>
          <w:i/>
          <w:sz w:val="20"/>
          <w:szCs w:val="20"/>
          <w:lang w:val="es-CR" w:eastAsia="es-CR"/>
        </w:rPr>
        <w:t xml:space="preserve">supra </w:t>
      </w:r>
      <w:proofErr w:type="spellStart"/>
      <w:r w:rsidRPr="00873FEC">
        <w:rPr>
          <w:rFonts w:ascii="Verdana" w:eastAsia="Batang" w:hAnsi="Verdana" w:cs="Times"/>
          <w:sz w:val="20"/>
          <w:szCs w:val="20"/>
          <w:lang w:val="es-CR" w:eastAsia="es-CR"/>
        </w:rPr>
        <w:t>párrs</w:t>
      </w:r>
      <w:proofErr w:type="spellEnd"/>
      <w:r w:rsidRPr="00873FEC">
        <w:rPr>
          <w:rFonts w:ascii="Verdana" w:eastAsia="Batang" w:hAnsi="Verdana" w:cs="Times"/>
          <w:sz w:val="20"/>
          <w:szCs w:val="20"/>
          <w:lang w:val="es-CR" w:eastAsia="es-CR"/>
        </w:rPr>
        <w:t>. 3, 6 y 7). La Comisión solicitó la incorporación de cuatro peritajes rendidos en otros procesos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párr. 19, y nota a pie de página 12) Además, este Tribunal recibió de los representantes un documento solicitado como prueba para mejor resolver, de acuerdo con el artículo 58 del Reglamento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párr. 19), así como documentación sobre un hecho superviniente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párr. 22).</w:t>
      </w:r>
      <w:r w:rsidRPr="00873FEC">
        <w:rPr>
          <w:rFonts w:ascii="Verdana" w:eastAsia="Batang" w:hAnsi="Verdana" w:cs="Times"/>
          <w:i/>
          <w:sz w:val="20"/>
          <w:szCs w:val="20"/>
          <w:lang w:val="es-CR" w:eastAsia="es-CR"/>
        </w:rPr>
        <w:t xml:space="preserve"> </w:t>
      </w:r>
      <w:r w:rsidRPr="00873FEC">
        <w:rPr>
          <w:rFonts w:ascii="Verdana" w:eastAsia="Batang" w:hAnsi="Verdana" w:cs="Times"/>
          <w:sz w:val="20"/>
          <w:szCs w:val="20"/>
          <w:lang w:val="es-CR" w:eastAsia="es-CR"/>
        </w:rPr>
        <w:t>Asimismo, recibió documentos adjuntos a los alegatos finales escritos (</w:t>
      </w:r>
      <w:r w:rsidRPr="00873FEC">
        <w:rPr>
          <w:rFonts w:ascii="Verdana" w:eastAsia="Batang" w:hAnsi="Verdana" w:cs="Times"/>
          <w:i/>
          <w:sz w:val="20"/>
          <w:szCs w:val="20"/>
          <w:lang w:val="es-CR" w:eastAsia="es-CR"/>
        </w:rPr>
        <w:t>supra</w:t>
      </w:r>
      <w:r w:rsidRPr="00873FEC">
        <w:rPr>
          <w:rFonts w:ascii="Verdana" w:eastAsia="Batang" w:hAnsi="Verdana" w:cs="Times"/>
          <w:sz w:val="20"/>
          <w:szCs w:val="20"/>
          <w:lang w:val="es-CR" w:eastAsia="es-CR"/>
        </w:rPr>
        <w:t xml:space="preserve"> párr. 9). </w:t>
      </w:r>
    </w:p>
    <w:p w:rsidR="006166D8" w:rsidRPr="00873FEC" w:rsidRDefault="006166D8" w:rsidP="00126E97">
      <w:pPr>
        <w:spacing w:after="0" w:line="20" w:lineRule="atLeast"/>
        <w:ind w:right="-138"/>
        <w:jc w:val="both"/>
        <w:rPr>
          <w:rFonts w:ascii="Verdana" w:eastAsia="Batang" w:hAnsi="Verdana" w:cs="Times"/>
          <w:sz w:val="20"/>
          <w:szCs w:val="24"/>
          <w:lang w:val="en-US"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n-US" w:eastAsia="es-CR"/>
        </w:rPr>
      </w:pPr>
      <w:r w:rsidRPr="00873FEC">
        <w:rPr>
          <w:rFonts w:ascii="Verdana" w:eastAsia="Batang" w:hAnsi="Verdana" w:cs="Times"/>
          <w:sz w:val="20"/>
          <w:szCs w:val="20"/>
          <w:lang w:val="es-CR" w:eastAsia="es-CR"/>
        </w:rPr>
        <w:t>En el presente caso, como en otros, este Tribunal admite aquellos documentos presentados oportunamente por las partes y la Comisión o solicitados como prueba para mejor resolver por la Corte o su Presidencia cuya admisibilidad no fue controvertida ni objetada</w:t>
      </w:r>
      <w:r w:rsidRPr="00873FEC">
        <w:rPr>
          <w:rFonts w:ascii="Verdana" w:eastAsia="Batang" w:hAnsi="Verdana" w:cs="Times New Roman"/>
          <w:sz w:val="20"/>
          <w:szCs w:val="20"/>
          <w:vertAlign w:val="superscript"/>
          <w:lang w:val="es-CR" w:eastAsia="x-none"/>
        </w:rPr>
        <w:footnoteReference w:id="12"/>
      </w:r>
      <w:r w:rsidRPr="00873FEC">
        <w:rPr>
          <w:rFonts w:ascii="Verdana" w:eastAsia="Batang" w:hAnsi="Verdana" w:cs="Times"/>
          <w:sz w:val="20"/>
          <w:szCs w:val="20"/>
          <w:lang w:val="es-CR" w:eastAsia="es-CR"/>
        </w:rPr>
        <w:t xml:space="preserve">. También se encuentran admitidos documentos cuya incorporación al acervo probatorio fue decidida por el Presidente en su Resolución de </w:t>
      </w:r>
      <w:r w:rsidRPr="00873FEC">
        <w:rPr>
          <w:rFonts w:ascii="Verdana" w:eastAsia="Batang" w:hAnsi="Verdana" w:cs="Times"/>
          <w:sz w:val="20"/>
          <w:szCs w:val="24"/>
          <w:lang w:val="es-CR" w:eastAsia="es-CR"/>
        </w:rPr>
        <w:t>13 de diciembre de 2017 (</w:t>
      </w:r>
      <w:r w:rsidRPr="00873FEC">
        <w:rPr>
          <w:rFonts w:ascii="Verdana" w:eastAsia="Batang" w:hAnsi="Verdana" w:cs="Times"/>
          <w:i/>
          <w:sz w:val="20"/>
          <w:szCs w:val="24"/>
          <w:lang w:val="es-CR" w:eastAsia="es-CR"/>
        </w:rPr>
        <w:t>supra</w:t>
      </w:r>
      <w:r w:rsidRPr="00873FEC">
        <w:rPr>
          <w:rFonts w:ascii="Verdana" w:eastAsia="Batang" w:hAnsi="Verdana" w:cs="Times"/>
          <w:sz w:val="20"/>
          <w:szCs w:val="24"/>
          <w:lang w:val="es-CR" w:eastAsia="es-CR"/>
        </w:rPr>
        <w:t xml:space="preserve"> párr. 8</w:t>
      </w:r>
      <w:r w:rsidRPr="00873FEC">
        <w:rPr>
          <w:rFonts w:ascii="Verdana" w:eastAsia="Batang" w:hAnsi="Verdana" w:cs="Times"/>
          <w:sz w:val="20"/>
          <w:szCs w:val="24"/>
          <w:lang w:val="en-US" w:eastAsia="es-CR"/>
        </w:rPr>
        <w:t>)</w:t>
      </w:r>
      <w:r w:rsidRPr="00873FEC">
        <w:rPr>
          <w:rFonts w:ascii="Verdana" w:eastAsia="Batang" w:hAnsi="Verdana" w:cs="Times New Roman"/>
          <w:sz w:val="20"/>
          <w:szCs w:val="20"/>
          <w:vertAlign w:val="superscript"/>
          <w:lang w:val="en-US" w:eastAsia="x-none"/>
        </w:rPr>
        <w:footnoteReference w:id="13"/>
      </w:r>
      <w:r w:rsidRPr="00873FEC">
        <w:rPr>
          <w:rFonts w:ascii="Verdana" w:eastAsia="Batang" w:hAnsi="Verdana" w:cs="Times"/>
          <w:sz w:val="20"/>
          <w:szCs w:val="24"/>
          <w:lang w:val="en-US" w:eastAsia="es-CR"/>
        </w:rPr>
        <w:t>.</w:t>
      </w:r>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El 16 de febrero de 2018 se solicitó a los representantes, con base en el artículo 58 del Reglamento, copia de una propuesta de solución amistosa. Los </w:t>
      </w:r>
      <w:r w:rsidRPr="00873FEC">
        <w:rPr>
          <w:rFonts w:ascii="Verdana" w:eastAsia="Batang" w:hAnsi="Verdana" w:cs="Times"/>
          <w:b/>
          <w:i/>
          <w:sz w:val="20"/>
          <w:szCs w:val="24"/>
          <w:lang w:val="es-CR" w:eastAsia="es-CR"/>
        </w:rPr>
        <w:t>representantes</w:t>
      </w:r>
      <w:r w:rsidRPr="00873FEC">
        <w:rPr>
          <w:rFonts w:ascii="Verdana" w:eastAsia="Batang" w:hAnsi="Verdana" w:cs="Times"/>
          <w:sz w:val="20"/>
          <w:szCs w:val="24"/>
          <w:lang w:val="es-CR" w:eastAsia="es-CR"/>
        </w:rPr>
        <w:t xml:space="preserve"> la presentaron el 21 del mismo mes, junto con otros dos documentos: una declaración jurada efectuada ante notario el día 19 anterior por quien, según se indicó, fue Presidente de COPREDEH y copia del acto de su nombramiento, de 17 de marzo de 2016. Adujeron que la declaración “</w:t>
      </w:r>
      <w:proofErr w:type="spellStart"/>
      <w:proofErr w:type="gramStart"/>
      <w:r w:rsidRPr="00873FEC">
        <w:rPr>
          <w:rFonts w:ascii="Verdana" w:eastAsia="Batang" w:hAnsi="Verdana" w:cs="Times"/>
          <w:sz w:val="20"/>
          <w:szCs w:val="24"/>
          <w:lang w:val="es-CR" w:eastAsia="es-CR"/>
        </w:rPr>
        <w:t>surg</w:t>
      </w:r>
      <w:proofErr w:type="spellEnd"/>
      <w:r w:rsidRPr="00873FEC">
        <w:rPr>
          <w:rFonts w:ascii="Verdana" w:eastAsia="Batang" w:hAnsi="Verdana" w:cs="Times"/>
          <w:sz w:val="20"/>
          <w:szCs w:val="24"/>
          <w:lang w:val="es-CR" w:eastAsia="es-CR"/>
        </w:rPr>
        <w:t>[</w:t>
      </w:r>
      <w:proofErr w:type="spellStart"/>
      <w:proofErr w:type="gramEnd"/>
      <w:r w:rsidRPr="00873FEC">
        <w:rPr>
          <w:rFonts w:ascii="Verdana" w:eastAsia="Batang" w:hAnsi="Verdana" w:cs="Times"/>
          <w:sz w:val="20"/>
          <w:szCs w:val="24"/>
          <w:lang w:val="es-CR" w:eastAsia="es-CR"/>
        </w:rPr>
        <w:t>ió</w:t>
      </w:r>
      <w:proofErr w:type="spellEnd"/>
      <w:r w:rsidRPr="00873FEC">
        <w:rPr>
          <w:rFonts w:ascii="Verdana" w:eastAsia="Batang" w:hAnsi="Verdana" w:cs="Times"/>
          <w:sz w:val="20"/>
          <w:szCs w:val="24"/>
          <w:lang w:val="es-CR" w:eastAsia="es-CR"/>
        </w:rPr>
        <w:t>] posteriormente de realizada la audiencia [pública] del [caso]”</w:t>
      </w:r>
      <w:r w:rsidR="00064130" w:rsidRPr="00873FEC">
        <w:rPr>
          <w:rFonts w:ascii="Verdana" w:eastAsia="Batang" w:hAnsi="Verdana" w:cs="Times"/>
          <w:sz w:val="20"/>
          <w:szCs w:val="24"/>
          <w:lang w:val="es-CR" w:eastAsia="es-CR"/>
        </w:rPr>
        <w:t>.</w:t>
      </w:r>
      <w:r w:rsidRPr="00873FEC">
        <w:rPr>
          <w:rFonts w:ascii="Verdana" w:eastAsia="Batang" w:hAnsi="Verdana" w:cs="Times"/>
          <w:sz w:val="20"/>
          <w:szCs w:val="24"/>
          <w:lang w:val="es-CR" w:eastAsia="es-CR"/>
        </w:rPr>
        <w:t xml:space="preserve"> El </w:t>
      </w:r>
      <w:r w:rsidRPr="00873FEC">
        <w:rPr>
          <w:rFonts w:ascii="Verdana" w:eastAsia="Batang" w:hAnsi="Verdana" w:cs="Times"/>
          <w:b/>
          <w:i/>
          <w:sz w:val="20"/>
          <w:szCs w:val="24"/>
          <w:lang w:val="es-CR" w:eastAsia="es-CR"/>
        </w:rPr>
        <w:t>Estado</w:t>
      </w:r>
      <w:r w:rsidRPr="00873FEC">
        <w:rPr>
          <w:rFonts w:ascii="Verdana" w:eastAsia="Batang" w:hAnsi="Verdana" w:cs="Times"/>
          <w:b/>
          <w:sz w:val="20"/>
          <w:szCs w:val="24"/>
          <w:lang w:val="es-CR" w:eastAsia="es-CR"/>
        </w:rPr>
        <w:t xml:space="preserve"> </w:t>
      </w:r>
      <w:r w:rsidRPr="00873FEC">
        <w:rPr>
          <w:rFonts w:ascii="Verdana" w:eastAsia="Batang" w:hAnsi="Verdana" w:cs="Times"/>
          <w:sz w:val="20"/>
          <w:szCs w:val="24"/>
          <w:lang w:val="es-CR" w:eastAsia="es-CR"/>
        </w:rPr>
        <w:t xml:space="preserve">consideró extemporánea la presentación de estos dos documentos, solicitando que no sean considerados pues “no fueron requeridos”. La </w:t>
      </w:r>
      <w:r w:rsidRPr="00873FEC">
        <w:rPr>
          <w:rFonts w:ascii="Verdana" w:eastAsia="Batang" w:hAnsi="Verdana" w:cs="Times"/>
          <w:b/>
          <w:i/>
          <w:sz w:val="20"/>
          <w:szCs w:val="24"/>
          <w:lang w:val="es-CR" w:eastAsia="es-CR"/>
        </w:rPr>
        <w:t>Corte</w:t>
      </w:r>
      <w:r w:rsidRPr="00873FEC">
        <w:rPr>
          <w:rFonts w:ascii="Verdana" w:eastAsia="Batang" w:hAnsi="Verdana" w:cs="Times"/>
          <w:sz w:val="20"/>
          <w:szCs w:val="24"/>
          <w:lang w:val="es-CR" w:eastAsia="es-CR"/>
        </w:rPr>
        <w:t xml:space="preserve"> nota que la copia del acto de nombramiento no fue solicitada. Además, de la lectura de la declaración, tampoco pedida, surge que fue hecha para ser presentada ante la Corte y que refiere a hechos previos a la audiencia. Por ende, considerando el pedido estatal, este Tribunal inadmite estos dos documentos. Sí admite la copia de la propuesta de solución amistosa, dado que fue requerida.</w:t>
      </w:r>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s-ES" w:eastAsia="es-CR"/>
        </w:rPr>
      </w:pPr>
      <w:r w:rsidRPr="00873FEC">
        <w:rPr>
          <w:rFonts w:ascii="Verdana" w:eastAsia="Batang" w:hAnsi="Verdana" w:cs="Times"/>
          <w:sz w:val="20"/>
          <w:szCs w:val="24"/>
          <w:lang w:val="es-CR" w:eastAsia="es-CR"/>
        </w:rPr>
        <w:t>Junto con los alegatos finales escritos, el Estado presentó cinco anexos documentales</w:t>
      </w:r>
      <w:r w:rsidRPr="00873FEC">
        <w:rPr>
          <w:rFonts w:ascii="Verdana" w:eastAsia="Batang" w:hAnsi="Verdana" w:cs="Times New Roman"/>
          <w:sz w:val="20"/>
          <w:szCs w:val="20"/>
          <w:vertAlign w:val="superscript"/>
          <w:lang w:val="en-US" w:eastAsia="x-none"/>
        </w:rPr>
        <w:footnoteReference w:id="14"/>
      </w:r>
      <w:r w:rsidRPr="00873FEC">
        <w:rPr>
          <w:rFonts w:ascii="Verdana" w:eastAsia="Batang" w:hAnsi="Verdana" w:cs="Times"/>
          <w:sz w:val="20"/>
          <w:szCs w:val="24"/>
          <w:lang w:val="es-CR" w:eastAsia="es-CR"/>
        </w:rPr>
        <w:t>, y los representantes siete</w:t>
      </w:r>
      <w:r w:rsidRPr="00873FEC">
        <w:rPr>
          <w:rFonts w:ascii="Verdana" w:eastAsia="Batang" w:hAnsi="Verdana" w:cs="Times New Roman"/>
          <w:sz w:val="20"/>
          <w:szCs w:val="20"/>
          <w:vertAlign w:val="superscript"/>
          <w:lang w:val="en-US" w:eastAsia="x-none"/>
        </w:rPr>
        <w:footnoteReference w:id="15"/>
      </w:r>
      <w:r w:rsidRPr="00873FEC">
        <w:rPr>
          <w:rFonts w:ascii="Verdana" w:eastAsia="Batang" w:hAnsi="Verdana" w:cs="Times"/>
          <w:sz w:val="20"/>
          <w:szCs w:val="24"/>
          <w:lang w:val="es-CR" w:eastAsia="es-CR"/>
        </w:rPr>
        <w:t xml:space="preserve">. Los </w:t>
      </w:r>
      <w:r w:rsidRPr="00873FEC">
        <w:rPr>
          <w:rFonts w:ascii="Verdana" w:eastAsia="Batang" w:hAnsi="Verdana" w:cs="Times"/>
          <w:b/>
          <w:i/>
          <w:sz w:val="20"/>
          <w:szCs w:val="24"/>
          <w:lang w:val="es-CR" w:eastAsia="es-CR"/>
        </w:rPr>
        <w:t>representantes</w:t>
      </w:r>
      <w:r w:rsidRPr="00873FEC">
        <w:rPr>
          <w:rFonts w:ascii="Verdana" w:eastAsia="Batang" w:hAnsi="Verdana" w:cs="Times"/>
          <w:sz w:val="20"/>
          <w:szCs w:val="24"/>
          <w:lang w:val="es-CR" w:eastAsia="es-CR"/>
        </w:rPr>
        <w:t xml:space="preserve"> solicitaron que cuatro </w:t>
      </w:r>
      <w:r w:rsidRPr="00873FEC">
        <w:rPr>
          <w:rFonts w:ascii="Verdana" w:eastAsia="Batang" w:hAnsi="Verdana" w:cs="Times"/>
          <w:sz w:val="20"/>
          <w:szCs w:val="24"/>
          <w:lang w:val="es-CR" w:eastAsia="es-CR"/>
        </w:rPr>
        <w:lastRenderedPageBreak/>
        <w:t>de los cinco anexos estatales no sean admitidos, por ser extemporáneos, mas hicieron notar que desde antes de la presentación estatal se encontraban en el expediente. Respecto al otro anexo, que contiene “[d]</w:t>
      </w:r>
      <w:proofErr w:type="spellStart"/>
      <w:r w:rsidRPr="00873FEC">
        <w:rPr>
          <w:rFonts w:ascii="Verdana" w:eastAsia="Batang" w:hAnsi="Verdana" w:cs="Times"/>
          <w:sz w:val="20"/>
          <w:szCs w:val="24"/>
          <w:lang w:val="es-CR" w:eastAsia="es-CR"/>
        </w:rPr>
        <w:t>ocumentos</w:t>
      </w:r>
      <w:proofErr w:type="spellEnd"/>
      <w:r w:rsidRPr="00873FEC">
        <w:rPr>
          <w:rFonts w:ascii="Verdana" w:eastAsia="Batang" w:hAnsi="Verdana" w:cs="Times"/>
          <w:sz w:val="20"/>
          <w:szCs w:val="20"/>
          <w:lang w:val="es-CR" w:eastAsia="es-CR"/>
        </w:rPr>
        <w:t xml:space="preserve"> del Programa Nacional de Resarcimiento”</w:t>
      </w:r>
      <w:r w:rsidR="002706B2" w:rsidRPr="00873FEC">
        <w:rPr>
          <w:rFonts w:ascii="Verdana" w:eastAsia="Batang" w:hAnsi="Verdana" w:cs="Times"/>
          <w:sz w:val="20"/>
          <w:szCs w:val="20"/>
          <w:lang w:val="es-CR" w:eastAsia="es-CR"/>
        </w:rPr>
        <w:t xml:space="preserve"> (en adelante también “PNR”)</w:t>
      </w:r>
      <w:r w:rsidRPr="00873FEC">
        <w:rPr>
          <w:rFonts w:ascii="Verdana" w:eastAsia="Batang" w:hAnsi="Verdana" w:cs="Times"/>
          <w:sz w:val="20"/>
          <w:szCs w:val="24"/>
          <w:lang w:val="es-CR" w:eastAsia="es-CR"/>
        </w:rPr>
        <w:t xml:space="preserve">, solicitaron que sí “sea tomado en cuenta”. </w:t>
      </w:r>
      <w:r w:rsidRPr="00873FEC">
        <w:rPr>
          <w:rFonts w:ascii="Verdana" w:eastAsia="Batang" w:hAnsi="Verdana" w:cs="Times"/>
          <w:sz w:val="20"/>
          <w:szCs w:val="20"/>
          <w:lang w:val="es-CR" w:eastAsia="es-CR"/>
        </w:rPr>
        <w:t xml:space="preserve">El </w:t>
      </w:r>
      <w:r w:rsidRPr="00873FEC">
        <w:rPr>
          <w:rFonts w:ascii="Verdana" w:eastAsia="Batang" w:hAnsi="Verdana" w:cs="Times"/>
          <w:b/>
          <w:i/>
          <w:sz w:val="20"/>
          <w:szCs w:val="20"/>
          <w:lang w:val="es-CR" w:eastAsia="es-CR"/>
        </w:rPr>
        <w:t>Estado</w:t>
      </w:r>
      <w:r w:rsidRPr="00873FEC">
        <w:rPr>
          <w:rFonts w:ascii="Verdana" w:eastAsia="Batang" w:hAnsi="Verdana" w:cs="Times"/>
          <w:sz w:val="20"/>
          <w:szCs w:val="20"/>
          <w:lang w:val="es-CR" w:eastAsia="es-CR"/>
        </w:rPr>
        <w:t xml:space="preserve"> consideró que no debían ser considerados por la Corte seis de los siete anexos presentados por los representantes, por su extemporaneidad. En cuanto al restante, referido a gastos realizados por los representantes, señaló por una parte que su presentación no fue oportuna y, por otro lado, que no se acompañó documentación que respalde las erogaciones indicadas. </w:t>
      </w:r>
    </w:p>
    <w:p w:rsidR="006166D8" w:rsidRPr="00873FEC" w:rsidRDefault="006166D8" w:rsidP="00126E97">
      <w:pPr>
        <w:spacing w:after="0" w:line="20" w:lineRule="atLeast"/>
        <w:ind w:left="720"/>
        <w:contextualSpacing/>
        <w:rPr>
          <w:rFonts w:ascii="Calibri" w:eastAsia="Calibri" w:hAnsi="Calibri" w:cs="Times"/>
          <w:szCs w:val="20"/>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La </w:t>
      </w:r>
      <w:r w:rsidRPr="00873FEC">
        <w:rPr>
          <w:rFonts w:ascii="Verdana" w:eastAsia="Batang" w:hAnsi="Verdana" w:cs="Times"/>
          <w:b/>
          <w:i/>
          <w:sz w:val="20"/>
          <w:szCs w:val="20"/>
          <w:lang w:val="es-CR" w:eastAsia="es-CR"/>
        </w:rPr>
        <w:t>Corte</w:t>
      </w:r>
      <w:r w:rsidRPr="00873FEC">
        <w:rPr>
          <w:rFonts w:ascii="Verdana" w:eastAsia="Batang" w:hAnsi="Verdana" w:cs="Times"/>
          <w:sz w:val="20"/>
          <w:szCs w:val="20"/>
          <w:lang w:val="es-CR" w:eastAsia="es-CR"/>
        </w:rPr>
        <w:t xml:space="preserve">, en cuanto a los documentos remitidos por el Estado: a) admite los </w:t>
      </w:r>
      <w:r w:rsidRPr="00873FEC">
        <w:rPr>
          <w:rFonts w:ascii="Verdana" w:eastAsia="Batang" w:hAnsi="Verdana" w:cs="Times"/>
          <w:sz w:val="20"/>
          <w:szCs w:val="24"/>
          <w:lang w:val="es-CR" w:eastAsia="es-CR"/>
        </w:rPr>
        <w:t>“[d]</w:t>
      </w:r>
      <w:proofErr w:type="spellStart"/>
      <w:r w:rsidRPr="00873FEC">
        <w:rPr>
          <w:rFonts w:ascii="Verdana" w:eastAsia="Batang" w:hAnsi="Verdana" w:cs="Times"/>
          <w:sz w:val="20"/>
          <w:szCs w:val="24"/>
          <w:lang w:val="es-CR" w:eastAsia="es-CR"/>
        </w:rPr>
        <w:t>ocumentos</w:t>
      </w:r>
      <w:proofErr w:type="spellEnd"/>
      <w:r w:rsidRPr="00873FEC">
        <w:rPr>
          <w:rFonts w:ascii="Verdana" w:eastAsia="Batang" w:hAnsi="Verdana" w:cs="Times"/>
          <w:sz w:val="20"/>
          <w:szCs w:val="20"/>
          <w:lang w:val="es-CR" w:eastAsia="es-CR"/>
        </w:rPr>
        <w:t xml:space="preserve"> del Programa Nacional de Resarcimiento” teniendo en cuenta la anuencia y razones formuladas por los representantes, y b) nota que, como señalaron los representantes, los demás documentos se encontraban incorporados al expediente desde antes que el Estado presentara sus alegatos finales escritos, por lo que los documentos pueden utilizarse y el alegato sobre su supuesta incorporación tardía resulta impertinente. Por otra parte, en cuanto a los documentos allegados por los representantes: a) constata que la Convención sobre el Estatuto de Refugiados es un instrumento de derecho internacional, que no requiere prueba, y b) admite el resto de los documentos, dado que: i) el documento sobre gastos contiene información sobre hechos posteriores al 31 de marzo de 2017, cuando se presentó el escrito de solicitudes y argumentos (</w:t>
      </w:r>
      <w:r w:rsidRPr="00873FEC">
        <w:rPr>
          <w:rFonts w:ascii="Verdana" w:eastAsia="Batang" w:hAnsi="Verdana" w:cs="Times"/>
          <w:i/>
          <w:sz w:val="20"/>
          <w:szCs w:val="20"/>
          <w:lang w:val="es-CR" w:eastAsia="es-CR"/>
        </w:rPr>
        <w:t>supra</w:t>
      </w:r>
      <w:r w:rsidRPr="00873FEC">
        <w:rPr>
          <w:rFonts w:ascii="Verdana" w:eastAsia="Batang" w:hAnsi="Verdana" w:cs="Times"/>
          <w:sz w:val="20"/>
          <w:szCs w:val="20"/>
          <w:lang w:val="es-CR" w:eastAsia="es-CR"/>
        </w:rPr>
        <w:t xml:space="preserve"> párr. 6), mas no será considerada por la Corte información que hay en ese documento sobre gastos anteriores a esa fecha, por resultar extemporánea</w:t>
      </w:r>
      <w:r w:rsidRPr="00873FEC">
        <w:rPr>
          <w:rFonts w:ascii="Verdana" w:eastAsia="Batang" w:hAnsi="Verdana" w:cs="Times New Roman"/>
          <w:sz w:val="20"/>
          <w:szCs w:val="20"/>
          <w:vertAlign w:val="superscript"/>
          <w:lang w:val="en-US" w:eastAsia="x-none"/>
        </w:rPr>
        <w:footnoteReference w:id="16"/>
      </w:r>
      <w:r w:rsidRPr="00873FEC">
        <w:rPr>
          <w:rFonts w:ascii="Verdana" w:eastAsia="Batang" w:hAnsi="Verdana" w:cs="Times"/>
          <w:sz w:val="20"/>
          <w:szCs w:val="20"/>
          <w:lang w:val="es-CR" w:eastAsia="es-CR"/>
        </w:rPr>
        <w:t>, y ii) el resto de los documentos resultan útiles y se relacionan estrechamente con preguntas formuladas por integrantes de la Corte durante la audiencia pública, por lo que, a pesar de haber sido remitidos con posterioridad a la presentación del escrito de solicitudes y argumentos, cabe su admisión a partir del artículo 58.a) del Reglamento</w:t>
      </w:r>
      <w:r w:rsidRPr="00873FEC">
        <w:rPr>
          <w:rFonts w:ascii="Verdana" w:eastAsia="Batang" w:hAnsi="Verdana" w:cs="Times New Roman"/>
          <w:sz w:val="20"/>
          <w:szCs w:val="20"/>
          <w:vertAlign w:val="superscript"/>
          <w:lang w:val="en-US" w:eastAsia="x-none"/>
        </w:rPr>
        <w:footnoteReference w:id="17"/>
      </w:r>
      <w:r w:rsidRPr="00873FEC">
        <w:rPr>
          <w:rFonts w:ascii="Verdana" w:eastAsia="Batang" w:hAnsi="Verdana" w:cs="Times"/>
          <w:sz w:val="20"/>
          <w:szCs w:val="20"/>
          <w:lang w:val="es-CR" w:eastAsia="es-CR"/>
        </w:rPr>
        <w:t>. Además, la Corte admite los certificados de nacimiento y defunción de Pedro Daniel Carrillo López, presentados por los representantes el 16 de agosto de 2018, pues fueron remitidos con el objeto de acreditar un hecho ocurrido el 27 de julio de 2018: la muerte de la presunta víctima nombrada</w:t>
      </w:r>
      <w:r w:rsidRPr="00873FEC">
        <w:rPr>
          <w:rFonts w:ascii="Verdana" w:eastAsia="Batang" w:hAnsi="Verdana" w:cs="Times New Roman"/>
          <w:sz w:val="20"/>
          <w:szCs w:val="20"/>
          <w:vertAlign w:val="superscript"/>
          <w:lang w:val="es-CR" w:eastAsia="es-CR"/>
        </w:rPr>
        <w:footnoteReference w:id="18"/>
      </w:r>
      <w:r w:rsidRPr="00873FEC">
        <w:rPr>
          <w:rFonts w:ascii="Verdana" w:eastAsia="Batang" w:hAnsi="Verdana" w:cs="Times"/>
          <w:sz w:val="20"/>
          <w:szCs w:val="20"/>
          <w:lang w:val="es-CR" w:eastAsia="es-CR"/>
        </w:rPr>
        <w:t>.</w:t>
      </w:r>
      <w:r w:rsidRPr="00873FEC">
        <w:rPr>
          <w:rFonts w:ascii="Calibri" w:hAnsi="Calibri" w:cs="Calibri"/>
          <w:color w:val="1F497D"/>
          <w:lang w:val="es-CR"/>
        </w:rPr>
        <w:t xml:space="preserve"> </w:t>
      </w:r>
      <w:r w:rsidRPr="00873FEC">
        <w:rPr>
          <w:rFonts w:ascii="Verdana" w:eastAsia="Batang" w:hAnsi="Verdana" w:cs="Times"/>
          <w:sz w:val="20"/>
          <w:szCs w:val="20"/>
          <w:lang w:val="es-CR" w:eastAsia="es-CR"/>
        </w:rPr>
        <w:t>Asimismo, por resultar útil, y considerando que se trata de una disposición legal publicada, este Tribunal incorpora de oficio, como prueba documental, el texto del Código Procesal Penal de Guatemala de 1992 (</w:t>
      </w:r>
      <w:r w:rsidRPr="00873FEC">
        <w:rPr>
          <w:rFonts w:ascii="Verdana" w:eastAsia="Batang" w:hAnsi="Verdana" w:cs="Times"/>
          <w:i/>
          <w:iCs/>
          <w:sz w:val="20"/>
          <w:szCs w:val="20"/>
          <w:lang w:val="es-CR" w:eastAsia="es-CR"/>
        </w:rPr>
        <w:t>infra</w:t>
      </w:r>
      <w:r w:rsidRPr="00873FEC">
        <w:rPr>
          <w:rFonts w:ascii="Verdana" w:eastAsia="Batang" w:hAnsi="Verdana" w:cs="Times"/>
          <w:sz w:val="20"/>
          <w:szCs w:val="20"/>
          <w:lang w:val="es-CR" w:eastAsia="es-CR"/>
        </w:rPr>
        <w:t xml:space="preserve"> nota a pie de página </w:t>
      </w:r>
      <w:r w:rsidR="00E46AEE" w:rsidRPr="00873FEC">
        <w:rPr>
          <w:rFonts w:ascii="Verdana" w:eastAsia="Batang" w:hAnsi="Verdana" w:cs="Times"/>
          <w:sz w:val="20"/>
          <w:szCs w:val="20"/>
          <w:lang w:val="es-CR" w:eastAsia="es-CR"/>
        </w:rPr>
        <w:t>59</w:t>
      </w:r>
      <w:r w:rsidRPr="00873FEC">
        <w:rPr>
          <w:rFonts w:ascii="Verdana" w:eastAsia="Batang" w:hAnsi="Verdana" w:cs="Times"/>
          <w:sz w:val="20"/>
          <w:szCs w:val="20"/>
          <w:lang w:val="es-CR" w:eastAsia="es-CR"/>
        </w:rPr>
        <w:t>). En uso de la facultad conferida por el artículo 58.a) de su Reglamento, la Corte incorpora también de oficio información sobre el tipo de cambio monetario publicada en el sitio de internet del Banco de Guatemala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nota a pie de página </w:t>
      </w:r>
      <w:r w:rsidR="00E46AEE" w:rsidRPr="00873FEC">
        <w:rPr>
          <w:rFonts w:ascii="Verdana" w:eastAsia="Batang" w:hAnsi="Verdana" w:cs="Times"/>
          <w:sz w:val="20"/>
          <w:szCs w:val="20"/>
          <w:lang w:val="es-CR" w:eastAsia="es-CR"/>
        </w:rPr>
        <w:t>224</w:t>
      </w:r>
      <w:r w:rsidRPr="00873FEC">
        <w:rPr>
          <w:rFonts w:ascii="Verdana" w:eastAsia="Batang" w:hAnsi="Verdana" w:cs="Times"/>
          <w:sz w:val="20"/>
          <w:szCs w:val="20"/>
          <w:lang w:val="es-CR" w:eastAsia="es-CR"/>
        </w:rPr>
        <w:t>).</w:t>
      </w:r>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La Comisión presentó documentos que señaló como anexos 1 y 2 del Informe de Fondo mediante enlaces de internet que no resultaron útiles. No obstante, se incorporan ambos documento</w:t>
      </w:r>
      <w:r w:rsidR="00926EAB" w:rsidRPr="00873FEC">
        <w:rPr>
          <w:rFonts w:ascii="Verdana" w:eastAsia="Batang" w:hAnsi="Verdana" w:cs="Times"/>
          <w:sz w:val="20"/>
          <w:szCs w:val="20"/>
          <w:lang w:val="es-CR" w:eastAsia="es-CR"/>
        </w:rPr>
        <w:t>s</w:t>
      </w:r>
      <w:r w:rsidRPr="00873FEC">
        <w:rPr>
          <w:rFonts w:ascii="Verdana" w:eastAsia="Batang" w:hAnsi="Verdana" w:cs="Times"/>
          <w:sz w:val="20"/>
          <w:szCs w:val="20"/>
          <w:lang w:val="es-CR" w:eastAsia="es-CR"/>
        </w:rPr>
        <w:t xml:space="preserve"> en virtud de la facultad establecida por el artículo 58.a) del Reglamento, teniendo en consideración que los dos forman parte de un mismo documento publicado, y considerando que ni el Estado ni los representantes presentaron objeciones u observaciones al respecto</w:t>
      </w:r>
      <w:r w:rsidRPr="00873FEC">
        <w:rPr>
          <w:rFonts w:ascii="Verdana" w:eastAsia="Batang" w:hAnsi="Verdana" w:cs="Times New Roman"/>
          <w:sz w:val="20"/>
          <w:szCs w:val="20"/>
          <w:vertAlign w:val="superscript"/>
          <w:lang w:val="en-US" w:eastAsia="x-none"/>
        </w:rPr>
        <w:footnoteReference w:id="19"/>
      </w:r>
      <w:r w:rsidRPr="00873FEC">
        <w:rPr>
          <w:rFonts w:ascii="Verdana" w:eastAsia="Batang" w:hAnsi="Verdana" w:cs="Times"/>
          <w:sz w:val="20"/>
          <w:szCs w:val="20"/>
          <w:lang w:val="es-CR" w:eastAsia="es-CR"/>
        </w:rPr>
        <w:t xml:space="preserve">. </w:t>
      </w:r>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pStyle w:val="Heading2"/>
        <w:spacing w:before="0" w:line="20" w:lineRule="atLeast"/>
        <w:ind w:left="284"/>
        <w:jc w:val="both"/>
        <w:rPr>
          <w:rFonts w:ascii="Verdana" w:eastAsia="Calibri" w:hAnsi="Verdana" w:cs="Times"/>
          <w:i/>
          <w:color w:val="auto"/>
          <w:sz w:val="20"/>
          <w:szCs w:val="24"/>
          <w:lang w:val="es-CR" w:eastAsia="es-CR"/>
        </w:rPr>
      </w:pPr>
      <w:bookmarkStart w:id="101" w:name="_Toc514063392"/>
      <w:bookmarkStart w:id="102" w:name="_Toc520207579"/>
      <w:bookmarkStart w:id="103" w:name="_Toc525201154"/>
      <w:bookmarkStart w:id="104" w:name="_Toc521694805"/>
      <w:bookmarkEnd w:id="101"/>
      <w:bookmarkEnd w:id="102"/>
      <w:r w:rsidRPr="00873FEC">
        <w:rPr>
          <w:rFonts w:ascii="Verdana" w:eastAsia="Calibri" w:hAnsi="Verdana" w:cs="Times"/>
          <w:i/>
          <w:color w:val="auto"/>
          <w:sz w:val="20"/>
          <w:szCs w:val="24"/>
          <w:lang w:val="es-CR" w:eastAsia="es-CR"/>
        </w:rPr>
        <w:t>B. Admisibilidad de la prueba testimonial y pericial</w:t>
      </w:r>
      <w:bookmarkEnd w:id="103"/>
      <w:r w:rsidRPr="00873FEC">
        <w:rPr>
          <w:rFonts w:ascii="Verdana" w:eastAsia="Calibri" w:hAnsi="Verdana" w:cs="Times"/>
          <w:i/>
          <w:color w:val="auto"/>
          <w:sz w:val="20"/>
          <w:szCs w:val="24"/>
          <w:lang w:val="es-CR" w:eastAsia="es-CR"/>
        </w:rPr>
        <w:t xml:space="preserve"> </w:t>
      </w:r>
      <w:bookmarkEnd w:id="104"/>
    </w:p>
    <w:p w:rsidR="006166D8" w:rsidRPr="00873FEC" w:rsidRDefault="006166D8" w:rsidP="00126E97">
      <w:pPr>
        <w:spacing w:after="0" w:line="20" w:lineRule="atLeast"/>
        <w:ind w:left="720"/>
        <w:contextualSpacing/>
        <w:rPr>
          <w:rFonts w:ascii="Calibri" w:eastAsia="Calibri" w:hAnsi="Calibri" w:cs="Times"/>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La Corte escuchó en audiencia pública la declaración de las presuntas víctimas</w:t>
      </w:r>
      <w:r w:rsidRPr="00873FEC">
        <w:rPr>
          <w:rFonts w:ascii="Verdana" w:eastAsia="Batang" w:hAnsi="Verdana" w:cs="Times"/>
          <w:bCs/>
          <w:sz w:val="20"/>
          <w:szCs w:val="20"/>
          <w:lang w:val="es-AR" w:eastAsia="es-CR"/>
        </w:rPr>
        <w:t xml:space="preserve"> Tomás Grave </w:t>
      </w:r>
      <w:proofErr w:type="spellStart"/>
      <w:r w:rsidRPr="00873FEC">
        <w:rPr>
          <w:rFonts w:ascii="Verdana" w:eastAsia="Batang" w:hAnsi="Verdana" w:cs="Times"/>
          <w:bCs/>
          <w:sz w:val="20"/>
          <w:szCs w:val="20"/>
          <w:lang w:val="es-AR" w:eastAsia="es-CR"/>
        </w:rPr>
        <w:t>Morente</w:t>
      </w:r>
      <w:proofErr w:type="spellEnd"/>
      <w:r w:rsidRPr="00873FEC">
        <w:rPr>
          <w:rFonts w:ascii="Verdana" w:eastAsia="Batang" w:hAnsi="Verdana" w:cs="Times"/>
          <w:bCs/>
          <w:sz w:val="20"/>
          <w:szCs w:val="20"/>
          <w:lang w:val="es-AR" w:eastAsia="es-CR"/>
        </w:rPr>
        <w:t xml:space="preserve"> y Natividad Sales</w:t>
      </w:r>
      <w:r w:rsidR="000D5D3B">
        <w:rPr>
          <w:rFonts w:ascii="Verdana" w:eastAsia="Batang" w:hAnsi="Verdana" w:cs="Times"/>
          <w:bCs/>
          <w:sz w:val="20"/>
          <w:szCs w:val="20"/>
          <w:lang w:val="es-AR" w:eastAsia="es-CR"/>
        </w:rPr>
        <w:t xml:space="preserve"> Calmo</w:t>
      </w:r>
      <w:r w:rsidRPr="00873FEC">
        <w:rPr>
          <w:rFonts w:ascii="Verdana" w:eastAsia="Batang" w:hAnsi="Verdana" w:cs="Times"/>
          <w:sz w:val="20"/>
          <w:szCs w:val="24"/>
          <w:lang w:val="es-CR" w:eastAsia="es-CR"/>
        </w:rPr>
        <w:t xml:space="preserve">, y </w:t>
      </w:r>
      <w:r w:rsidRPr="00873FEC">
        <w:rPr>
          <w:rFonts w:ascii="Verdana" w:eastAsia="Batang" w:hAnsi="Verdana" w:cs="Times"/>
          <w:sz w:val="20"/>
          <w:szCs w:val="20"/>
          <w:lang w:val="es-CR" w:eastAsia="es-CR"/>
        </w:rPr>
        <w:t xml:space="preserve">recibió las declaraciones, rendidas ante fedatario público (afidávit), de Efraín Grave </w:t>
      </w:r>
      <w:proofErr w:type="spellStart"/>
      <w:r w:rsidRPr="00873FEC">
        <w:rPr>
          <w:rFonts w:ascii="Verdana" w:eastAsia="Batang" w:hAnsi="Verdana" w:cs="Times"/>
          <w:sz w:val="20"/>
          <w:szCs w:val="20"/>
          <w:lang w:val="es-CR" w:eastAsia="es-CR"/>
        </w:rPr>
        <w:t>Morente</w:t>
      </w:r>
      <w:proofErr w:type="spellEnd"/>
      <w:r w:rsidRPr="00873FEC">
        <w:rPr>
          <w:rFonts w:ascii="Verdana" w:eastAsia="Batang" w:hAnsi="Verdana" w:cs="Times"/>
          <w:sz w:val="20"/>
          <w:szCs w:val="20"/>
          <w:lang w:val="es-CR" w:eastAsia="es-CR"/>
        </w:rPr>
        <w:t>, presunta víctima y de Claudia Virginia Samayoa Pineda, perita</w:t>
      </w:r>
      <w:r w:rsidRPr="00873FEC">
        <w:rPr>
          <w:rFonts w:ascii="Verdana" w:eastAsia="Batang" w:hAnsi="Verdana" w:cs="Times New Roman"/>
          <w:sz w:val="20"/>
          <w:szCs w:val="20"/>
          <w:vertAlign w:val="superscript"/>
          <w:lang w:val="es-CR" w:eastAsia="es-CR"/>
        </w:rPr>
        <w:footnoteReference w:id="20"/>
      </w:r>
      <w:r w:rsidRPr="00873FEC">
        <w:rPr>
          <w:rFonts w:ascii="Verdana" w:eastAsia="Batang" w:hAnsi="Verdana" w:cs="Times"/>
          <w:sz w:val="20"/>
          <w:szCs w:val="20"/>
          <w:lang w:val="es-CR" w:eastAsia="es-CR"/>
        </w:rPr>
        <w:t>.</w:t>
      </w:r>
      <w:r w:rsidRPr="00873FEC">
        <w:rPr>
          <w:rFonts w:ascii="Verdana" w:eastAsia="Batang" w:hAnsi="Verdana" w:cs="Times"/>
          <w:b/>
          <w:sz w:val="20"/>
          <w:szCs w:val="20"/>
          <w:lang w:val="es-CR" w:eastAsia="es-CR"/>
        </w:rPr>
        <w:t xml:space="preserve"> </w:t>
      </w:r>
      <w:r w:rsidRPr="00873FEC">
        <w:rPr>
          <w:rFonts w:ascii="Verdana" w:eastAsia="Batang" w:hAnsi="Verdana" w:cs="Times"/>
          <w:sz w:val="20"/>
          <w:szCs w:val="24"/>
          <w:lang w:val="es-CR" w:eastAsia="es-CR"/>
        </w:rPr>
        <w:t>La Corte estima pertinente admitir las declaraciones de las presuntas víctimas y el dictamen pericial, rendidos en la audiencia pública y ante fedatario público, en lo que se ajusten al objeto que fue definido por la Presidencia en la Resolución mediante la cual se ordenó recibirlos y al objeto del presente caso.</w:t>
      </w:r>
    </w:p>
    <w:p w:rsidR="006166D8" w:rsidRPr="00873FEC" w:rsidRDefault="006166D8" w:rsidP="00126E97">
      <w:pPr>
        <w:spacing w:after="0" w:line="20" w:lineRule="atLeast"/>
        <w:ind w:right="-138"/>
        <w:jc w:val="both"/>
        <w:rPr>
          <w:rFonts w:ascii="Verdana" w:eastAsia="Batang" w:hAnsi="Verdana" w:cs="Times"/>
          <w:sz w:val="20"/>
          <w:szCs w:val="24"/>
          <w:lang w:val="es-CR" w:eastAsia="es-CR"/>
        </w:rPr>
      </w:pPr>
    </w:p>
    <w:p w:rsidR="006166D8" w:rsidRPr="00873FEC" w:rsidRDefault="006166D8"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Por otra parte, es pertinente dejar sentado que los representantes solicitaron que 34 personas rindieran declaración en el</w:t>
      </w:r>
      <w:r w:rsidR="00F5049E" w:rsidRPr="00873FEC">
        <w:rPr>
          <w:rFonts w:ascii="Verdana" w:eastAsia="Batang" w:hAnsi="Verdana" w:cs="Times"/>
          <w:sz w:val="20"/>
          <w:szCs w:val="24"/>
          <w:lang w:val="es-CR" w:eastAsia="es-CR"/>
        </w:rPr>
        <w:t xml:space="preserve"> marco de una diligencia en la C</w:t>
      </w:r>
      <w:r w:rsidRPr="00873FEC">
        <w:rPr>
          <w:rFonts w:ascii="Verdana" w:eastAsia="Batang" w:hAnsi="Verdana" w:cs="Times"/>
          <w:sz w:val="20"/>
          <w:szCs w:val="24"/>
          <w:lang w:val="es-CR" w:eastAsia="es-CR"/>
        </w:rPr>
        <w:t>omunidad “Aurora 8 de Octubre”. En su Resolución de 13 de diciembre de 2017 (</w:t>
      </w:r>
      <w:r w:rsidRPr="00873FEC">
        <w:rPr>
          <w:rFonts w:ascii="Verdana" w:eastAsia="Batang" w:hAnsi="Verdana" w:cs="Times"/>
          <w:i/>
          <w:sz w:val="20"/>
          <w:szCs w:val="24"/>
          <w:lang w:val="es-CR" w:eastAsia="es-CR"/>
        </w:rPr>
        <w:t>supra</w:t>
      </w:r>
      <w:r w:rsidRPr="00873FEC">
        <w:rPr>
          <w:rFonts w:ascii="Verdana" w:eastAsia="Batang" w:hAnsi="Verdana" w:cs="Times"/>
          <w:sz w:val="20"/>
          <w:szCs w:val="24"/>
          <w:lang w:val="es-CR" w:eastAsia="es-CR"/>
        </w:rPr>
        <w:t xml:space="preserve"> párr. 8) el Presidente “</w:t>
      </w:r>
      <w:proofErr w:type="spellStart"/>
      <w:r w:rsidRPr="00873FEC">
        <w:rPr>
          <w:rFonts w:ascii="Verdana" w:eastAsia="Batang" w:hAnsi="Verdana" w:cs="Times"/>
          <w:sz w:val="20"/>
          <w:szCs w:val="24"/>
          <w:lang w:val="es-CR" w:eastAsia="es-CR"/>
        </w:rPr>
        <w:t>consider</w:t>
      </w:r>
      <w:proofErr w:type="spellEnd"/>
      <w:r w:rsidRPr="00873FEC">
        <w:rPr>
          <w:rFonts w:ascii="Verdana" w:eastAsia="Batang" w:hAnsi="Verdana" w:cs="Times"/>
          <w:sz w:val="20"/>
          <w:szCs w:val="24"/>
          <w:lang w:val="es-CR" w:eastAsia="es-CR"/>
        </w:rPr>
        <w:t>[</w:t>
      </w:r>
      <w:proofErr w:type="spellStart"/>
      <w:r w:rsidRPr="00873FEC">
        <w:rPr>
          <w:rFonts w:ascii="Verdana" w:eastAsia="Batang" w:hAnsi="Verdana" w:cs="Times"/>
          <w:sz w:val="20"/>
          <w:szCs w:val="24"/>
          <w:lang w:val="es-CR" w:eastAsia="es-CR"/>
        </w:rPr>
        <w:t>ó</w:t>
      </w:r>
      <w:proofErr w:type="spellEnd"/>
      <w:r w:rsidRPr="00873FEC">
        <w:rPr>
          <w:rFonts w:ascii="Verdana" w:eastAsia="Batang" w:hAnsi="Verdana" w:cs="Times"/>
          <w:sz w:val="20"/>
          <w:szCs w:val="24"/>
          <w:lang w:val="es-CR" w:eastAsia="es-CR"/>
        </w:rPr>
        <w:t xml:space="preserve">] pertinente evaluar la realización de dicha diligencia probatoria una vez que se </w:t>
      </w:r>
      <w:proofErr w:type="gramStart"/>
      <w:r w:rsidRPr="00873FEC">
        <w:rPr>
          <w:rFonts w:ascii="Verdana" w:eastAsia="Batang" w:hAnsi="Verdana" w:cs="Times"/>
          <w:sz w:val="20"/>
          <w:szCs w:val="24"/>
          <w:lang w:val="es-CR" w:eastAsia="es-CR"/>
        </w:rPr>
        <w:t>h[</w:t>
      </w:r>
      <w:proofErr w:type="spellStart"/>
      <w:proofErr w:type="gramEnd"/>
      <w:r w:rsidRPr="00873FEC">
        <w:rPr>
          <w:rFonts w:ascii="Verdana" w:eastAsia="Batang" w:hAnsi="Verdana" w:cs="Times"/>
          <w:sz w:val="20"/>
          <w:szCs w:val="24"/>
          <w:lang w:val="es-CR" w:eastAsia="es-CR"/>
        </w:rPr>
        <w:t>ubiera</w:t>
      </w:r>
      <w:proofErr w:type="spellEnd"/>
      <w:r w:rsidRPr="00873FEC">
        <w:rPr>
          <w:rFonts w:ascii="Verdana" w:eastAsia="Batang" w:hAnsi="Verdana" w:cs="Times"/>
          <w:sz w:val="20"/>
          <w:szCs w:val="24"/>
          <w:lang w:val="es-CR" w:eastAsia="es-CR"/>
        </w:rPr>
        <w:t>] llevado a cabo la audiencia pública de este caso”</w:t>
      </w:r>
      <w:r w:rsidRPr="00873FEC">
        <w:rPr>
          <w:rFonts w:ascii="Verdana" w:eastAsia="Batang" w:hAnsi="Verdana" w:cs="Times New Roman"/>
          <w:sz w:val="20"/>
          <w:szCs w:val="20"/>
          <w:vertAlign w:val="superscript"/>
          <w:lang w:val="en-US" w:eastAsia="x-none"/>
        </w:rPr>
        <w:footnoteReference w:id="21"/>
      </w:r>
      <w:r w:rsidRPr="00873FEC">
        <w:rPr>
          <w:rFonts w:ascii="Verdana" w:eastAsia="Batang" w:hAnsi="Verdana" w:cs="Times"/>
          <w:sz w:val="20"/>
          <w:szCs w:val="24"/>
          <w:lang w:val="es-CR" w:eastAsia="es-CR"/>
        </w:rPr>
        <w:t xml:space="preserve">. El 31 de mayo de 2018 se informó a las partes y a la Comisión, que “teniendo en consideración el acervo probatorio ya existente […], </w:t>
      </w:r>
      <w:proofErr w:type="gramStart"/>
      <w:r w:rsidRPr="00873FEC">
        <w:rPr>
          <w:rFonts w:ascii="Verdana" w:eastAsia="Batang" w:hAnsi="Verdana" w:cs="Times"/>
          <w:sz w:val="20"/>
          <w:szCs w:val="24"/>
          <w:lang w:val="es-CR" w:eastAsia="es-CR"/>
        </w:rPr>
        <w:t>e[</w:t>
      </w:r>
      <w:proofErr w:type="spellStart"/>
      <w:proofErr w:type="gramEnd"/>
      <w:r w:rsidRPr="00873FEC">
        <w:rPr>
          <w:rFonts w:ascii="Verdana" w:eastAsia="Batang" w:hAnsi="Verdana" w:cs="Times"/>
          <w:sz w:val="20"/>
          <w:szCs w:val="24"/>
          <w:lang w:val="es-CR" w:eastAsia="es-CR"/>
        </w:rPr>
        <w:t>ste</w:t>
      </w:r>
      <w:proofErr w:type="spellEnd"/>
      <w:r w:rsidRPr="00873FEC">
        <w:rPr>
          <w:rFonts w:ascii="Verdana" w:eastAsia="Batang" w:hAnsi="Verdana" w:cs="Times"/>
          <w:sz w:val="20"/>
          <w:szCs w:val="24"/>
          <w:lang w:val="es-CR" w:eastAsia="es-CR"/>
        </w:rPr>
        <w:t>] Tribunal determinó negar la solicitud”</w:t>
      </w:r>
      <w:r w:rsidRPr="00873FEC">
        <w:rPr>
          <w:rFonts w:ascii="Verdana" w:eastAsia="Batang" w:hAnsi="Verdana" w:cs="Times New Roman"/>
          <w:sz w:val="20"/>
          <w:szCs w:val="20"/>
          <w:vertAlign w:val="superscript"/>
          <w:lang w:val="en-US" w:eastAsia="x-none"/>
        </w:rPr>
        <w:footnoteReference w:id="22"/>
      </w:r>
      <w:r w:rsidRPr="00873FEC">
        <w:rPr>
          <w:rFonts w:ascii="Verdana" w:eastAsia="Batang" w:hAnsi="Verdana" w:cs="Times"/>
          <w:sz w:val="20"/>
          <w:szCs w:val="24"/>
          <w:lang w:val="es-CR" w:eastAsia="es-CR"/>
        </w:rPr>
        <w:t xml:space="preserve">.  </w:t>
      </w:r>
    </w:p>
    <w:p w:rsidR="006166D8" w:rsidRPr="00873FEC" w:rsidRDefault="006166D8" w:rsidP="00126E97">
      <w:pPr>
        <w:spacing w:after="0" w:line="20" w:lineRule="atLeast"/>
        <w:rPr>
          <w:lang w:val="es-CR"/>
        </w:rPr>
      </w:pPr>
    </w:p>
    <w:p w:rsidR="00E221AF" w:rsidRPr="00873FEC" w:rsidRDefault="00E221AF" w:rsidP="00126E97">
      <w:pPr>
        <w:keepNext/>
        <w:keepLines/>
        <w:spacing w:after="0" w:line="20" w:lineRule="atLeast"/>
        <w:jc w:val="center"/>
        <w:outlineLvl w:val="0"/>
        <w:rPr>
          <w:rFonts w:ascii="Verdana" w:eastAsia="Times New Roman" w:hAnsi="Verdana" w:cs="Verdana"/>
          <w:caps/>
          <w:sz w:val="20"/>
          <w:szCs w:val="20"/>
          <w:lang w:val="es-CR" w:eastAsia="es-CR"/>
        </w:rPr>
      </w:pPr>
      <w:bookmarkStart w:id="105" w:name="_Toc521694806"/>
      <w:bookmarkStart w:id="106" w:name="_Toc525201155"/>
      <w:r w:rsidRPr="00873FEC">
        <w:rPr>
          <w:rFonts w:ascii="Verdana" w:eastAsia="Times New Roman" w:hAnsi="Verdana" w:cs="Verdana"/>
          <w:b/>
          <w:caps/>
          <w:sz w:val="20"/>
          <w:szCs w:val="20"/>
          <w:lang w:val="es-CR" w:eastAsia="es-CR"/>
        </w:rPr>
        <w:t>VI</w:t>
      </w:r>
      <w:bookmarkEnd w:id="105"/>
      <w:bookmarkEnd w:id="106"/>
    </w:p>
    <w:p w:rsidR="00E221AF" w:rsidRPr="00873FEC" w:rsidRDefault="00E221AF" w:rsidP="00126E97">
      <w:pPr>
        <w:keepNext/>
        <w:keepLines/>
        <w:spacing w:after="0" w:line="20" w:lineRule="atLeast"/>
        <w:jc w:val="center"/>
        <w:outlineLvl w:val="0"/>
        <w:rPr>
          <w:rFonts w:ascii="Verdana" w:eastAsia="Times New Roman" w:hAnsi="Verdana" w:cs="Verdana"/>
          <w:caps/>
          <w:sz w:val="20"/>
          <w:szCs w:val="20"/>
          <w:lang w:val="es-CR" w:eastAsia="es-CR"/>
        </w:rPr>
      </w:pPr>
      <w:bookmarkStart w:id="107" w:name="_Toc521694807"/>
      <w:bookmarkStart w:id="108" w:name="_Toc525201156"/>
      <w:r w:rsidRPr="00873FEC">
        <w:rPr>
          <w:rFonts w:ascii="Verdana" w:eastAsia="Times New Roman" w:hAnsi="Verdana" w:cs="Verdana"/>
          <w:b/>
          <w:caps/>
          <w:sz w:val="20"/>
          <w:szCs w:val="20"/>
          <w:lang w:val="es-CR" w:eastAsia="es-CR"/>
        </w:rPr>
        <w:t>HECHOS</w:t>
      </w:r>
      <w:bookmarkEnd w:id="107"/>
      <w:bookmarkEnd w:id="108"/>
    </w:p>
    <w:p w:rsidR="00E221AF" w:rsidRPr="00873FEC" w:rsidRDefault="00E221AF" w:rsidP="00126E97">
      <w:pPr>
        <w:spacing w:after="0" w:line="20" w:lineRule="atLeast"/>
        <w:ind w:right="-138"/>
        <w:jc w:val="both"/>
        <w:rPr>
          <w:rFonts w:ascii="Verdana" w:eastAsia="Batang" w:hAnsi="Verdana" w:cs="Times"/>
          <w:sz w:val="20"/>
          <w:szCs w:val="24"/>
          <w:lang w:val="en-US"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Después de analizados los elementos probatorios, así como los alegatos de la Comisión y las partes, la Corte considera establecidos los hechos que se detallan a continuación. A tal efecto, tiene en cuenta que al “</w:t>
      </w:r>
      <w:proofErr w:type="gramStart"/>
      <w:r w:rsidRPr="00873FEC">
        <w:rPr>
          <w:rFonts w:ascii="Verdana" w:eastAsia="Batang" w:hAnsi="Verdana" w:cs="Times"/>
          <w:sz w:val="20"/>
          <w:szCs w:val="20"/>
          <w:lang w:val="es-CR" w:eastAsia="es-CR"/>
        </w:rPr>
        <w:t>pronuncia[</w:t>
      </w:r>
      <w:proofErr w:type="spellStart"/>
      <w:proofErr w:type="gramEnd"/>
      <w:r w:rsidRPr="00873FEC">
        <w:rPr>
          <w:rFonts w:ascii="Verdana" w:eastAsia="Batang" w:hAnsi="Verdana" w:cs="Times"/>
          <w:sz w:val="20"/>
          <w:szCs w:val="20"/>
          <w:lang w:val="es-CR" w:eastAsia="es-CR"/>
        </w:rPr>
        <w:t>rse</w:t>
      </w:r>
      <w:proofErr w:type="spellEnd"/>
      <w:r w:rsidRPr="00873FEC">
        <w:rPr>
          <w:rFonts w:ascii="Verdana" w:eastAsia="Batang" w:hAnsi="Verdana" w:cs="Times"/>
          <w:sz w:val="20"/>
          <w:szCs w:val="20"/>
          <w:lang w:val="es-CR" w:eastAsia="es-CR"/>
        </w:rPr>
        <w:t>…] respecto al Informe [de Fondo]”, que fija el marco factico sobre el que la Corte debe resolver, Guatemala indicó que “no desconoce los hechos ocurridos”. También nota que desde el momento que ocurrieron los hechos, el entonces Presidente de Guatemala reconoció la “responsabilidad institucional” y luego autoridades judiciales determinaron lo sucedido y emitieron sentencias condenatorias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w:t>
      </w:r>
      <w:proofErr w:type="spellStart"/>
      <w:r w:rsidRPr="00873FEC">
        <w:rPr>
          <w:rFonts w:ascii="Verdana" w:eastAsia="Batang" w:hAnsi="Verdana" w:cs="Times"/>
          <w:sz w:val="20"/>
          <w:szCs w:val="20"/>
          <w:lang w:val="es-CR" w:eastAsia="es-CR"/>
        </w:rPr>
        <w:t>párrs</w:t>
      </w:r>
      <w:proofErr w:type="spellEnd"/>
      <w:r w:rsidRPr="00873FEC">
        <w:rPr>
          <w:rFonts w:ascii="Verdana" w:eastAsia="Batang" w:hAnsi="Verdana" w:cs="Times"/>
          <w:sz w:val="20"/>
          <w:szCs w:val="20"/>
          <w:lang w:val="es-CR" w:eastAsia="es-CR"/>
        </w:rPr>
        <w:t xml:space="preserve">. </w:t>
      </w:r>
      <w:r w:rsidR="00E46AEE" w:rsidRPr="00873FEC">
        <w:rPr>
          <w:rFonts w:ascii="Verdana" w:eastAsia="Batang" w:hAnsi="Verdana" w:cs="Times"/>
          <w:sz w:val="20"/>
          <w:szCs w:val="20"/>
          <w:lang w:val="es-CR" w:eastAsia="es-CR"/>
        </w:rPr>
        <w:t>60</w:t>
      </w:r>
      <w:r w:rsidR="00F90CFC" w:rsidRPr="00873FEC">
        <w:rPr>
          <w:rFonts w:ascii="Verdana" w:eastAsia="Batang" w:hAnsi="Verdana" w:cs="Times"/>
          <w:sz w:val="20"/>
          <w:szCs w:val="20"/>
          <w:lang w:val="es-CR" w:eastAsia="es-CR"/>
        </w:rPr>
        <w:t>, 64 y 65</w:t>
      </w:r>
      <w:r w:rsidRPr="00873FEC">
        <w:rPr>
          <w:rFonts w:ascii="Verdana" w:eastAsia="Batang" w:hAnsi="Verdana" w:cs="Times"/>
          <w:sz w:val="20"/>
          <w:szCs w:val="20"/>
          <w:lang w:val="es-CR" w:eastAsia="es-CR"/>
        </w:rPr>
        <w:t xml:space="preserve">). En la audiencia pública se </w:t>
      </w:r>
      <w:r w:rsidRPr="00873FEC">
        <w:rPr>
          <w:rFonts w:ascii="Verdana" w:eastAsia="Batang" w:hAnsi="Verdana" w:cs="Times"/>
          <w:sz w:val="20"/>
          <w:szCs w:val="20"/>
          <w:lang w:val="es-CR" w:eastAsia="es-CR"/>
        </w:rPr>
        <w:lastRenderedPageBreak/>
        <w:t>pidió al Estado que aclare si reconoce o no los hechos. Al presentar su respuesta, en sus alegatos finales escritos, Guatemala no contestó en forma afirmativa o negativa, sino que aseveró que “debe primar la verdad de los hechos tal y cómo l[a] consignó la Comisión para el Esclarecimiento Histórico” (en adelante también “CEH”). La Corte entiende que el Estado ha aceptado en general los hechos narrados en el Informe de Fondo. Este Tribunal, al establecer los hechos relevantes, considerará la aceptación estatal referida, así como señalamientos de la CEH</w:t>
      </w:r>
      <w:r w:rsidR="00767A0F" w:rsidRPr="00873FEC">
        <w:rPr>
          <w:rFonts w:ascii="Verdana" w:eastAsia="Batang" w:hAnsi="Verdana" w:cs="Times New Roman"/>
          <w:sz w:val="20"/>
          <w:szCs w:val="20"/>
          <w:vertAlign w:val="superscript"/>
          <w:lang w:val="en-US" w:eastAsia="x-none"/>
        </w:rPr>
        <w:footnoteReference w:id="23"/>
      </w:r>
      <w:r w:rsidRPr="00873FEC">
        <w:rPr>
          <w:rFonts w:ascii="Verdana" w:eastAsia="Batang" w:hAnsi="Verdana" w:cs="Times"/>
          <w:sz w:val="16"/>
          <w:szCs w:val="16"/>
          <w:lang w:val="es-CR" w:eastAsia="es-CR"/>
        </w:rPr>
        <w:t>.</w:t>
      </w:r>
      <w:bookmarkStart w:id="109" w:name="_Toc503518604"/>
      <w:bookmarkStart w:id="110" w:name="_Toc520207583"/>
      <w:bookmarkEnd w:id="109"/>
      <w:bookmarkEnd w:id="110"/>
    </w:p>
    <w:p w:rsidR="00E221AF" w:rsidRPr="00873FEC" w:rsidRDefault="00E221AF" w:rsidP="00126E97">
      <w:pPr>
        <w:spacing w:after="0" w:line="20" w:lineRule="atLeast"/>
        <w:ind w:right="-138"/>
        <w:jc w:val="both"/>
        <w:rPr>
          <w:rFonts w:ascii="Verdana" w:eastAsia="Batang" w:hAnsi="Verdana" w:cs="Times"/>
          <w:sz w:val="20"/>
          <w:szCs w:val="20"/>
          <w:lang w:val="es-CR" w:eastAsia="es-CR"/>
        </w:rPr>
      </w:pPr>
    </w:p>
    <w:p w:rsidR="00E221AF" w:rsidRPr="00873FEC" w:rsidRDefault="00E221AF" w:rsidP="00126E97">
      <w:pPr>
        <w:spacing w:after="0" w:line="20" w:lineRule="atLeast"/>
        <w:ind w:left="284"/>
        <w:jc w:val="both"/>
        <w:outlineLvl w:val="1"/>
        <w:rPr>
          <w:rFonts w:ascii="Verdana" w:eastAsia="Batang" w:hAnsi="Verdana" w:cs="Times"/>
          <w:b/>
          <w:i/>
          <w:sz w:val="20"/>
          <w:szCs w:val="20"/>
          <w:lang w:val="es-CR" w:eastAsia="es-CR"/>
        </w:rPr>
      </w:pPr>
      <w:bookmarkStart w:id="111" w:name="_Toc525201157"/>
      <w:r w:rsidRPr="00873FEC">
        <w:rPr>
          <w:rFonts w:ascii="Verdana" w:eastAsia="Batang" w:hAnsi="Verdana" w:cs="Times"/>
          <w:b/>
          <w:i/>
          <w:sz w:val="20"/>
          <w:szCs w:val="20"/>
          <w:lang w:val="es-CR" w:eastAsia="es-CR"/>
        </w:rPr>
        <w:t>A. Contexto</w:t>
      </w:r>
      <w:bookmarkEnd w:id="111"/>
      <w:r w:rsidRPr="00873FEC">
        <w:rPr>
          <w:rFonts w:ascii="Verdana" w:eastAsia="Batang" w:hAnsi="Verdana" w:cs="Times"/>
          <w:b/>
          <w:i/>
          <w:sz w:val="20"/>
          <w:szCs w:val="20"/>
          <w:lang w:val="es-CR" w:eastAsia="es-CR"/>
        </w:rPr>
        <w:t xml:space="preserve">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La Corte, en oportunidades anteriores, ya ha advertido que </w:t>
      </w:r>
    </w:p>
    <w:p w:rsidR="00E221AF" w:rsidRPr="00873FEC" w:rsidRDefault="00E221AF" w:rsidP="00126E97">
      <w:pPr>
        <w:spacing w:after="0" w:line="20" w:lineRule="atLeast"/>
        <w:jc w:val="both"/>
        <w:rPr>
          <w:rFonts w:ascii="Verdana" w:eastAsia="Batang" w:hAnsi="Verdana" w:cs="Times"/>
          <w:sz w:val="20"/>
          <w:szCs w:val="20"/>
          <w:lang w:val="es-CR" w:eastAsia="es-CR"/>
        </w:rPr>
      </w:pPr>
    </w:p>
    <w:p w:rsidR="00E221AF" w:rsidRPr="00873FEC" w:rsidRDefault="00E221AF" w:rsidP="00126E97">
      <w:pPr>
        <w:spacing w:after="0" w:line="20" w:lineRule="atLeast"/>
        <w:ind w:left="567" w:right="616"/>
        <w:jc w:val="both"/>
        <w:rPr>
          <w:rFonts w:ascii="Verdana" w:eastAsia="Batang" w:hAnsi="Verdana" w:cs="Times"/>
          <w:sz w:val="16"/>
          <w:szCs w:val="16"/>
          <w:lang w:val="es-CR" w:eastAsia="es-CR"/>
        </w:rPr>
      </w:pPr>
      <w:r w:rsidRPr="00873FEC">
        <w:rPr>
          <w:rFonts w:ascii="Verdana" w:eastAsia="Batang" w:hAnsi="Verdana" w:cs="Times"/>
          <w:sz w:val="16"/>
          <w:szCs w:val="16"/>
          <w:lang w:val="es-CR" w:eastAsia="es-CR"/>
        </w:rPr>
        <w:t>[</w:t>
      </w:r>
      <w:proofErr w:type="gramStart"/>
      <w:r w:rsidRPr="00873FEC">
        <w:rPr>
          <w:rFonts w:ascii="Verdana" w:eastAsia="Batang" w:hAnsi="Verdana" w:cs="Times"/>
          <w:sz w:val="16"/>
          <w:szCs w:val="16"/>
          <w:lang w:val="es-CR" w:eastAsia="es-CR"/>
        </w:rPr>
        <w:t>e]</w:t>
      </w:r>
      <w:proofErr w:type="gramEnd"/>
      <w:r w:rsidRPr="00873FEC">
        <w:rPr>
          <w:rFonts w:ascii="Verdana" w:eastAsia="Batang" w:hAnsi="Verdana" w:cs="Times"/>
          <w:sz w:val="16"/>
          <w:szCs w:val="16"/>
          <w:lang w:val="es-CR" w:eastAsia="es-CR"/>
        </w:rPr>
        <w:t>l Estado de Guatemala vivió un conflicto armado interno entre los años 1962 y 1996 que provocó grandes costos humanos, materiales, institucionales y morales</w:t>
      </w:r>
      <w:r w:rsidRPr="00873FEC">
        <w:rPr>
          <w:rFonts w:ascii="Verdana" w:eastAsia="Batang" w:hAnsi="Verdana" w:cs="Times New Roman"/>
          <w:sz w:val="16"/>
          <w:szCs w:val="20"/>
          <w:vertAlign w:val="superscript"/>
          <w:lang w:val="es-CR" w:eastAsia="es-CR"/>
        </w:rPr>
        <w:footnoteReference w:id="24"/>
      </w:r>
      <w:r w:rsidRPr="00873FEC">
        <w:rPr>
          <w:rFonts w:ascii="Verdana" w:eastAsia="Batang" w:hAnsi="Verdana" w:cs="Times"/>
          <w:sz w:val="16"/>
          <w:szCs w:val="16"/>
          <w:lang w:val="es-CR" w:eastAsia="es-CR"/>
        </w:rPr>
        <w:t xml:space="preserve">. En el año 1990 se inició un proceso de paz que culminó en diciembre de 1996 cuando el Gobierno de la República de Guatemala y la Unidad Revolucionaria Nacional Guatemalteca (URNG), con la participación de la sociedad civil, firmaron el Acuerdo de Paz Firme y Duradera, con el propósito de acabar con el conflicto armado. Dicho Acuerdo otorga validez a los doce acuerdos que fueron celebrados durante negociaciones previas, entre ellos, uno para “el </w:t>
      </w:r>
      <w:r w:rsidRPr="00873FEC">
        <w:rPr>
          <w:rFonts w:ascii="Verdana" w:eastAsia="Calibri" w:hAnsi="Verdana" w:cs="Times"/>
          <w:sz w:val="16"/>
          <w:szCs w:val="16"/>
          <w:lang w:val="es-CR" w:eastAsia="es-CR"/>
        </w:rPr>
        <w:t>establecimiento</w:t>
      </w:r>
      <w:r w:rsidRPr="00873FEC">
        <w:rPr>
          <w:rFonts w:ascii="Verdana" w:eastAsia="Batang" w:hAnsi="Verdana" w:cs="Times"/>
          <w:sz w:val="16"/>
          <w:szCs w:val="16"/>
          <w:lang w:val="es-CR" w:eastAsia="es-CR"/>
        </w:rPr>
        <w:t xml:space="preserve"> de la Comisión para el Esclarecimiento Histórico de las violaciones a los derechos humanos y los hechos de violencia que han causado sufrimientos a la población guatemalteca”. Dicha Comisión inició sus trabajos el 31 de julio de 1997 y publicó su Informe </w:t>
      </w:r>
      <w:r w:rsidRPr="00873FEC">
        <w:rPr>
          <w:rFonts w:ascii="Verdana" w:eastAsia="Batang" w:hAnsi="Verdana" w:cs="Times"/>
          <w:i/>
          <w:iCs/>
          <w:sz w:val="16"/>
          <w:szCs w:val="16"/>
          <w:lang w:val="es-CR" w:eastAsia="es-CR"/>
        </w:rPr>
        <w:t>“Guatemala, Memoria del Silencio”</w:t>
      </w:r>
      <w:r w:rsidRPr="00873FEC">
        <w:rPr>
          <w:rFonts w:ascii="Verdana" w:eastAsia="Batang" w:hAnsi="Verdana" w:cs="Times"/>
          <w:sz w:val="16"/>
          <w:szCs w:val="16"/>
          <w:lang w:val="es-CR" w:eastAsia="es-CR"/>
        </w:rPr>
        <w:t xml:space="preserve"> el 25 de febrero de 1999</w:t>
      </w:r>
      <w:r w:rsidRPr="00873FEC">
        <w:rPr>
          <w:rFonts w:ascii="Verdana" w:eastAsia="Batang" w:hAnsi="Verdana" w:cs="Times New Roman"/>
          <w:sz w:val="16"/>
          <w:szCs w:val="20"/>
          <w:vertAlign w:val="superscript"/>
          <w:lang w:val="es-CR" w:eastAsia="es-CR"/>
        </w:rPr>
        <w:footnoteReference w:id="25"/>
      </w:r>
      <w:r w:rsidRPr="00873FEC">
        <w:rPr>
          <w:rFonts w:ascii="Verdana" w:eastAsia="Batang" w:hAnsi="Verdana" w:cs="Times"/>
          <w:sz w:val="16"/>
          <w:szCs w:val="16"/>
          <w:lang w:val="es-CR" w:eastAsia="es-CR"/>
        </w:rPr>
        <w:t>.</w:t>
      </w:r>
    </w:p>
    <w:p w:rsidR="00E221AF" w:rsidRPr="00873FEC" w:rsidRDefault="00E221AF" w:rsidP="00126E97">
      <w:pPr>
        <w:spacing w:after="0" w:line="20" w:lineRule="atLeast"/>
        <w:jc w:val="both"/>
        <w:rPr>
          <w:rFonts w:ascii="Verdana" w:eastAsia="Batang" w:hAnsi="Verdana" w:cs="Times"/>
          <w:sz w:val="20"/>
          <w:szCs w:val="20"/>
          <w:lang w:val="es-CR" w:eastAsia="es-CR"/>
        </w:rPr>
      </w:pPr>
    </w:p>
    <w:p w:rsidR="00E221AF" w:rsidRPr="00873FEC" w:rsidRDefault="00E221AF" w:rsidP="00126E97">
      <w:pPr>
        <w:spacing w:after="0" w:line="20" w:lineRule="atLeast"/>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Tomando por base lo anterior, la Corte puntualizará aspectos específicos enmarcados en el contexto descrito que resultan pertinentes respecto al caso que aquí se examina. </w:t>
      </w:r>
    </w:p>
    <w:p w:rsidR="00E221AF" w:rsidRPr="00873FEC" w:rsidRDefault="00E221AF" w:rsidP="00126E97">
      <w:pPr>
        <w:spacing w:after="0" w:line="20" w:lineRule="atLeast"/>
        <w:jc w:val="both"/>
        <w:rPr>
          <w:rFonts w:ascii="Verdana" w:eastAsia="Batang" w:hAnsi="Verdana" w:cs="Times"/>
          <w:b/>
          <w:sz w:val="20"/>
          <w:szCs w:val="20"/>
          <w:lang w:val="es-CR" w:eastAsia="es-CR"/>
        </w:rPr>
      </w:pPr>
    </w:p>
    <w:p w:rsidR="00E221AF" w:rsidRPr="00873FEC" w:rsidRDefault="00E221AF" w:rsidP="00126E97">
      <w:pPr>
        <w:keepNext/>
        <w:keepLines/>
        <w:spacing w:after="0" w:line="20" w:lineRule="atLeast"/>
        <w:ind w:left="567"/>
        <w:jc w:val="both"/>
        <w:outlineLvl w:val="2"/>
        <w:rPr>
          <w:rFonts w:ascii="Verdana" w:eastAsia="Cambria" w:hAnsi="Verdana" w:cs="Times"/>
          <w:i/>
          <w:sz w:val="20"/>
          <w:szCs w:val="20"/>
          <w:lang w:val="es-CR" w:eastAsia="es-CR"/>
        </w:rPr>
      </w:pPr>
      <w:bookmarkStart w:id="112" w:name="_Toc503518605"/>
      <w:bookmarkStart w:id="113" w:name="_Toc520207584"/>
      <w:bookmarkStart w:id="114" w:name="_Toc521694808"/>
      <w:bookmarkStart w:id="115" w:name="_Toc525201158"/>
      <w:bookmarkEnd w:id="112"/>
      <w:bookmarkEnd w:id="113"/>
      <w:r w:rsidRPr="00873FEC">
        <w:rPr>
          <w:rFonts w:ascii="Verdana" w:eastAsia="Cambria" w:hAnsi="Verdana" w:cs="Times"/>
          <w:i/>
          <w:sz w:val="20"/>
          <w:szCs w:val="20"/>
          <w:lang w:val="es-CR" w:eastAsia="es-CR"/>
        </w:rPr>
        <w:t xml:space="preserve">A.1 </w:t>
      </w:r>
      <w:r w:rsidRPr="00873FEC">
        <w:rPr>
          <w:rFonts w:ascii="Verdana" w:eastAsia="Cambria" w:hAnsi="Verdana" w:cs="Times"/>
          <w:i/>
          <w:sz w:val="20"/>
          <w:szCs w:val="20"/>
          <w:u w:val="single"/>
          <w:lang w:val="es-CR" w:eastAsia="es-CR"/>
        </w:rPr>
        <w:t>El conflicto armado interno y la violencia contra el pueblo maya</w:t>
      </w:r>
      <w:bookmarkEnd w:id="114"/>
      <w:bookmarkEnd w:id="115"/>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La CEH constató que durante el conflicto armado hubo múltiples</w:t>
      </w:r>
      <w:r w:rsidRPr="00873FEC">
        <w:rPr>
          <w:rFonts w:ascii="Verdana" w:eastAsia="Batang" w:hAnsi="Verdana" w:cs="Times"/>
          <w:sz w:val="20"/>
          <w:szCs w:val="24"/>
          <w:lang w:val="es-CR" w:eastAsia="es-CR"/>
        </w:rPr>
        <w:t xml:space="preserve"> “violaciones de los derechos humanos y hechos de violencia atribuibles a actos del </w:t>
      </w:r>
      <w:proofErr w:type="gramStart"/>
      <w:r w:rsidRPr="00873FEC">
        <w:rPr>
          <w:rFonts w:ascii="Verdana" w:eastAsia="Batang" w:hAnsi="Verdana" w:cs="Times"/>
          <w:sz w:val="20"/>
          <w:szCs w:val="24"/>
          <w:lang w:val="es-CR" w:eastAsia="es-CR"/>
        </w:rPr>
        <w:t>Estado[</w:t>
      </w:r>
      <w:proofErr w:type="gramEnd"/>
      <w:r w:rsidRPr="00873FEC">
        <w:rPr>
          <w:rFonts w:ascii="Verdana" w:eastAsia="Batang" w:hAnsi="Verdana" w:cs="Times"/>
          <w:sz w:val="20"/>
          <w:szCs w:val="24"/>
          <w:lang w:val="es-CR" w:eastAsia="es-CR"/>
        </w:rPr>
        <w:t xml:space="preserve">,…]con especial gravedad del año 1978 al 1984, período en el cual se concentra el 91% de las violaciones [que] </w:t>
      </w:r>
      <w:proofErr w:type="spellStart"/>
      <w:r w:rsidRPr="00873FEC">
        <w:rPr>
          <w:rFonts w:ascii="Verdana" w:eastAsia="Batang" w:hAnsi="Verdana" w:cs="Times"/>
          <w:sz w:val="20"/>
          <w:szCs w:val="24"/>
          <w:lang w:val="es-CR" w:eastAsia="es-CR"/>
        </w:rPr>
        <w:t>conoci</w:t>
      </w:r>
      <w:proofErr w:type="spellEnd"/>
      <w:r w:rsidRPr="00873FEC">
        <w:rPr>
          <w:rFonts w:ascii="Verdana" w:eastAsia="Batang" w:hAnsi="Verdana" w:cs="Times"/>
          <w:sz w:val="20"/>
          <w:szCs w:val="24"/>
          <w:lang w:val="es-CR" w:eastAsia="es-CR"/>
        </w:rPr>
        <w:t>[</w:t>
      </w:r>
      <w:proofErr w:type="spellStart"/>
      <w:r w:rsidRPr="00873FEC">
        <w:rPr>
          <w:rFonts w:ascii="Verdana" w:eastAsia="Batang" w:hAnsi="Verdana" w:cs="Times"/>
          <w:sz w:val="20"/>
          <w:szCs w:val="24"/>
          <w:lang w:val="es-CR" w:eastAsia="es-CR"/>
        </w:rPr>
        <w:t>ó</w:t>
      </w:r>
      <w:proofErr w:type="spellEnd"/>
      <w:r w:rsidRPr="00873FEC">
        <w:rPr>
          <w:rFonts w:ascii="Verdana" w:eastAsia="Batang" w:hAnsi="Verdana" w:cs="Times"/>
          <w:sz w:val="20"/>
          <w:szCs w:val="24"/>
          <w:lang w:val="es-CR" w:eastAsia="es-CR"/>
        </w:rPr>
        <w:t>]”</w:t>
      </w:r>
      <w:r w:rsidRPr="00873FEC">
        <w:rPr>
          <w:rFonts w:ascii="Verdana" w:eastAsia="Batang" w:hAnsi="Verdana" w:cs="Times New Roman"/>
          <w:sz w:val="20"/>
          <w:szCs w:val="20"/>
          <w:vertAlign w:val="superscript"/>
          <w:lang w:val="en-US" w:eastAsia="x-none"/>
        </w:rPr>
        <w:footnoteReference w:id="26"/>
      </w:r>
      <w:r w:rsidRPr="00873FEC">
        <w:rPr>
          <w:rFonts w:ascii="Verdana" w:eastAsia="Batang" w:hAnsi="Verdana" w:cs="Times"/>
          <w:sz w:val="20"/>
          <w:szCs w:val="24"/>
          <w:lang w:val="es-CR" w:eastAsia="es-CR"/>
        </w:rPr>
        <w:t xml:space="preserve">.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Ya respecto a casos anteriores la Corte ha advertido que el Estado aplicó lo que denominó la “Doctrina de Seguridad Nacional”, utilizando la noción de “enemigo interno”, que inicialmente incluía a las organizaciones guerrilleras pero fue ampliándose para incluir a otros grupos y personas</w:t>
      </w:r>
      <w:r w:rsidRPr="00873FEC">
        <w:rPr>
          <w:rFonts w:ascii="Verdana" w:eastAsia="Batang" w:hAnsi="Verdana" w:cs="Times New Roman"/>
          <w:sz w:val="20"/>
          <w:szCs w:val="20"/>
          <w:vertAlign w:val="superscript"/>
          <w:lang w:val="en-US" w:eastAsia="x-none"/>
        </w:rPr>
        <w:footnoteReference w:id="27"/>
      </w:r>
      <w:r w:rsidRPr="00873FEC">
        <w:rPr>
          <w:rFonts w:ascii="Verdana" w:eastAsia="Batang" w:hAnsi="Verdana" w:cs="Times"/>
          <w:sz w:val="20"/>
          <w:szCs w:val="20"/>
          <w:lang w:val="es-CR" w:eastAsia="es-CR"/>
        </w:rPr>
        <w:t>. Con base en dicha Doctrina, el ejército de Guatemala identificó a los miembros del pueblo indígena maya dentro de la categoría de “enemigo interno”, por considerar que estos constituían o podían constituir la base social de la guerrilla</w:t>
      </w:r>
      <w:r w:rsidRPr="00873FEC">
        <w:rPr>
          <w:rFonts w:ascii="Verdana" w:eastAsia="Batang" w:hAnsi="Verdana" w:cs="Times New Roman"/>
          <w:sz w:val="20"/>
          <w:szCs w:val="20"/>
          <w:vertAlign w:val="superscript"/>
          <w:lang w:val="en-US" w:eastAsia="x-none"/>
        </w:rPr>
        <w:footnoteReference w:id="28"/>
      </w:r>
      <w:r w:rsidRPr="00873FEC">
        <w:rPr>
          <w:rFonts w:ascii="Verdana" w:eastAsia="Batang" w:hAnsi="Verdana" w:cs="Times"/>
          <w:sz w:val="20"/>
          <w:szCs w:val="20"/>
          <w:lang w:val="es-CR" w:eastAsia="es-CR"/>
        </w:rPr>
        <w:t xml:space="preserve">. Este tribunal ha constatado que de acuerdo a la CEH, el pueblo </w:t>
      </w:r>
      <w:r w:rsidRPr="00873FEC">
        <w:rPr>
          <w:rFonts w:ascii="Verdana" w:eastAsia="Batang" w:hAnsi="Verdana" w:cs="Times"/>
          <w:sz w:val="20"/>
          <w:szCs w:val="20"/>
          <w:lang w:val="es-CR" w:eastAsia="es-CR"/>
        </w:rPr>
        <w:lastRenderedPageBreak/>
        <w:t>maya fue el grupo étnico más afectado por las violaciones de derechos humanos cometidas durante el conflicto armado interno, sufriendo el desplazamiento forzado y la destrucción de sus comunidades, viviendas, ganado, cosechas y otros elementos de supervivencia</w:t>
      </w:r>
      <w:r w:rsidRPr="00873FEC">
        <w:rPr>
          <w:rFonts w:ascii="Verdana" w:eastAsia="Batang" w:hAnsi="Verdana" w:cs="Times New Roman"/>
          <w:sz w:val="20"/>
          <w:szCs w:val="20"/>
          <w:vertAlign w:val="superscript"/>
          <w:lang w:val="en-US" w:eastAsia="x-none"/>
        </w:rPr>
        <w:footnoteReference w:id="29"/>
      </w:r>
      <w:r w:rsidRPr="00873FEC">
        <w:rPr>
          <w:rFonts w:ascii="Verdana" w:eastAsia="Batang" w:hAnsi="Verdana" w:cs="Times"/>
          <w:sz w:val="20"/>
          <w:szCs w:val="20"/>
          <w:lang w:val="es-CR" w:eastAsia="es-CR"/>
        </w:rPr>
        <w:t>. La violencia dirigida contra el pueblo maya se evidenció en múltiples actos, inclusive masacres</w:t>
      </w:r>
      <w:r w:rsidRPr="00873FEC">
        <w:rPr>
          <w:rFonts w:ascii="Verdana" w:eastAsia="Batang" w:hAnsi="Verdana" w:cs="Times New Roman"/>
          <w:sz w:val="20"/>
          <w:szCs w:val="20"/>
          <w:vertAlign w:val="superscript"/>
          <w:lang w:val="en-US" w:eastAsia="x-none"/>
        </w:rPr>
        <w:footnoteReference w:id="30"/>
      </w:r>
      <w:r w:rsidRPr="00873FEC">
        <w:rPr>
          <w:rFonts w:ascii="Verdana" w:eastAsia="Batang" w:hAnsi="Verdana" w:cs="Times"/>
          <w:sz w:val="20"/>
          <w:szCs w:val="20"/>
          <w:lang w:val="es-CR" w:eastAsia="es-CR"/>
        </w:rPr>
        <w:t xml:space="preserve">.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Como ya se indicó (</w:t>
      </w:r>
      <w:r w:rsidRPr="00873FEC">
        <w:rPr>
          <w:rFonts w:ascii="Verdana" w:eastAsia="Batang" w:hAnsi="Verdana" w:cs="Times"/>
          <w:i/>
          <w:sz w:val="20"/>
          <w:szCs w:val="20"/>
          <w:lang w:val="es-CR" w:eastAsia="es-CR"/>
        </w:rPr>
        <w:t>supra</w:t>
      </w:r>
      <w:r w:rsidRPr="00873FEC">
        <w:rPr>
          <w:rFonts w:ascii="Verdana" w:eastAsia="Batang" w:hAnsi="Verdana" w:cs="Times"/>
          <w:sz w:val="20"/>
          <w:szCs w:val="20"/>
          <w:lang w:val="es-CR" w:eastAsia="es-CR"/>
        </w:rPr>
        <w:t xml:space="preserve"> párr. 27), en 1990 se inició un proceso de paz que culminó en diciembre de 1996 con la firma del Acuerdo de Paz Firme y Duradera. Entre los documentos firmados, se suscribió el “Acuerdo sobre el Cronograma para la implementación del cumplimiento y verificación de los acuerdos de paz”</w:t>
      </w:r>
      <w:r w:rsidRPr="00873FEC">
        <w:rPr>
          <w:rFonts w:ascii="Verdana" w:eastAsia="Batang" w:hAnsi="Verdana" w:cs="Times New Roman"/>
          <w:sz w:val="20"/>
          <w:szCs w:val="20"/>
          <w:vertAlign w:val="superscript"/>
          <w:lang w:val="en-US" w:eastAsia="x-none"/>
        </w:rPr>
        <w:footnoteReference w:id="31"/>
      </w:r>
      <w:r w:rsidRPr="00873FEC">
        <w:rPr>
          <w:rFonts w:ascii="Verdana" w:eastAsia="Batang" w:hAnsi="Verdana" w:cs="Times"/>
          <w:sz w:val="20"/>
          <w:szCs w:val="20"/>
          <w:lang w:val="es-CR" w:eastAsia="es-CR"/>
        </w:rPr>
        <w:t xml:space="preserve">.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spacing w:after="0" w:line="20" w:lineRule="atLeast"/>
        <w:ind w:left="567"/>
        <w:contextualSpacing/>
        <w:jc w:val="both"/>
        <w:outlineLvl w:val="2"/>
        <w:rPr>
          <w:rFonts w:ascii="Verdana" w:eastAsia="Calibri" w:hAnsi="Verdana" w:cs="Times"/>
          <w:i/>
          <w:sz w:val="20"/>
          <w:szCs w:val="20"/>
          <w:lang w:val="es-CR" w:eastAsia="es-CR"/>
        </w:rPr>
      </w:pPr>
      <w:bookmarkStart w:id="116" w:name="_Toc520207585"/>
      <w:bookmarkStart w:id="117" w:name="_Toc525201159"/>
      <w:bookmarkEnd w:id="116"/>
      <w:r w:rsidRPr="00873FEC">
        <w:rPr>
          <w:rFonts w:ascii="Verdana" w:eastAsia="Calibri" w:hAnsi="Verdana" w:cs="Times"/>
          <w:i/>
          <w:sz w:val="20"/>
          <w:szCs w:val="20"/>
          <w:lang w:val="es-CR" w:eastAsia="es-CR"/>
        </w:rPr>
        <w:t xml:space="preserve">A.2. </w:t>
      </w:r>
      <w:r w:rsidRPr="00873FEC">
        <w:rPr>
          <w:rFonts w:ascii="Verdana" w:eastAsia="Calibri" w:hAnsi="Verdana" w:cs="Times"/>
          <w:i/>
          <w:sz w:val="20"/>
          <w:szCs w:val="20"/>
          <w:u w:val="single"/>
          <w:lang w:val="es-CR" w:eastAsia="es-CR"/>
        </w:rPr>
        <w:t>Desplazamiento y retorno de personas afectadas por el conflicto</w:t>
      </w:r>
      <w:bookmarkEnd w:id="117"/>
    </w:p>
    <w:p w:rsidR="00E221AF" w:rsidRPr="00873FEC" w:rsidRDefault="00E221AF" w:rsidP="00126E97">
      <w:pPr>
        <w:spacing w:after="0" w:line="20" w:lineRule="atLeast"/>
        <w:ind w:left="720"/>
        <w:contextualSpacing/>
        <w:rPr>
          <w:rFonts w:ascii="Calibri" w:eastAsia="Calibri" w:hAnsi="Calibri" w:cs="Times"/>
          <w:szCs w:val="20"/>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Una de las consecuencias del conflicto fue el desplazamiento de comunidades y personas, inclusive fuera del territorio estatal. La CEH indicó que hechos de masacres y devastación de aldeas ocurridos entre 1981 y 1983 desencadenaron la huida masiva de comunidades mayas y un importante número de familias ladinas. Unas 150 mil personas buscaron su seguridad en México. Cerca de la tercera parte se ubicó en campamentos y contó con el reconocimiento del estatus de refugiado por la oficina del Alto Comisionado de las Naciones Unidas para los Refugiados (en adelante “ACNUR”)</w:t>
      </w:r>
      <w:r w:rsidR="00E845F9" w:rsidRPr="00873FEC">
        <w:rPr>
          <w:rFonts w:ascii="Verdana" w:eastAsia="Batang" w:hAnsi="Verdana" w:cs="Times"/>
          <w:sz w:val="20"/>
          <w:szCs w:val="20"/>
          <w:lang w:val="es-CR" w:eastAsia="es-CR"/>
        </w:rPr>
        <w:t>.</w:t>
      </w:r>
      <w:r w:rsidRPr="00873FEC">
        <w:rPr>
          <w:rFonts w:ascii="Verdana" w:eastAsia="Batang" w:hAnsi="Verdana" w:cs="Times New Roman"/>
          <w:sz w:val="20"/>
          <w:szCs w:val="20"/>
          <w:vertAlign w:val="superscript"/>
          <w:lang w:val="en-US" w:eastAsia="x-none"/>
        </w:rPr>
        <w:footnoteReference w:id="32"/>
      </w:r>
      <w:r w:rsidRPr="00873FEC">
        <w:rPr>
          <w:rFonts w:ascii="Verdana" w:eastAsia="Batang" w:hAnsi="Verdana" w:cs="Times"/>
          <w:sz w:val="20"/>
          <w:szCs w:val="20"/>
          <w:lang w:val="es-CR" w:eastAsia="es-CR"/>
        </w:rPr>
        <w:t xml:space="preserve">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En 1991 el Estado creó la Comisión Nacional de Atención de Repatriados, Refugiados y Desplazados (en adelante “CEAR”), que como objeto tenía la solución a la problemática de l</w:t>
      </w:r>
      <w:r w:rsidR="006E0D54" w:rsidRPr="00873FEC">
        <w:rPr>
          <w:rFonts w:ascii="Verdana" w:eastAsia="Batang" w:hAnsi="Verdana" w:cs="Times"/>
          <w:sz w:val="20"/>
          <w:szCs w:val="20"/>
          <w:lang w:val="es-CR" w:eastAsia="es-CR"/>
        </w:rPr>
        <w:t>as personas</w:t>
      </w:r>
      <w:r w:rsidRPr="00873FEC">
        <w:rPr>
          <w:rFonts w:ascii="Verdana" w:eastAsia="Batang" w:hAnsi="Verdana" w:cs="Times"/>
          <w:sz w:val="20"/>
          <w:szCs w:val="20"/>
          <w:lang w:val="es-CR" w:eastAsia="es-CR"/>
        </w:rPr>
        <w:t xml:space="preserve"> refugiad</w:t>
      </w:r>
      <w:r w:rsidR="006E0D54" w:rsidRPr="00873FEC">
        <w:rPr>
          <w:rFonts w:ascii="Verdana" w:eastAsia="Batang" w:hAnsi="Verdana" w:cs="Times"/>
          <w:sz w:val="20"/>
          <w:szCs w:val="20"/>
          <w:lang w:val="es-CR" w:eastAsia="es-CR"/>
        </w:rPr>
        <w:t>a</w:t>
      </w:r>
      <w:r w:rsidRPr="00873FEC">
        <w:rPr>
          <w:rFonts w:ascii="Verdana" w:eastAsia="Batang" w:hAnsi="Verdana" w:cs="Times"/>
          <w:sz w:val="20"/>
          <w:szCs w:val="20"/>
          <w:lang w:val="es-CR" w:eastAsia="es-CR"/>
        </w:rPr>
        <w:t>s, retornad</w:t>
      </w:r>
      <w:r w:rsidR="006E0D54" w:rsidRPr="00873FEC">
        <w:rPr>
          <w:rFonts w:ascii="Verdana" w:eastAsia="Batang" w:hAnsi="Verdana" w:cs="Times"/>
          <w:sz w:val="20"/>
          <w:szCs w:val="20"/>
          <w:lang w:val="es-CR" w:eastAsia="es-CR"/>
        </w:rPr>
        <w:t>a</w:t>
      </w:r>
      <w:r w:rsidRPr="00873FEC">
        <w:rPr>
          <w:rFonts w:ascii="Verdana" w:eastAsia="Batang" w:hAnsi="Verdana" w:cs="Times"/>
          <w:sz w:val="20"/>
          <w:szCs w:val="20"/>
          <w:lang w:val="es-CR" w:eastAsia="es-CR"/>
        </w:rPr>
        <w:t>s y desplazad</w:t>
      </w:r>
      <w:r w:rsidR="006E0D54" w:rsidRPr="00873FEC">
        <w:rPr>
          <w:rFonts w:ascii="Verdana" w:eastAsia="Batang" w:hAnsi="Verdana" w:cs="Times"/>
          <w:sz w:val="20"/>
          <w:szCs w:val="20"/>
          <w:lang w:val="es-CR" w:eastAsia="es-CR"/>
        </w:rPr>
        <w:t>a</w:t>
      </w:r>
      <w:r w:rsidRPr="00873FEC">
        <w:rPr>
          <w:rFonts w:ascii="Verdana" w:eastAsia="Batang" w:hAnsi="Verdana" w:cs="Times"/>
          <w:sz w:val="20"/>
          <w:szCs w:val="20"/>
          <w:lang w:val="es-CR" w:eastAsia="es-CR"/>
        </w:rPr>
        <w:t xml:space="preserve">s. </w:t>
      </w:r>
      <w:r w:rsidRPr="00873FEC">
        <w:rPr>
          <w:rFonts w:ascii="Verdana" w:eastAsia="Batang" w:hAnsi="Verdana" w:cs="Times"/>
          <w:bCs/>
          <w:sz w:val="20"/>
          <w:szCs w:val="20"/>
          <w:lang w:val="es-CR" w:eastAsia="es-CR"/>
        </w:rPr>
        <w:t xml:space="preserve">En julio de ese año </w:t>
      </w:r>
      <w:r w:rsidRPr="00873FEC">
        <w:rPr>
          <w:rFonts w:ascii="Verdana" w:eastAsia="Batang" w:hAnsi="Verdana" w:cs="Times"/>
          <w:sz w:val="20"/>
          <w:szCs w:val="20"/>
          <w:lang w:val="es-CR" w:eastAsia="es-CR"/>
        </w:rPr>
        <w:t xml:space="preserve">las Comisiones Permanentes de Representantes de los Refugiados Guatemaltecos en México (en adelante “CCPP”), presentaron una serie de condiciones para el retorno en seguridad y dignidad. </w:t>
      </w:r>
      <w:r w:rsidRPr="00873FEC">
        <w:rPr>
          <w:rFonts w:ascii="Verdana" w:eastAsia="Batang" w:hAnsi="Verdana" w:cs="Times"/>
          <w:bCs/>
          <w:sz w:val="20"/>
          <w:szCs w:val="20"/>
          <w:lang w:val="es-CR" w:eastAsia="es-CR"/>
        </w:rPr>
        <w:t xml:space="preserve">El 13 de diciembre de 1991 </w:t>
      </w:r>
      <w:r w:rsidRPr="00873FEC">
        <w:rPr>
          <w:rFonts w:ascii="Verdana" w:eastAsia="Batang" w:hAnsi="Verdana" w:cs="Times"/>
          <w:sz w:val="20"/>
          <w:szCs w:val="20"/>
          <w:lang w:val="es-CR" w:eastAsia="es-CR"/>
        </w:rPr>
        <w:t xml:space="preserve">el Presidente de Guatemala y ACNUR suscribieron una </w:t>
      </w:r>
      <w:r w:rsidR="006E0D54" w:rsidRPr="00873FEC">
        <w:rPr>
          <w:rFonts w:ascii="Verdana" w:eastAsia="Batang" w:hAnsi="Verdana" w:cs="Times"/>
          <w:sz w:val="20"/>
          <w:szCs w:val="20"/>
          <w:lang w:val="es-CR" w:eastAsia="es-CR"/>
        </w:rPr>
        <w:t>“</w:t>
      </w:r>
      <w:r w:rsidRPr="00873FEC">
        <w:rPr>
          <w:rFonts w:ascii="Verdana" w:eastAsia="Batang" w:hAnsi="Verdana" w:cs="Times"/>
          <w:sz w:val="20"/>
          <w:szCs w:val="20"/>
          <w:lang w:val="es-CR" w:eastAsia="es-CR"/>
        </w:rPr>
        <w:t>Carta de Entendimiento</w:t>
      </w:r>
      <w:r w:rsidR="006E0D54" w:rsidRPr="00873FEC">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relativa al retorno voluntario de personas refugiadas guatemaltecas.</w:t>
      </w:r>
      <w:r w:rsidRPr="00873FEC">
        <w:rPr>
          <w:rFonts w:ascii="Verdana" w:eastAsia="Batang" w:hAnsi="Verdana" w:cs="Times New Roman"/>
          <w:sz w:val="20"/>
          <w:szCs w:val="20"/>
          <w:vertAlign w:val="superscript"/>
          <w:lang w:val="es-CR" w:eastAsia="x-none"/>
        </w:rPr>
        <w:footnoteReference w:id="33"/>
      </w:r>
      <w:r w:rsidRPr="00873FEC">
        <w:rPr>
          <w:rFonts w:ascii="Verdana" w:eastAsia="Batang" w:hAnsi="Verdana" w:cs="Times"/>
          <w:sz w:val="20"/>
          <w:szCs w:val="20"/>
          <w:lang w:val="es-CR" w:eastAsia="es-CR"/>
        </w:rPr>
        <w:t xml:space="preserve"> </w:t>
      </w:r>
    </w:p>
    <w:p w:rsidR="00E221AF" w:rsidRPr="00873FEC" w:rsidRDefault="00E221AF" w:rsidP="00126E97">
      <w:pPr>
        <w:spacing w:after="0" w:line="20" w:lineRule="atLeast"/>
        <w:ind w:left="720"/>
        <w:contextualSpacing/>
        <w:rPr>
          <w:rFonts w:ascii="Calibri" w:eastAsia="Calibri" w:hAnsi="Calibri" w:cs="Times"/>
          <w:szCs w:val="20"/>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8 de octubre de 1992 entre Guatemala, representada por la CEAR, y la</w:t>
      </w:r>
      <w:r w:rsidR="007B11F1" w:rsidRPr="00873FEC">
        <w:rPr>
          <w:rFonts w:ascii="Verdana" w:eastAsia="Batang" w:hAnsi="Verdana" w:cs="Times"/>
          <w:sz w:val="20"/>
          <w:szCs w:val="20"/>
          <w:lang w:val="es-CR" w:eastAsia="es-CR"/>
        </w:rPr>
        <w:t>s</w:t>
      </w:r>
      <w:r w:rsidRPr="00873FEC">
        <w:rPr>
          <w:rFonts w:ascii="Verdana" w:eastAsia="Batang" w:hAnsi="Verdana" w:cs="Times"/>
          <w:sz w:val="20"/>
          <w:szCs w:val="20"/>
          <w:lang w:val="es-CR" w:eastAsia="es-CR"/>
        </w:rPr>
        <w:t xml:space="preserve"> CCPP, se firmaron acuerdos que establecen las condiciones del retorno de personas refugiadas en México</w:t>
      </w:r>
      <w:r w:rsidRPr="00873FEC">
        <w:rPr>
          <w:rFonts w:ascii="Verdana" w:eastAsia="Batang" w:hAnsi="Verdana" w:cs="Times New Roman"/>
          <w:sz w:val="20"/>
          <w:szCs w:val="20"/>
          <w:vertAlign w:val="superscript"/>
          <w:lang w:val="en-US" w:eastAsia="x-none"/>
        </w:rPr>
        <w:footnoteReference w:id="34"/>
      </w:r>
      <w:r w:rsidRPr="00873FEC">
        <w:rPr>
          <w:rFonts w:ascii="Verdana" w:eastAsia="Batang" w:hAnsi="Verdana" w:cs="Times"/>
          <w:sz w:val="16"/>
          <w:szCs w:val="16"/>
          <w:lang w:val="es-CR" w:eastAsia="es-CR"/>
        </w:rPr>
        <w:t>.</w:t>
      </w:r>
      <w:r w:rsidRPr="00873FEC">
        <w:rPr>
          <w:rFonts w:ascii="Verdana" w:eastAsia="Batang" w:hAnsi="Verdana" w:cs="Times"/>
          <w:bCs/>
          <w:sz w:val="16"/>
          <w:szCs w:val="16"/>
          <w:lang w:val="es-CR" w:eastAsia="es-CR"/>
        </w:rPr>
        <w:t xml:space="preserve"> </w:t>
      </w:r>
      <w:r w:rsidRPr="00873FEC">
        <w:rPr>
          <w:rFonts w:ascii="Verdana" w:eastAsia="Batang" w:hAnsi="Verdana" w:cs="Times"/>
          <w:bCs/>
          <w:sz w:val="20"/>
          <w:szCs w:val="20"/>
          <w:lang w:val="es-CR" w:eastAsia="es-CR"/>
        </w:rPr>
        <w:t>“La CEH indicó que los acuerdos han sido frecuentemente interpretados ‘de forma amplia por l[a]s [personas] retornad[a]s como un compromiso por parte del Ejército de no ingresar o patrullar cerca de sus comunidades’”</w:t>
      </w:r>
      <w:r w:rsidRPr="00873FEC">
        <w:rPr>
          <w:rFonts w:ascii="Verdana" w:eastAsia="Batang" w:hAnsi="Verdana" w:cs="Times New Roman"/>
          <w:bCs/>
          <w:sz w:val="20"/>
          <w:szCs w:val="20"/>
          <w:vertAlign w:val="superscript"/>
          <w:lang w:val="en-US" w:eastAsia="x-none"/>
        </w:rPr>
        <w:footnoteReference w:id="35"/>
      </w:r>
      <w:r w:rsidRPr="00873FEC">
        <w:rPr>
          <w:rFonts w:ascii="Verdana" w:eastAsia="Batang" w:hAnsi="Verdana" w:cs="Times"/>
          <w:bCs/>
          <w:sz w:val="20"/>
          <w:szCs w:val="20"/>
          <w:lang w:val="es-CR" w:eastAsia="es-CR"/>
        </w:rPr>
        <w:t xml:space="preserve">. </w:t>
      </w:r>
    </w:p>
    <w:p w:rsidR="00E221AF" w:rsidRPr="00873FEC" w:rsidRDefault="00E221AF" w:rsidP="00126E97">
      <w:pPr>
        <w:spacing w:after="0" w:line="20" w:lineRule="atLeast"/>
        <w:ind w:left="720"/>
        <w:contextualSpacing/>
        <w:rPr>
          <w:rFonts w:ascii="Calibri" w:eastAsia="Calibri" w:hAnsi="Calibri" w:cs="Times"/>
          <w:szCs w:val="20"/>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lastRenderedPageBreak/>
        <w:t xml:space="preserve">En diciembre de 1992 las CCPP hicieron pública la determinación de comenzar el retorno el 13 de enero de 1993. Cerca de </w:t>
      </w:r>
      <w:r w:rsidR="00B951B4" w:rsidRPr="00873FEC">
        <w:rPr>
          <w:rFonts w:ascii="Verdana" w:eastAsia="Batang" w:hAnsi="Verdana" w:cs="Times"/>
          <w:sz w:val="20"/>
          <w:szCs w:val="20"/>
          <w:lang w:val="es-CR" w:eastAsia="es-CR"/>
        </w:rPr>
        <w:t xml:space="preserve">ocho </w:t>
      </w:r>
      <w:r w:rsidR="008D2827" w:rsidRPr="00873FEC">
        <w:rPr>
          <w:rFonts w:ascii="Verdana" w:eastAsia="Batang" w:hAnsi="Verdana" w:cs="Times"/>
          <w:sz w:val="20"/>
          <w:szCs w:val="20"/>
          <w:lang w:val="es-CR" w:eastAsia="es-CR"/>
        </w:rPr>
        <w:t>mil</w:t>
      </w:r>
      <w:r w:rsidRPr="00873FEC">
        <w:rPr>
          <w:rFonts w:ascii="Verdana" w:eastAsia="Batang" w:hAnsi="Verdana" w:cs="Times"/>
          <w:sz w:val="20"/>
          <w:szCs w:val="20"/>
          <w:lang w:val="es-CR" w:eastAsia="es-CR"/>
        </w:rPr>
        <w:t xml:space="preserve"> personas expresaron su interés de retorno inmediato. El ACNUR, la CEAR y la Comisión Mexicana de Ayuda a los Refugiados se encargaron de supervisar el traslado para el reasentamiento. Guatemala aceptó la propuesta del experto de Naciones Unidas Sobre la Situación de Derechos Humanos en Guatemala, de alejar de la zona de reasentamiento un destacamento militar.</w:t>
      </w:r>
      <w:r w:rsidRPr="00873FEC">
        <w:rPr>
          <w:rFonts w:ascii="Verdana" w:eastAsia="Batang" w:hAnsi="Verdana" w:cs="Times New Roman"/>
          <w:sz w:val="20"/>
          <w:szCs w:val="20"/>
          <w:vertAlign w:val="superscript"/>
          <w:lang w:val="es-CR" w:eastAsia="x-none"/>
        </w:rPr>
        <w:footnoteReference w:id="36"/>
      </w:r>
      <w:r w:rsidRPr="00873FEC">
        <w:rPr>
          <w:rFonts w:ascii="Verdana" w:eastAsia="Batang" w:hAnsi="Verdana" w:cs="Times"/>
          <w:sz w:val="20"/>
          <w:szCs w:val="20"/>
          <w:lang w:val="es-CR" w:eastAsia="es-CR"/>
        </w:rPr>
        <w:t xml:space="preserve"> </w:t>
      </w:r>
    </w:p>
    <w:p w:rsidR="00E221AF" w:rsidRPr="00873FEC" w:rsidRDefault="00E221AF" w:rsidP="00126E97">
      <w:pPr>
        <w:tabs>
          <w:tab w:val="left" w:pos="990"/>
        </w:tabs>
        <w:spacing w:after="0" w:line="20" w:lineRule="atLeast"/>
        <w:ind w:left="90"/>
        <w:contextualSpacing/>
        <w:jc w:val="both"/>
        <w:rPr>
          <w:rFonts w:ascii="Verdana" w:eastAsia="Calibri" w:hAnsi="Verdana" w:cs="Times"/>
          <w:b/>
          <w:sz w:val="20"/>
          <w:szCs w:val="20"/>
          <w:lang w:val="es-CR" w:eastAsia="es-CR"/>
        </w:rPr>
      </w:pPr>
    </w:p>
    <w:p w:rsidR="00E221AF" w:rsidRPr="00873FEC" w:rsidRDefault="00E221AF" w:rsidP="00126E97">
      <w:pPr>
        <w:spacing w:line="20" w:lineRule="atLeast"/>
        <w:ind w:left="284"/>
        <w:contextualSpacing/>
        <w:jc w:val="both"/>
        <w:outlineLvl w:val="1"/>
        <w:rPr>
          <w:rFonts w:ascii="Verdana" w:eastAsia="Times New Roman" w:hAnsi="Verdana" w:cs="Times"/>
          <w:b/>
          <w:i/>
          <w:sz w:val="20"/>
          <w:szCs w:val="20"/>
          <w:lang w:val="es-CR" w:eastAsia="es-CR"/>
        </w:rPr>
      </w:pPr>
      <w:bookmarkStart w:id="118" w:name="_Toc520207586"/>
      <w:bookmarkStart w:id="119" w:name="_Toc525201160"/>
      <w:bookmarkEnd w:id="118"/>
      <w:r w:rsidRPr="00873FEC">
        <w:rPr>
          <w:rFonts w:ascii="Verdana" w:eastAsia="Times New Roman" w:hAnsi="Verdana" w:cs="Times"/>
          <w:b/>
          <w:i/>
          <w:sz w:val="20"/>
          <w:szCs w:val="20"/>
          <w:lang w:val="es-CR" w:eastAsia="es-CR"/>
        </w:rPr>
        <w:t xml:space="preserve">B. Sobre la Comunidad “Aurora 8 de octubre” en la finca </w:t>
      </w:r>
      <w:proofErr w:type="spellStart"/>
      <w:r w:rsidRPr="00873FEC">
        <w:rPr>
          <w:rFonts w:ascii="Verdana" w:eastAsia="Times New Roman" w:hAnsi="Verdana" w:cs="Times"/>
          <w:b/>
          <w:i/>
          <w:sz w:val="20"/>
          <w:szCs w:val="20"/>
          <w:lang w:val="es-CR" w:eastAsia="es-CR"/>
        </w:rPr>
        <w:t>Xamán</w:t>
      </w:r>
      <w:bookmarkEnd w:id="119"/>
      <w:proofErr w:type="spellEnd"/>
    </w:p>
    <w:p w:rsidR="00E221AF" w:rsidRPr="00873FEC" w:rsidRDefault="00E221AF" w:rsidP="00126E97">
      <w:pPr>
        <w:spacing w:after="0" w:line="20" w:lineRule="atLeast"/>
        <w:ind w:left="720"/>
        <w:contextualSpacing/>
        <w:rPr>
          <w:rFonts w:ascii="Calibri" w:eastAsia="Calibri" w:hAnsi="Calibri" w:cs="Times"/>
          <w:szCs w:val="20"/>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L" w:eastAsia="es-CR"/>
        </w:rPr>
      </w:pPr>
      <w:r w:rsidRPr="00873FEC">
        <w:rPr>
          <w:rFonts w:ascii="Verdana" w:eastAsia="Batang" w:hAnsi="Verdana" w:cs="Times"/>
          <w:sz w:val="20"/>
          <w:szCs w:val="20"/>
          <w:lang w:val="es-CR" w:eastAsia="es-CR"/>
        </w:rPr>
        <w:t xml:space="preserve">A partir del retorno de personas que estaban asentadas en México, en 1994 se formó la Comunidad “Aurora 8 de octubre”. Se ubicó en la finca </w:t>
      </w:r>
      <w:proofErr w:type="spellStart"/>
      <w:r w:rsidRPr="00873FEC">
        <w:rPr>
          <w:rFonts w:ascii="Verdana" w:eastAsia="Batang" w:hAnsi="Verdana" w:cs="Times"/>
          <w:sz w:val="20"/>
          <w:szCs w:val="20"/>
          <w:lang w:val="es-CR" w:eastAsia="es-CR"/>
        </w:rPr>
        <w:t>Xamán</w:t>
      </w:r>
      <w:proofErr w:type="spellEnd"/>
      <w:r w:rsidRPr="00873FEC">
        <w:rPr>
          <w:rFonts w:ascii="Verdana" w:eastAsia="Batang" w:hAnsi="Verdana" w:cs="Times"/>
          <w:sz w:val="20"/>
          <w:szCs w:val="20"/>
          <w:lang w:val="es-CR" w:eastAsia="es-CR"/>
        </w:rPr>
        <w:t xml:space="preserve">, en el municipio de </w:t>
      </w:r>
      <w:proofErr w:type="spellStart"/>
      <w:r w:rsidRPr="00873FEC">
        <w:rPr>
          <w:rFonts w:ascii="Verdana" w:eastAsia="Batang" w:hAnsi="Verdana" w:cs="Times"/>
          <w:sz w:val="20"/>
          <w:szCs w:val="20"/>
          <w:lang w:val="es-CR" w:eastAsia="es-CR"/>
        </w:rPr>
        <w:t>Chisec</w:t>
      </w:r>
      <w:proofErr w:type="spellEnd"/>
      <w:r w:rsidRPr="00873FEC">
        <w:rPr>
          <w:rFonts w:ascii="Verdana" w:eastAsia="Batang" w:hAnsi="Verdana" w:cs="Times"/>
          <w:sz w:val="20"/>
          <w:szCs w:val="20"/>
          <w:lang w:val="es-CR" w:eastAsia="es-CR"/>
        </w:rPr>
        <w:t xml:space="preserve"> del departamento de Alta Verapaz en Guatemala. En 1994 estaba conformada</w:t>
      </w:r>
      <w:r w:rsidR="00047731" w:rsidRPr="00873FEC">
        <w:rPr>
          <w:rFonts w:ascii="Verdana" w:eastAsia="Batang" w:hAnsi="Verdana" w:cs="Times"/>
          <w:sz w:val="20"/>
          <w:szCs w:val="20"/>
          <w:lang w:val="es-CR" w:eastAsia="es-CR"/>
        </w:rPr>
        <w:t>, en términos aproximados,</w:t>
      </w:r>
      <w:r w:rsidRPr="00873FEC">
        <w:rPr>
          <w:rFonts w:ascii="Verdana" w:eastAsia="Batang" w:hAnsi="Verdana" w:cs="Times"/>
          <w:sz w:val="20"/>
          <w:szCs w:val="20"/>
          <w:lang w:val="es-CR" w:eastAsia="es-CR"/>
        </w:rPr>
        <w:t xml:space="preserve"> por unas 90 familias que antes se encontraban en México y otras 50 que ya vivían en el lugar. Integran la Comunidad personas que forman parte de la población indígena maya, tanto </w:t>
      </w:r>
      <w:proofErr w:type="spellStart"/>
      <w:r w:rsidRPr="00873FEC">
        <w:rPr>
          <w:rFonts w:ascii="Verdana" w:eastAsia="Batang" w:hAnsi="Verdana" w:cs="Times"/>
          <w:sz w:val="20"/>
          <w:szCs w:val="20"/>
          <w:lang w:val="es-CR" w:eastAsia="es-CR"/>
        </w:rPr>
        <w:t>q’eqchi</w:t>
      </w:r>
      <w:proofErr w:type="spellEnd"/>
      <w:r w:rsidRPr="00873FEC">
        <w:rPr>
          <w:rFonts w:ascii="Verdana" w:eastAsia="Batang" w:hAnsi="Verdana" w:cs="Times"/>
          <w:sz w:val="20"/>
          <w:szCs w:val="20"/>
          <w:lang w:val="es-CR" w:eastAsia="es-CR"/>
        </w:rPr>
        <w:t xml:space="preserve">’, </w:t>
      </w:r>
      <w:proofErr w:type="spellStart"/>
      <w:r w:rsidRPr="00873FEC">
        <w:rPr>
          <w:rFonts w:ascii="Verdana" w:eastAsia="Batang" w:hAnsi="Verdana" w:cs="Times"/>
          <w:sz w:val="20"/>
          <w:szCs w:val="20"/>
          <w:lang w:val="es-CR" w:eastAsia="es-CR"/>
        </w:rPr>
        <w:t>mam</w:t>
      </w:r>
      <w:proofErr w:type="spellEnd"/>
      <w:r w:rsidRPr="00873FEC">
        <w:rPr>
          <w:rFonts w:ascii="Verdana" w:eastAsia="Batang" w:hAnsi="Verdana" w:cs="Times"/>
          <w:sz w:val="20"/>
          <w:szCs w:val="20"/>
          <w:lang w:val="es-CR" w:eastAsia="es-CR"/>
        </w:rPr>
        <w:t xml:space="preserve"> y </w:t>
      </w:r>
      <w:proofErr w:type="spellStart"/>
      <w:r w:rsidRPr="00873FEC">
        <w:rPr>
          <w:rFonts w:ascii="Verdana" w:eastAsia="Batang" w:hAnsi="Verdana" w:cs="Times"/>
          <w:sz w:val="20"/>
          <w:szCs w:val="20"/>
          <w:lang w:val="es-CR" w:eastAsia="es-CR"/>
        </w:rPr>
        <w:t>q’anjob’al</w:t>
      </w:r>
      <w:proofErr w:type="spellEnd"/>
      <w:r w:rsidRPr="00873FEC">
        <w:rPr>
          <w:rFonts w:ascii="Verdana" w:eastAsia="Batang" w:hAnsi="Verdana" w:cs="Times"/>
          <w:sz w:val="20"/>
          <w:szCs w:val="20"/>
          <w:lang w:val="es-CR" w:eastAsia="es-CR"/>
        </w:rPr>
        <w:t xml:space="preserve">, como también, en menor medida, </w:t>
      </w:r>
      <w:proofErr w:type="spellStart"/>
      <w:r w:rsidRPr="00873FEC">
        <w:rPr>
          <w:rFonts w:ascii="Verdana" w:eastAsia="Batang" w:hAnsi="Verdana" w:cs="Times"/>
          <w:sz w:val="20"/>
          <w:szCs w:val="20"/>
          <w:lang w:val="es-CR" w:eastAsia="es-CR"/>
        </w:rPr>
        <w:t>ixil</w:t>
      </w:r>
      <w:proofErr w:type="spellEnd"/>
      <w:r w:rsidRPr="00873FEC">
        <w:rPr>
          <w:rFonts w:ascii="Verdana" w:eastAsia="Batang" w:hAnsi="Verdana" w:cs="Times"/>
          <w:sz w:val="20"/>
          <w:szCs w:val="20"/>
          <w:lang w:val="es-CR" w:eastAsia="es-CR"/>
        </w:rPr>
        <w:t xml:space="preserve"> y </w:t>
      </w:r>
      <w:proofErr w:type="spellStart"/>
      <w:r w:rsidRPr="00873FEC">
        <w:rPr>
          <w:rFonts w:ascii="Verdana" w:eastAsia="Batang" w:hAnsi="Verdana" w:cs="Times"/>
          <w:sz w:val="20"/>
          <w:szCs w:val="20"/>
          <w:lang w:val="es-CR" w:eastAsia="es-CR"/>
        </w:rPr>
        <w:t>k’iche</w:t>
      </w:r>
      <w:proofErr w:type="spellEnd"/>
      <w:r w:rsidRPr="00873FEC">
        <w:rPr>
          <w:rFonts w:ascii="Verdana" w:eastAsia="Batang" w:hAnsi="Verdana" w:cs="Times"/>
          <w:sz w:val="20"/>
          <w:szCs w:val="20"/>
          <w:lang w:val="es-CR" w:eastAsia="es-CR"/>
        </w:rPr>
        <w:t>’. Las personas que regresaron a vivir en dicha Comunidad habían sobrevivido a las masacres ocurridas en sus aldeas de origen en el año 1982</w:t>
      </w:r>
      <w:r w:rsidRPr="00873FEC">
        <w:rPr>
          <w:rFonts w:ascii="Verdana" w:eastAsia="Batang" w:hAnsi="Verdana" w:cs="Times New Roman"/>
          <w:sz w:val="20"/>
          <w:szCs w:val="20"/>
          <w:vertAlign w:val="superscript"/>
          <w:lang w:val="en-US" w:eastAsia="x-none"/>
        </w:rPr>
        <w:footnoteReference w:id="37"/>
      </w:r>
      <w:r w:rsidRPr="00873FEC">
        <w:rPr>
          <w:rFonts w:ascii="Verdana" w:eastAsia="Batang" w:hAnsi="Verdana" w:cs="Times"/>
          <w:sz w:val="20"/>
          <w:szCs w:val="20"/>
          <w:lang w:val="es-CR" w:eastAsia="es-CR"/>
        </w:rPr>
        <w:t xml:space="preserve">. </w:t>
      </w:r>
      <w:r w:rsidRPr="00873FEC">
        <w:rPr>
          <w:rFonts w:ascii="Verdana" w:eastAsia="Batang" w:hAnsi="Verdana" w:cs="Times"/>
          <w:bCs/>
          <w:sz w:val="20"/>
          <w:szCs w:val="20"/>
          <w:lang w:val="es-CL" w:eastAsia="es-CR"/>
        </w:rPr>
        <w:t xml:space="preserve">Los integrantes de esta Comunidad habían sido víctimas de violaciones a sus derechos humanos previas a los hechos ocurridos en el año de 1995, entre los que se cuentan masacres y desplazamiento forzado. En esa medida, a raíz de su retorno, el Estado se encontraba obligado a prestarle una especial protección y a prevenir cualquier situación de </w:t>
      </w:r>
      <w:proofErr w:type="spellStart"/>
      <w:r w:rsidRPr="00873FEC">
        <w:rPr>
          <w:rFonts w:ascii="Verdana" w:eastAsia="Batang" w:hAnsi="Verdana" w:cs="Times"/>
          <w:bCs/>
          <w:sz w:val="20"/>
          <w:szCs w:val="20"/>
          <w:lang w:val="es-CL" w:eastAsia="es-CR"/>
        </w:rPr>
        <w:t>revictimización</w:t>
      </w:r>
      <w:proofErr w:type="spellEnd"/>
      <w:r w:rsidRPr="00873FEC">
        <w:rPr>
          <w:rFonts w:ascii="Verdana" w:eastAsia="Batang" w:hAnsi="Verdana" w:cs="Times"/>
          <w:bCs/>
          <w:sz w:val="20"/>
          <w:szCs w:val="20"/>
          <w:lang w:val="es-CL" w:eastAsia="es-CR"/>
        </w:rPr>
        <w:t>.</w:t>
      </w:r>
    </w:p>
    <w:p w:rsidR="00E221AF" w:rsidRPr="00873FEC" w:rsidRDefault="00E221AF" w:rsidP="00126E97">
      <w:pPr>
        <w:spacing w:after="0" w:line="20" w:lineRule="atLeast"/>
        <w:ind w:left="720"/>
        <w:contextualSpacing/>
        <w:jc w:val="both"/>
        <w:rPr>
          <w:rFonts w:ascii="Verdana" w:eastAsia="Calibri" w:hAnsi="Verdana" w:cs="Times"/>
          <w:sz w:val="20"/>
          <w:szCs w:val="20"/>
          <w:lang w:val="es-CL" w:eastAsia="es-CR"/>
        </w:rPr>
      </w:pPr>
    </w:p>
    <w:p w:rsidR="00E221AF" w:rsidRPr="00873FEC" w:rsidRDefault="00E221AF" w:rsidP="00126E97">
      <w:pPr>
        <w:numPr>
          <w:ilvl w:val="0"/>
          <w:numId w:val="5"/>
        </w:numPr>
        <w:spacing w:after="0" w:line="20" w:lineRule="atLeast"/>
        <w:ind w:left="284"/>
        <w:contextualSpacing/>
        <w:jc w:val="both"/>
        <w:outlineLvl w:val="1"/>
        <w:rPr>
          <w:rFonts w:ascii="Verdana" w:eastAsia="Calibri" w:hAnsi="Verdana" w:cs="Times"/>
          <w:b/>
          <w:i/>
          <w:sz w:val="20"/>
          <w:szCs w:val="20"/>
          <w:lang w:val="es-CR" w:eastAsia="es-CR"/>
        </w:rPr>
      </w:pPr>
      <w:bookmarkStart w:id="120" w:name="_Toc501722241"/>
      <w:bookmarkStart w:id="121" w:name="_Toc503518609"/>
      <w:bookmarkStart w:id="122" w:name="_Toc520207587"/>
      <w:bookmarkStart w:id="123" w:name="_Toc525201161"/>
      <w:bookmarkEnd w:id="120"/>
      <w:bookmarkEnd w:id="121"/>
      <w:bookmarkEnd w:id="122"/>
      <w:r w:rsidRPr="00873FEC">
        <w:rPr>
          <w:rFonts w:ascii="Verdana" w:eastAsia="Calibri" w:hAnsi="Verdana" w:cs="Times"/>
          <w:b/>
          <w:i/>
          <w:sz w:val="20"/>
          <w:szCs w:val="20"/>
          <w:lang w:val="es-CR" w:eastAsia="es-CR"/>
        </w:rPr>
        <w:t xml:space="preserve">Sobre los hechos sucedidos en octubre de 1995 en la finca </w:t>
      </w:r>
      <w:proofErr w:type="spellStart"/>
      <w:r w:rsidRPr="00873FEC">
        <w:rPr>
          <w:rFonts w:ascii="Verdana" w:eastAsia="Calibri" w:hAnsi="Verdana" w:cs="Times"/>
          <w:b/>
          <w:i/>
          <w:sz w:val="20"/>
          <w:szCs w:val="20"/>
          <w:lang w:val="es-CR" w:eastAsia="es-CR"/>
        </w:rPr>
        <w:t>Xamán</w:t>
      </w:r>
      <w:bookmarkEnd w:id="123"/>
      <w:proofErr w:type="spellEnd"/>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Como fue señalado por el Estado, el 5 de octubre de 1995, cerca de un año después de formada la Comunidad, se produjo un acontecimiento en que varias personas resultaron muertas y otras heridas, calificable como una masacre</w:t>
      </w:r>
      <w:r w:rsidRPr="00873FEC">
        <w:rPr>
          <w:rFonts w:ascii="Verdana" w:eastAsia="Batang" w:hAnsi="Verdana" w:cs="Times New Roman"/>
          <w:sz w:val="20"/>
          <w:szCs w:val="20"/>
          <w:vertAlign w:val="superscript"/>
          <w:lang w:val="es-CR" w:eastAsia="x-none"/>
        </w:rPr>
        <w:footnoteReference w:id="38"/>
      </w:r>
      <w:r w:rsidRPr="00873FEC">
        <w:rPr>
          <w:rFonts w:ascii="Verdana" w:eastAsia="Batang" w:hAnsi="Verdana" w:cs="Times"/>
          <w:sz w:val="20"/>
          <w:szCs w:val="20"/>
          <w:lang w:val="es-CR" w:eastAsia="es-CR"/>
        </w:rPr>
        <w:t xml:space="preserve">. Estas circunstancias fueron registradas en el informe de la CEH. </w:t>
      </w:r>
    </w:p>
    <w:p w:rsidR="00E221AF" w:rsidRPr="00873FEC" w:rsidRDefault="00E221AF" w:rsidP="00126E97">
      <w:pPr>
        <w:spacing w:after="0" w:line="20" w:lineRule="atLeast"/>
        <w:ind w:right="-138"/>
        <w:jc w:val="both"/>
        <w:rPr>
          <w:rFonts w:ascii="Verdana" w:eastAsia="Batang" w:hAnsi="Verdana" w:cs="Times"/>
          <w:sz w:val="20"/>
          <w:szCs w:val="24"/>
          <w:lang w:val="es-CR" w:eastAsia="es-CR"/>
        </w:rPr>
      </w:pPr>
    </w:p>
    <w:p w:rsidR="00E221AF" w:rsidRPr="00873FEC" w:rsidRDefault="00E221AF"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A continuación, se exponen los aspectos centrales de los hechos sucedidos los días 3 y 5 de octubre, según ha sido indicado por la CEH y expuesto en el Informe de Fondo. Sobre esa base los hechos narrados se precisan de acuerdo a distintos medios de prueba: </w:t>
      </w:r>
    </w:p>
    <w:p w:rsidR="00E221AF" w:rsidRPr="00873FEC" w:rsidRDefault="00E221AF" w:rsidP="00126E97">
      <w:pPr>
        <w:numPr>
          <w:ilvl w:val="0"/>
          <w:numId w:val="6"/>
        </w:numPr>
        <w:spacing w:after="0" w:line="20" w:lineRule="atLeast"/>
        <w:ind w:left="284"/>
        <w:contextualSpacing/>
        <w:jc w:val="both"/>
        <w:rPr>
          <w:rFonts w:ascii="Verdana" w:eastAsia="Calibri" w:hAnsi="Verdana" w:cs="Times"/>
          <w:color w:val="000000"/>
          <w:sz w:val="20"/>
          <w:szCs w:val="20"/>
          <w:lang w:val="es-CR" w:eastAsia="es-CR"/>
        </w:rPr>
      </w:pPr>
      <w:r w:rsidRPr="00873FEC">
        <w:rPr>
          <w:rFonts w:ascii="Verdana" w:eastAsia="Calibri" w:hAnsi="Verdana" w:cs="Times"/>
          <w:color w:val="000000"/>
          <w:sz w:val="20"/>
          <w:szCs w:val="20"/>
          <w:lang w:val="es-CR" w:eastAsia="es-CR"/>
        </w:rPr>
        <w:t xml:space="preserve">El 3 de octubre de 1995 una patrulla militar integrada al menos por 26 soldados, incluido uno menor de edad, salió del destacamento de </w:t>
      </w:r>
      <w:proofErr w:type="spellStart"/>
      <w:r w:rsidRPr="00873FEC">
        <w:rPr>
          <w:rFonts w:ascii="Verdana" w:eastAsia="Calibri" w:hAnsi="Verdana" w:cs="Times"/>
          <w:color w:val="000000"/>
          <w:sz w:val="20"/>
          <w:szCs w:val="20"/>
          <w:lang w:val="es-CR" w:eastAsia="es-CR"/>
        </w:rPr>
        <w:t>Rubelsanto</w:t>
      </w:r>
      <w:proofErr w:type="spellEnd"/>
      <w:r w:rsidR="00671FE6" w:rsidRPr="00873FEC">
        <w:rPr>
          <w:rFonts w:ascii="Verdana" w:eastAsia="Calibri" w:hAnsi="Verdana" w:cs="Times New Roman"/>
          <w:color w:val="000000"/>
          <w:szCs w:val="20"/>
          <w:vertAlign w:val="superscript"/>
          <w:lang w:val="es-CR" w:eastAsia="x-none"/>
        </w:rPr>
        <w:footnoteReference w:id="39"/>
      </w:r>
      <w:r w:rsidRPr="00873FEC">
        <w:rPr>
          <w:rFonts w:ascii="Verdana" w:eastAsia="Calibri" w:hAnsi="Verdana" w:cs="Times"/>
          <w:color w:val="000000"/>
          <w:sz w:val="20"/>
          <w:szCs w:val="20"/>
          <w:lang w:val="es-CR" w:eastAsia="es-CR"/>
        </w:rPr>
        <w:t xml:space="preserve">. </w:t>
      </w:r>
    </w:p>
    <w:p w:rsidR="00E221AF" w:rsidRPr="00873FEC" w:rsidRDefault="00E221AF" w:rsidP="00126E97">
      <w:pPr>
        <w:numPr>
          <w:ilvl w:val="0"/>
          <w:numId w:val="6"/>
        </w:numPr>
        <w:spacing w:after="0" w:line="20" w:lineRule="atLeast"/>
        <w:ind w:left="284"/>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lastRenderedPageBreak/>
        <w:t xml:space="preserve">El 5 de octubre, en la mañana, algunos pobladores de la Comunidad advirtieron la presencia de los militares cuando estos pasaban por la finca </w:t>
      </w:r>
      <w:proofErr w:type="spellStart"/>
      <w:r w:rsidRPr="00873FEC">
        <w:rPr>
          <w:rFonts w:ascii="Verdana" w:eastAsia="Calibri" w:hAnsi="Verdana" w:cs="Times"/>
          <w:sz w:val="20"/>
          <w:szCs w:val="20"/>
          <w:lang w:val="es-CR" w:eastAsia="es-CR"/>
        </w:rPr>
        <w:t>Xamán</w:t>
      </w:r>
      <w:proofErr w:type="spellEnd"/>
      <w:r w:rsidRPr="00873FEC">
        <w:rPr>
          <w:rFonts w:ascii="Verdana" w:eastAsia="Calibri" w:hAnsi="Verdana" w:cs="Times"/>
          <w:sz w:val="20"/>
          <w:szCs w:val="20"/>
          <w:lang w:val="es-CR" w:eastAsia="es-CR"/>
        </w:rPr>
        <w:t>.</w:t>
      </w:r>
      <w:r w:rsidRPr="00873FEC">
        <w:rPr>
          <w:rFonts w:ascii="Verdana" w:eastAsia="Calibri" w:hAnsi="Verdana" w:cs="Times"/>
          <w:bCs/>
          <w:color w:val="000000"/>
          <w:sz w:val="20"/>
          <w:szCs w:val="20"/>
          <w:lang w:val="es-CR" w:eastAsia="es-CR"/>
        </w:rPr>
        <w:t xml:space="preserve"> </w:t>
      </w:r>
      <w:r w:rsidRPr="00873FEC">
        <w:rPr>
          <w:rFonts w:ascii="Verdana" w:eastAsia="Calibri" w:hAnsi="Verdana" w:cs="Times"/>
          <w:sz w:val="20"/>
          <w:szCs w:val="20"/>
          <w:lang w:val="es-CR" w:eastAsia="es-CR"/>
        </w:rPr>
        <w:t xml:space="preserve">Se formó un grupo de varios </w:t>
      </w:r>
      <w:r w:rsidR="0069793F" w:rsidRPr="00873FEC">
        <w:rPr>
          <w:rFonts w:ascii="Verdana" w:eastAsia="Calibri" w:hAnsi="Verdana" w:cs="Times"/>
          <w:sz w:val="20"/>
          <w:szCs w:val="20"/>
          <w:lang w:val="es-CR" w:eastAsia="es-CR"/>
        </w:rPr>
        <w:t xml:space="preserve">individuos </w:t>
      </w:r>
      <w:r w:rsidRPr="00873FEC">
        <w:rPr>
          <w:rFonts w:ascii="Verdana" w:eastAsia="Calibri" w:hAnsi="Verdana" w:cs="Times"/>
          <w:sz w:val="20"/>
          <w:szCs w:val="20"/>
          <w:lang w:val="es-CR" w:eastAsia="es-CR"/>
        </w:rPr>
        <w:t>vecinos, entre quienes se hallaban algunas mujeres y autoridades de la Comunidad, quienes salieron al encuentro de la patrulla y solicitaron hablar con el oficial al mando</w:t>
      </w:r>
      <w:r w:rsidRPr="00873FEC">
        <w:rPr>
          <w:rFonts w:ascii="Verdana" w:eastAsia="Calibri" w:hAnsi="Verdana" w:cs="Times New Roman"/>
          <w:szCs w:val="20"/>
          <w:vertAlign w:val="superscript"/>
          <w:lang w:val="en-US" w:eastAsia="x-none"/>
        </w:rPr>
        <w:footnoteReference w:id="40"/>
      </w:r>
      <w:r w:rsidRPr="00873FEC">
        <w:rPr>
          <w:rFonts w:ascii="Verdana" w:eastAsia="Calibri" w:hAnsi="Verdana" w:cs="Times"/>
          <w:sz w:val="20"/>
          <w:szCs w:val="20"/>
          <w:lang w:val="es-CR" w:eastAsia="es-CR"/>
        </w:rPr>
        <w:t xml:space="preserve">. </w:t>
      </w:r>
    </w:p>
    <w:p w:rsidR="00E221AF" w:rsidRPr="00873FEC" w:rsidRDefault="00E221AF" w:rsidP="00126E97">
      <w:pPr>
        <w:numPr>
          <w:ilvl w:val="0"/>
          <w:numId w:val="6"/>
        </w:numPr>
        <w:spacing w:after="0" w:line="20" w:lineRule="atLeast"/>
        <w:ind w:left="284"/>
        <w:contextualSpacing/>
        <w:jc w:val="both"/>
        <w:rPr>
          <w:rFonts w:ascii="Verdana" w:eastAsia="Calibri" w:hAnsi="Verdana" w:cs="Times"/>
          <w:color w:val="000000"/>
          <w:sz w:val="20"/>
          <w:szCs w:val="20"/>
          <w:lang w:eastAsia="es-CR"/>
        </w:rPr>
      </w:pPr>
      <w:r w:rsidRPr="00873FEC">
        <w:rPr>
          <w:rFonts w:ascii="Verdana" w:eastAsia="Calibri" w:hAnsi="Verdana" w:cs="Times"/>
          <w:color w:val="000000"/>
          <w:sz w:val="20"/>
          <w:szCs w:val="20"/>
          <w:lang w:val="es-CR" w:eastAsia="es-CR"/>
        </w:rPr>
        <w:t>El grupo requirió a los militares explicar el motivo por el cual se encontraban en el lugar</w:t>
      </w:r>
      <w:r w:rsidRPr="00873FEC">
        <w:rPr>
          <w:rFonts w:ascii="Verdana" w:eastAsia="Calibri" w:hAnsi="Verdana" w:cs="Times New Roman"/>
          <w:color w:val="000000"/>
          <w:szCs w:val="20"/>
          <w:vertAlign w:val="superscript"/>
          <w:lang w:val="es-CR" w:eastAsia="x-none"/>
        </w:rPr>
        <w:footnoteReference w:id="41"/>
      </w:r>
      <w:r w:rsidRPr="00873FEC">
        <w:rPr>
          <w:rFonts w:ascii="Verdana" w:eastAsia="Calibri" w:hAnsi="Verdana" w:cs="Times"/>
          <w:color w:val="000000"/>
          <w:sz w:val="20"/>
          <w:szCs w:val="20"/>
          <w:lang w:val="es-CR" w:eastAsia="es-CR"/>
        </w:rPr>
        <w:t>. A partir de este encuentro, los militares se adentraron en la Comunidad</w:t>
      </w:r>
      <w:r w:rsidRPr="00873FEC">
        <w:rPr>
          <w:rFonts w:ascii="Verdana" w:eastAsia="Calibri" w:hAnsi="Verdana" w:cs="Times New Roman"/>
          <w:color w:val="000000"/>
          <w:szCs w:val="20"/>
          <w:vertAlign w:val="superscript"/>
          <w:lang w:eastAsia="x-none"/>
        </w:rPr>
        <w:footnoteReference w:id="42"/>
      </w:r>
      <w:r w:rsidRPr="00873FEC">
        <w:rPr>
          <w:rFonts w:ascii="Verdana" w:eastAsia="Calibri" w:hAnsi="Verdana" w:cs="Times"/>
          <w:color w:val="000000"/>
          <w:sz w:val="20"/>
          <w:szCs w:val="20"/>
          <w:lang w:val="es-CR" w:eastAsia="es-CR"/>
        </w:rPr>
        <w:t>. El número de pobladores que rodeaba a los militares fue aumentando gradualmente</w:t>
      </w:r>
      <w:r w:rsidRPr="00873FEC">
        <w:rPr>
          <w:rFonts w:ascii="Verdana" w:eastAsia="Calibri" w:hAnsi="Verdana" w:cs="Times New Roman"/>
          <w:color w:val="000000"/>
          <w:szCs w:val="20"/>
          <w:vertAlign w:val="superscript"/>
          <w:lang w:val="es-CR" w:eastAsia="x-none"/>
        </w:rPr>
        <w:footnoteReference w:id="43"/>
      </w:r>
      <w:r w:rsidRPr="00873FEC">
        <w:rPr>
          <w:rFonts w:ascii="Verdana" w:eastAsia="Calibri" w:hAnsi="Verdana" w:cs="Times"/>
          <w:color w:val="000000"/>
          <w:sz w:val="20"/>
          <w:szCs w:val="20"/>
          <w:lang w:val="es-CR" w:eastAsia="es-CR"/>
        </w:rPr>
        <w:t>. Sobre las 13:30 horas, el subteniente dialogó con el alcalde auxiliar</w:t>
      </w:r>
      <w:r w:rsidRPr="00873FEC">
        <w:rPr>
          <w:rFonts w:ascii="Verdana" w:eastAsia="Calibri" w:hAnsi="Verdana" w:cs="Times New Roman"/>
          <w:color w:val="000000"/>
          <w:szCs w:val="20"/>
          <w:vertAlign w:val="superscript"/>
          <w:lang w:eastAsia="x-none"/>
        </w:rPr>
        <w:footnoteReference w:id="44"/>
      </w:r>
      <w:r w:rsidRPr="00873FEC">
        <w:rPr>
          <w:rFonts w:ascii="Verdana" w:eastAsia="Calibri" w:hAnsi="Verdana" w:cs="Times"/>
          <w:color w:val="000000"/>
          <w:sz w:val="20"/>
          <w:szCs w:val="20"/>
          <w:lang w:val="es-CR" w:eastAsia="es-CR"/>
        </w:rPr>
        <w:t>. Mientras eso sucedía, los pobladores manifestaban con mayor vehemencia su descontento por la presencia militar</w:t>
      </w:r>
      <w:r w:rsidRPr="00873FEC">
        <w:rPr>
          <w:rFonts w:ascii="Verdana" w:eastAsia="Calibri" w:hAnsi="Verdana" w:cs="Times New Roman"/>
          <w:color w:val="000000"/>
          <w:szCs w:val="20"/>
          <w:vertAlign w:val="superscript"/>
          <w:lang w:eastAsia="x-none"/>
        </w:rPr>
        <w:footnoteReference w:id="45"/>
      </w:r>
      <w:r w:rsidRPr="00873FEC">
        <w:rPr>
          <w:rFonts w:ascii="Verdana" w:eastAsia="Calibri" w:hAnsi="Verdana" w:cs="Times"/>
          <w:color w:val="000000"/>
          <w:sz w:val="20"/>
          <w:szCs w:val="20"/>
          <w:lang w:val="es-CR" w:eastAsia="es-CR"/>
        </w:rPr>
        <w:t xml:space="preserve">. Solicitaron a los integrantes del ejército que dejaran sus armas y permanecieran en el lugar hasta que </w:t>
      </w:r>
      <w:r w:rsidR="00682A5B">
        <w:rPr>
          <w:rFonts w:ascii="Verdana" w:eastAsia="Calibri" w:hAnsi="Verdana" w:cs="Times"/>
          <w:color w:val="000000"/>
          <w:sz w:val="20"/>
          <w:szCs w:val="20"/>
          <w:lang w:val="es-CR" w:eastAsia="es-CR"/>
        </w:rPr>
        <w:t xml:space="preserve">la </w:t>
      </w:r>
      <w:r w:rsidRPr="00873FEC">
        <w:rPr>
          <w:rFonts w:ascii="Verdana" w:eastAsia="Calibri" w:hAnsi="Verdana" w:cs="Times"/>
          <w:color w:val="000000"/>
          <w:sz w:val="20"/>
          <w:szCs w:val="20"/>
          <w:lang w:val="es-CR" w:eastAsia="es-CR"/>
        </w:rPr>
        <w:t>Misión de Verificación de las Naciones Unidas en Guatemala (</w:t>
      </w:r>
      <w:r w:rsidR="00D43974" w:rsidRPr="00873FEC">
        <w:rPr>
          <w:rFonts w:ascii="Verdana" w:eastAsia="Calibri" w:hAnsi="Verdana" w:cs="Times"/>
          <w:color w:val="000000"/>
          <w:sz w:val="20"/>
          <w:szCs w:val="20"/>
          <w:lang w:val="es-CR" w:eastAsia="es-CR"/>
        </w:rPr>
        <w:t>en adelante “</w:t>
      </w:r>
      <w:r w:rsidRPr="00873FEC">
        <w:rPr>
          <w:rFonts w:ascii="Verdana" w:eastAsia="Calibri" w:hAnsi="Verdana" w:cs="Times"/>
          <w:color w:val="000000"/>
          <w:sz w:val="20"/>
          <w:szCs w:val="20"/>
          <w:lang w:val="es-CR" w:eastAsia="es-CR"/>
        </w:rPr>
        <w:t>MINUGUA</w:t>
      </w:r>
      <w:r w:rsidR="00D43974" w:rsidRPr="00873FEC">
        <w:rPr>
          <w:rFonts w:ascii="Verdana" w:eastAsia="Calibri" w:hAnsi="Verdana" w:cs="Times"/>
          <w:color w:val="000000"/>
          <w:sz w:val="20"/>
          <w:szCs w:val="20"/>
          <w:lang w:val="es-CR" w:eastAsia="es-CR"/>
        </w:rPr>
        <w:t>”</w:t>
      </w:r>
      <w:r w:rsidRPr="00873FEC">
        <w:rPr>
          <w:rFonts w:ascii="Verdana" w:eastAsia="Calibri" w:hAnsi="Verdana" w:cs="Times"/>
          <w:color w:val="000000"/>
          <w:sz w:val="20"/>
          <w:szCs w:val="20"/>
          <w:lang w:val="es-CR" w:eastAsia="es-CR"/>
        </w:rPr>
        <w:t>) y ACNUR verificaran la presunta violación de los acuerdos del 8 de octubre de 1992</w:t>
      </w:r>
      <w:r w:rsidRPr="00873FEC">
        <w:rPr>
          <w:rFonts w:ascii="Verdana" w:eastAsia="Calibri" w:hAnsi="Verdana" w:cs="Times New Roman"/>
          <w:color w:val="000000"/>
          <w:szCs w:val="20"/>
          <w:vertAlign w:val="superscript"/>
          <w:lang w:val="es-CR" w:eastAsia="x-none"/>
        </w:rPr>
        <w:footnoteReference w:id="46"/>
      </w:r>
      <w:r w:rsidRPr="00873FEC">
        <w:rPr>
          <w:rFonts w:ascii="Verdana" w:eastAsia="Calibri" w:hAnsi="Verdana" w:cs="Times"/>
          <w:color w:val="000000"/>
          <w:sz w:val="20"/>
          <w:szCs w:val="20"/>
          <w:lang w:val="es-CR" w:eastAsia="es-CR"/>
        </w:rPr>
        <w:t xml:space="preserve">. </w:t>
      </w:r>
    </w:p>
    <w:p w:rsidR="00E221AF" w:rsidRPr="00873FEC" w:rsidRDefault="00E221AF" w:rsidP="00126E97">
      <w:pPr>
        <w:numPr>
          <w:ilvl w:val="0"/>
          <w:numId w:val="6"/>
        </w:numPr>
        <w:spacing w:after="0" w:line="20" w:lineRule="atLeast"/>
        <w:ind w:left="284"/>
        <w:contextualSpacing/>
        <w:jc w:val="both"/>
        <w:rPr>
          <w:rFonts w:ascii="Verdana" w:eastAsia="Calibri" w:hAnsi="Verdana" w:cs="Times"/>
          <w:color w:val="000000"/>
          <w:sz w:val="20"/>
          <w:szCs w:val="20"/>
          <w:lang w:eastAsia="es-CR"/>
        </w:rPr>
      </w:pPr>
      <w:r w:rsidRPr="00873FEC">
        <w:rPr>
          <w:rFonts w:ascii="Verdana" w:eastAsia="Calibri" w:hAnsi="Verdana" w:cs="Times"/>
          <w:color w:val="000000"/>
          <w:sz w:val="20"/>
          <w:szCs w:val="20"/>
          <w:lang w:val="es-CR" w:eastAsia="es-CR"/>
        </w:rPr>
        <w:t>Después de lo anterior, los integrantes de la patrulla intentaron salir del lugar empujando a la gente con sus fusiles. En el curso de esta situación de tensión, en un momento dado los soldados dispararon a una señora, Juana Jacinto Felipe, produciendo su muerte y luego realizaron disparos indiscriminadamente</w:t>
      </w:r>
      <w:r w:rsidRPr="00873FEC">
        <w:rPr>
          <w:rFonts w:ascii="Verdana" w:eastAsia="Calibri" w:hAnsi="Verdana" w:cs="Times New Roman"/>
          <w:color w:val="000000"/>
          <w:szCs w:val="20"/>
          <w:vertAlign w:val="superscript"/>
          <w:lang w:eastAsia="x-none"/>
        </w:rPr>
        <w:footnoteReference w:id="47"/>
      </w:r>
      <w:r w:rsidRPr="00873FEC">
        <w:rPr>
          <w:rFonts w:ascii="Verdana" w:eastAsia="Calibri" w:hAnsi="Verdana" w:cs="Times"/>
          <w:color w:val="000000"/>
          <w:sz w:val="20"/>
          <w:szCs w:val="20"/>
          <w:lang w:val="es-CR" w:eastAsia="es-CR"/>
        </w:rPr>
        <w:t>. La gente comenzó a correr</w:t>
      </w:r>
      <w:r w:rsidRPr="00873FEC">
        <w:rPr>
          <w:rFonts w:ascii="Verdana" w:eastAsia="Calibri" w:hAnsi="Verdana" w:cs="Times New Roman"/>
          <w:color w:val="000000"/>
          <w:szCs w:val="20"/>
          <w:vertAlign w:val="superscript"/>
          <w:lang w:val="es-CR" w:eastAsia="x-none"/>
        </w:rPr>
        <w:footnoteReference w:id="48"/>
      </w:r>
      <w:r w:rsidRPr="00873FEC">
        <w:rPr>
          <w:rFonts w:ascii="Verdana" w:eastAsia="Calibri" w:hAnsi="Verdana" w:cs="Times"/>
          <w:color w:val="000000"/>
          <w:sz w:val="20"/>
          <w:szCs w:val="20"/>
          <w:lang w:val="es-CR" w:eastAsia="es-CR"/>
        </w:rPr>
        <w:t xml:space="preserve">, por lo que varias personas cayeron bajo el impacto de </w:t>
      </w:r>
      <w:r w:rsidRPr="00873FEC">
        <w:rPr>
          <w:rFonts w:ascii="Verdana" w:eastAsia="Calibri" w:hAnsi="Verdana" w:cs="Times"/>
          <w:color w:val="000000"/>
          <w:sz w:val="20"/>
          <w:szCs w:val="20"/>
          <w:lang w:val="es-CR" w:eastAsia="es-CR"/>
        </w:rPr>
        <w:lastRenderedPageBreak/>
        <w:t>proyectiles mientras huían</w:t>
      </w:r>
      <w:r w:rsidRPr="00873FEC">
        <w:rPr>
          <w:rFonts w:ascii="Verdana" w:eastAsia="Calibri" w:hAnsi="Verdana" w:cs="Times New Roman"/>
          <w:color w:val="000000"/>
          <w:szCs w:val="20"/>
          <w:vertAlign w:val="superscript"/>
          <w:lang w:eastAsia="x-none"/>
        </w:rPr>
        <w:footnoteReference w:id="49"/>
      </w:r>
      <w:r w:rsidRPr="00873FEC">
        <w:rPr>
          <w:rFonts w:ascii="Verdana" w:eastAsia="Calibri" w:hAnsi="Verdana" w:cs="Times"/>
          <w:color w:val="000000"/>
          <w:sz w:val="20"/>
          <w:szCs w:val="20"/>
          <w:lang w:val="es-CR" w:eastAsia="es-CR"/>
        </w:rPr>
        <w:t xml:space="preserve"> y, según se denunció, tres fueron rematadas cuando estaban tendidas en el suelo</w:t>
      </w:r>
      <w:r w:rsidRPr="00873FEC">
        <w:rPr>
          <w:rFonts w:ascii="Verdana" w:eastAsia="Calibri" w:hAnsi="Verdana" w:cs="Times New Roman"/>
          <w:color w:val="000000"/>
          <w:szCs w:val="20"/>
          <w:vertAlign w:val="superscript"/>
          <w:lang w:eastAsia="x-none"/>
        </w:rPr>
        <w:footnoteReference w:id="50"/>
      </w:r>
      <w:r w:rsidRPr="00873FEC">
        <w:rPr>
          <w:rFonts w:ascii="Verdana" w:eastAsia="Calibri" w:hAnsi="Verdana" w:cs="Times"/>
          <w:color w:val="000000"/>
          <w:sz w:val="20"/>
          <w:szCs w:val="20"/>
          <w:lang w:val="es-CR" w:eastAsia="es-CR"/>
        </w:rPr>
        <w:t>. Autoridades judiciales dieron por acreditado que</w:t>
      </w:r>
      <w:r w:rsidR="00682A5B">
        <w:rPr>
          <w:rFonts w:ascii="Verdana" w:eastAsia="Calibri" w:hAnsi="Verdana" w:cs="Times"/>
          <w:color w:val="000000"/>
          <w:sz w:val="20"/>
          <w:szCs w:val="20"/>
          <w:lang w:val="es-CR" w:eastAsia="es-CR"/>
        </w:rPr>
        <w:t>,</w:t>
      </w:r>
      <w:r w:rsidRPr="00873FEC">
        <w:rPr>
          <w:rFonts w:ascii="Verdana" w:eastAsia="Calibri" w:hAnsi="Verdana" w:cs="Times"/>
          <w:color w:val="000000"/>
          <w:sz w:val="20"/>
          <w:szCs w:val="20"/>
          <w:lang w:val="es-CR" w:eastAsia="es-CR"/>
        </w:rPr>
        <w:t xml:space="preserve"> después de producidos los disparos referidos, cuando los soldados estaban saliendo del lugar, encontraron al niño Santiago </w:t>
      </w:r>
      <w:proofErr w:type="spellStart"/>
      <w:r w:rsidRPr="00873FEC">
        <w:rPr>
          <w:rFonts w:ascii="Verdana" w:eastAsia="Calibri" w:hAnsi="Verdana" w:cs="Times"/>
          <w:color w:val="000000"/>
          <w:sz w:val="20"/>
          <w:szCs w:val="20"/>
          <w:lang w:val="es-CR" w:eastAsia="es-CR"/>
        </w:rPr>
        <w:t>Coc</w:t>
      </w:r>
      <w:proofErr w:type="spellEnd"/>
      <w:r w:rsidRPr="00873FEC">
        <w:rPr>
          <w:rFonts w:ascii="Verdana" w:eastAsia="Calibri" w:hAnsi="Verdana" w:cs="Times"/>
          <w:color w:val="000000"/>
          <w:sz w:val="20"/>
          <w:szCs w:val="20"/>
          <w:lang w:val="es-CR" w:eastAsia="es-CR"/>
        </w:rPr>
        <w:t>, a quien dispararon, causando su muerte</w:t>
      </w:r>
      <w:r w:rsidRPr="00873FEC">
        <w:rPr>
          <w:rFonts w:ascii="Verdana" w:eastAsia="Calibri" w:hAnsi="Verdana" w:cs="Times New Roman"/>
          <w:color w:val="000000"/>
          <w:szCs w:val="20"/>
          <w:vertAlign w:val="superscript"/>
          <w:lang w:val="es-CR" w:eastAsia="x-none"/>
        </w:rPr>
        <w:footnoteReference w:id="51"/>
      </w:r>
      <w:r w:rsidRPr="00873FEC">
        <w:rPr>
          <w:rFonts w:ascii="Verdana" w:eastAsia="Calibri" w:hAnsi="Verdana" w:cs="Times"/>
          <w:color w:val="000000"/>
          <w:sz w:val="20"/>
          <w:szCs w:val="20"/>
          <w:lang w:val="es-CR" w:eastAsia="es-CR"/>
        </w:rPr>
        <w:t xml:space="preserve">. </w:t>
      </w:r>
    </w:p>
    <w:p w:rsidR="00E221AF" w:rsidRPr="00873FEC" w:rsidRDefault="00E221AF" w:rsidP="00126E97">
      <w:pPr>
        <w:numPr>
          <w:ilvl w:val="0"/>
          <w:numId w:val="6"/>
        </w:numPr>
        <w:spacing w:after="0" w:line="20" w:lineRule="atLeast"/>
        <w:ind w:left="284"/>
        <w:contextualSpacing/>
        <w:jc w:val="both"/>
        <w:rPr>
          <w:rFonts w:ascii="Verdana" w:eastAsia="Calibri" w:hAnsi="Verdana" w:cs="Times"/>
          <w:color w:val="000000"/>
          <w:sz w:val="20"/>
          <w:szCs w:val="20"/>
          <w:lang w:eastAsia="es-CR"/>
        </w:rPr>
      </w:pPr>
      <w:r w:rsidRPr="00873FEC">
        <w:rPr>
          <w:rFonts w:ascii="Verdana" w:eastAsia="Calibri" w:hAnsi="Verdana" w:cs="Times"/>
          <w:color w:val="000000"/>
          <w:sz w:val="20"/>
          <w:szCs w:val="20"/>
          <w:lang w:val="es-CR" w:eastAsia="es-CR"/>
        </w:rPr>
        <w:t>La CEH sostuvo que no hay evidencia de que los pobladores portaran armas de fuego ni testimonios que den cuenta de agresiones físicas contra los soldados, quienes en gran medida estaban rodeados por mujeres y niños. Ocho personas adultas, así como dos niños y una niña de la Comunidad, quienes son presuntas víctimas en este caso, fueron ejecutadas durante este evento; otras 29, también presuntas víctimas, resultaron heridas</w:t>
      </w:r>
      <w:r w:rsidRPr="00873FEC">
        <w:rPr>
          <w:rFonts w:ascii="Verdana" w:eastAsia="Calibri" w:hAnsi="Verdana" w:cs="Times New Roman"/>
          <w:color w:val="000000"/>
          <w:szCs w:val="20"/>
          <w:vertAlign w:val="superscript"/>
          <w:lang w:eastAsia="x-none"/>
        </w:rPr>
        <w:footnoteReference w:id="52"/>
      </w:r>
      <w:r w:rsidRPr="00873FEC">
        <w:rPr>
          <w:rFonts w:ascii="Verdana" w:eastAsia="Calibri" w:hAnsi="Verdana" w:cs="Times"/>
          <w:color w:val="000000"/>
          <w:sz w:val="20"/>
          <w:szCs w:val="20"/>
          <w:lang w:val="es-CR" w:eastAsia="es-CR"/>
        </w:rPr>
        <w:t xml:space="preserve">. </w:t>
      </w:r>
    </w:p>
    <w:p w:rsidR="00E221AF" w:rsidRPr="00873FEC" w:rsidRDefault="006D521C" w:rsidP="00126E97">
      <w:pPr>
        <w:numPr>
          <w:ilvl w:val="0"/>
          <w:numId w:val="6"/>
        </w:numPr>
        <w:spacing w:after="0" w:line="20" w:lineRule="atLeast"/>
        <w:ind w:left="284"/>
        <w:contextualSpacing/>
        <w:jc w:val="both"/>
        <w:rPr>
          <w:rFonts w:ascii="Verdana" w:eastAsia="Calibri" w:hAnsi="Verdana" w:cs="Times"/>
          <w:color w:val="000000"/>
          <w:sz w:val="20"/>
          <w:szCs w:val="20"/>
          <w:lang w:val="es-CR" w:eastAsia="es-CR"/>
        </w:rPr>
      </w:pPr>
      <w:r w:rsidRPr="00873FEC">
        <w:rPr>
          <w:rFonts w:ascii="Verdana" w:eastAsia="Times New Roman" w:hAnsi="Verdana" w:cs="Times"/>
          <w:color w:val="000000"/>
          <w:sz w:val="20"/>
          <w:szCs w:val="20"/>
          <w:lang w:val="es-CR" w:eastAsia="es-CR"/>
        </w:rPr>
        <w:t>P</w:t>
      </w:r>
      <w:r w:rsidR="00E221AF" w:rsidRPr="00873FEC">
        <w:rPr>
          <w:rFonts w:ascii="Verdana" w:eastAsia="Times New Roman" w:hAnsi="Verdana" w:cs="Times"/>
          <w:color w:val="000000"/>
          <w:sz w:val="20"/>
          <w:szCs w:val="20"/>
          <w:lang w:val="es-CR" w:eastAsia="es-CR"/>
        </w:rPr>
        <w:t xml:space="preserve">ersonas heridas fueron atendidas en </w:t>
      </w:r>
      <w:r w:rsidR="00162E78" w:rsidRPr="00873FEC">
        <w:rPr>
          <w:rFonts w:ascii="Verdana" w:eastAsia="Times New Roman" w:hAnsi="Verdana" w:cs="Times"/>
          <w:color w:val="000000"/>
          <w:sz w:val="20"/>
          <w:szCs w:val="20"/>
          <w:lang w:val="es-CR" w:eastAsia="es-CR"/>
        </w:rPr>
        <w:t>primer término por personal de M</w:t>
      </w:r>
      <w:r w:rsidR="00E221AF" w:rsidRPr="00873FEC">
        <w:rPr>
          <w:rFonts w:ascii="Verdana" w:eastAsia="Times New Roman" w:hAnsi="Verdana" w:cs="Times"/>
          <w:color w:val="000000"/>
          <w:sz w:val="20"/>
          <w:szCs w:val="20"/>
          <w:lang w:val="es-CR" w:eastAsia="es-CR"/>
        </w:rPr>
        <w:t xml:space="preserve">édicos del </w:t>
      </w:r>
      <w:r w:rsidR="00162E78" w:rsidRPr="00873FEC">
        <w:rPr>
          <w:rFonts w:ascii="Verdana" w:eastAsia="Times New Roman" w:hAnsi="Verdana" w:cs="Times"/>
          <w:color w:val="000000"/>
          <w:sz w:val="20"/>
          <w:szCs w:val="20"/>
          <w:lang w:val="es-CR" w:eastAsia="es-CR"/>
        </w:rPr>
        <w:t>M</w:t>
      </w:r>
      <w:r w:rsidR="00E221AF" w:rsidRPr="00873FEC">
        <w:rPr>
          <w:rFonts w:ascii="Verdana" w:eastAsia="Times New Roman" w:hAnsi="Verdana" w:cs="Times"/>
          <w:color w:val="000000"/>
          <w:sz w:val="20"/>
          <w:szCs w:val="20"/>
          <w:lang w:val="es-CR" w:eastAsia="es-CR"/>
        </w:rPr>
        <w:t>undo, organización no gubernamental que tenía presencia en la Comunidad y que, además, dio aviso de los hechos a MINUGUA</w:t>
      </w:r>
      <w:r w:rsidR="00E221AF" w:rsidRPr="00873FEC">
        <w:rPr>
          <w:rFonts w:ascii="Verdana" w:eastAsia="Calibri" w:hAnsi="Verdana" w:cs="Times New Roman"/>
          <w:color w:val="000000"/>
          <w:szCs w:val="20"/>
          <w:vertAlign w:val="superscript"/>
          <w:lang w:val="es-CR" w:eastAsia="x-none"/>
        </w:rPr>
        <w:footnoteReference w:id="53"/>
      </w:r>
      <w:r w:rsidR="00E221AF" w:rsidRPr="00873FEC">
        <w:rPr>
          <w:rFonts w:ascii="Verdana" w:eastAsia="Times New Roman" w:hAnsi="Verdana" w:cs="Times"/>
          <w:color w:val="000000"/>
          <w:sz w:val="20"/>
          <w:szCs w:val="20"/>
          <w:lang w:val="es-CR" w:eastAsia="es-CR"/>
        </w:rPr>
        <w:t xml:space="preserve">. </w:t>
      </w:r>
    </w:p>
    <w:p w:rsidR="0057574C" w:rsidRPr="00873FEC" w:rsidRDefault="0057574C" w:rsidP="00126E97">
      <w:pPr>
        <w:spacing w:after="0" w:line="20" w:lineRule="atLeast"/>
        <w:ind w:left="567"/>
        <w:contextualSpacing/>
        <w:jc w:val="both"/>
        <w:rPr>
          <w:rFonts w:ascii="Verdana" w:eastAsia="Calibri" w:hAnsi="Verdana" w:cs="Times"/>
          <w:color w:val="000000"/>
          <w:sz w:val="20"/>
          <w:szCs w:val="20"/>
          <w:lang w:val="es-CR" w:eastAsia="es-CR"/>
        </w:rPr>
      </w:pPr>
    </w:p>
    <w:p w:rsidR="0057574C" w:rsidRPr="00873FEC" w:rsidRDefault="0057574C" w:rsidP="00126E97">
      <w:pPr>
        <w:keepNext/>
        <w:keepLines/>
        <w:numPr>
          <w:ilvl w:val="0"/>
          <w:numId w:val="5"/>
        </w:numPr>
        <w:spacing w:after="0" w:line="20" w:lineRule="atLeast"/>
        <w:ind w:left="284"/>
        <w:jc w:val="both"/>
        <w:outlineLvl w:val="1"/>
        <w:rPr>
          <w:rFonts w:ascii="Verdana" w:eastAsia="Times New Roman" w:hAnsi="Verdana" w:cs="Times"/>
          <w:b/>
          <w:i/>
          <w:sz w:val="20"/>
          <w:szCs w:val="20"/>
          <w:lang w:val="en-US" w:eastAsia="es-CR"/>
        </w:rPr>
      </w:pPr>
      <w:bookmarkStart w:id="124" w:name="_Toc501722242"/>
      <w:bookmarkStart w:id="125" w:name="_Toc503518610"/>
      <w:bookmarkStart w:id="126" w:name="_Toc520207588"/>
      <w:bookmarkStart w:id="127" w:name="_Toc521694809"/>
      <w:bookmarkStart w:id="128" w:name="_Toc525201162"/>
      <w:bookmarkEnd w:id="124"/>
      <w:bookmarkEnd w:id="125"/>
      <w:bookmarkEnd w:id="126"/>
      <w:proofErr w:type="spellStart"/>
      <w:r w:rsidRPr="00873FEC">
        <w:rPr>
          <w:rFonts w:ascii="Verdana" w:eastAsia="Times New Roman" w:hAnsi="Verdana" w:cs="Times"/>
          <w:b/>
          <w:i/>
          <w:sz w:val="20"/>
          <w:szCs w:val="20"/>
          <w:lang w:val="en-US" w:eastAsia="es-CR"/>
        </w:rPr>
        <w:t>Sobre</w:t>
      </w:r>
      <w:proofErr w:type="spellEnd"/>
      <w:r w:rsidRPr="00873FEC">
        <w:rPr>
          <w:rFonts w:ascii="Verdana" w:eastAsia="Times New Roman" w:hAnsi="Verdana" w:cs="Times"/>
          <w:b/>
          <w:i/>
          <w:sz w:val="20"/>
          <w:szCs w:val="20"/>
          <w:lang w:val="en-US" w:eastAsia="es-CR"/>
        </w:rPr>
        <w:t xml:space="preserve"> las </w:t>
      </w:r>
      <w:proofErr w:type="spellStart"/>
      <w:r w:rsidRPr="00873FEC">
        <w:rPr>
          <w:rFonts w:ascii="Verdana" w:eastAsia="Times New Roman" w:hAnsi="Verdana" w:cs="Times"/>
          <w:b/>
          <w:i/>
          <w:sz w:val="20"/>
          <w:szCs w:val="20"/>
          <w:lang w:val="en-US" w:eastAsia="es-CR"/>
        </w:rPr>
        <w:t>actuaciones</w:t>
      </w:r>
      <w:proofErr w:type="spellEnd"/>
      <w:r w:rsidRPr="00873FEC">
        <w:rPr>
          <w:rFonts w:ascii="Verdana" w:eastAsia="Times New Roman" w:hAnsi="Verdana" w:cs="Times"/>
          <w:b/>
          <w:i/>
          <w:sz w:val="20"/>
          <w:szCs w:val="20"/>
          <w:lang w:val="en-US" w:eastAsia="es-CR"/>
        </w:rPr>
        <w:t xml:space="preserve"> </w:t>
      </w:r>
      <w:proofErr w:type="spellStart"/>
      <w:r w:rsidRPr="00873FEC">
        <w:rPr>
          <w:rFonts w:ascii="Verdana" w:eastAsia="Times New Roman" w:hAnsi="Verdana" w:cs="Times"/>
          <w:b/>
          <w:i/>
          <w:sz w:val="20"/>
          <w:szCs w:val="20"/>
          <w:lang w:val="en-US" w:eastAsia="es-CR"/>
        </w:rPr>
        <w:t>realizadas</w:t>
      </w:r>
      <w:bookmarkEnd w:id="127"/>
      <w:bookmarkEnd w:id="128"/>
      <w:proofErr w:type="spellEnd"/>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Al día siguiente de los hechos, el Presidente de la República visitó la Comunidad, “reconoció públicamente la responsabilidad institucional en los hechos” y ordenó la formación de una “Comisión </w:t>
      </w:r>
      <w:proofErr w:type="spellStart"/>
      <w:r w:rsidRPr="00873FEC">
        <w:rPr>
          <w:rFonts w:ascii="Verdana" w:eastAsia="Batang" w:hAnsi="Verdana" w:cs="Times"/>
          <w:sz w:val="20"/>
          <w:szCs w:val="20"/>
          <w:lang w:val="es-CR" w:eastAsia="es-CR"/>
        </w:rPr>
        <w:t>pesquisadora</w:t>
      </w:r>
      <w:proofErr w:type="spellEnd"/>
      <w:r w:rsidRPr="00873FEC">
        <w:rPr>
          <w:rFonts w:ascii="Verdana" w:eastAsia="Batang" w:hAnsi="Verdana" w:cs="Times"/>
          <w:sz w:val="20"/>
          <w:szCs w:val="20"/>
          <w:lang w:val="es-CR" w:eastAsia="es-CR"/>
        </w:rPr>
        <w:t xml:space="preserve"> de Alto Nivel” y una exhaustiva investigación</w:t>
      </w:r>
      <w:r w:rsidRPr="00873FEC">
        <w:rPr>
          <w:rFonts w:ascii="Verdana" w:eastAsia="Batang" w:hAnsi="Verdana" w:cs="Times New Roman"/>
          <w:sz w:val="20"/>
          <w:szCs w:val="20"/>
          <w:vertAlign w:val="superscript"/>
          <w:lang w:val="en-US" w:eastAsia="x-none"/>
        </w:rPr>
        <w:footnoteReference w:id="54"/>
      </w:r>
      <w:r w:rsidRPr="00873FEC">
        <w:rPr>
          <w:rFonts w:ascii="Verdana" w:eastAsia="Batang" w:hAnsi="Verdana" w:cs="Times"/>
          <w:sz w:val="20"/>
          <w:szCs w:val="20"/>
          <w:lang w:val="es-CR" w:eastAsia="es-CR"/>
        </w:rPr>
        <w:t>. Además, destituyó al comandante de la zona militar 21 con sede en Cobán y aceptó la renuncia del ministro de la Defensa Nacional</w:t>
      </w:r>
      <w:r w:rsidRPr="00873FEC">
        <w:rPr>
          <w:rFonts w:ascii="Verdana" w:eastAsia="Batang" w:hAnsi="Verdana" w:cs="Times New Roman"/>
          <w:sz w:val="20"/>
          <w:szCs w:val="20"/>
          <w:vertAlign w:val="superscript"/>
          <w:lang w:val="en-US" w:eastAsia="x-none"/>
        </w:rPr>
        <w:footnoteReference w:id="55"/>
      </w:r>
      <w:r w:rsidRPr="00873FEC">
        <w:rPr>
          <w:rFonts w:ascii="Verdana" w:eastAsia="Batang" w:hAnsi="Verdana" w:cs="Times"/>
          <w:sz w:val="20"/>
          <w:szCs w:val="20"/>
          <w:lang w:val="es-CR" w:eastAsia="es-CR"/>
        </w:rPr>
        <w:t>. Por otra parte, en el ámbito judicial se inició un proceso penal</w:t>
      </w:r>
      <w:r w:rsidRPr="00873FEC">
        <w:rPr>
          <w:rFonts w:ascii="Verdana" w:eastAsia="Batang" w:hAnsi="Verdana" w:cs="Times New Roman"/>
          <w:sz w:val="20"/>
          <w:szCs w:val="20"/>
          <w:vertAlign w:val="superscript"/>
          <w:lang w:val="es-CR" w:eastAsia="x-none"/>
        </w:rPr>
        <w:footnoteReference w:id="56"/>
      </w:r>
      <w:r w:rsidRPr="00873FEC">
        <w:rPr>
          <w:rFonts w:ascii="Verdana" w:eastAsia="Batang" w:hAnsi="Verdana" w:cs="Times"/>
          <w:sz w:val="20"/>
          <w:szCs w:val="20"/>
          <w:lang w:val="es-CR" w:eastAsia="es-CR"/>
        </w:rPr>
        <w:t>, que se describe en lo que sigue</w:t>
      </w:r>
      <w:r w:rsidRPr="00873FEC">
        <w:rPr>
          <w:rFonts w:ascii="Verdana" w:eastAsia="Batang" w:hAnsi="Verdana" w:cs="Times New Roman"/>
          <w:sz w:val="20"/>
          <w:szCs w:val="20"/>
          <w:vertAlign w:val="superscript"/>
          <w:lang w:val="es-CR" w:eastAsia="es-CR"/>
        </w:rPr>
        <w:footnoteReference w:id="57"/>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EC" w:eastAsia="es-CR"/>
        </w:rPr>
        <w:t>Luego de ocurrida la masacre, e</w:t>
      </w:r>
      <w:r w:rsidRPr="00873FEC">
        <w:rPr>
          <w:rFonts w:ascii="Verdana" w:eastAsia="Batang" w:hAnsi="Verdana" w:cs="Times"/>
          <w:sz w:val="20"/>
          <w:szCs w:val="20"/>
          <w:lang w:val="es-CR" w:eastAsia="es-CR"/>
        </w:rPr>
        <w:t xml:space="preserve">l personal militar fue “inmediatamente consignado” y sometido a “proceso penal” ante el “Juzgado Militar Primero de Primera </w:t>
      </w:r>
      <w:r w:rsidRPr="00873FEC">
        <w:rPr>
          <w:rFonts w:ascii="Verdana" w:eastAsia="Batang" w:hAnsi="Verdana" w:cs="Times"/>
          <w:sz w:val="20"/>
          <w:szCs w:val="20"/>
          <w:lang w:val="es-CR" w:eastAsia="es-CR"/>
        </w:rPr>
        <w:lastRenderedPageBreak/>
        <w:t>Instancia de Jalapa”</w:t>
      </w:r>
      <w:r w:rsidRPr="00873FEC">
        <w:rPr>
          <w:rFonts w:ascii="Verdana" w:eastAsia="Batang" w:hAnsi="Verdana" w:cs="Times New Roman"/>
          <w:sz w:val="20"/>
          <w:szCs w:val="20"/>
          <w:vertAlign w:val="superscript"/>
          <w:lang w:val="es-CR" w:eastAsia="x-none"/>
        </w:rPr>
        <w:footnoteReference w:id="58"/>
      </w:r>
      <w:r w:rsidRPr="00873FEC">
        <w:rPr>
          <w:rFonts w:ascii="Verdana" w:eastAsia="Batang" w:hAnsi="Verdana" w:cs="Times"/>
          <w:sz w:val="20"/>
          <w:szCs w:val="20"/>
          <w:lang w:val="es-CR" w:eastAsia="es-CR"/>
        </w:rPr>
        <w:t>. Dicho personal fue “detenido […] en el Centro Preventivo del Segundo Cuerpo de la Policía Nacional en el Departamento de Jalapa”</w:t>
      </w:r>
      <w:r w:rsidRPr="00873FEC">
        <w:rPr>
          <w:rFonts w:ascii="Verdana" w:eastAsia="Batang" w:hAnsi="Verdana" w:cs="Times New Roman"/>
          <w:sz w:val="20"/>
          <w:szCs w:val="20"/>
          <w:vertAlign w:val="superscript"/>
          <w:lang w:val="es-CR" w:eastAsia="x-none"/>
        </w:rPr>
        <w:footnoteReference w:id="59"/>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autoSpaceDE w:val="0"/>
        <w:autoSpaceDN w:val="0"/>
        <w:adjustRightInd w:val="0"/>
        <w:spacing w:after="0" w:line="20" w:lineRule="atLeast"/>
        <w:ind w:right="-138"/>
        <w:jc w:val="both"/>
        <w:rPr>
          <w:rFonts w:ascii="Verdana" w:eastAsia="Batang" w:hAnsi="Verdana" w:cs="Times"/>
          <w:color w:val="000000"/>
          <w:sz w:val="20"/>
          <w:szCs w:val="20"/>
          <w:lang w:val="es-CR" w:eastAsia="es-CR"/>
        </w:rPr>
      </w:pPr>
      <w:r w:rsidRPr="00873FEC">
        <w:rPr>
          <w:rFonts w:ascii="Verdana" w:eastAsia="Batang" w:hAnsi="Verdana" w:cs="Times"/>
          <w:sz w:val="20"/>
          <w:szCs w:val="20"/>
          <w:lang w:val="es-CR" w:eastAsia="es-CR"/>
        </w:rPr>
        <w:t xml:space="preserve">Rigoberta Menchú </w:t>
      </w:r>
      <w:proofErr w:type="spellStart"/>
      <w:r w:rsidRPr="00873FEC">
        <w:rPr>
          <w:rFonts w:ascii="Verdana" w:eastAsia="Batang" w:hAnsi="Verdana" w:cs="Times"/>
          <w:sz w:val="20"/>
          <w:szCs w:val="20"/>
          <w:lang w:val="es-CR" w:eastAsia="es-CR"/>
        </w:rPr>
        <w:t>Tum</w:t>
      </w:r>
      <w:proofErr w:type="spellEnd"/>
      <w:r w:rsidRPr="00873FEC">
        <w:rPr>
          <w:rFonts w:ascii="Verdana" w:eastAsia="Batang" w:hAnsi="Verdana" w:cs="Times"/>
          <w:sz w:val="20"/>
          <w:szCs w:val="20"/>
          <w:lang w:val="es-CR" w:eastAsia="es-CR"/>
        </w:rPr>
        <w:t xml:space="preserve"> se presentó como “querellante adhesiva”</w:t>
      </w:r>
      <w:r w:rsidRPr="00873FEC">
        <w:rPr>
          <w:rFonts w:ascii="Verdana" w:eastAsia="Batang" w:hAnsi="Verdana" w:cs="Times New Roman"/>
          <w:sz w:val="20"/>
          <w:szCs w:val="20"/>
          <w:vertAlign w:val="superscript"/>
          <w:lang w:val="es-CR" w:eastAsia="es-CR"/>
        </w:rPr>
        <w:footnoteReference w:id="60"/>
      </w:r>
      <w:r w:rsidRPr="00873FEC">
        <w:rPr>
          <w:rFonts w:ascii="Verdana" w:eastAsia="Batang" w:hAnsi="Verdana" w:cs="Times"/>
          <w:sz w:val="20"/>
          <w:szCs w:val="20"/>
          <w:lang w:val="es-CR" w:eastAsia="es-CR"/>
        </w:rPr>
        <w:t xml:space="preserve"> al proceso y el 31 de octubre de 1995 presentó un escrito ante el “Juez Militar de Primera Instancia de Jalapa”, aduciendo que éste carecía de competencia, independencia e imparcialidad, que los hechos debían ser conocidos en el fuero penal ordinario y no ante la jurisdicción penal militar. Además consideró que había habido “un tratamiento deficiente […] de las medidas investigativas” y actuaciones violatorias del debido proceso</w:t>
      </w:r>
      <w:r w:rsidRPr="00873FEC">
        <w:rPr>
          <w:rFonts w:ascii="Verdana" w:eastAsia="Batang" w:hAnsi="Verdana" w:cs="Times New Roman"/>
          <w:sz w:val="20"/>
          <w:szCs w:val="20"/>
          <w:vertAlign w:val="superscript"/>
          <w:lang w:val="es-CR" w:eastAsia="x-none"/>
        </w:rPr>
        <w:footnoteReference w:id="61"/>
      </w:r>
      <w:r w:rsidRPr="00873FEC">
        <w:rPr>
          <w:rFonts w:ascii="Verdana" w:eastAsia="Batang" w:hAnsi="Verdana" w:cs="Times"/>
          <w:bCs/>
          <w:color w:val="000000"/>
          <w:sz w:val="16"/>
          <w:szCs w:val="16"/>
          <w:lang w:val="es-CR" w:eastAsia="es-CR"/>
        </w:rPr>
        <w:t>.</w:t>
      </w:r>
      <w:r w:rsidRPr="00873FEC">
        <w:rPr>
          <w:rFonts w:ascii="Verdana" w:eastAsia="Batang" w:hAnsi="Verdana" w:cs="Times"/>
          <w:sz w:val="20"/>
          <w:szCs w:val="20"/>
          <w:lang w:val="es-CR" w:eastAsia="es-CR"/>
        </w:rPr>
        <w:t xml:space="preserve"> El 2 de noviembre de 1995 el juzgado militar de primera instancia del departamento de Jalapa declaró improcedente la solicitud de la señora Menchú</w:t>
      </w:r>
      <w:r w:rsidRPr="00873FEC">
        <w:rPr>
          <w:rFonts w:ascii="Verdana" w:eastAsia="Batang" w:hAnsi="Verdana" w:cs="Times New Roman"/>
          <w:sz w:val="20"/>
          <w:szCs w:val="20"/>
          <w:vertAlign w:val="superscript"/>
          <w:lang w:val="es-CR" w:eastAsia="x-none"/>
        </w:rPr>
        <w:footnoteReference w:id="62"/>
      </w:r>
      <w:r w:rsidRPr="00873FEC">
        <w:rPr>
          <w:rFonts w:ascii="Verdana" w:eastAsia="Batang" w:hAnsi="Verdana" w:cs="Times"/>
          <w:sz w:val="20"/>
          <w:szCs w:val="20"/>
          <w:lang w:val="es-CR" w:eastAsia="es-CR"/>
        </w:rPr>
        <w:t xml:space="preserve">. </w:t>
      </w:r>
      <w:r w:rsidRPr="00873FEC">
        <w:rPr>
          <w:rFonts w:ascii="Verdana" w:eastAsia="Batang" w:hAnsi="Verdana" w:cs="Times"/>
          <w:bCs/>
          <w:color w:val="000000"/>
          <w:sz w:val="20"/>
          <w:szCs w:val="20"/>
          <w:lang w:val="es-CR" w:eastAsia="es-CR"/>
        </w:rPr>
        <w:t>Ella impugnó dicha resolución.</w:t>
      </w:r>
      <w:r w:rsidRPr="00873FEC">
        <w:rPr>
          <w:rFonts w:ascii="Verdana" w:eastAsia="Batang" w:hAnsi="Verdana" w:cs="Times"/>
          <w:b/>
          <w:bCs/>
          <w:color w:val="000000"/>
          <w:sz w:val="20"/>
          <w:szCs w:val="20"/>
          <w:lang w:val="es-CR" w:eastAsia="es-CR"/>
        </w:rPr>
        <w:t xml:space="preserve"> </w:t>
      </w:r>
      <w:r w:rsidRPr="00873FEC">
        <w:rPr>
          <w:rFonts w:ascii="Verdana" w:eastAsia="Batang" w:hAnsi="Verdana" w:cs="Times"/>
          <w:bCs/>
          <w:color w:val="000000"/>
          <w:sz w:val="20"/>
          <w:szCs w:val="20"/>
          <w:lang w:val="es-CR" w:eastAsia="es-CR"/>
        </w:rPr>
        <w:t xml:space="preserve">El 31 de enero de 1996 se conoció la decisión de la </w:t>
      </w:r>
      <w:r w:rsidRPr="00873FEC">
        <w:rPr>
          <w:rFonts w:ascii="Verdana" w:eastAsia="Batang" w:hAnsi="Verdana" w:cs="Times"/>
          <w:sz w:val="20"/>
          <w:szCs w:val="20"/>
          <w:lang w:val="es-CR" w:eastAsia="es-CR"/>
        </w:rPr>
        <w:t>Sala Quinta de la Corte de Apelaciones, con sede en Jalapa, que consideró que los delitos cometidos tenían carácter común y ordenó el traslado del expediente al Juzgado Segundo de Primera Instancia de Cobán, Alta Verapaz</w:t>
      </w:r>
      <w:r w:rsidRPr="00873FEC">
        <w:rPr>
          <w:rFonts w:ascii="Verdana" w:eastAsia="Batang" w:hAnsi="Verdana" w:cs="Times New Roman"/>
          <w:color w:val="000000"/>
          <w:sz w:val="20"/>
          <w:szCs w:val="20"/>
          <w:vertAlign w:val="superscript"/>
          <w:lang w:val="en-US" w:eastAsia="x-none"/>
        </w:rPr>
        <w:footnoteReference w:id="63"/>
      </w:r>
      <w:r w:rsidRPr="00873FEC">
        <w:rPr>
          <w:rFonts w:ascii="Verdana" w:eastAsia="Batang" w:hAnsi="Verdana" w:cs="Times"/>
          <w:sz w:val="20"/>
          <w:szCs w:val="20"/>
          <w:lang w:val="es-CR" w:eastAsia="es-CR"/>
        </w:rPr>
        <w:t xml:space="preserve">. </w:t>
      </w:r>
      <w:r w:rsidRPr="00873FEC">
        <w:rPr>
          <w:rFonts w:ascii="Verdana" w:eastAsia="Batang" w:hAnsi="Verdana" w:cs="Times"/>
          <w:bCs/>
          <w:color w:val="000000"/>
          <w:sz w:val="16"/>
          <w:szCs w:val="16"/>
          <w:lang w:val="es-CR" w:eastAsia="es-CR"/>
        </w:rPr>
        <w:t xml:space="preserve"> </w:t>
      </w:r>
    </w:p>
    <w:p w:rsidR="0057574C" w:rsidRPr="00873FEC" w:rsidRDefault="0057574C" w:rsidP="00126E97">
      <w:pPr>
        <w:tabs>
          <w:tab w:val="left" w:pos="2127"/>
        </w:tabs>
        <w:spacing w:after="0" w:line="20" w:lineRule="atLeast"/>
        <w:ind w:left="720"/>
        <w:contextualSpacing/>
        <w:rPr>
          <w:rFonts w:ascii="Calibri" w:eastAsia="Calibri" w:hAnsi="Calibri" w:cs="Times"/>
          <w:color w:val="000000"/>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bCs/>
          <w:color w:val="000000"/>
          <w:sz w:val="20"/>
          <w:szCs w:val="20"/>
          <w:lang w:val="es-CR" w:eastAsia="es-CR"/>
        </w:rPr>
        <w:t>De acuerdo a información presentada a la Comisión, a</w:t>
      </w:r>
      <w:r w:rsidR="0002791C" w:rsidRPr="00873FEC">
        <w:rPr>
          <w:rFonts w:ascii="Verdana" w:eastAsia="Batang" w:hAnsi="Verdana" w:cs="Times"/>
          <w:bCs/>
          <w:color w:val="000000"/>
          <w:sz w:val="20"/>
          <w:szCs w:val="20"/>
          <w:lang w:val="es-CR" w:eastAsia="es-CR"/>
        </w:rPr>
        <w:t>n</w:t>
      </w:r>
      <w:r w:rsidRPr="00873FEC">
        <w:rPr>
          <w:rFonts w:ascii="Verdana" w:eastAsia="Batang" w:hAnsi="Verdana" w:cs="Times"/>
          <w:bCs/>
          <w:color w:val="000000"/>
          <w:sz w:val="20"/>
          <w:szCs w:val="20"/>
          <w:lang w:val="es-CR" w:eastAsia="es-CR"/>
        </w:rPr>
        <w:t>tes del 28 de febrero de 1996 el Ministerio Público presentó seis memoriales pidiendo medidas de prueba, que no fueron atendidos. Ese día, la defensa volvió a realizar un planteamiento de competencia, para que la causa volviera al fuero militar. El mismo fue rechazado por la “Cámara Penal de la Corte Suprema de Justicia”</w:t>
      </w:r>
      <w:r w:rsidR="0002791C" w:rsidRPr="00873FEC">
        <w:rPr>
          <w:rFonts w:ascii="Verdana" w:eastAsia="Batang" w:hAnsi="Verdana" w:cs="Times"/>
          <w:bCs/>
          <w:color w:val="000000"/>
          <w:sz w:val="20"/>
          <w:szCs w:val="20"/>
          <w:lang w:val="es-CR" w:eastAsia="es-CR"/>
        </w:rPr>
        <w:t>.</w:t>
      </w:r>
      <w:r w:rsidRPr="00873FEC">
        <w:rPr>
          <w:rFonts w:ascii="Verdana" w:eastAsia="Batang" w:hAnsi="Verdana" w:cs="Times New Roman"/>
          <w:color w:val="000000"/>
          <w:sz w:val="20"/>
          <w:szCs w:val="20"/>
          <w:vertAlign w:val="superscript"/>
          <w:lang w:val="en-US" w:eastAsia="x-none"/>
        </w:rPr>
        <w:footnoteReference w:id="64"/>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En mayo de 1996 se efectuaron distintas medidas probatorias: el 14 el Juez de Primera Instancia realizó una “inspección y reconocimiento judicial” al lugar de los hechos; </w:t>
      </w:r>
      <w:r w:rsidRPr="00873FEC">
        <w:rPr>
          <w:rFonts w:ascii="Verdana" w:eastAsia="Batang" w:hAnsi="Verdana" w:cs="Times"/>
          <w:bCs/>
          <w:color w:val="000000"/>
          <w:sz w:val="20"/>
          <w:szCs w:val="20"/>
          <w:lang w:val="es-CR" w:eastAsia="es-CR"/>
        </w:rPr>
        <w:t>e</w:t>
      </w:r>
      <w:r w:rsidRPr="00873FEC">
        <w:rPr>
          <w:rFonts w:ascii="Verdana" w:eastAsia="Batang" w:hAnsi="Verdana" w:cs="Times"/>
          <w:sz w:val="20"/>
          <w:szCs w:val="20"/>
          <w:lang w:val="es-CR" w:eastAsia="es-CR"/>
        </w:rPr>
        <w:t xml:space="preserve">l 15 se realizó la exhumación del cadáver del niño Santiago </w:t>
      </w:r>
      <w:proofErr w:type="spellStart"/>
      <w:r w:rsidRPr="00873FEC">
        <w:rPr>
          <w:rFonts w:ascii="Verdana" w:eastAsia="Batang" w:hAnsi="Verdana" w:cs="Times"/>
          <w:sz w:val="20"/>
          <w:szCs w:val="20"/>
          <w:lang w:val="es-CR" w:eastAsia="es-CR"/>
        </w:rPr>
        <w:t>Coc</w:t>
      </w:r>
      <w:proofErr w:type="spellEnd"/>
      <w:r w:rsidRPr="00873FEC">
        <w:rPr>
          <w:rFonts w:ascii="Verdana" w:eastAsia="Batang" w:hAnsi="Verdana" w:cs="Times"/>
          <w:sz w:val="20"/>
          <w:szCs w:val="20"/>
          <w:lang w:val="es-CR" w:eastAsia="es-CR"/>
        </w:rPr>
        <w:t>, y el 17 se realizó un peritaje balístico a solicitud del Fiscal del Ministerio Publico asignado al caso</w:t>
      </w:r>
      <w:r w:rsidRPr="00873FEC">
        <w:rPr>
          <w:rFonts w:ascii="Verdana" w:eastAsia="Batang" w:hAnsi="Verdana" w:cs="Times New Roman"/>
          <w:sz w:val="20"/>
          <w:szCs w:val="20"/>
          <w:vertAlign w:val="superscript"/>
          <w:lang w:val="en-US" w:eastAsia="x-none"/>
        </w:rPr>
        <w:footnoteReference w:id="65"/>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Por medio de un escrito de fecha 29 de mayo de 1996, el Agente Fiscal del Ministerio Público presentó acusación ante el Juez de Primera Instancia Penal, Narcoactividad y Delitos contra el Ambiente de Alta Verapaz (en adelante, “Juez de Primera Instancia de Alta Verapaz”)</w:t>
      </w:r>
      <w:r w:rsidR="004777AE" w:rsidRPr="00873FEC">
        <w:rPr>
          <w:rFonts w:ascii="Verdana" w:eastAsia="Batang" w:hAnsi="Verdana" w:cs="Times New Roman"/>
          <w:sz w:val="20"/>
          <w:szCs w:val="20"/>
          <w:vertAlign w:val="superscript"/>
          <w:lang w:val="es-CR" w:eastAsia="x-none"/>
        </w:rPr>
        <w:t xml:space="preserve"> </w:t>
      </w:r>
      <w:r w:rsidR="004777AE" w:rsidRPr="00873FEC">
        <w:rPr>
          <w:rFonts w:ascii="Verdana" w:eastAsia="Batang" w:hAnsi="Verdana" w:cs="Times New Roman"/>
          <w:sz w:val="20"/>
          <w:szCs w:val="20"/>
          <w:vertAlign w:val="superscript"/>
          <w:lang w:val="en-US" w:eastAsia="x-none"/>
        </w:rPr>
        <w:footnoteReference w:id="66"/>
      </w:r>
      <w:r w:rsidRPr="00873FEC">
        <w:rPr>
          <w:rFonts w:ascii="Verdana" w:eastAsia="Batang" w:hAnsi="Verdana" w:cs="Times"/>
          <w:sz w:val="20"/>
          <w:szCs w:val="24"/>
          <w:lang w:val="es-CR" w:eastAsia="es-CR"/>
        </w:rPr>
        <w:t>.</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Los días 30 y 31 de mayo de 1996 el Juez de Primera Instancia de Alta Verapaz dejó sin efecto la prisión preventiva de ocho integrantes de la patrulla militar</w:t>
      </w:r>
      <w:r w:rsidRPr="00873FEC">
        <w:rPr>
          <w:rFonts w:ascii="Verdana" w:eastAsia="Batang" w:hAnsi="Verdana" w:cs="Times New Roman"/>
          <w:sz w:val="20"/>
          <w:szCs w:val="20"/>
          <w:vertAlign w:val="superscript"/>
          <w:lang w:val="es-CR" w:eastAsia="es-CR"/>
        </w:rPr>
        <w:footnoteReference w:id="67"/>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El 14 de octubre de 1996 la “Sala </w:t>
      </w:r>
      <w:proofErr w:type="spellStart"/>
      <w:r w:rsidRPr="00873FEC">
        <w:rPr>
          <w:rFonts w:ascii="Verdana" w:eastAsia="Batang" w:hAnsi="Verdana" w:cs="Times"/>
          <w:sz w:val="20"/>
          <w:szCs w:val="24"/>
          <w:lang w:val="es-CR" w:eastAsia="es-CR"/>
        </w:rPr>
        <w:t>Dudodécima</w:t>
      </w:r>
      <w:proofErr w:type="spellEnd"/>
      <w:r w:rsidRPr="00873FEC">
        <w:rPr>
          <w:rFonts w:ascii="Verdana" w:eastAsia="Batang" w:hAnsi="Verdana" w:cs="Times"/>
          <w:sz w:val="20"/>
          <w:szCs w:val="24"/>
          <w:lang w:val="es-CR" w:eastAsia="es-CR"/>
        </w:rPr>
        <w:t xml:space="preserve"> de la Corte de Apelaciones revocó la libertad […] de siete miembros del [e]</w:t>
      </w:r>
      <w:proofErr w:type="spellStart"/>
      <w:r w:rsidRPr="00873FEC">
        <w:rPr>
          <w:rFonts w:ascii="Verdana" w:eastAsia="Batang" w:hAnsi="Verdana" w:cs="Times"/>
          <w:sz w:val="20"/>
          <w:szCs w:val="24"/>
          <w:lang w:val="es-CR" w:eastAsia="es-CR"/>
        </w:rPr>
        <w:t>jército</w:t>
      </w:r>
      <w:proofErr w:type="spellEnd"/>
      <w:r w:rsidRPr="00873FEC">
        <w:rPr>
          <w:rFonts w:ascii="Verdana" w:eastAsia="Batang" w:hAnsi="Verdana" w:cs="Times"/>
          <w:sz w:val="20"/>
          <w:szCs w:val="24"/>
          <w:lang w:val="es-CR" w:eastAsia="es-CR"/>
        </w:rPr>
        <w:t>”, quienes el 7 de noviembre de 1996 volvieron a ser privados de su libertad</w:t>
      </w:r>
      <w:r w:rsidRPr="00873FEC">
        <w:rPr>
          <w:rFonts w:ascii="Verdana" w:eastAsia="Batang" w:hAnsi="Verdana" w:cs="Times New Roman"/>
          <w:sz w:val="20"/>
          <w:szCs w:val="20"/>
          <w:vertAlign w:val="superscript"/>
          <w:lang w:val="en-US" w:eastAsia="x-none"/>
        </w:rPr>
        <w:footnoteReference w:id="68"/>
      </w:r>
      <w:r w:rsidRPr="00873FEC">
        <w:rPr>
          <w:rFonts w:ascii="Verdana" w:eastAsia="Batang" w:hAnsi="Verdana" w:cs="Times"/>
          <w:sz w:val="20"/>
          <w:szCs w:val="24"/>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Por medio de un escrito de 12 de noviembre de 1996, la “querellante adhesiva” presentó una “adhesión” con “modificaciones” a “la acusación planteada por el ministerio público” y a la “petición de la apertura a juicio”</w:t>
      </w:r>
      <w:r w:rsidRPr="00873FEC">
        <w:rPr>
          <w:rFonts w:ascii="Verdana" w:eastAsia="Batang" w:hAnsi="Verdana" w:cs="Times New Roman"/>
          <w:sz w:val="20"/>
          <w:szCs w:val="20"/>
          <w:vertAlign w:val="superscript"/>
          <w:lang w:val="en-US" w:eastAsia="x-none"/>
        </w:rPr>
        <w:footnoteReference w:id="69"/>
      </w:r>
      <w:r w:rsidRPr="00873FEC">
        <w:rPr>
          <w:rFonts w:ascii="Verdana" w:eastAsia="Batang" w:hAnsi="Verdana" w:cs="Times"/>
          <w:sz w:val="20"/>
          <w:szCs w:val="24"/>
          <w:lang w:val="es-CR" w:eastAsia="es-CR"/>
        </w:rPr>
        <w:t>.</w:t>
      </w:r>
    </w:p>
    <w:p w:rsidR="00D108B6" w:rsidRPr="00873FEC" w:rsidRDefault="00D108B6" w:rsidP="00126E97">
      <w:pPr>
        <w:spacing w:after="0" w:line="20" w:lineRule="atLeast"/>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Luego del trámite de distintos recursos</w:t>
      </w:r>
      <w:r w:rsidRPr="00873FEC">
        <w:rPr>
          <w:rFonts w:ascii="Verdana" w:eastAsia="Batang" w:hAnsi="Verdana" w:cs="Times New Roman"/>
          <w:sz w:val="20"/>
          <w:szCs w:val="20"/>
          <w:vertAlign w:val="superscript"/>
          <w:lang w:val="en-US" w:eastAsia="x-none"/>
        </w:rPr>
        <w:footnoteReference w:id="70"/>
      </w:r>
      <w:r w:rsidRPr="00873FEC">
        <w:rPr>
          <w:rFonts w:ascii="Verdana" w:eastAsia="Batang" w:hAnsi="Verdana" w:cs="Times"/>
          <w:sz w:val="20"/>
          <w:szCs w:val="20"/>
          <w:lang w:val="es-CR" w:eastAsia="es-CR"/>
        </w:rPr>
        <w:t>, el 7 de mayo de 1997 el Tribunal de Sentencia Penal, Narcoactividad y Delitos contra el Ambiente del Departamento de Alta Verapaz (en adelante, “Tribunal de Sentencia”) decretó la apertura del juicio, que fue ampliada de oficio el día 14 siguiente</w:t>
      </w:r>
      <w:r w:rsidRPr="00873FEC">
        <w:rPr>
          <w:rFonts w:ascii="Verdana" w:eastAsia="Batang" w:hAnsi="Verdana" w:cs="Times New Roman"/>
          <w:sz w:val="20"/>
          <w:szCs w:val="20"/>
          <w:vertAlign w:val="superscript"/>
          <w:lang w:val="en-US" w:eastAsia="x-none"/>
        </w:rPr>
        <w:footnoteReference w:id="71"/>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Entre el 19 de mayo y el 20 de noviembre de 1997 se presentaron diversos recursos y se adoptaron diversas decisiones</w:t>
      </w:r>
      <w:r w:rsidRPr="00873FEC">
        <w:rPr>
          <w:rFonts w:ascii="Verdana" w:eastAsia="Batang" w:hAnsi="Verdana" w:cs="Times New Roman"/>
          <w:sz w:val="20"/>
          <w:szCs w:val="20"/>
          <w:vertAlign w:val="superscript"/>
          <w:lang w:val="en-US" w:eastAsia="x-none"/>
        </w:rPr>
        <w:footnoteReference w:id="72"/>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lastRenderedPageBreak/>
        <w:t>De acuerdo a información que la Comisión Interamericana manifestó haber recibido, a finales de 1997 el expediente judicial se extravió por un tiempo aproximado de dos meses, luego de los cuales fue encontrado</w:t>
      </w:r>
      <w:r w:rsidR="00E64872" w:rsidRPr="00873FEC">
        <w:rPr>
          <w:rStyle w:val="FootnoteReference"/>
          <w:rFonts w:ascii="Verdana" w:eastAsia="Batang" w:hAnsi="Verdana"/>
          <w:sz w:val="20"/>
          <w:lang w:val="es-CR" w:eastAsia="es-CR"/>
        </w:rPr>
        <w:footnoteReference w:id="73"/>
      </w:r>
      <w:r w:rsidRPr="00873FEC">
        <w:rPr>
          <w:rFonts w:ascii="Verdana" w:eastAsia="Batang" w:hAnsi="Verdana" w:cs="Times"/>
          <w:sz w:val="20"/>
          <w:szCs w:val="20"/>
          <w:lang w:val="es-CR" w:eastAsia="es-CR"/>
        </w:rPr>
        <w:t>.</w:t>
      </w:r>
      <w:r w:rsidRPr="00873FEC">
        <w:rPr>
          <w:rFonts w:ascii="Verdana" w:eastAsia="Batang" w:hAnsi="Verdana" w:cs="Times"/>
          <w:bCs/>
          <w:color w:val="000000"/>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bCs/>
          <w:sz w:val="20"/>
          <w:szCs w:val="20"/>
          <w:lang w:val="es-CR" w:eastAsia="es-CR"/>
        </w:rPr>
        <w:t>El 17 de marzo de 1998 un abogado de la Fundación Rigoberta Menchú (peticionaria en el caso) presentó un escrito ante el Procurador de los Derechos Humanos señalando que el 6 del mismo mes, mientras el primero se dirigía a su residencia conduciendo un automóvil, acompañado de una abogada de la misma Fundación, fue perseguido e interceptado por otro vehículo, y que luego de diversas maniobras pudo perderlo. Indicó también que</w:t>
      </w:r>
      <w:r w:rsidR="00682A5B">
        <w:rPr>
          <w:rFonts w:ascii="Verdana" w:eastAsia="Batang" w:hAnsi="Verdana" w:cs="Times"/>
          <w:bCs/>
          <w:sz w:val="20"/>
          <w:szCs w:val="20"/>
          <w:lang w:val="es-CR" w:eastAsia="es-CR"/>
        </w:rPr>
        <w:t>,</w:t>
      </w:r>
      <w:r w:rsidRPr="00873FEC">
        <w:rPr>
          <w:rFonts w:ascii="Verdana" w:eastAsia="Batang" w:hAnsi="Verdana" w:cs="Times"/>
          <w:bCs/>
          <w:sz w:val="20"/>
          <w:szCs w:val="20"/>
          <w:lang w:val="es-CR" w:eastAsia="es-CR"/>
        </w:rPr>
        <w:t xml:space="preserve"> al día siguiente</w:t>
      </w:r>
      <w:r w:rsidR="00682A5B">
        <w:rPr>
          <w:rFonts w:ascii="Verdana" w:eastAsia="Batang" w:hAnsi="Verdana" w:cs="Times"/>
          <w:bCs/>
          <w:sz w:val="20"/>
          <w:szCs w:val="20"/>
          <w:lang w:val="es-CR" w:eastAsia="es-CR"/>
        </w:rPr>
        <w:t>,</w:t>
      </w:r>
      <w:r w:rsidRPr="00873FEC">
        <w:rPr>
          <w:rFonts w:ascii="Verdana" w:eastAsia="Batang" w:hAnsi="Verdana" w:cs="Times"/>
          <w:bCs/>
          <w:sz w:val="20"/>
          <w:szCs w:val="20"/>
          <w:lang w:val="es-CR" w:eastAsia="es-CR"/>
        </w:rPr>
        <w:t xml:space="preserve"> notó que el mecanismo de freno de su automóvil había sido dañado</w:t>
      </w:r>
      <w:r w:rsidRPr="00873FEC">
        <w:rPr>
          <w:rFonts w:ascii="Verdana" w:eastAsia="Batang" w:hAnsi="Verdana" w:cs="Times New Roman"/>
          <w:sz w:val="20"/>
          <w:szCs w:val="20"/>
          <w:vertAlign w:val="superscript"/>
          <w:lang w:val="en-US" w:eastAsia="x-none"/>
        </w:rPr>
        <w:footnoteReference w:id="74"/>
      </w:r>
      <w:r w:rsidRPr="00873FEC">
        <w:rPr>
          <w:rFonts w:ascii="Verdana" w:eastAsia="Batang" w:hAnsi="Verdana" w:cs="Times"/>
          <w:bCs/>
          <w:sz w:val="20"/>
          <w:szCs w:val="20"/>
          <w:lang w:val="es-CR" w:eastAsia="es-CR"/>
        </w:rPr>
        <w:t>. El 23 de marzo de 1998, los peticionarios informaron a la Comisión que la abogada y el abogado habían sido objeto de “actos de hostigamiento” e “intimidación”</w:t>
      </w:r>
      <w:r w:rsidRPr="00873FEC">
        <w:rPr>
          <w:rFonts w:ascii="Verdana" w:eastAsia="Batang" w:hAnsi="Verdana" w:cs="Times New Roman"/>
          <w:sz w:val="20"/>
          <w:szCs w:val="20"/>
          <w:vertAlign w:val="superscript"/>
          <w:lang w:val="es-EC" w:eastAsia="x-none"/>
        </w:rPr>
        <w:footnoteReference w:id="75"/>
      </w:r>
      <w:r w:rsidRPr="00873FEC">
        <w:rPr>
          <w:rFonts w:ascii="Verdana" w:eastAsia="Batang" w:hAnsi="Verdana" w:cs="Times"/>
          <w:bC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El 6 de abril de 1998 el Tribunal de Sentencia aceptó y rechazó prueba ofrecida por las partes</w:t>
      </w:r>
      <w:r w:rsidRPr="00873FEC">
        <w:rPr>
          <w:rFonts w:ascii="Verdana" w:eastAsia="Batang" w:hAnsi="Verdana" w:cs="Times New Roman"/>
          <w:sz w:val="20"/>
          <w:szCs w:val="20"/>
          <w:vertAlign w:val="superscript"/>
          <w:lang w:val="en-US" w:eastAsia="x-none"/>
        </w:rPr>
        <w:footnoteReference w:id="76"/>
      </w:r>
      <w:r w:rsidRPr="00873FEC">
        <w:rPr>
          <w:rFonts w:ascii="Verdana" w:eastAsia="Batang" w:hAnsi="Verdana" w:cs="Times"/>
          <w:sz w:val="20"/>
          <w:szCs w:val="24"/>
          <w:lang w:val="es-CR" w:eastAsia="es-CR"/>
        </w:rPr>
        <w:t>; asimismo, fijó el inicio del debate en el caso</w:t>
      </w:r>
      <w:r w:rsidRPr="00873FEC">
        <w:rPr>
          <w:rFonts w:ascii="Verdana" w:eastAsia="Batang" w:hAnsi="Verdana" w:cs="Times New Roman"/>
          <w:sz w:val="20"/>
          <w:szCs w:val="20"/>
          <w:vertAlign w:val="superscript"/>
          <w:lang w:val="en-US" w:eastAsia="x-none"/>
        </w:rPr>
        <w:footnoteReference w:id="77"/>
      </w:r>
      <w:r w:rsidRPr="00873FEC">
        <w:rPr>
          <w:rFonts w:ascii="Verdana" w:eastAsia="Batang" w:hAnsi="Verdana" w:cs="Times"/>
          <w:sz w:val="20"/>
          <w:szCs w:val="24"/>
          <w:lang w:val="es-CR" w:eastAsia="es-CR"/>
        </w:rPr>
        <w:t>. El Fiscal, la “querellante adhesiva” y los defensores presentaron “recurso[s] de reposición”, que fueron resueltos el 16 de abril de 1998, aceptándose e incorporándose al trámite más prueba ofrecida por las partes</w:t>
      </w:r>
      <w:r w:rsidRPr="00873FEC">
        <w:rPr>
          <w:rFonts w:ascii="Verdana" w:eastAsia="Batang" w:hAnsi="Verdana" w:cs="Times New Roman"/>
          <w:sz w:val="20"/>
          <w:szCs w:val="20"/>
          <w:vertAlign w:val="superscript"/>
          <w:lang w:val="en-US" w:eastAsia="x-none"/>
        </w:rPr>
        <w:footnoteReference w:id="78"/>
      </w:r>
      <w:r w:rsidRPr="00873FEC">
        <w:rPr>
          <w:rFonts w:ascii="Verdana" w:eastAsia="Batang" w:hAnsi="Verdana" w:cs="Times"/>
          <w:sz w:val="20"/>
          <w:szCs w:val="24"/>
          <w:lang w:val="es-CR" w:eastAsia="es-CR"/>
        </w:rPr>
        <w:t xml:space="preserve">. </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El 20 de abril de 1998 Rigoberta Menchú </w:t>
      </w:r>
      <w:proofErr w:type="spellStart"/>
      <w:r w:rsidRPr="00873FEC">
        <w:rPr>
          <w:rFonts w:ascii="Verdana" w:eastAsia="Batang" w:hAnsi="Verdana" w:cs="Times"/>
          <w:sz w:val="20"/>
          <w:szCs w:val="24"/>
          <w:lang w:val="es-CR" w:eastAsia="es-CR"/>
        </w:rPr>
        <w:t>Tum</w:t>
      </w:r>
      <w:proofErr w:type="spellEnd"/>
      <w:r w:rsidRPr="00873FEC">
        <w:rPr>
          <w:rFonts w:ascii="Verdana" w:eastAsia="Batang" w:hAnsi="Verdana" w:cs="Times"/>
          <w:sz w:val="20"/>
          <w:szCs w:val="24"/>
          <w:lang w:val="es-CR" w:eastAsia="es-CR"/>
        </w:rPr>
        <w:t>, a través de una abogada, “</w:t>
      </w:r>
      <w:proofErr w:type="spellStart"/>
      <w:r w:rsidRPr="00873FEC">
        <w:rPr>
          <w:rFonts w:ascii="Verdana" w:eastAsia="Batang" w:hAnsi="Verdana" w:cs="Times"/>
          <w:sz w:val="20"/>
          <w:szCs w:val="24"/>
          <w:lang w:val="es-CR" w:eastAsia="es-CR"/>
        </w:rPr>
        <w:t>interpus</w:t>
      </w:r>
      <w:proofErr w:type="spellEnd"/>
      <w:r w:rsidRPr="00873FEC">
        <w:rPr>
          <w:rFonts w:ascii="Verdana" w:eastAsia="Batang" w:hAnsi="Verdana" w:cs="Times"/>
          <w:sz w:val="20"/>
          <w:szCs w:val="24"/>
          <w:lang w:val="es-CR" w:eastAsia="es-CR"/>
        </w:rPr>
        <w:t>[o]” un “recurso de amparo” contra la resolución de 16 de abril de 1998</w:t>
      </w:r>
      <w:r w:rsidRPr="00873FEC">
        <w:rPr>
          <w:rFonts w:ascii="Verdana" w:eastAsia="Batang" w:hAnsi="Verdana" w:cs="Times New Roman"/>
          <w:sz w:val="20"/>
          <w:szCs w:val="20"/>
          <w:vertAlign w:val="superscript"/>
          <w:lang w:val="en-US" w:eastAsia="x-none"/>
        </w:rPr>
        <w:footnoteReference w:id="79"/>
      </w:r>
      <w:r w:rsidRPr="00873FEC">
        <w:rPr>
          <w:rFonts w:ascii="Verdana" w:eastAsia="Batang" w:hAnsi="Verdana" w:cs="Times"/>
          <w:sz w:val="20"/>
          <w:szCs w:val="24"/>
          <w:lang w:val="es-CR" w:eastAsia="es-CR"/>
        </w:rPr>
        <w:t>. El mismo día el recurso fue “</w:t>
      </w:r>
      <w:proofErr w:type="spellStart"/>
      <w:proofErr w:type="gramStart"/>
      <w:r w:rsidRPr="00873FEC">
        <w:rPr>
          <w:rFonts w:ascii="Verdana" w:eastAsia="Batang" w:hAnsi="Verdana" w:cs="Times"/>
          <w:sz w:val="20"/>
          <w:szCs w:val="24"/>
          <w:lang w:val="es-CR" w:eastAsia="es-CR"/>
        </w:rPr>
        <w:t>admit</w:t>
      </w:r>
      <w:proofErr w:type="spellEnd"/>
      <w:r w:rsidRPr="00873FEC">
        <w:rPr>
          <w:rFonts w:ascii="Verdana" w:eastAsia="Batang" w:hAnsi="Verdana" w:cs="Times"/>
          <w:sz w:val="20"/>
          <w:szCs w:val="24"/>
          <w:lang w:val="es-CR" w:eastAsia="es-CR"/>
        </w:rPr>
        <w:t>[</w:t>
      </w:r>
      <w:proofErr w:type="gramEnd"/>
      <w:r w:rsidRPr="00873FEC">
        <w:rPr>
          <w:rFonts w:ascii="Verdana" w:eastAsia="Batang" w:hAnsi="Verdana" w:cs="Times"/>
          <w:sz w:val="20"/>
          <w:szCs w:val="24"/>
          <w:lang w:val="es-CR" w:eastAsia="es-CR"/>
        </w:rPr>
        <w:t>ido] para su trámite” y “no otorga[do]” por la Sala Duodécima de la Corte de Apelaciones Constituida en Tribunal de Amparo</w:t>
      </w:r>
      <w:r w:rsidRPr="00873FEC">
        <w:rPr>
          <w:rFonts w:ascii="Verdana" w:eastAsia="Batang" w:hAnsi="Verdana" w:cs="Times New Roman"/>
          <w:sz w:val="20"/>
          <w:szCs w:val="20"/>
          <w:vertAlign w:val="superscript"/>
          <w:lang w:val="en-US" w:eastAsia="x-none"/>
        </w:rPr>
        <w:footnoteReference w:id="80"/>
      </w:r>
      <w:r w:rsidRPr="00873FEC">
        <w:rPr>
          <w:rFonts w:ascii="Verdana" w:eastAsia="Batang" w:hAnsi="Verdana" w:cs="Times"/>
          <w:sz w:val="20"/>
          <w:szCs w:val="24"/>
          <w:lang w:val="es-CR" w:eastAsia="es-CR"/>
        </w:rPr>
        <w:t>, decisión que fue ratificada por la Corte de Constitucionalidad el 22 de abril de 1998</w:t>
      </w:r>
      <w:r w:rsidRPr="00873FEC">
        <w:rPr>
          <w:rFonts w:ascii="Verdana" w:eastAsia="Batang" w:hAnsi="Verdana" w:cs="Times New Roman"/>
          <w:sz w:val="20"/>
          <w:szCs w:val="20"/>
          <w:vertAlign w:val="superscript"/>
          <w:lang w:val="en-US" w:eastAsia="x-none"/>
        </w:rPr>
        <w:footnoteReference w:id="81"/>
      </w:r>
      <w:r w:rsidRPr="00873FEC">
        <w:rPr>
          <w:rFonts w:ascii="Verdana" w:eastAsia="Batang" w:hAnsi="Verdana" w:cs="Times"/>
          <w:sz w:val="20"/>
          <w:szCs w:val="24"/>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La audiencia pública, ante el Tribunal de Sentencia, se inició el 21 de abril de 1998</w:t>
      </w:r>
      <w:r w:rsidRPr="00873FEC">
        <w:rPr>
          <w:rFonts w:ascii="Verdana" w:eastAsia="Batang" w:hAnsi="Verdana" w:cs="Times New Roman"/>
          <w:sz w:val="20"/>
          <w:szCs w:val="20"/>
          <w:vertAlign w:val="superscript"/>
          <w:lang w:val="en-US" w:eastAsia="x-none"/>
        </w:rPr>
        <w:footnoteReference w:id="82"/>
      </w:r>
      <w:r w:rsidRPr="00873FEC">
        <w:rPr>
          <w:rFonts w:ascii="Verdana" w:eastAsia="Batang" w:hAnsi="Verdana" w:cs="Times"/>
          <w:sz w:val="20"/>
          <w:szCs w:val="20"/>
          <w:lang w:val="es-CR" w:eastAsia="es-CR"/>
        </w:rPr>
        <w:t>, luego de diversas gestiones, trámites y presentaciones</w:t>
      </w:r>
      <w:r w:rsidRPr="00873FEC">
        <w:rPr>
          <w:rFonts w:ascii="Verdana" w:eastAsia="Batang" w:hAnsi="Verdana" w:cs="Times New Roman"/>
          <w:sz w:val="20"/>
          <w:szCs w:val="20"/>
          <w:vertAlign w:val="superscript"/>
          <w:lang w:val="en-US" w:eastAsia="x-none"/>
        </w:rPr>
        <w:footnoteReference w:id="83"/>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0"/>
          <w:lang w:val="es-EC" w:eastAsia="es-CR"/>
        </w:rPr>
      </w:pPr>
      <w:r w:rsidRPr="00873FEC">
        <w:rPr>
          <w:rFonts w:ascii="Verdana" w:eastAsia="Batang" w:hAnsi="Verdana" w:cs="Times"/>
          <w:sz w:val="20"/>
          <w:szCs w:val="20"/>
          <w:lang w:val="es-CR" w:eastAsia="es-CR"/>
        </w:rPr>
        <w:t xml:space="preserve">De acuerdo </w:t>
      </w:r>
      <w:r w:rsidR="00682A5B">
        <w:rPr>
          <w:rFonts w:ascii="Verdana" w:eastAsia="Batang" w:hAnsi="Verdana" w:cs="Times"/>
          <w:sz w:val="20"/>
          <w:szCs w:val="20"/>
          <w:lang w:val="es-CR" w:eastAsia="es-CR"/>
        </w:rPr>
        <w:t xml:space="preserve">con </w:t>
      </w:r>
      <w:r w:rsidRPr="00873FEC">
        <w:rPr>
          <w:rFonts w:ascii="Verdana" w:eastAsia="Batang" w:hAnsi="Verdana" w:cs="Times"/>
          <w:sz w:val="20"/>
          <w:szCs w:val="20"/>
          <w:lang w:val="es-CR" w:eastAsia="es-CR"/>
        </w:rPr>
        <w:t xml:space="preserve">información presentada a la Comisión </w:t>
      </w:r>
      <w:r w:rsidR="00682A5B">
        <w:rPr>
          <w:rFonts w:ascii="Verdana" w:eastAsia="Batang" w:hAnsi="Verdana" w:cs="Times"/>
          <w:sz w:val="20"/>
          <w:szCs w:val="20"/>
          <w:lang w:val="es-CR" w:eastAsia="es-CR"/>
        </w:rPr>
        <w:t>e</w:t>
      </w:r>
      <w:r w:rsidRPr="00873FEC">
        <w:rPr>
          <w:rFonts w:ascii="Verdana" w:eastAsia="Batang" w:hAnsi="Verdana" w:cs="Times"/>
          <w:sz w:val="20"/>
          <w:szCs w:val="20"/>
          <w:lang w:val="es-CR" w:eastAsia="es-CR"/>
        </w:rPr>
        <w:t>l sexto día de debate la “querellante adhesiva”, aduciendo “parcialidad manifiesta”, recusó al Tribunal de Sentencia. El debate fue suspendido al día siguiente, a partir de otro incidente, planteado por el Ministerio Público. La recusación fue declarada “sin lugar”, y luego una jueza del Tribunal de Sentencia se excusó de seguir conociendo el caso, por haberse dudado de su imparcialidad. Su excusa fue rechazada por quien presidía el Tribunal de Sentencia. Esto motivó que el 8 de junio de 1998 la “querellante adhesiva” presentara una nueva recusación del Tribunal de Sentencia, por entender que</w:t>
      </w:r>
      <w:r w:rsidR="00682A5B">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a partir de los fundamentos de la excusa referida</w:t>
      </w:r>
      <w:r w:rsidR="00682A5B">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se evidenciaba una “enemistad manifiesta”</w:t>
      </w:r>
      <w:r w:rsidR="00FB5ADE" w:rsidRPr="00873FEC">
        <w:rPr>
          <w:rFonts w:ascii="Verdana" w:eastAsia="Batang" w:hAnsi="Verdana" w:cs="Times"/>
          <w:sz w:val="20"/>
          <w:szCs w:val="20"/>
          <w:lang w:val="es-CR" w:eastAsia="es-CR"/>
        </w:rPr>
        <w:t>.</w:t>
      </w:r>
      <w:r w:rsidRPr="00873FEC">
        <w:rPr>
          <w:rFonts w:ascii="Verdana" w:eastAsia="Batang" w:hAnsi="Verdana" w:cs="Times New Roman"/>
          <w:sz w:val="20"/>
          <w:szCs w:val="20"/>
          <w:vertAlign w:val="superscript"/>
          <w:lang w:val="es-EC" w:eastAsia="x-none"/>
        </w:rPr>
        <w:footnoteReference w:id="84"/>
      </w:r>
      <w:r w:rsidRPr="00873FEC">
        <w:rPr>
          <w:rFonts w:ascii="Verdana" w:eastAsia="Batang" w:hAnsi="Verdana" w:cs="Times"/>
          <w:sz w:val="20"/>
          <w:szCs w:val="20"/>
          <w:lang w:val="es-CR" w:eastAsia="es-CR"/>
        </w:rPr>
        <w:t xml:space="preserve"> No consta cómo fue resuelta la segunda recusación señalada</w:t>
      </w:r>
      <w:r w:rsidRPr="00873FEC">
        <w:rPr>
          <w:rFonts w:ascii="Verdana" w:eastAsia="Batang" w:hAnsi="Verdana" w:cs="Times New Roman"/>
          <w:sz w:val="20"/>
          <w:szCs w:val="20"/>
          <w:vertAlign w:val="superscript"/>
          <w:lang w:val="es-CR" w:eastAsia="x-none"/>
        </w:rPr>
        <w:footnoteReference w:id="85"/>
      </w:r>
      <w:r w:rsidRPr="00873FEC">
        <w:rPr>
          <w:rFonts w:ascii="Verdana" w:eastAsia="Batang" w:hAnsi="Verdana" w:cs="Times"/>
          <w:sz w:val="20"/>
          <w:szCs w:val="20"/>
          <w:lang w:val="es-CR" w:eastAsia="es-CR"/>
        </w:rPr>
        <w:t xml:space="preserve">, </w:t>
      </w:r>
      <w:r w:rsidR="00682A5B">
        <w:rPr>
          <w:rFonts w:ascii="Verdana" w:eastAsia="Batang" w:hAnsi="Verdana" w:cs="Times"/>
          <w:sz w:val="20"/>
          <w:szCs w:val="20"/>
          <w:lang w:val="es-CR" w:eastAsia="es-CR"/>
        </w:rPr>
        <w:t>pero</w:t>
      </w:r>
      <w:r w:rsidRPr="00873FEC">
        <w:rPr>
          <w:rFonts w:ascii="Verdana" w:eastAsia="Batang" w:hAnsi="Verdana" w:cs="Times"/>
          <w:sz w:val="20"/>
          <w:szCs w:val="20"/>
          <w:lang w:val="es-CR" w:eastAsia="es-CR"/>
        </w:rPr>
        <w:t xml:space="preserve"> sí la continuidad del proceso y la reanudación del debate público, conforme se expone más adelante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párr. 57). </w:t>
      </w:r>
    </w:p>
    <w:p w:rsidR="0057574C" w:rsidRPr="00873FEC" w:rsidRDefault="0057574C" w:rsidP="00126E97">
      <w:pPr>
        <w:spacing w:after="0" w:line="20" w:lineRule="atLeast"/>
        <w:ind w:right="-138"/>
        <w:jc w:val="both"/>
        <w:rPr>
          <w:rFonts w:ascii="Verdana" w:eastAsia="Batang" w:hAnsi="Verdana" w:cs="Times"/>
          <w:sz w:val="20"/>
          <w:szCs w:val="20"/>
          <w:lang w:val="es-EC"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EC" w:eastAsia="es-CR"/>
        </w:rPr>
        <w:t>El 7 de septiembre de 1998 los peticionarios informaron a la Comisión que tenían conocimiento que “una [m]</w:t>
      </w:r>
      <w:proofErr w:type="spellStart"/>
      <w:r w:rsidRPr="00873FEC">
        <w:rPr>
          <w:rFonts w:ascii="Verdana" w:eastAsia="Batang" w:hAnsi="Verdana" w:cs="Times"/>
          <w:sz w:val="20"/>
          <w:szCs w:val="20"/>
          <w:lang w:val="es-EC" w:eastAsia="es-CR"/>
        </w:rPr>
        <w:t>agistrada</w:t>
      </w:r>
      <w:proofErr w:type="spellEnd"/>
      <w:r w:rsidRPr="00873FEC">
        <w:rPr>
          <w:rFonts w:ascii="Verdana" w:eastAsia="Batang" w:hAnsi="Verdana" w:cs="Times"/>
          <w:sz w:val="20"/>
          <w:szCs w:val="20"/>
          <w:lang w:val="es-EC" w:eastAsia="es-CR"/>
        </w:rPr>
        <w:t xml:space="preserve"> del Tribunal [….] que t[</w:t>
      </w:r>
      <w:proofErr w:type="spellStart"/>
      <w:r w:rsidRPr="00873FEC">
        <w:rPr>
          <w:rFonts w:ascii="Verdana" w:eastAsia="Batang" w:hAnsi="Verdana" w:cs="Times"/>
          <w:sz w:val="20"/>
          <w:szCs w:val="20"/>
          <w:lang w:val="es-EC" w:eastAsia="es-CR"/>
        </w:rPr>
        <w:t>enía</w:t>
      </w:r>
      <w:proofErr w:type="spellEnd"/>
      <w:r w:rsidRPr="00873FEC">
        <w:rPr>
          <w:rFonts w:ascii="Verdana" w:eastAsia="Batang" w:hAnsi="Verdana" w:cs="Times"/>
          <w:sz w:val="20"/>
          <w:szCs w:val="20"/>
          <w:lang w:val="es-EC" w:eastAsia="es-CR"/>
        </w:rPr>
        <w:t xml:space="preserve">] el caso conocido como ‘Caso </w:t>
      </w:r>
      <w:proofErr w:type="spellStart"/>
      <w:r w:rsidRPr="00873FEC">
        <w:rPr>
          <w:rFonts w:ascii="Verdana" w:eastAsia="Batang" w:hAnsi="Verdana" w:cs="Times"/>
          <w:sz w:val="20"/>
          <w:szCs w:val="20"/>
          <w:lang w:val="es-EC" w:eastAsia="es-CR"/>
        </w:rPr>
        <w:t>Xamán</w:t>
      </w:r>
      <w:proofErr w:type="spellEnd"/>
      <w:r w:rsidRPr="00873FEC">
        <w:rPr>
          <w:rFonts w:ascii="Verdana" w:eastAsia="Batang" w:hAnsi="Verdana" w:cs="Times"/>
          <w:sz w:val="20"/>
          <w:szCs w:val="20"/>
          <w:lang w:val="es-EC" w:eastAsia="es-CR"/>
        </w:rPr>
        <w:t>’, esta[</w:t>
      </w:r>
      <w:proofErr w:type="spellStart"/>
      <w:r w:rsidRPr="00873FEC">
        <w:rPr>
          <w:rFonts w:ascii="Verdana" w:eastAsia="Batang" w:hAnsi="Verdana" w:cs="Times"/>
          <w:sz w:val="20"/>
          <w:szCs w:val="20"/>
          <w:lang w:val="es-EC" w:eastAsia="es-CR"/>
        </w:rPr>
        <w:t>ba</w:t>
      </w:r>
      <w:proofErr w:type="spellEnd"/>
      <w:r w:rsidRPr="00873FEC">
        <w:rPr>
          <w:rFonts w:ascii="Verdana" w:eastAsia="Batang" w:hAnsi="Verdana" w:cs="Times"/>
          <w:sz w:val="20"/>
          <w:szCs w:val="20"/>
          <w:lang w:val="es-EC" w:eastAsia="es-CR"/>
        </w:rPr>
        <w:t>] siendo extorsionada y amenazada”; señalaron también que “la Jueza Vocal que integraba el Tribunal” había sido trasladada y se había nombrado un “juez suplente” en su lugar</w:t>
      </w:r>
      <w:r w:rsidRPr="00873FEC">
        <w:rPr>
          <w:rFonts w:ascii="Verdana" w:eastAsia="Batang" w:hAnsi="Verdana" w:cs="Times New Roman"/>
          <w:sz w:val="20"/>
          <w:szCs w:val="20"/>
          <w:vertAlign w:val="superscript"/>
          <w:lang w:val="es-EC" w:eastAsia="x-none"/>
        </w:rPr>
        <w:footnoteReference w:id="86"/>
      </w:r>
      <w:r w:rsidRPr="00873FEC">
        <w:rPr>
          <w:rFonts w:ascii="Verdana" w:eastAsia="Batang" w:hAnsi="Verdana" w:cs="Times"/>
          <w:sz w:val="20"/>
          <w:szCs w:val="20"/>
          <w:lang w:val="es-EC"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EC"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EC" w:eastAsia="es-CR"/>
        </w:rPr>
        <w:t>Por medio de un escrito de fecha 12 de octubre de 1998 el Fiscal Especial asignado al caso presentó su renuncia, para que se h</w:t>
      </w:r>
      <w:r w:rsidR="00682A5B">
        <w:rPr>
          <w:rFonts w:ascii="Verdana" w:eastAsia="Batang" w:hAnsi="Verdana" w:cs="Times"/>
          <w:sz w:val="20"/>
          <w:szCs w:val="20"/>
          <w:lang w:val="es-EC" w:eastAsia="es-CR"/>
        </w:rPr>
        <w:t>iciera</w:t>
      </w:r>
      <w:r w:rsidRPr="00873FEC">
        <w:rPr>
          <w:rFonts w:ascii="Verdana" w:eastAsia="Batang" w:hAnsi="Verdana" w:cs="Times"/>
          <w:sz w:val="20"/>
          <w:szCs w:val="20"/>
          <w:lang w:val="es-EC" w:eastAsia="es-CR"/>
        </w:rPr>
        <w:t xml:space="preserve"> efectiva a partir del 2 de noviembre siguiente. De acuerdo </w:t>
      </w:r>
      <w:r w:rsidR="00682A5B">
        <w:rPr>
          <w:rFonts w:ascii="Verdana" w:eastAsia="Batang" w:hAnsi="Verdana" w:cs="Times"/>
          <w:sz w:val="20"/>
          <w:szCs w:val="20"/>
          <w:lang w:val="es-EC" w:eastAsia="es-CR"/>
        </w:rPr>
        <w:t>con</w:t>
      </w:r>
      <w:r w:rsidRPr="00873FEC">
        <w:rPr>
          <w:rFonts w:ascii="Verdana" w:eastAsia="Batang" w:hAnsi="Verdana" w:cs="Times"/>
          <w:sz w:val="20"/>
          <w:szCs w:val="20"/>
          <w:lang w:val="es-EC" w:eastAsia="es-CR"/>
        </w:rPr>
        <w:t xml:space="preserve"> la información que se remitió a la Comisión</w:t>
      </w:r>
      <w:r w:rsidR="00682A5B">
        <w:rPr>
          <w:rFonts w:ascii="Verdana" w:eastAsia="Batang" w:hAnsi="Verdana" w:cs="Times"/>
          <w:sz w:val="20"/>
          <w:szCs w:val="20"/>
          <w:lang w:val="es-EC" w:eastAsia="es-CR"/>
        </w:rPr>
        <w:t>,</w:t>
      </w:r>
      <w:r w:rsidRPr="00873FEC">
        <w:rPr>
          <w:rFonts w:ascii="Verdana" w:eastAsia="Batang" w:hAnsi="Verdana" w:cs="Times"/>
          <w:sz w:val="20"/>
          <w:szCs w:val="20"/>
          <w:lang w:val="es-EC" w:eastAsia="es-CR"/>
        </w:rPr>
        <w:t xml:space="preserve"> él adujo diversos actos que denotaban falta de “apoyo institucional” para proseguir con el caso</w:t>
      </w:r>
      <w:r w:rsidR="00FB5ADE" w:rsidRPr="00873FEC">
        <w:rPr>
          <w:rFonts w:ascii="Verdana" w:eastAsia="Batang" w:hAnsi="Verdana" w:cs="Times New Roman"/>
          <w:sz w:val="20"/>
          <w:szCs w:val="20"/>
          <w:vertAlign w:val="superscript"/>
          <w:lang w:val="es-EC" w:eastAsia="x-none"/>
        </w:rPr>
        <w:footnoteReference w:id="87"/>
      </w:r>
      <w:r w:rsidRPr="00873FEC">
        <w:rPr>
          <w:rFonts w:ascii="Verdana" w:eastAsia="Batang" w:hAnsi="Verdana" w:cs="Times"/>
          <w:sz w:val="20"/>
          <w:szCs w:val="20"/>
          <w:lang w:val="es-EC" w:eastAsia="es-CR"/>
        </w:rPr>
        <w:t xml:space="preserve">. </w:t>
      </w:r>
      <w:r w:rsidRPr="00873FEC">
        <w:rPr>
          <w:rFonts w:ascii="Verdana" w:eastAsia="Batang" w:hAnsi="Verdana" w:cs="Times"/>
          <w:sz w:val="20"/>
          <w:szCs w:val="20"/>
          <w:lang w:val="es-CR" w:eastAsia="es-CR"/>
        </w:rPr>
        <w:t>La CEH sostuvo que</w:t>
      </w:r>
      <w:r w:rsidR="00682A5B">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en octubre de 1998</w:t>
      </w:r>
      <w:r w:rsidR="00682A5B">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el Fiscal Especial declaró que funcionarios del Ministerio Público no le brindaban el apoyo necesario para llevar a cabo las investigaciones pertinentes y que, además</w:t>
      </w:r>
      <w:r w:rsidR="00682A5B">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denunció que había sido objeto de </w:t>
      </w:r>
      <w:r w:rsidRPr="00873FEC">
        <w:rPr>
          <w:rFonts w:ascii="Verdana" w:eastAsia="Batang" w:hAnsi="Verdana" w:cs="Times"/>
          <w:sz w:val="20"/>
          <w:szCs w:val="20"/>
          <w:lang w:val="es-CR" w:eastAsia="es-CR"/>
        </w:rPr>
        <w:lastRenderedPageBreak/>
        <w:t>amenazas e intimidaciones</w:t>
      </w:r>
      <w:r w:rsidR="00D108B6" w:rsidRPr="00873FEC">
        <w:rPr>
          <w:rStyle w:val="FootnoteReference"/>
          <w:rFonts w:ascii="Verdana" w:eastAsia="Batang" w:hAnsi="Verdana"/>
          <w:sz w:val="20"/>
          <w:lang w:val="es-CR" w:eastAsia="es-CR"/>
        </w:rPr>
        <w:footnoteReference w:id="88"/>
      </w:r>
      <w:r w:rsidRPr="00873FEC">
        <w:rPr>
          <w:rFonts w:ascii="Verdana" w:eastAsia="Batang" w:hAnsi="Verdana" w:cs="Times"/>
          <w:sz w:val="20"/>
          <w:szCs w:val="20"/>
          <w:lang w:val="es-CR" w:eastAsia="es-CR"/>
        </w:rPr>
        <w:t>. El 27 de octubre de 1998 se designó un nuevo “Fiscal Especial”</w:t>
      </w:r>
      <w:r w:rsidRPr="00873FEC">
        <w:rPr>
          <w:rFonts w:ascii="Verdana" w:eastAsia="Batang" w:hAnsi="Verdana" w:cs="Times New Roman"/>
          <w:sz w:val="20"/>
          <w:szCs w:val="20"/>
          <w:vertAlign w:val="superscript"/>
          <w:lang w:val="en-US" w:eastAsia="x-none"/>
        </w:rPr>
        <w:footnoteReference w:id="89"/>
      </w:r>
      <w:r w:rsidR="00FB5ADE"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El 25 de noviembre de 1998 se reanudó el debate público</w:t>
      </w:r>
      <w:r w:rsidR="003D514F" w:rsidRPr="00873FEC">
        <w:rPr>
          <w:rStyle w:val="FootnoteReference"/>
          <w:rFonts w:ascii="Verdana" w:eastAsia="Batang" w:hAnsi="Verdana"/>
          <w:sz w:val="20"/>
          <w:lang w:val="es-CR" w:eastAsia="es-CR"/>
        </w:rPr>
        <w:footnoteReference w:id="90"/>
      </w:r>
      <w:r w:rsidRPr="00873FEC">
        <w:rPr>
          <w:rFonts w:ascii="Verdana" w:eastAsia="Batang" w:hAnsi="Verdana" w:cs="Times"/>
          <w:sz w:val="20"/>
          <w:szCs w:val="20"/>
          <w:lang w:val="es-CR" w:eastAsia="es-CR"/>
        </w:rPr>
        <w:t>, que se desarrolló en distintos días hasta agosto del año siguiente (</w:t>
      </w:r>
      <w:r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párr. 59). Durante ese tiempo se plantearon y resolvieron distintos incidentes y recursos</w:t>
      </w:r>
      <w:r w:rsidRPr="00873FEC">
        <w:rPr>
          <w:rFonts w:ascii="Verdana" w:eastAsia="Batang" w:hAnsi="Verdana" w:cs="Times New Roman"/>
          <w:sz w:val="20"/>
          <w:szCs w:val="20"/>
          <w:vertAlign w:val="superscript"/>
          <w:lang w:val="es-CR" w:eastAsia="x-none"/>
        </w:rPr>
        <w:footnoteReference w:id="91"/>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6 de enero de 1999 Rigoberta Menchú renunció a su condición de “querellante adhesiva” en el proceso, por entender que no se estaban cumpliendo las normas del debido proceso</w:t>
      </w:r>
      <w:r w:rsidRPr="00873FEC">
        <w:rPr>
          <w:rFonts w:ascii="Verdana" w:eastAsia="Batang" w:hAnsi="Verdana" w:cs="Times New Roman"/>
          <w:sz w:val="20"/>
          <w:szCs w:val="20"/>
          <w:vertAlign w:val="superscript"/>
          <w:lang w:val="en-US" w:eastAsia="x-none"/>
        </w:rPr>
        <w:footnoteReference w:id="92"/>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debate oral y público se declaró clausurado el 12 de agosto de 1999</w:t>
      </w:r>
      <w:r w:rsidRPr="00873FEC">
        <w:rPr>
          <w:rFonts w:ascii="Verdana" w:eastAsia="Batang" w:hAnsi="Verdana" w:cs="Times New Roman"/>
          <w:sz w:val="20"/>
          <w:szCs w:val="20"/>
          <w:vertAlign w:val="superscript"/>
          <w:lang w:val="en-US" w:eastAsia="x-none"/>
        </w:rPr>
        <w:footnoteReference w:id="93"/>
      </w:r>
      <w:r w:rsidRPr="00873FEC">
        <w:rPr>
          <w:rFonts w:ascii="Verdana" w:eastAsia="Batang" w:hAnsi="Verdana" w:cs="Times"/>
          <w:sz w:val="20"/>
          <w:szCs w:val="20"/>
          <w:lang w:val="es-CR" w:eastAsia="es-CR"/>
        </w:rPr>
        <w:t>. El mismo día el Tribunal dictó una sentencia</w:t>
      </w:r>
      <w:r w:rsidRPr="00873FEC">
        <w:rPr>
          <w:rFonts w:ascii="Verdana" w:eastAsia="Batang" w:hAnsi="Verdana" w:cs="Times New Roman"/>
          <w:sz w:val="20"/>
          <w:szCs w:val="20"/>
          <w:vertAlign w:val="superscript"/>
          <w:lang w:val="es-CR" w:eastAsia="x-none"/>
        </w:rPr>
        <w:footnoteReference w:id="94"/>
      </w:r>
      <w:r w:rsidRPr="00873FEC">
        <w:rPr>
          <w:rFonts w:ascii="Verdana" w:eastAsia="Batang" w:hAnsi="Verdana" w:cs="Times"/>
          <w:sz w:val="20"/>
          <w:szCs w:val="20"/>
          <w:lang w:val="es-CR" w:eastAsia="es-CR"/>
        </w:rPr>
        <w:t>. En la misma condenó al oficial al mando de la patrulla y a diez militares que la integraban por el “delito de homicidio culposo” y les impuso una pena de “cinco años de prisión conmutable”; además condenó a otros 14 miembros de la patrulla por el delito de “homicidio culposo” en “</w:t>
      </w:r>
      <w:proofErr w:type="spellStart"/>
      <w:proofErr w:type="gramStart"/>
      <w:r w:rsidRPr="00873FEC">
        <w:rPr>
          <w:rFonts w:ascii="Verdana" w:eastAsia="Batang" w:hAnsi="Verdana" w:cs="Times"/>
          <w:sz w:val="20"/>
          <w:szCs w:val="20"/>
          <w:lang w:val="es-CR" w:eastAsia="es-CR"/>
        </w:rPr>
        <w:t>complic</w:t>
      </w:r>
      <w:proofErr w:type="spellEnd"/>
      <w:r w:rsidRPr="00873FEC">
        <w:rPr>
          <w:rFonts w:ascii="Verdana" w:eastAsia="Batang" w:hAnsi="Verdana" w:cs="Times"/>
          <w:sz w:val="20"/>
          <w:szCs w:val="20"/>
          <w:lang w:val="es-CR" w:eastAsia="es-CR"/>
        </w:rPr>
        <w:t>[</w:t>
      </w:r>
      <w:proofErr w:type="spellStart"/>
      <w:proofErr w:type="gramEnd"/>
      <w:r w:rsidRPr="00873FEC">
        <w:rPr>
          <w:rFonts w:ascii="Verdana" w:eastAsia="Batang" w:hAnsi="Verdana" w:cs="Times"/>
          <w:sz w:val="20"/>
          <w:szCs w:val="20"/>
          <w:lang w:val="es-CR" w:eastAsia="es-CR"/>
        </w:rPr>
        <w:t>idad</w:t>
      </w:r>
      <w:proofErr w:type="spellEnd"/>
      <w:r w:rsidRPr="00873FEC">
        <w:rPr>
          <w:rFonts w:ascii="Verdana" w:eastAsia="Batang" w:hAnsi="Verdana" w:cs="Times"/>
          <w:sz w:val="20"/>
          <w:szCs w:val="20"/>
          <w:lang w:val="es-CR" w:eastAsia="es-CR"/>
        </w:rPr>
        <w:t>]” y les impuso una pena de “cuatro años de prisión conmutables”</w:t>
      </w:r>
      <w:r w:rsidRPr="00873FEC">
        <w:rPr>
          <w:rFonts w:ascii="Verdana" w:eastAsia="Batang" w:hAnsi="Verdana" w:cs="Times New Roman"/>
          <w:sz w:val="20"/>
          <w:szCs w:val="20"/>
          <w:vertAlign w:val="superscript"/>
          <w:lang w:val="en-US" w:eastAsia="x-none"/>
        </w:rPr>
        <w:footnoteReference w:id="95"/>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23 de agosto de 1999 el Fiscal Especial interpuso una apelación y el 6 de diciembre siguiente la “Sala Décimo Cuarta de apelaciones” declaró “con lugar” el recurso</w:t>
      </w:r>
      <w:r w:rsidRPr="00873FEC">
        <w:rPr>
          <w:rFonts w:ascii="Verdana" w:eastAsia="Batang" w:hAnsi="Verdana" w:cs="Times New Roman"/>
          <w:sz w:val="20"/>
          <w:szCs w:val="20"/>
          <w:vertAlign w:val="superscript"/>
          <w:lang w:val="es-CR" w:eastAsia="x-none"/>
        </w:rPr>
        <w:footnoteReference w:id="96"/>
      </w:r>
      <w:r w:rsidRPr="00873FEC">
        <w:rPr>
          <w:rFonts w:ascii="Verdana" w:eastAsia="Batang" w:hAnsi="Verdana" w:cs="Times"/>
          <w:sz w:val="20"/>
          <w:szCs w:val="20"/>
          <w:lang w:val="es-CR" w:eastAsia="es-CR"/>
        </w:rPr>
        <w:t>. Anuló la sentencia de primera instancia y condenó a diez militares por los delitos de “homicidio” y de “lesiones graves”, imponiéndoles una pena de 12 años de prisión</w:t>
      </w:r>
      <w:r w:rsidRPr="00873FEC">
        <w:rPr>
          <w:rFonts w:ascii="Verdana" w:eastAsia="Batang" w:hAnsi="Verdana" w:cs="Times New Roman"/>
          <w:sz w:val="20"/>
          <w:szCs w:val="20"/>
          <w:vertAlign w:val="superscript"/>
          <w:lang w:val="es-CR" w:eastAsia="x-none"/>
        </w:rPr>
        <w:footnoteReference w:id="97"/>
      </w:r>
      <w:r w:rsidRPr="00873FEC">
        <w:rPr>
          <w:rFonts w:ascii="Verdana" w:eastAsia="Batang" w:hAnsi="Verdana" w:cs="Times"/>
          <w:sz w:val="20"/>
          <w:szCs w:val="20"/>
          <w:lang w:val="es-CR" w:eastAsia="es-CR"/>
        </w:rPr>
        <w:t>. Otros 15 integrantes de la patrulla fueron absueltos</w:t>
      </w:r>
      <w:r w:rsidRPr="00873FEC">
        <w:rPr>
          <w:rFonts w:ascii="Verdana" w:eastAsia="Batang" w:hAnsi="Verdana" w:cs="Times New Roman"/>
          <w:sz w:val="20"/>
          <w:szCs w:val="20"/>
          <w:vertAlign w:val="superscript"/>
          <w:lang w:val="en-US" w:eastAsia="x-none"/>
        </w:rPr>
        <w:footnoteReference w:id="98"/>
      </w:r>
      <w:r w:rsidRPr="00873FEC">
        <w:rPr>
          <w:rFonts w:ascii="Verdana" w:eastAsia="Batang" w:hAnsi="Verdana" w:cs="Times"/>
          <w:sz w:val="20"/>
          <w:szCs w:val="20"/>
          <w:lang w:val="es-CR" w:eastAsia="es-CR"/>
        </w:rPr>
        <w:t>.</w:t>
      </w:r>
      <w:r w:rsidRPr="00873FEC">
        <w:rPr>
          <w:rFonts w:ascii="Verdana" w:eastAsia="Batang" w:hAnsi="Verdana" w:cs="Times"/>
          <w:b/>
          <w:sz w:val="16"/>
          <w:szCs w:val="16"/>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12 de abril de 2000, tras examinar un “[r]</w:t>
      </w:r>
      <w:proofErr w:type="spellStart"/>
      <w:r w:rsidRPr="00873FEC">
        <w:rPr>
          <w:rFonts w:ascii="Verdana" w:eastAsia="Batang" w:hAnsi="Verdana" w:cs="Times"/>
          <w:sz w:val="20"/>
          <w:szCs w:val="20"/>
          <w:lang w:val="es-CR" w:eastAsia="es-CR"/>
        </w:rPr>
        <w:t>ecurso</w:t>
      </w:r>
      <w:proofErr w:type="spellEnd"/>
      <w:r w:rsidRPr="00873FEC">
        <w:rPr>
          <w:rFonts w:ascii="Verdana" w:eastAsia="Batang" w:hAnsi="Verdana" w:cs="Times"/>
          <w:sz w:val="20"/>
          <w:szCs w:val="20"/>
          <w:lang w:val="es-CR" w:eastAsia="es-CR"/>
        </w:rPr>
        <w:t xml:space="preserve"> [e]</w:t>
      </w:r>
      <w:proofErr w:type="spellStart"/>
      <w:r w:rsidRPr="00873FEC">
        <w:rPr>
          <w:rFonts w:ascii="Verdana" w:eastAsia="Batang" w:hAnsi="Verdana" w:cs="Times"/>
          <w:sz w:val="20"/>
          <w:szCs w:val="20"/>
          <w:lang w:val="es-CR" w:eastAsia="es-CR"/>
        </w:rPr>
        <w:t>xtraordinario</w:t>
      </w:r>
      <w:proofErr w:type="spellEnd"/>
      <w:r w:rsidRPr="00873FEC">
        <w:rPr>
          <w:rFonts w:ascii="Verdana" w:eastAsia="Batang" w:hAnsi="Verdana" w:cs="Times"/>
          <w:sz w:val="20"/>
          <w:szCs w:val="20"/>
          <w:lang w:val="es-CR" w:eastAsia="es-CR"/>
        </w:rPr>
        <w:t xml:space="preserve"> de [c]asación” presentado por el Fiscal Especial, la “Cámara Penal de la Corte Suprema de Justicia anuló la sentencia” de la Sala Décimo Cuarta de apelaciones y “orden[</w:t>
      </w:r>
      <w:proofErr w:type="spellStart"/>
      <w:r w:rsidRPr="00873FEC">
        <w:rPr>
          <w:rFonts w:ascii="Verdana" w:eastAsia="Batang" w:hAnsi="Verdana" w:cs="Times"/>
          <w:sz w:val="20"/>
          <w:szCs w:val="20"/>
          <w:lang w:val="es-CR" w:eastAsia="es-CR"/>
        </w:rPr>
        <w:t>ó</w:t>
      </w:r>
      <w:proofErr w:type="spellEnd"/>
      <w:r w:rsidRPr="00873FEC">
        <w:rPr>
          <w:rFonts w:ascii="Verdana" w:eastAsia="Batang" w:hAnsi="Verdana" w:cs="Times"/>
          <w:sz w:val="20"/>
          <w:szCs w:val="20"/>
          <w:lang w:val="es-CR" w:eastAsia="es-CR"/>
        </w:rPr>
        <w:t>] la celebración de un nuevo debate y la aprehensión de los 15 procesados que habían sido absueltos”</w:t>
      </w:r>
      <w:r w:rsidRPr="00873FEC">
        <w:rPr>
          <w:rFonts w:ascii="Verdana" w:eastAsia="Batang" w:hAnsi="Verdana" w:cs="Times New Roman"/>
          <w:sz w:val="20"/>
          <w:szCs w:val="20"/>
          <w:vertAlign w:val="superscript"/>
          <w:lang w:val="en-US" w:eastAsia="x-none"/>
        </w:rPr>
        <w:footnoteReference w:id="99"/>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En mayo de 2000 el expediente fue trasladado al Tribunal de Sentencia de Cobán</w:t>
      </w:r>
      <w:r w:rsidRPr="00873FEC">
        <w:rPr>
          <w:rFonts w:ascii="Verdana" w:eastAsia="Batang" w:hAnsi="Verdana" w:cs="Times New Roman"/>
          <w:sz w:val="20"/>
          <w:szCs w:val="20"/>
          <w:vertAlign w:val="superscript"/>
          <w:lang w:val="en-US" w:eastAsia="x-none"/>
        </w:rPr>
        <w:footnoteReference w:id="100"/>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El 3 de junio de 2003 se inició el debate oral</w:t>
      </w:r>
      <w:r w:rsidRPr="00873FEC">
        <w:rPr>
          <w:rFonts w:ascii="Verdana" w:eastAsia="Batang" w:hAnsi="Verdana" w:cs="Times New Roman"/>
          <w:sz w:val="20"/>
          <w:szCs w:val="20"/>
          <w:vertAlign w:val="superscript"/>
          <w:lang w:val="es-CR" w:eastAsia="x-none"/>
        </w:rPr>
        <w:footnoteReference w:id="101"/>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El 8 de julio de 2004 el Tribunal de Sentencia emitió una sentencia </w:t>
      </w:r>
      <w:r w:rsidR="00464CB5" w:rsidRPr="00873FEC">
        <w:rPr>
          <w:rFonts w:ascii="Verdana" w:eastAsia="Batang" w:hAnsi="Verdana" w:cs="Times"/>
          <w:sz w:val="20"/>
          <w:szCs w:val="20"/>
          <w:lang w:val="es-CR" w:eastAsia="es-CR"/>
        </w:rPr>
        <w:t xml:space="preserve"> </w:t>
      </w:r>
      <w:r w:rsidRPr="00873FEC">
        <w:rPr>
          <w:rFonts w:ascii="Verdana" w:eastAsia="Batang" w:hAnsi="Verdana" w:cs="Times"/>
          <w:sz w:val="20"/>
          <w:szCs w:val="20"/>
          <w:lang w:val="es-CR" w:eastAsia="es-CR"/>
        </w:rPr>
        <w:t xml:space="preserve">en la que condenó a 14 militares, por el delito de “ejecución extrajudicial”, en calidad de “autores materiales, en el grado de consumación”, en perjuicio de </w:t>
      </w:r>
      <w:r w:rsidR="002E7364" w:rsidRPr="00873FEC">
        <w:rPr>
          <w:rFonts w:ascii="Verdana" w:eastAsia="Batang" w:hAnsi="Verdana" w:cs="Times"/>
          <w:sz w:val="20"/>
          <w:szCs w:val="20"/>
          <w:lang w:val="es-CR" w:eastAsia="es-CR"/>
        </w:rPr>
        <w:t>11</w:t>
      </w:r>
      <w:r w:rsidRPr="00873FEC">
        <w:rPr>
          <w:rFonts w:ascii="Verdana" w:eastAsia="Batang" w:hAnsi="Verdana" w:cs="Times"/>
          <w:sz w:val="20"/>
          <w:szCs w:val="20"/>
          <w:lang w:val="es-CR" w:eastAsia="es-CR"/>
        </w:rPr>
        <w:t xml:space="preserve"> personas fallecidas. Además, fueron condenados por las “lesiones graves” causadas a 29 sobrevivientes. Fueron sentenciados a una pena de “cuarenta años de prisión inconmutables”</w:t>
      </w:r>
      <w:r w:rsidRPr="00873FEC">
        <w:rPr>
          <w:rFonts w:ascii="Verdana" w:eastAsia="Batang" w:hAnsi="Verdana" w:cs="Times New Roman"/>
          <w:sz w:val="20"/>
          <w:szCs w:val="20"/>
          <w:vertAlign w:val="superscript"/>
          <w:lang w:val="es-CR" w:eastAsia="x-none"/>
        </w:rPr>
        <w:footnoteReference w:id="102"/>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En julio de 2004 militares condenados interpusieron recursos de apelación</w:t>
      </w:r>
      <w:r w:rsidRPr="00873FEC">
        <w:rPr>
          <w:rFonts w:ascii="Verdana" w:eastAsia="Batang" w:hAnsi="Verdana" w:cs="Times New Roman"/>
          <w:sz w:val="20"/>
          <w:szCs w:val="20"/>
          <w:vertAlign w:val="superscript"/>
          <w:lang w:val="es-CR" w:eastAsia="x-none"/>
        </w:rPr>
        <w:footnoteReference w:id="103"/>
      </w:r>
      <w:r w:rsidRPr="00873FEC">
        <w:rPr>
          <w:rFonts w:ascii="Verdana" w:eastAsia="Batang" w:hAnsi="Verdana" w:cs="Times"/>
          <w:sz w:val="20"/>
          <w:szCs w:val="20"/>
          <w:lang w:val="es-CR" w:eastAsia="es-CR"/>
        </w:rPr>
        <w:t>, los cuales no prosperaron</w:t>
      </w:r>
      <w:r w:rsidRPr="00873FEC">
        <w:rPr>
          <w:rFonts w:ascii="Verdana" w:eastAsia="Batang" w:hAnsi="Verdana" w:cs="Times New Roman"/>
          <w:sz w:val="20"/>
          <w:szCs w:val="20"/>
          <w:vertAlign w:val="superscript"/>
          <w:lang w:val="es-CR" w:eastAsia="x-none"/>
        </w:rPr>
        <w:footnoteReference w:id="104"/>
      </w:r>
      <w:r w:rsidRPr="00873FEC">
        <w:rPr>
          <w:rFonts w:ascii="Verdana" w:eastAsia="Batang" w:hAnsi="Verdana" w:cs="Times"/>
          <w:sz w:val="20"/>
          <w:szCs w:val="20"/>
          <w:lang w:val="es-CR" w:eastAsia="es-CR"/>
        </w:rPr>
        <w:t>. En enero de 2005 abogados defensores de militares interpusieron recursos de casación</w:t>
      </w:r>
      <w:r w:rsidRPr="00873FEC">
        <w:rPr>
          <w:rFonts w:ascii="Verdana" w:eastAsia="Batang" w:hAnsi="Verdana" w:cs="Times New Roman"/>
          <w:sz w:val="20"/>
          <w:szCs w:val="20"/>
          <w:vertAlign w:val="superscript"/>
          <w:lang w:val="es-CR" w:eastAsia="x-none"/>
        </w:rPr>
        <w:footnoteReference w:id="105"/>
      </w:r>
      <w:r w:rsidRPr="00873FEC">
        <w:rPr>
          <w:rFonts w:ascii="Verdana" w:eastAsia="Batang" w:hAnsi="Verdana" w:cs="Times"/>
          <w:sz w:val="20"/>
          <w:szCs w:val="20"/>
          <w:lang w:val="es-CR" w:eastAsia="es-CR"/>
        </w:rPr>
        <w:t>, que el 13 de ese mes fueron remitidos a la Corte Suprema de Justicia</w:t>
      </w:r>
      <w:r w:rsidRPr="00873FEC">
        <w:rPr>
          <w:rFonts w:ascii="Verdana" w:eastAsia="Batang" w:hAnsi="Verdana" w:cs="Times New Roman"/>
          <w:sz w:val="20"/>
          <w:szCs w:val="20"/>
          <w:vertAlign w:val="superscript"/>
          <w:lang w:val="es-CR" w:eastAsia="x-none"/>
        </w:rPr>
        <w:footnoteReference w:id="106"/>
      </w:r>
      <w:r w:rsidRPr="00873FEC">
        <w:rPr>
          <w:rFonts w:ascii="Verdana" w:eastAsia="Batang" w:hAnsi="Verdana" w:cs="Times"/>
          <w:sz w:val="20"/>
          <w:szCs w:val="20"/>
          <w:lang w:val="es-CR" w:eastAsia="es-CR"/>
        </w:rPr>
        <w:t>. El 23 de septiembre de 2005 la Corte Suprema de Justicia “</w:t>
      </w:r>
      <w:proofErr w:type="spellStart"/>
      <w:r w:rsidRPr="00873FEC">
        <w:rPr>
          <w:rFonts w:ascii="Verdana" w:eastAsia="Batang" w:hAnsi="Verdana" w:cs="Times"/>
          <w:sz w:val="20"/>
          <w:szCs w:val="20"/>
          <w:lang w:val="es-CR" w:eastAsia="es-CR"/>
        </w:rPr>
        <w:t>declar</w:t>
      </w:r>
      <w:proofErr w:type="spellEnd"/>
      <w:r w:rsidRPr="00873FEC">
        <w:rPr>
          <w:rFonts w:ascii="Verdana" w:eastAsia="Batang" w:hAnsi="Verdana" w:cs="Times"/>
          <w:sz w:val="20"/>
          <w:szCs w:val="20"/>
          <w:lang w:val="es-CR" w:eastAsia="es-CR"/>
        </w:rPr>
        <w:t>[</w:t>
      </w:r>
      <w:proofErr w:type="spellStart"/>
      <w:r w:rsidRPr="00873FEC">
        <w:rPr>
          <w:rFonts w:ascii="Verdana" w:eastAsia="Batang" w:hAnsi="Verdana" w:cs="Times"/>
          <w:sz w:val="20"/>
          <w:szCs w:val="20"/>
          <w:lang w:val="es-CR" w:eastAsia="es-CR"/>
        </w:rPr>
        <w:t>ó</w:t>
      </w:r>
      <w:proofErr w:type="spellEnd"/>
      <w:r w:rsidRPr="00873FEC">
        <w:rPr>
          <w:rFonts w:ascii="Verdana" w:eastAsia="Batang" w:hAnsi="Verdana" w:cs="Times"/>
          <w:sz w:val="20"/>
          <w:szCs w:val="20"/>
          <w:lang w:val="es-CR" w:eastAsia="es-CR"/>
        </w:rPr>
        <w:t>] improcedentes” los recursos de casación pendientes y dejó firme la sentencia condenatoria</w:t>
      </w:r>
      <w:r w:rsidRPr="00873FEC">
        <w:rPr>
          <w:rFonts w:ascii="Verdana" w:eastAsia="Batang" w:hAnsi="Verdana" w:cs="Times New Roman"/>
          <w:sz w:val="20"/>
          <w:szCs w:val="20"/>
          <w:vertAlign w:val="superscript"/>
          <w:lang w:val="es-CR" w:eastAsia="x-none"/>
        </w:rPr>
        <w:footnoteReference w:id="107"/>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Respecto a integrantes de la patrulla militar distintos a los 14 condenados, Guatemala informó que</w:t>
      </w:r>
      <w:r w:rsidRPr="00873FEC">
        <w:rPr>
          <w:rFonts w:ascii="Verdana" w:eastAsia="Batang" w:hAnsi="Verdana" w:cs="Times"/>
          <w:bCs/>
          <w:color w:val="000000"/>
          <w:sz w:val="20"/>
          <w:szCs w:val="20"/>
          <w:lang w:val="es-CR" w:eastAsia="es-CR"/>
        </w:rPr>
        <w:t xml:space="preserve"> para el 9 de marzo de 2018 11 personas permanecían “</w:t>
      </w:r>
      <w:proofErr w:type="spellStart"/>
      <w:r w:rsidRPr="00873FEC">
        <w:rPr>
          <w:rFonts w:ascii="Verdana" w:eastAsia="Batang" w:hAnsi="Verdana" w:cs="Times"/>
          <w:bCs/>
          <w:color w:val="000000"/>
          <w:sz w:val="20"/>
          <w:szCs w:val="20"/>
          <w:lang w:val="es-CR" w:eastAsia="es-CR"/>
        </w:rPr>
        <w:t>prófug</w:t>
      </w:r>
      <w:proofErr w:type="spellEnd"/>
      <w:r w:rsidRPr="00873FEC">
        <w:rPr>
          <w:rFonts w:ascii="Verdana" w:eastAsia="Batang" w:hAnsi="Verdana" w:cs="Times"/>
          <w:bCs/>
          <w:color w:val="000000"/>
          <w:sz w:val="20"/>
          <w:szCs w:val="20"/>
          <w:lang w:val="es-CR" w:eastAsia="es-CR"/>
        </w:rPr>
        <w:t>[a]s”</w:t>
      </w:r>
      <w:r w:rsidRPr="00873FEC">
        <w:rPr>
          <w:rFonts w:ascii="Verdana" w:eastAsia="Batang" w:hAnsi="Verdana" w:cs="Times New Roman"/>
          <w:bCs/>
          <w:color w:val="000000"/>
          <w:sz w:val="20"/>
          <w:szCs w:val="20"/>
          <w:vertAlign w:val="superscript"/>
          <w:lang w:val="en-US" w:eastAsia="x-none"/>
        </w:rPr>
        <w:footnoteReference w:id="108"/>
      </w:r>
      <w:r w:rsidRPr="00873FEC">
        <w:rPr>
          <w:rFonts w:ascii="Verdana" w:eastAsia="Batang" w:hAnsi="Verdana" w:cs="Times"/>
          <w:bCs/>
          <w:color w:val="000000"/>
          <w:sz w:val="20"/>
          <w:szCs w:val="20"/>
          <w:lang w:val="es-CR" w:eastAsia="es-CR"/>
        </w:rPr>
        <w:t xml:space="preserve"> y no habían sido juzgadas. No hay información que indique que luego esta situación se modificara. </w:t>
      </w:r>
    </w:p>
    <w:p w:rsidR="0057574C" w:rsidRDefault="0057574C" w:rsidP="00126E97">
      <w:pPr>
        <w:spacing w:after="0" w:line="20" w:lineRule="atLeast"/>
        <w:ind w:right="-138"/>
        <w:jc w:val="both"/>
        <w:rPr>
          <w:rFonts w:ascii="Verdana" w:eastAsia="Batang" w:hAnsi="Verdana" w:cs="Times"/>
          <w:sz w:val="20"/>
          <w:szCs w:val="24"/>
          <w:lang w:val="es-CR" w:eastAsia="es-CR"/>
        </w:rPr>
      </w:pPr>
    </w:p>
    <w:p w:rsidR="00126E97" w:rsidRPr="00873FEC" w:rsidRDefault="00126E97"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keepNext/>
        <w:keepLines/>
        <w:spacing w:after="0" w:line="20" w:lineRule="atLeast"/>
        <w:jc w:val="center"/>
        <w:outlineLvl w:val="0"/>
        <w:rPr>
          <w:rFonts w:ascii="Verdana" w:eastAsia="Times New Roman" w:hAnsi="Verdana" w:cs="Verdana"/>
          <w:b/>
          <w:caps/>
          <w:sz w:val="20"/>
          <w:szCs w:val="20"/>
          <w:lang w:val="es-CR" w:eastAsia="es-CR"/>
        </w:rPr>
      </w:pPr>
      <w:bookmarkStart w:id="129" w:name="_Toc520207589"/>
      <w:bookmarkStart w:id="130" w:name="_Toc521694810"/>
      <w:bookmarkStart w:id="131" w:name="_Toc525201163"/>
      <w:bookmarkEnd w:id="129"/>
      <w:r w:rsidRPr="00873FEC">
        <w:rPr>
          <w:rFonts w:ascii="Verdana" w:eastAsia="Times New Roman" w:hAnsi="Verdana" w:cs="Verdana"/>
          <w:b/>
          <w:caps/>
          <w:sz w:val="20"/>
          <w:szCs w:val="20"/>
          <w:lang w:val="es-CR" w:eastAsia="es-CR"/>
        </w:rPr>
        <w:t>VIi</w:t>
      </w:r>
      <w:bookmarkEnd w:id="130"/>
      <w:bookmarkEnd w:id="131"/>
    </w:p>
    <w:p w:rsidR="0057574C" w:rsidRPr="00873FEC" w:rsidRDefault="0057574C" w:rsidP="00126E97">
      <w:pPr>
        <w:keepNext/>
        <w:keepLines/>
        <w:spacing w:after="0" w:line="20" w:lineRule="atLeast"/>
        <w:jc w:val="center"/>
        <w:outlineLvl w:val="0"/>
        <w:rPr>
          <w:rFonts w:ascii="Verdana" w:eastAsia="Times New Roman" w:hAnsi="Verdana" w:cs="Verdana"/>
          <w:b/>
          <w:caps/>
          <w:sz w:val="20"/>
          <w:szCs w:val="20"/>
          <w:lang w:val="es-CR" w:eastAsia="es-CR"/>
        </w:rPr>
      </w:pPr>
      <w:bookmarkStart w:id="132" w:name="_Toc520207590"/>
      <w:bookmarkStart w:id="133" w:name="_Toc521694811"/>
      <w:bookmarkStart w:id="134" w:name="_Toc525201164"/>
      <w:bookmarkEnd w:id="132"/>
      <w:r w:rsidRPr="00873FEC">
        <w:rPr>
          <w:rFonts w:ascii="Verdana" w:eastAsia="Times New Roman" w:hAnsi="Verdana" w:cs="Verdana"/>
          <w:b/>
          <w:caps/>
          <w:sz w:val="20"/>
          <w:szCs w:val="20"/>
          <w:lang w:val="es-CR" w:eastAsia="es-CR"/>
        </w:rPr>
        <w:t>FONDO</w:t>
      </w:r>
      <w:bookmarkEnd w:id="133"/>
      <w:bookmarkEnd w:id="134"/>
    </w:p>
    <w:p w:rsidR="0057574C" w:rsidRPr="00873FEC" w:rsidRDefault="0057574C" w:rsidP="00126E97">
      <w:pPr>
        <w:spacing w:after="0" w:line="20" w:lineRule="atLeast"/>
        <w:ind w:right="-138"/>
        <w:jc w:val="both"/>
        <w:rPr>
          <w:rFonts w:ascii="Verdana" w:eastAsia="Batang" w:hAnsi="Verdana" w:cs="Times"/>
          <w:sz w:val="20"/>
          <w:szCs w:val="24"/>
          <w:lang w:val="en-US"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En el presente caso, la Corte debe analizar si Guatemala es responsable por la violación a diversos derechos convencionales, en relación con circunstancias sucedidas el 5 de octubre de 1995 en la finca </w:t>
      </w:r>
      <w:proofErr w:type="spellStart"/>
      <w:r w:rsidRPr="00873FEC">
        <w:rPr>
          <w:rFonts w:ascii="Verdana" w:eastAsia="Batang" w:hAnsi="Verdana" w:cs="Times"/>
          <w:sz w:val="20"/>
          <w:szCs w:val="24"/>
          <w:lang w:val="es-CR" w:eastAsia="es-CR"/>
        </w:rPr>
        <w:t>Xaman</w:t>
      </w:r>
      <w:proofErr w:type="spellEnd"/>
      <w:r w:rsidRPr="00873FEC">
        <w:rPr>
          <w:rFonts w:ascii="Verdana" w:eastAsia="Batang" w:hAnsi="Verdana" w:cs="Times"/>
          <w:sz w:val="20"/>
          <w:szCs w:val="24"/>
          <w:lang w:val="es-CR" w:eastAsia="es-CR"/>
        </w:rPr>
        <w:t xml:space="preserve"> y las actuaciones posteriores. Luego de que ese día ingresara una patrulla militar a la Comunidad “Aurora 8 de Octubre”, 11 personas murieron a causa de disparos efectuados por militares y otras 29 resultaron heridas. A partir de ello se iniciaron investigaciones, que resultaron en la condena de 14 militares. Otros 11 militares permanecen prófugos, existiendo órdenes de aprehensión vigentes respecto a ellos. </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Antes de efectuar el examen sobre aspectos de fondo, la Corte entiende necesario destacar que, en el presente caso, </w:t>
      </w:r>
      <w:r w:rsidR="000C5676">
        <w:rPr>
          <w:rFonts w:ascii="Verdana" w:eastAsia="Batang" w:hAnsi="Verdana" w:cs="Times"/>
          <w:sz w:val="20"/>
          <w:szCs w:val="24"/>
          <w:lang w:val="es-CR" w:eastAsia="es-CR"/>
        </w:rPr>
        <w:t>a</w:t>
      </w:r>
      <w:r w:rsidRPr="00873FEC">
        <w:rPr>
          <w:rFonts w:ascii="Verdana" w:eastAsia="Batang" w:hAnsi="Verdana" w:cs="Times"/>
          <w:sz w:val="20"/>
          <w:szCs w:val="24"/>
          <w:lang w:val="es-CR" w:eastAsia="es-CR"/>
        </w:rPr>
        <w:t xml:space="preserve">l día siguiente de </w:t>
      </w:r>
      <w:r w:rsidR="000C5676">
        <w:rPr>
          <w:rFonts w:ascii="Verdana" w:eastAsia="Batang" w:hAnsi="Verdana" w:cs="Times"/>
          <w:sz w:val="20"/>
          <w:szCs w:val="24"/>
          <w:lang w:val="es-CR" w:eastAsia="es-CR"/>
        </w:rPr>
        <w:t xml:space="preserve">ocurridos </w:t>
      </w:r>
      <w:r w:rsidRPr="00873FEC">
        <w:rPr>
          <w:rFonts w:ascii="Verdana" w:eastAsia="Batang" w:hAnsi="Verdana" w:cs="Times"/>
          <w:sz w:val="20"/>
          <w:szCs w:val="24"/>
          <w:lang w:val="es-CR" w:eastAsia="es-CR"/>
        </w:rPr>
        <w:t xml:space="preserve">los hechos, quien entonces era Presidente de Guatemala, efectuó un reconocimiento de “responsabilidad institucional” y que, por otra parte, autoridades judiciales internas determinaron lo sucedido y emitieron decisiones condenatorias. </w:t>
      </w:r>
    </w:p>
    <w:p w:rsidR="0057574C" w:rsidRPr="00873FEC" w:rsidRDefault="0057574C" w:rsidP="00126E97">
      <w:pPr>
        <w:spacing w:after="0" w:line="20" w:lineRule="atLeast"/>
        <w:ind w:right="-138"/>
        <w:jc w:val="both"/>
        <w:rPr>
          <w:rFonts w:ascii="Verdana" w:eastAsia="Batang" w:hAnsi="Verdana" w:cs="Times"/>
          <w:b/>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4"/>
          <w:lang w:val="es-CR" w:eastAsia="es-CR"/>
        </w:rPr>
        <w:t>La Corte valora lo anterior, mas advierte que, pese a ello, el Estado no ha reconocido su responsabilidad internacional. Además</w:t>
      </w:r>
      <w:r w:rsidRPr="00873FEC">
        <w:rPr>
          <w:rFonts w:ascii="Verdana" w:eastAsia="Batang" w:hAnsi="Verdana" w:cs="Times"/>
          <w:b/>
          <w:sz w:val="20"/>
          <w:szCs w:val="24"/>
          <w:lang w:val="es-CR" w:eastAsia="es-CR"/>
        </w:rPr>
        <w:t xml:space="preserve"> </w:t>
      </w:r>
      <w:r w:rsidRPr="00873FEC">
        <w:rPr>
          <w:rFonts w:ascii="Verdana" w:eastAsia="Batang" w:hAnsi="Verdana" w:cs="Times"/>
          <w:sz w:val="20"/>
          <w:szCs w:val="24"/>
          <w:lang w:val="es-CR" w:eastAsia="es-CR"/>
        </w:rPr>
        <w:t xml:space="preserve">Guatemala, aun pese a haber admitido expresamente la competencia de la Corte para conocer el caso, sostuvo que el </w:t>
      </w:r>
      <w:r w:rsidR="000C5676">
        <w:rPr>
          <w:rFonts w:ascii="Verdana" w:eastAsia="Batang" w:hAnsi="Verdana" w:cs="Times"/>
          <w:sz w:val="20"/>
          <w:szCs w:val="24"/>
          <w:lang w:val="es-CR" w:eastAsia="es-CR"/>
        </w:rPr>
        <w:t>caso</w:t>
      </w:r>
      <w:r w:rsidRPr="00873FEC">
        <w:rPr>
          <w:rFonts w:ascii="Verdana" w:eastAsia="Batang" w:hAnsi="Verdana" w:cs="Times"/>
          <w:sz w:val="20"/>
          <w:szCs w:val="24"/>
          <w:lang w:val="es-CR" w:eastAsia="es-CR"/>
        </w:rPr>
        <w:t xml:space="preserve"> ya ha “sido dilucidado en el fuero interno” y, en la audiencia pública, que por ello “el caso no debió ser motivo de conocimiento de [la] Corte”. </w:t>
      </w:r>
      <w:r w:rsidRPr="00873FEC">
        <w:rPr>
          <w:rFonts w:ascii="Verdana" w:eastAsia="Batang" w:hAnsi="Verdana" w:cs="Times"/>
          <w:sz w:val="20"/>
          <w:szCs w:val="20"/>
          <w:lang w:val="es-CR" w:eastAsia="es-CR"/>
        </w:rPr>
        <w:t>Respecto a lo expresado por el Estado, este Tribunal nota que Guatemala informó que las autoridades judiciales condenaron a 14 personas y que otras 11 permanecen prófugas (</w:t>
      </w:r>
      <w:r w:rsidR="00FF1C00" w:rsidRPr="00873FEC">
        <w:rPr>
          <w:rFonts w:ascii="Verdana" w:eastAsia="Batang" w:hAnsi="Verdana" w:cs="Times"/>
          <w:i/>
          <w:sz w:val="20"/>
          <w:szCs w:val="20"/>
          <w:lang w:val="es-CR" w:eastAsia="es-CR"/>
        </w:rPr>
        <w:t xml:space="preserve">supra, </w:t>
      </w:r>
      <w:r w:rsidR="00FF1C00" w:rsidRPr="00873FEC">
        <w:rPr>
          <w:rFonts w:ascii="Verdana" w:eastAsia="Batang" w:hAnsi="Verdana" w:cs="Times"/>
          <w:sz w:val="20"/>
          <w:szCs w:val="20"/>
          <w:lang w:val="es-CR" w:eastAsia="es-CR"/>
        </w:rPr>
        <w:t>párr</w:t>
      </w:r>
      <w:r w:rsidR="0040546C">
        <w:rPr>
          <w:rFonts w:ascii="Verdana" w:eastAsia="Batang" w:hAnsi="Verdana" w:cs="Times"/>
          <w:sz w:val="20"/>
          <w:szCs w:val="20"/>
          <w:lang w:val="es-CR" w:eastAsia="es-CR"/>
        </w:rPr>
        <w:t>.</w:t>
      </w:r>
      <w:r w:rsidR="00FF1C00" w:rsidRPr="00873FEC">
        <w:rPr>
          <w:rFonts w:ascii="Verdana" w:eastAsia="Batang" w:hAnsi="Verdana" w:cs="Times"/>
          <w:sz w:val="20"/>
          <w:szCs w:val="20"/>
          <w:lang w:val="es-CR" w:eastAsia="es-CR"/>
        </w:rPr>
        <w:t xml:space="preserve"> 66 e </w:t>
      </w:r>
      <w:r w:rsidR="00FF1C00" w:rsidRPr="00873FEC">
        <w:rPr>
          <w:rFonts w:ascii="Verdana" w:eastAsia="Batang" w:hAnsi="Verdana" w:cs="Times"/>
          <w:i/>
          <w:sz w:val="20"/>
          <w:szCs w:val="20"/>
          <w:lang w:val="es-CR" w:eastAsia="es-CR"/>
        </w:rPr>
        <w:t>infra</w:t>
      </w:r>
      <w:r w:rsidRPr="00873FEC">
        <w:rPr>
          <w:rFonts w:ascii="Verdana" w:eastAsia="Batang" w:hAnsi="Verdana" w:cs="Times"/>
          <w:sz w:val="20"/>
          <w:szCs w:val="20"/>
          <w:lang w:val="es-CR" w:eastAsia="es-CR"/>
        </w:rPr>
        <w:t xml:space="preserve"> párr. 7</w:t>
      </w:r>
      <w:r w:rsidR="00FF1C00" w:rsidRPr="00873FEC">
        <w:rPr>
          <w:rFonts w:ascii="Verdana" w:eastAsia="Batang" w:hAnsi="Verdana" w:cs="Times"/>
          <w:sz w:val="20"/>
          <w:szCs w:val="20"/>
          <w:lang w:val="es-CR" w:eastAsia="es-CR"/>
        </w:rPr>
        <w:t>6</w:t>
      </w:r>
      <w:r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0C5676" w:rsidP="00126E97">
      <w:pPr>
        <w:numPr>
          <w:ilvl w:val="0"/>
          <w:numId w:val="3"/>
        </w:numPr>
        <w:spacing w:after="0" w:line="20" w:lineRule="atLeast"/>
        <w:ind w:right="-138"/>
        <w:jc w:val="both"/>
        <w:rPr>
          <w:rFonts w:ascii="Verdana" w:eastAsia="Batang" w:hAnsi="Verdana" w:cs="Times"/>
          <w:sz w:val="20"/>
          <w:szCs w:val="20"/>
          <w:lang w:val="es-CR" w:eastAsia="es-CR"/>
        </w:rPr>
      </w:pPr>
      <w:r>
        <w:rPr>
          <w:rFonts w:ascii="Verdana" w:eastAsia="Batang" w:hAnsi="Verdana" w:cs="Times"/>
          <w:sz w:val="20"/>
          <w:szCs w:val="24"/>
          <w:lang w:val="es-CR" w:eastAsia="es-CR"/>
        </w:rPr>
        <w:t>C</w:t>
      </w:r>
      <w:r w:rsidR="0057574C" w:rsidRPr="00873FEC">
        <w:rPr>
          <w:rFonts w:ascii="Verdana" w:eastAsia="Batang" w:hAnsi="Verdana" w:cs="Times"/>
          <w:sz w:val="20"/>
          <w:szCs w:val="24"/>
          <w:lang w:val="es-CR" w:eastAsia="es-CR"/>
        </w:rPr>
        <w:t>onforme el principio de complementariedad, resulta procedente que la Corte evalúe “si la respuesta estatal fue adecuada para remediar las consecuencias de la violación alegada”</w:t>
      </w:r>
      <w:r w:rsidR="0057574C" w:rsidRPr="00873FEC">
        <w:rPr>
          <w:rFonts w:ascii="Verdana" w:eastAsia="Batang" w:hAnsi="Verdana" w:cs="Times New Roman"/>
          <w:sz w:val="20"/>
          <w:szCs w:val="20"/>
          <w:vertAlign w:val="superscript"/>
          <w:lang w:val="es-CR" w:eastAsia="x-none"/>
        </w:rPr>
        <w:footnoteReference w:id="109"/>
      </w:r>
      <w:r w:rsidR="0057574C" w:rsidRPr="00873FEC">
        <w:rPr>
          <w:rFonts w:ascii="Verdana" w:eastAsia="Batang" w:hAnsi="Verdana" w:cs="Times"/>
          <w:sz w:val="20"/>
          <w:szCs w:val="24"/>
          <w:lang w:val="es-CR" w:eastAsia="es-CR"/>
        </w:rPr>
        <w:t>. En ese sentido, este Tribunal ha indicado que “</w:t>
      </w:r>
      <w:r w:rsidR="0057574C" w:rsidRPr="00873FEC">
        <w:rPr>
          <w:rFonts w:ascii="Verdana" w:eastAsia="Calibri" w:hAnsi="Verdana" w:cs="Verdana"/>
          <w:sz w:val="20"/>
          <w:szCs w:val="20"/>
          <w:lang w:val="es-CR" w:eastAsia="es-CR"/>
        </w:rPr>
        <w:t>los Estados no son internacionalmente responsables cuando han reconocido</w:t>
      </w:r>
      <w:r w:rsidR="0057574C" w:rsidRPr="00873FEC">
        <w:rPr>
          <w:rFonts w:ascii="Verdana" w:eastAsia="Batang" w:hAnsi="Verdana" w:cs="Times"/>
          <w:sz w:val="20"/>
          <w:szCs w:val="24"/>
          <w:lang w:val="es-CR" w:eastAsia="es-CR"/>
        </w:rPr>
        <w:t xml:space="preserve"> </w:t>
      </w:r>
      <w:r w:rsidR="0057574C" w:rsidRPr="00873FEC">
        <w:rPr>
          <w:rFonts w:ascii="Verdana" w:eastAsia="Calibri" w:hAnsi="Verdana" w:cs="Verdana"/>
          <w:sz w:val="20"/>
          <w:szCs w:val="20"/>
          <w:lang w:val="es-CR" w:eastAsia="es-CR"/>
        </w:rPr>
        <w:t>la comisión de un hecho ilícito internacional, han cesado la violación, y han reparado las consecuencias de la medida o situación que lo configuró”</w:t>
      </w:r>
      <w:r w:rsidR="0057574C" w:rsidRPr="00873FEC">
        <w:rPr>
          <w:rFonts w:ascii="Verdana" w:eastAsia="Batang" w:hAnsi="Verdana" w:cs="Times New Roman"/>
          <w:sz w:val="20"/>
          <w:szCs w:val="20"/>
          <w:vertAlign w:val="superscript"/>
          <w:lang w:val="es-CR" w:eastAsia="x-none"/>
        </w:rPr>
        <w:footnoteReference w:id="110"/>
      </w:r>
      <w:r w:rsidR="0057574C" w:rsidRPr="00873FEC">
        <w:rPr>
          <w:rFonts w:ascii="Verdana" w:eastAsia="Batang" w:hAnsi="Verdana" w:cs="Times"/>
          <w:sz w:val="20"/>
          <w:szCs w:val="20"/>
          <w:lang w:val="es-CR" w:eastAsia="es-CR"/>
        </w:rPr>
        <w:t xml:space="preserve">. </w:t>
      </w:r>
    </w:p>
    <w:p w:rsidR="0057574C" w:rsidRPr="00873FEC" w:rsidRDefault="0057574C" w:rsidP="00126E97">
      <w:pPr>
        <w:spacing w:after="0" w:line="20" w:lineRule="atLeast"/>
        <w:ind w:left="720"/>
        <w:contextualSpacing/>
        <w:rPr>
          <w:rFonts w:ascii="Calibri" w:eastAsia="Calibri" w:hAnsi="Calibri" w:cs="Times"/>
          <w:sz w:val="20"/>
          <w:szCs w:val="20"/>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En e</w:t>
      </w:r>
      <w:r w:rsidR="000C5676">
        <w:rPr>
          <w:rFonts w:ascii="Verdana" w:eastAsia="Batang" w:hAnsi="Verdana" w:cs="Times"/>
          <w:sz w:val="20"/>
          <w:szCs w:val="20"/>
          <w:lang w:val="es-CR" w:eastAsia="es-CR"/>
        </w:rPr>
        <w:t>ste</w:t>
      </w:r>
      <w:r w:rsidRPr="00873FEC">
        <w:rPr>
          <w:rFonts w:ascii="Verdana" w:eastAsia="Batang" w:hAnsi="Verdana" w:cs="Times"/>
          <w:sz w:val="20"/>
          <w:szCs w:val="20"/>
          <w:lang w:val="es-CR" w:eastAsia="es-CR"/>
        </w:rPr>
        <w:t xml:space="preserve"> caso, no obstante, es procedente examinar los argumentos sobre violaciones a derechos convencionales. En ese sentido, en primer lugar, cabe advertir que</w:t>
      </w:r>
      <w:r w:rsidRPr="00873FEC">
        <w:rPr>
          <w:rFonts w:ascii="Verdana" w:eastAsia="Batang" w:hAnsi="Verdana" w:cs="Times"/>
          <w:sz w:val="20"/>
          <w:szCs w:val="24"/>
          <w:lang w:val="es-CR" w:eastAsia="es-CR"/>
        </w:rPr>
        <w:t xml:space="preserve"> Guatemala ha expresado que “</w:t>
      </w:r>
      <w:proofErr w:type="spellStart"/>
      <w:r w:rsidRPr="00873FEC">
        <w:rPr>
          <w:rFonts w:ascii="Verdana" w:eastAsia="Batang" w:hAnsi="Verdana" w:cs="Times"/>
          <w:sz w:val="20"/>
          <w:szCs w:val="24"/>
          <w:lang w:val="es-CR" w:eastAsia="es-CR"/>
        </w:rPr>
        <w:t>reconoc</w:t>
      </w:r>
      <w:proofErr w:type="spellEnd"/>
      <w:r w:rsidRPr="00873FEC">
        <w:rPr>
          <w:rFonts w:ascii="Verdana" w:eastAsia="Batang" w:hAnsi="Verdana" w:cs="Times"/>
          <w:sz w:val="20"/>
          <w:szCs w:val="24"/>
          <w:lang w:val="es-CR" w:eastAsia="es-CR"/>
        </w:rPr>
        <w:t xml:space="preserve">[e] </w:t>
      </w:r>
      <w:proofErr w:type="gramStart"/>
      <w:r w:rsidRPr="00873FEC">
        <w:rPr>
          <w:rFonts w:ascii="Verdana" w:eastAsia="Batang" w:hAnsi="Verdana" w:cs="Times"/>
          <w:sz w:val="20"/>
          <w:szCs w:val="24"/>
          <w:lang w:val="es-CR" w:eastAsia="es-CR"/>
        </w:rPr>
        <w:t>institucional[</w:t>
      </w:r>
      <w:proofErr w:type="gramEnd"/>
      <w:r w:rsidRPr="00873FEC">
        <w:rPr>
          <w:rFonts w:ascii="Verdana" w:eastAsia="Batang" w:hAnsi="Verdana" w:cs="Times"/>
          <w:sz w:val="20"/>
          <w:szCs w:val="24"/>
          <w:lang w:val="es-CR" w:eastAsia="es-CR"/>
        </w:rPr>
        <w:t>mente]” lo sucedido, pero aclaró que ello no implica un reconocimiento de “responsabilidad internacional”</w:t>
      </w:r>
      <w:r w:rsidRPr="00873FEC">
        <w:rPr>
          <w:rFonts w:ascii="Verdana" w:eastAsia="Batang" w:hAnsi="Verdana" w:cs="Times New Roman"/>
          <w:sz w:val="20"/>
          <w:szCs w:val="20"/>
          <w:vertAlign w:val="superscript"/>
          <w:lang w:val="es-CR" w:eastAsia="x-none"/>
        </w:rPr>
        <w:footnoteReference w:id="111"/>
      </w:r>
      <w:r w:rsidRPr="00873FEC">
        <w:rPr>
          <w:rFonts w:ascii="Verdana" w:eastAsia="Batang" w:hAnsi="Verdana" w:cs="Times"/>
          <w:sz w:val="20"/>
          <w:szCs w:val="24"/>
          <w:lang w:val="es-CR" w:eastAsia="es-CR"/>
        </w:rPr>
        <w:t>. Por otra parte, no resulta evidente que haya habido reparación: pese a que el Estado desarrolló actuaciones que derivaron en la condena firme de 14 personas, los representantes y la Comisión han cuestionado que dichas actuaciones hayan sido diligentes y completas, y han negado que las presuntas víctimas hayan obtenido reparación. De modo contrario, Guatemala sostuvo que efectuó una investigación diligente y que ello la exime de responsabilidad respecto a distintos derechos que la Comisión y los representantes arguyeron violados. A fin de analizar la</w:t>
      </w:r>
      <w:r w:rsidR="000C5676">
        <w:rPr>
          <w:rFonts w:ascii="Verdana" w:eastAsia="Batang" w:hAnsi="Verdana" w:cs="Times"/>
          <w:sz w:val="20"/>
          <w:szCs w:val="24"/>
          <w:lang w:val="es-CR" w:eastAsia="es-CR"/>
        </w:rPr>
        <w:t xml:space="preserve"> posición</w:t>
      </w:r>
      <w:r w:rsidRPr="00873FEC">
        <w:rPr>
          <w:rFonts w:ascii="Verdana" w:eastAsia="Batang" w:hAnsi="Verdana" w:cs="Times"/>
          <w:sz w:val="20"/>
          <w:szCs w:val="24"/>
          <w:lang w:val="es-CR" w:eastAsia="es-CR"/>
        </w:rPr>
        <w:t xml:space="preserve"> de las partes, resulta necesario considerar los argumentos sobre los aspectos de fondo del caso.  </w:t>
      </w:r>
    </w:p>
    <w:p w:rsidR="0057574C" w:rsidRPr="00873FEC" w:rsidRDefault="0057574C" w:rsidP="00126E97">
      <w:pPr>
        <w:spacing w:after="0" w:line="20" w:lineRule="atLeast"/>
        <w:ind w:left="720"/>
        <w:contextualSpacing/>
        <w:rPr>
          <w:rFonts w:ascii="Calibri" w:eastAsia="Calibri" w:hAnsi="Calibri" w:cs="Times"/>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lastRenderedPageBreak/>
        <w:t>Ahora bien, en casos que presentaban similitudes con el presente, este Tribunal ha examinado la observancia de los derechos a las garantías judiciales y a la protección judicial luego de hacer lo propio respecto de otras vulneraciones alegadas</w:t>
      </w:r>
      <w:r w:rsidRPr="00873FEC">
        <w:rPr>
          <w:rFonts w:ascii="Verdana" w:eastAsia="Batang" w:hAnsi="Verdana" w:cs="Times New Roman"/>
          <w:sz w:val="20"/>
          <w:szCs w:val="20"/>
          <w:vertAlign w:val="superscript"/>
          <w:lang w:val="es-CR" w:eastAsia="es-CR"/>
        </w:rPr>
        <w:footnoteReference w:id="112"/>
      </w:r>
      <w:r w:rsidRPr="00873FEC">
        <w:rPr>
          <w:rFonts w:ascii="Verdana" w:eastAsia="Batang" w:hAnsi="Verdana" w:cs="Times"/>
          <w:sz w:val="20"/>
          <w:szCs w:val="24"/>
          <w:lang w:val="es-CR" w:eastAsia="es-CR"/>
        </w:rPr>
        <w:t xml:space="preserve">. En este caso, no obstante, la Corte advierte que Guatemala, como se indicó, ha expresado que a partir de la actuación de sus autoridades judiciales, debía considerarse que el caso ya ha sido “dilucidado” en el ámbito interno, e incluso que no debió ser conocido por este Tribunal. Además, de los argumentos estatales (que se reseñan más adelante) se desprende que Guatemala entiende que las actuaciones judiciales realizadas, que derivaron en la condena de 14 </w:t>
      </w:r>
      <w:r w:rsidR="00DC70EB" w:rsidRPr="00873FEC">
        <w:rPr>
          <w:rFonts w:ascii="Verdana" w:eastAsia="Batang" w:hAnsi="Verdana" w:cs="Times"/>
          <w:sz w:val="20"/>
          <w:szCs w:val="24"/>
          <w:lang w:val="es-CR" w:eastAsia="es-CR"/>
        </w:rPr>
        <w:t>personas, eximen al Estado no só</w:t>
      </w:r>
      <w:r w:rsidRPr="00873FEC">
        <w:rPr>
          <w:rFonts w:ascii="Verdana" w:eastAsia="Batang" w:hAnsi="Verdana" w:cs="Times"/>
          <w:sz w:val="20"/>
          <w:szCs w:val="24"/>
          <w:lang w:val="es-CR" w:eastAsia="es-CR"/>
        </w:rPr>
        <w:t xml:space="preserve">lo de responsabilidad respecto al deber de investigar los hechos del caso, sino también de violaciones a la vida y a la integridad personal que han sido alegadas. </w:t>
      </w:r>
    </w:p>
    <w:p w:rsidR="0057574C" w:rsidRPr="00873FEC" w:rsidRDefault="0057574C" w:rsidP="00126E97">
      <w:pPr>
        <w:spacing w:after="0" w:line="20" w:lineRule="atLeast"/>
        <w:ind w:left="720"/>
        <w:contextualSpacing/>
        <w:rPr>
          <w:rFonts w:ascii="Calibri" w:eastAsia="Calibri" w:hAnsi="Calibri" w:cs="Times"/>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Por lo dicho, resulta necesario que la Corte evalúe la actividad judicial desplegada en el caso y, a partir de ello, verifique si existen motivos que permitan determinar violaciones a derechos convencionales. En efecto, dados los alegatos del Estado, puede existir una estrecha relación entre el modo en que han sido observados los derechos a las garantías y protección judiciales y la determinación que corresponda realizar sobre otros derechos. Por ello, la Corte analizará los argumentos en el siguiente orden: 1) derechos a las garantías judiciales y a la protección judicial; 2) derechos a la vida, a la integridad personal y derechos del niño</w:t>
      </w:r>
      <w:r w:rsidR="00DC70EB" w:rsidRPr="00873FEC">
        <w:rPr>
          <w:rFonts w:ascii="Verdana" w:eastAsia="Batang" w:hAnsi="Verdana" w:cs="Times"/>
          <w:sz w:val="20"/>
          <w:szCs w:val="24"/>
          <w:lang w:val="es-CR" w:eastAsia="es-CR"/>
        </w:rPr>
        <w:t>, en relación con la obligación de respetar los derechos sin discriminación</w:t>
      </w:r>
      <w:r w:rsidRPr="00873FEC">
        <w:rPr>
          <w:rFonts w:ascii="Verdana" w:eastAsia="Batang" w:hAnsi="Verdana" w:cs="Times"/>
          <w:sz w:val="20"/>
          <w:szCs w:val="24"/>
          <w:lang w:val="es-CR" w:eastAsia="es-CR"/>
        </w:rPr>
        <w:t xml:space="preserve">; 3) derecho a la integridad personal respecto de familiares de personas fallecidas y heridas; 4) derecho a la propiedad privada, y 5) derecho a la igualdad ante la ley.  </w:t>
      </w:r>
    </w:p>
    <w:p w:rsidR="0057574C" w:rsidRDefault="0057574C" w:rsidP="00126E97">
      <w:pPr>
        <w:spacing w:after="0" w:line="20" w:lineRule="atLeast"/>
        <w:ind w:right="-138"/>
        <w:jc w:val="center"/>
        <w:rPr>
          <w:rFonts w:ascii="Verdana" w:eastAsia="Batang" w:hAnsi="Verdana" w:cs="Times"/>
          <w:sz w:val="20"/>
          <w:szCs w:val="24"/>
          <w:lang w:val="es-CR" w:eastAsia="es-CR"/>
        </w:rPr>
      </w:pPr>
    </w:p>
    <w:p w:rsidR="000624C7" w:rsidRPr="00873FEC" w:rsidRDefault="000624C7" w:rsidP="00126E97">
      <w:pPr>
        <w:spacing w:after="0" w:line="20" w:lineRule="atLeast"/>
        <w:ind w:right="-138"/>
        <w:jc w:val="center"/>
        <w:rPr>
          <w:rFonts w:ascii="Verdana" w:eastAsia="Batang" w:hAnsi="Verdana" w:cs="Times"/>
          <w:sz w:val="20"/>
          <w:szCs w:val="24"/>
          <w:lang w:val="es-CR" w:eastAsia="es-CR"/>
        </w:rPr>
      </w:pPr>
    </w:p>
    <w:p w:rsidR="0057574C" w:rsidRPr="00873FEC" w:rsidRDefault="0057574C" w:rsidP="00126E97">
      <w:pPr>
        <w:keepNext/>
        <w:keepLines/>
        <w:spacing w:after="0" w:line="20" w:lineRule="atLeast"/>
        <w:jc w:val="center"/>
        <w:outlineLvl w:val="0"/>
        <w:rPr>
          <w:rFonts w:ascii="Verdana" w:eastAsia="Times New Roman" w:hAnsi="Verdana" w:cs="Verdana"/>
          <w:b/>
          <w:caps/>
          <w:sz w:val="20"/>
          <w:szCs w:val="20"/>
          <w:lang w:val="es-CR" w:eastAsia="es-CR"/>
        </w:rPr>
      </w:pPr>
      <w:bookmarkStart w:id="135" w:name="_Toc520207591"/>
      <w:bookmarkStart w:id="136" w:name="_Toc521694812"/>
      <w:bookmarkStart w:id="137" w:name="_Toc525201165"/>
      <w:bookmarkEnd w:id="135"/>
      <w:r w:rsidRPr="00873FEC">
        <w:rPr>
          <w:rFonts w:ascii="Verdana" w:eastAsia="Times New Roman" w:hAnsi="Verdana" w:cs="Verdana"/>
          <w:b/>
          <w:caps/>
          <w:sz w:val="20"/>
          <w:szCs w:val="20"/>
          <w:lang w:val="es-CR" w:eastAsia="es-CR"/>
        </w:rPr>
        <w:t>ViI.1</w:t>
      </w:r>
      <w:bookmarkEnd w:id="136"/>
      <w:bookmarkEnd w:id="137"/>
    </w:p>
    <w:p w:rsidR="0057574C" w:rsidRPr="00873FEC" w:rsidRDefault="0057574C" w:rsidP="00126E97">
      <w:pPr>
        <w:keepNext/>
        <w:keepLines/>
        <w:spacing w:after="0" w:line="20" w:lineRule="atLeast"/>
        <w:jc w:val="center"/>
        <w:outlineLvl w:val="0"/>
        <w:rPr>
          <w:rFonts w:ascii="Verdana" w:eastAsia="Times New Roman" w:hAnsi="Verdana" w:cs="Verdana"/>
          <w:b/>
          <w:caps/>
          <w:sz w:val="20"/>
          <w:szCs w:val="20"/>
          <w:lang w:val="es-CR" w:eastAsia="es-CR"/>
        </w:rPr>
      </w:pPr>
      <w:bookmarkStart w:id="138" w:name="_Toc520207592"/>
      <w:bookmarkStart w:id="139" w:name="_Toc521694813"/>
      <w:bookmarkStart w:id="140" w:name="_Toc525201166"/>
      <w:bookmarkEnd w:id="138"/>
      <w:r w:rsidRPr="00873FEC">
        <w:rPr>
          <w:rFonts w:ascii="Verdana" w:eastAsia="Batang" w:hAnsi="Verdana" w:cs="Verdana"/>
          <w:b/>
          <w:bCs/>
          <w:caps/>
          <w:sz w:val="20"/>
          <w:szCs w:val="20"/>
          <w:lang w:val="es-CR" w:eastAsia="es-CR"/>
        </w:rPr>
        <w:t>DERECHOS A LAS GARANTÍAS JUDICIALES</w:t>
      </w:r>
      <w:r w:rsidRPr="00873FEC">
        <w:rPr>
          <w:rFonts w:ascii="Verdana" w:eastAsia="Times New Roman" w:hAnsi="Verdana" w:cs="Times New Roman"/>
          <w:sz w:val="20"/>
          <w:szCs w:val="20"/>
          <w:vertAlign w:val="superscript"/>
          <w:lang w:val="es-CR" w:eastAsia="x-none"/>
        </w:rPr>
        <w:footnoteReference w:id="113"/>
      </w:r>
      <w:r w:rsidRPr="00873FEC">
        <w:rPr>
          <w:rFonts w:ascii="Verdana" w:eastAsia="Batang" w:hAnsi="Verdana" w:cs="Verdana"/>
          <w:b/>
          <w:bCs/>
          <w:caps/>
          <w:sz w:val="20"/>
          <w:szCs w:val="20"/>
          <w:lang w:val="es-CR" w:eastAsia="es-CR"/>
        </w:rPr>
        <w:t xml:space="preserve"> Y A LA PROTECCIÓN JUDICIAL</w:t>
      </w:r>
      <w:r w:rsidRPr="00873FEC">
        <w:rPr>
          <w:rFonts w:ascii="Verdana" w:eastAsia="Times New Roman" w:hAnsi="Verdana" w:cs="Times New Roman"/>
          <w:sz w:val="20"/>
          <w:szCs w:val="20"/>
          <w:vertAlign w:val="superscript"/>
          <w:lang w:val="es-CR" w:eastAsia="x-none"/>
        </w:rPr>
        <w:footnoteReference w:id="114"/>
      </w:r>
      <w:bookmarkEnd w:id="139"/>
      <w:bookmarkEnd w:id="140"/>
      <w:r w:rsidRPr="00873FEC">
        <w:rPr>
          <w:rFonts w:ascii="Verdana" w:eastAsia="Batang" w:hAnsi="Verdana" w:cs="Verdana"/>
          <w:b/>
          <w:bCs/>
          <w:caps/>
          <w:sz w:val="20"/>
          <w:szCs w:val="20"/>
          <w:lang w:val="es-CR" w:eastAsia="es-CR"/>
        </w:rPr>
        <w:t xml:space="preserve"> </w:t>
      </w:r>
    </w:p>
    <w:p w:rsidR="0057574C" w:rsidRPr="00873FEC" w:rsidRDefault="0057574C" w:rsidP="00126E97">
      <w:pPr>
        <w:spacing w:after="0" w:line="20" w:lineRule="atLeast"/>
        <w:ind w:right="-138"/>
        <w:jc w:val="both"/>
        <w:rPr>
          <w:rFonts w:ascii="Verdana" w:eastAsia="Batang" w:hAnsi="Verdana" w:cs="Times"/>
          <w:i/>
          <w:sz w:val="20"/>
          <w:szCs w:val="20"/>
          <w:lang w:val="es-CR" w:eastAsia="es-CR"/>
        </w:rPr>
      </w:pPr>
    </w:p>
    <w:p w:rsidR="0057574C" w:rsidRPr="00873FEC" w:rsidRDefault="0057574C" w:rsidP="00126E97">
      <w:pPr>
        <w:numPr>
          <w:ilvl w:val="0"/>
          <w:numId w:val="7"/>
        </w:numPr>
        <w:spacing w:after="0" w:line="20" w:lineRule="atLeast"/>
        <w:ind w:left="284" w:right="-138"/>
        <w:contextualSpacing/>
        <w:jc w:val="both"/>
        <w:outlineLvl w:val="1"/>
        <w:rPr>
          <w:rFonts w:ascii="Verdana" w:eastAsia="Calibri" w:hAnsi="Verdana" w:cs="Times"/>
          <w:b/>
          <w:i/>
          <w:sz w:val="20"/>
          <w:szCs w:val="20"/>
          <w:lang w:val="es-CR" w:eastAsia="es-CR"/>
        </w:rPr>
      </w:pPr>
      <w:bookmarkStart w:id="141" w:name="_Toc520207593"/>
      <w:bookmarkStart w:id="142" w:name="_Toc525201167"/>
      <w:bookmarkEnd w:id="141"/>
      <w:r w:rsidRPr="00873FEC">
        <w:rPr>
          <w:rFonts w:ascii="Verdana" w:eastAsia="Calibri" w:hAnsi="Verdana" w:cs="Times"/>
          <w:b/>
          <w:i/>
          <w:sz w:val="20"/>
          <w:szCs w:val="20"/>
          <w:lang w:val="es-CR" w:eastAsia="es-CR"/>
        </w:rPr>
        <w:t>Argumentos de la Comisión y las partes</w:t>
      </w:r>
      <w:bookmarkEnd w:id="142"/>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La </w:t>
      </w:r>
      <w:r w:rsidRPr="00873FEC">
        <w:rPr>
          <w:rFonts w:ascii="Verdana" w:eastAsia="Batang" w:hAnsi="Verdana" w:cs="Times"/>
          <w:b/>
          <w:i/>
          <w:sz w:val="20"/>
          <w:szCs w:val="20"/>
          <w:lang w:val="es-CR" w:eastAsia="es-CR"/>
        </w:rPr>
        <w:t>Comisión</w:t>
      </w:r>
      <w:r w:rsidRPr="00873FEC">
        <w:rPr>
          <w:rFonts w:ascii="Verdana" w:eastAsia="Batang" w:hAnsi="Verdana" w:cs="Times"/>
          <w:sz w:val="20"/>
          <w:szCs w:val="20"/>
          <w:lang w:val="es-CR" w:eastAsia="es-CR"/>
        </w:rPr>
        <w:t>, entendió que el Estado violó los artículos 8.1 y 25.1 de la Convención en perjuicio de las personas sobrevivientes y de los familiares de las personas muertas y heridas. Ello, dado que: a) se afectó la independencia e imparcialidad mientras la investigación estuvo en la jurisdicción militar, dada la intervención del fuero castrense; b</w:t>
      </w:r>
      <w:r w:rsidRPr="00873FEC">
        <w:rPr>
          <w:rFonts w:ascii="Verdana" w:eastAsia="Times New Roman" w:hAnsi="Verdana" w:cs="Times New Roman"/>
          <w:bCs/>
          <w:color w:val="000000"/>
          <w:sz w:val="20"/>
          <w:szCs w:val="20"/>
          <w:lang w:val="es-CR" w:eastAsia="es-CR"/>
        </w:rPr>
        <w:t xml:space="preserve">) </w:t>
      </w:r>
      <w:r w:rsidRPr="00873FEC">
        <w:rPr>
          <w:rFonts w:ascii="Verdana" w:eastAsia="Batang" w:hAnsi="Verdana" w:cs="Times"/>
          <w:sz w:val="20"/>
          <w:szCs w:val="20"/>
          <w:lang w:val="es-CR" w:eastAsia="es-CR"/>
        </w:rPr>
        <w:t>las actuaciones no se condujeron en un plazo razonable, pues resultó excesivo el tiempo de nueve años que demoró la justicia interna en sancionar a responsables</w:t>
      </w:r>
      <w:r w:rsidRPr="00873FEC">
        <w:rPr>
          <w:rFonts w:ascii="Verdana" w:eastAsia="Batang" w:hAnsi="Verdana" w:cs="Times New Roman"/>
          <w:sz w:val="20"/>
          <w:szCs w:val="20"/>
          <w:vertAlign w:val="superscript"/>
          <w:lang w:val="es-CR" w:eastAsia="x-none"/>
        </w:rPr>
        <w:footnoteReference w:id="115"/>
      </w:r>
      <w:r w:rsidRPr="00873FEC">
        <w:rPr>
          <w:rFonts w:ascii="Verdana" w:eastAsia="Batang" w:hAnsi="Verdana" w:cs="Times"/>
          <w:sz w:val="20"/>
          <w:szCs w:val="20"/>
          <w:lang w:val="es-CR" w:eastAsia="es-CR"/>
        </w:rPr>
        <w:t xml:space="preserve">, y c) hubo “deficiencias e irregularidades”, por: i.-el </w:t>
      </w:r>
      <w:r w:rsidRPr="00873FEC">
        <w:rPr>
          <w:rFonts w:ascii="Verdana" w:eastAsia="Batang" w:hAnsi="Verdana" w:cs="Times"/>
          <w:sz w:val="20"/>
          <w:szCs w:val="20"/>
          <w:lang w:val="es-CR" w:eastAsia="es-CR"/>
        </w:rPr>
        <w:lastRenderedPageBreak/>
        <w:t xml:space="preserve">modo en que se realizó el manejo de la prueba; ii.- “largos periodos de inactividad”; iii.-la falta de “realización de algunas diligencias”; iv.- la “aceptación contraria al marco legal de distintos recursos y pruebas por parte de la defensa de los procesados” y el “rechazo no motivado de pruebas y declaraciones por parte de la querellante”, y v.- la falta de adopción de medidas respecto a amenazas y hostigamientos en contra de diversos actores en el proceso, lo que a su vez repercutió en las actuaciones, particularmente en su demora.  </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Los </w:t>
      </w:r>
      <w:r w:rsidRPr="00873FEC">
        <w:rPr>
          <w:rFonts w:ascii="Verdana" w:eastAsia="Batang" w:hAnsi="Verdana" w:cs="Times"/>
          <w:b/>
          <w:i/>
          <w:sz w:val="20"/>
          <w:szCs w:val="20"/>
          <w:lang w:val="es-CR" w:eastAsia="es-CR"/>
        </w:rPr>
        <w:t>representantes</w:t>
      </w:r>
      <w:r w:rsidRPr="00873FEC">
        <w:rPr>
          <w:rFonts w:ascii="Verdana" w:eastAsia="Batang" w:hAnsi="Verdana" w:cs="Times"/>
          <w:b/>
          <w:sz w:val="20"/>
          <w:szCs w:val="20"/>
          <w:lang w:val="es-CR" w:eastAsia="es-CR"/>
        </w:rPr>
        <w:t xml:space="preserve"> </w:t>
      </w:r>
      <w:r w:rsidRPr="00873FEC">
        <w:rPr>
          <w:rFonts w:ascii="Verdana" w:eastAsia="Batang" w:hAnsi="Verdana" w:cs="Times"/>
          <w:sz w:val="20"/>
          <w:szCs w:val="20"/>
          <w:lang w:val="es-CR" w:eastAsia="es-CR"/>
        </w:rPr>
        <w:t xml:space="preserve">manifestaron que fueron violados los derechos </w:t>
      </w:r>
      <w:r w:rsidR="000C5676">
        <w:rPr>
          <w:rFonts w:ascii="Verdana" w:eastAsia="Batang" w:hAnsi="Verdana" w:cs="Times"/>
          <w:sz w:val="20"/>
          <w:szCs w:val="20"/>
          <w:lang w:val="es-CR" w:eastAsia="es-CR"/>
        </w:rPr>
        <w:t>a las</w:t>
      </w:r>
      <w:r w:rsidRPr="00873FEC">
        <w:rPr>
          <w:rFonts w:ascii="Verdana" w:eastAsia="Batang" w:hAnsi="Verdana" w:cs="Times"/>
          <w:sz w:val="20"/>
          <w:szCs w:val="20"/>
          <w:lang w:val="es-CR" w:eastAsia="es-CR"/>
        </w:rPr>
        <w:t xml:space="preserve"> garantías judiciales y protección judicial de las presuntas víctimas, debido a que las investigaciones penales nacionales tuvieron “una serie de irregularidades, falencias y omisiones”. Calificaron el proceso como “inconcluso”. Adujeron que debe “</w:t>
      </w:r>
      <w:proofErr w:type="gramStart"/>
      <w:r w:rsidRPr="00873FEC">
        <w:rPr>
          <w:rFonts w:ascii="Verdana" w:eastAsia="Batang" w:hAnsi="Verdana" w:cs="Times"/>
          <w:sz w:val="20"/>
          <w:szCs w:val="20"/>
          <w:lang w:val="es-CR" w:eastAsia="es-CR"/>
        </w:rPr>
        <w:t>completar[</w:t>
      </w:r>
      <w:proofErr w:type="gramEnd"/>
      <w:r w:rsidRPr="00873FEC">
        <w:rPr>
          <w:rFonts w:ascii="Verdana" w:eastAsia="Batang" w:hAnsi="Verdana" w:cs="Times"/>
          <w:sz w:val="20"/>
          <w:szCs w:val="20"/>
          <w:lang w:val="es-CR" w:eastAsia="es-CR"/>
        </w:rPr>
        <w:t>se] la investigación, no solo de autores intelectuales sino de la cadena de mando”. Enfatizaron también que “[a]</w:t>
      </w:r>
      <w:proofErr w:type="spellStart"/>
      <w:r w:rsidRPr="00873FEC">
        <w:rPr>
          <w:rFonts w:ascii="Verdana" w:eastAsia="Batang" w:hAnsi="Verdana" w:cs="Times"/>
          <w:sz w:val="20"/>
          <w:szCs w:val="20"/>
          <w:lang w:val="es-CR" w:eastAsia="es-CR"/>
        </w:rPr>
        <w:t>ún</w:t>
      </w:r>
      <w:proofErr w:type="spellEnd"/>
      <w:r w:rsidRPr="00873FEC">
        <w:rPr>
          <w:rFonts w:ascii="Verdana" w:eastAsia="Batang" w:hAnsi="Verdana" w:cs="Times"/>
          <w:sz w:val="20"/>
          <w:szCs w:val="20"/>
          <w:lang w:val="es-CR" w:eastAsia="es-CR"/>
        </w:rPr>
        <w:t xml:space="preserve"> quedan pendientes algunas capturas”, y que el trámite actualmente está “abandonado” sin información sobre personas que están “prófugas”</w:t>
      </w:r>
      <w:r w:rsidRPr="00873FEC">
        <w:rPr>
          <w:rFonts w:ascii="Verdana" w:eastAsia="Batang" w:hAnsi="Verdana" w:cs="Times"/>
          <w:b/>
          <w:sz w:val="16"/>
          <w:szCs w:val="16"/>
          <w:lang w:val="es-CR" w:eastAsia="es-CR"/>
        </w:rPr>
        <w:t xml:space="preserve"> </w:t>
      </w:r>
      <w:r w:rsidRPr="00873FEC">
        <w:rPr>
          <w:rFonts w:ascii="Verdana" w:eastAsia="Batang" w:hAnsi="Verdana" w:cs="Times"/>
          <w:sz w:val="20"/>
          <w:szCs w:val="20"/>
          <w:lang w:val="es-CR" w:eastAsia="es-CR"/>
        </w:rPr>
        <w:t xml:space="preserve">hace “más de dos décadas”. En la audiencia pública consideraron que “no es posible que ya las personas [condenadas] vayan a salir [en libertad luego] de </w:t>
      </w:r>
      <w:r w:rsidR="00F5049E" w:rsidRPr="00873FEC">
        <w:rPr>
          <w:rFonts w:ascii="Verdana" w:eastAsia="Batang" w:hAnsi="Verdana" w:cs="Times"/>
          <w:sz w:val="20"/>
          <w:szCs w:val="20"/>
          <w:lang w:val="es-CR" w:eastAsia="es-CR"/>
        </w:rPr>
        <w:t>cumplir una condena sin que la C</w:t>
      </w:r>
      <w:r w:rsidRPr="00873FEC">
        <w:rPr>
          <w:rFonts w:ascii="Verdana" w:eastAsia="Batang" w:hAnsi="Verdana" w:cs="Times"/>
          <w:sz w:val="20"/>
          <w:szCs w:val="20"/>
          <w:lang w:val="es-CR" w:eastAsia="es-CR"/>
        </w:rPr>
        <w:t>omunidad haya podido tener una reparación digna”. Luego, en sus alegatos finales escritos, presentados el 9 de marzo de 2018, indicaron que algunas “personas ya están libres”, y que otras “podrán solicitar su libertad” en fechas próximas</w:t>
      </w:r>
      <w:r w:rsidRPr="00873FEC">
        <w:rPr>
          <w:rFonts w:ascii="Verdana" w:eastAsia="Batang" w:hAnsi="Verdana" w:cs="Times New Roman"/>
          <w:sz w:val="20"/>
          <w:szCs w:val="20"/>
          <w:vertAlign w:val="superscript"/>
          <w:lang w:val="es-CR" w:eastAsia="x-none"/>
        </w:rPr>
        <w:footnoteReference w:id="116"/>
      </w:r>
      <w:r w:rsidRPr="00873FEC">
        <w:rPr>
          <w:rFonts w:ascii="Verdana" w:eastAsia="Batang" w:hAnsi="Verdana" w:cs="Times"/>
          <w:sz w:val="20"/>
          <w:szCs w:val="20"/>
          <w:lang w:val="es-CR" w:eastAsia="es-CR"/>
        </w:rPr>
        <w:t>. Por otra parte, entendieron que se vulneró la razonabilidad del plazo pues se demoró “[diez] años para poder concluir el proceso penal” y todavía “existen órdenes de captura pendientes para 11 personas, lo cual constituye 22 años de impunidad”</w:t>
      </w:r>
      <w:r w:rsidRPr="00873FEC">
        <w:rPr>
          <w:rFonts w:ascii="Verdana" w:eastAsia="Batang" w:hAnsi="Verdana" w:cs="Times New Roman"/>
          <w:sz w:val="20"/>
          <w:szCs w:val="20"/>
          <w:vertAlign w:val="superscript"/>
          <w:lang w:val="es-CR" w:eastAsia="x-none"/>
        </w:rPr>
        <w:footnoteReference w:id="117"/>
      </w:r>
      <w:r w:rsidRPr="00873FEC">
        <w:rPr>
          <w:rFonts w:ascii="Verdana" w:eastAsia="Batang" w:hAnsi="Verdana" w:cs="Times"/>
          <w:sz w:val="20"/>
          <w:szCs w:val="20"/>
          <w:lang w:val="es-CR" w:eastAsia="es-CR"/>
        </w:rPr>
        <w:t>.</w:t>
      </w:r>
    </w:p>
    <w:p w:rsidR="0057574C" w:rsidRPr="00873FEC" w:rsidRDefault="0057574C" w:rsidP="00126E97">
      <w:pPr>
        <w:spacing w:after="0" w:line="20" w:lineRule="atLeast"/>
        <w:ind w:left="720"/>
        <w:contextualSpacing/>
        <w:rPr>
          <w:rFonts w:ascii="Calibri" w:eastAsia="Calibri" w:hAnsi="Calibri" w:cs="Times"/>
          <w:szCs w:val="20"/>
          <w:lang w:val="es-CR" w:eastAsia="es-CR"/>
        </w:rPr>
      </w:pPr>
    </w:p>
    <w:p w:rsidR="0057574C" w:rsidRPr="00873FEC" w:rsidRDefault="0057574C" w:rsidP="00126E97">
      <w:pPr>
        <w:numPr>
          <w:ilvl w:val="0"/>
          <w:numId w:val="3"/>
        </w:numPr>
        <w:spacing w:after="0" w:line="20" w:lineRule="atLeast"/>
        <w:ind w:right="-138"/>
        <w:jc w:val="both"/>
        <w:rPr>
          <w:rFonts w:ascii="Verdana" w:eastAsia="Calibri" w:hAnsi="Verdana" w:cs="Times New Roman"/>
          <w:sz w:val="20"/>
          <w:szCs w:val="20"/>
          <w:lang w:val="es-CR" w:eastAsia="es-CR"/>
        </w:rPr>
      </w:pPr>
      <w:r w:rsidRPr="00873FEC">
        <w:rPr>
          <w:rFonts w:ascii="Verdana" w:eastAsia="Batang" w:hAnsi="Verdana" w:cs="Times"/>
          <w:sz w:val="20"/>
          <w:szCs w:val="20"/>
          <w:lang w:val="es-CR" w:eastAsia="es-CR"/>
        </w:rPr>
        <w:t xml:space="preserve">El </w:t>
      </w:r>
      <w:r w:rsidRPr="00873FEC">
        <w:rPr>
          <w:rFonts w:ascii="Verdana" w:eastAsia="Batang" w:hAnsi="Verdana" w:cs="Times"/>
          <w:b/>
          <w:i/>
          <w:sz w:val="20"/>
          <w:szCs w:val="20"/>
          <w:lang w:val="es-CR" w:eastAsia="es-CR"/>
        </w:rPr>
        <w:t>Estado</w:t>
      </w:r>
      <w:r w:rsidRPr="00873FEC">
        <w:rPr>
          <w:rFonts w:ascii="Verdana" w:eastAsia="Batang" w:hAnsi="Verdana" w:cs="Times"/>
          <w:sz w:val="20"/>
          <w:szCs w:val="20"/>
          <w:lang w:val="es-CR" w:eastAsia="es-CR"/>
        </w:rPr>
        <w:t xml:space="preserve"> afirmó haber cumplido con los artículos 8 y 25 de la Convención. Enfatizó que “garantizó el acceso a los tribunales […] y a un recurso efectivo […] de tal forma que se dictó una sentencia condenatoria”. Entendió que su “actuar </w:t>
      </w:r>
      <w:proofErr w:type="gramStart"/>
      <w:r w:rsidRPr="00873FEC">
        <w:rPr>
          <w:rFonts w:ascii="Verdana" w:eastAsia="Batang" w:hAnsi="Verdana" w:cs="Times"/>
          <w:sz w:val="20"/>
          <w:szCs w:val="20"/>
          <w:lang w:val="es-CR" w:eastAsia="es-CR"/>
        </w:rPr>
        <w:t>diligente[</w:t>
      </w:r>
      <w:proofErr w:type="gramEnd"/>
      <w:r w:rsidRPr="00873FEC">
        <w:rPr>
          <w:rFonts w:ascii="Verdana" w:eastAsia="Calibri" w:hAnsi="Verdana" w:cs="Times New Roman"/>
          <w:sz w:val="20"/>
          <w:szCs w:val="20"/>
          <w:vertAlign w:val="superscript"/>
          <w:lang w:val="es-CR" w:eastAsia="x-none"/>
        </w:rPr>
        <w:footnoteReference w:id="118"/>
      </w:r>
      <w:r w:rsidRPr="00873FEC">
        <w:rPr>
          <w:rFonts w:ascii="Verdana" w:eastAsia="Batang" w:hAnsi="Verdana" w:cs="Times"/>
          <w:sz w:val="20"/>
          <w:szCs w:val="20"/>
          <w:lang w:val="es-CR" w:eastAsia="es-CR"/>
        </w:rPr>
        <w:t xml:space="preserve"> …] </w:t>
      </w:r>
      <w:r w:rsidRPr="00873FEC">
        <w:rPr>
          <w:rFonts w:ascii="Verdana" w:eastAsia="Calibri" w:hAnsi="Verdana" w:cs="Times New Roman"/>
          <w:sz w:val="20"/>
          <w:szCs w:val="20"/>
          <w:lang w:val="es-CR" w:eastAsia="es-CR"/>
        </w:rPr>
        <w:t>concluyó con la sentencia condenatoria</w:t>
      </w:r>
      <w:r w:rsidRPr="00873FEC">
        <w:rPr>
          <w:rFonts w:ascii="Verdana" w:eastAsia="Batang" w:hAnsi="Verdana" w:cs="Times"/>
          <w:sz w:val="20"/>
          <w:szCs w:val="20"/>
          <w:lang w:val="es-CR" w:eastAsia="es-CR"/>
        </w:rPr>
        <w:t xml:space="preserve"> </w:t>
      </w:r>
      <w:r w:rsidRPr="00873FEC">
        <w:rPr>
          <w:rFonts w:ascii="Verdana" w:eastAsia="Calibri" w:hAnsi="Verdana" w:cs="Times New Roman"/>
          <w:sz w:val="20"/>
          <w:szCs w:val="20"/>
          <w:lang w:val="es-CR" w:eastAsia="es-CR"/>
        </w:rPr>
        <w:t xml:space="preserve">a 14 miembros de las fuerzas de seguridad nacional y la orden de aprehensión en contra de 11 personas las cuales se encuentra[n] vigentes debido a que </w:t>
      </w:r>
      <w:proofErr w:type="spellStart"/>
      <w:r w:rsidRPr="00873FEC">
        <w:rPr>
          <w:rFonts w:ascii="Verdana" w:eastAsia="Calibri" w:hAnsi="Verdana" w:cs="Times New Roman"/>
          <w:sz w:val="20"/>
          <w:szCs w:val="20"/>
          <w:lang w:val="es-CR" w:eastAsia="es-CR"/>
        </w:rPr>
        <w:t>ést</w:t>
      </w:r>
      <w:proofErr w:type="spellEnd"/>
      <w:r w:rsidRPr="00873FEC">
        <w:rPr>
          <w:rFonts w:ascii="Verdana" w:eastAsia="Calibri" w:hAnsi="Verdana" w:cs="Times New Roman"/>
          <w:sz w:val="20"/>
          <w:szCs w:val="20"/>
          <w:lang w:val="es-CR" w:eastAsia="es-CR"/>
        </w:rPr>
        <w:t xml:space="preserve">[a]s están </w:t>
      </w:r>
      <w:proofErr w:type="spellStart"/>
      <w:r w:rsidRPr="00873FEC">
        <w:rPr>
          <w:rFonts w:ascii="Verdana" w:eastAsia="Calibri" w:hAnsi="Verdana" w:cs="Times New Roman"/>
          <w:sz w:val="20"/>
          <w:szCs w:val="20"/>
          <w:lang w:val="es-CR" w:eastAsia="es-CR"/>
        </w:rPr>
        <w:t>prófug</w:t>
      </w:r>
      <w:proofErr w:type="spellEnd"/>
      <w:r w:rsidRPr="00873FEC">
        <w:rPr>
          <w:rFonts w:ascii="Verdana" w:eastAsia="Calibri" w:hAnsi="Verdana" w:cs="Times New Roman"/>
          <w:sz w:val="20"/>
          <w:szCs w:val="20"/>
          <w:lang w:val="es-CR" w:eastAsia="es-CR"/>
        </w:rPr>
        <w:t xml:space="preserve">[a]s de la </w:t>
      </w:r>
      <w:r w:rsidRPr="00873FEC">
        <w:rPr>
          <w:rFonts w:ascii="Verdana" w:eastAsia="Batang" w:hAnsi="Verdana" w:cs="Times New Roman"/>
          <w:sz w:val="20"/>
          <w:szCs w:val="20"/>
          <w:lang w:val="es-CR" w:eastAsia="es-CR"/>
        </w:rPr>
        <w:t xml:space="preserve">justicia”. </w:t>
      </w:r>
      <w:r w:rsidRPr="00873FEC">
        <w:rPr>
          <w:rFonts w:ascii="Verdana" w:eastAsia="Calibri" w:hAnsi="Verdana" w:cs="Times New Roman"/>
          <w:sz w:val="20"/>
          <w:szCs w:val="20"/>
          <w:lang w:val="es-CR" w:eastAsia="es-CR"/>
        </w:rPr>
        <w:t>A</w:t>
      </w:r>
      <w:r w:rsidRPr="00873FEC">
        <w:rPr>
          <w:rFonts w:ascii="Verdana" w:eastAsia="Batang" w:hAnsi="Verdana" w:cs="Times"/>
          <w:sz w:val="20"/>
          <w:szCs w:val="24"/>
          <w:lang w:val="es-CR" w:eastAsia="es-CR"/>
        </w:rPr>
        <w:t xml:space="preserve">gregó </w:t>
      </w:r>
      <w:r w:rsidRPr="00873FEC">
        <w:rPr>
          <w:rFonts w:ascii="Verdana" w:eastAsia="Batang" w:hAnsi="Verdana" w:cs="Times"/>
          <w:sz w:val="20"/>
          <w:szCs w:val="20"/>
          <w:lang w:val="es-CR" w:eastAsia="es-CR"/>
        </w:rPr>
        <w:t xml:space="preserve">que “las presuntas víctimas […] han tenido participación desde el inicio del caso”. Señaló que aunque el </w:t>
      </w:r>
      <w:r w:rsidRPr="00873FEC">
        <w:rPr>
          <w:rFonts w:ascii="Verdana" w:eastAsia="Batang" w:hAnsi="Verdana" w:cs="Times"/>
          <w:sz w:val="20"/>
          <w:szCs w:val="20"/>
          <w:lang w:val="es-CR" w:eastAsia="es-CR"/>
        </w:rPr>
        <w:lastRenderedPageBreak/>
        <w:t xml:space="preserve">proceso se inició en la jurisdicción militar, luego se trasladó al fuero común. Recordó que la Corte “no es un tribunal de cuarta instancia” y no puede examinar supuestos errores de derecho o de hecho de los tribunales nacionales. Por último, adujo que la duración del proceso debe evaluarse considerando que el mismo fue “complejo” y porque “se suscitaron” diversas “incidencias”. </w:t>
      </w:r>
    </w:p>
    <w:p w:rsidR="0057574C" w:rsidRPr="00873FEC" w:rsidRDefault="0057574C" w:rsidP="00126E97">
      <w:pPr>
        <w:spacing w:after="0" w:line="20" w:lineRule="atLeast"/>
        <w:ind w:right="-138"/>
        <w:jc w:val="both"/>
        <w:rPr>
          <w:rFonts w:ascii="Verdana" w:eastAsia="Batang" w:hAnsi="Verdana" w:cs="Times"/>
          <w:sz w:val="20"/>
          <w:szCs w:val="24"/>
          <w:lang w:val="es-CR" w:eastAsia="es-CR"/>
        </w:rPr>
      </w:pPr>
    </w:p>
    <w:p w:rsidR="0057574C" w:rsidRPr="00873FEC" w:rsidRDefault="0057574C" w:rsidP="00126E97">
      <w:pPr>
        <w:numPr>
          <w:ilvl w:val="0"/>
          <w:numId w:val="7"/>
        </w:numPr>
        <w:spacing w:after="0" w:line="20" w:lineRule="atLeast"/>
        <w:ind w:left="284"/>
        <w:contextualSpacing/>
        <w:jc w:val="both"/>
        <w:outlineLvl w:val="1"/>
        <w:rPr>
          <w:rFonts w:ascii="Verdana" w:eastAsia="Calibri" w:hAnsi="Verdana" w:cs="Times"/>
          <w:b/>
          <w:i/>
          <w:sz w:val="20"/>
          <w:szCs w:val="20"/>
          <w:lang w:val="es-CR" w:eastAsia="es-CR"/>
        </w:rPr>
      </w:pPr>
      <w:bookmarkStart w:id="143" w:name="_Toc520207594"/>
      <w:bookmarkStart w:id="144" w:name="_Toc525201168"/>
      <w:bookmarkEnd w:id="143"/>
      <w:r w:rsidRPr="00873FEC">
        <w:rPr>
          <w:rFonts w:ascii="Verdana" w:eastAsia="Calibri" w:hAnsi="Verdana" w:cs="Times"/>
          <w:b/>
          <w:i/>
          <w:sz w:val="20"/>
          <w:szCs w:val="20"/>
          <w:lang w:val="es-CR" w:eastAsia="es-CR"/>
        </w:rPr>
        <w:t>Consideraciones de la Corte</w:t>
      </w:r>
      <w:bookmarkEnd w:id="144"/>
    </w:p>
    <w:p w:rsidR="0057574C" w:rsidRPr="00873FEC" w:rsidRDefault="0057574C" w:rsidP="00126E97">
      <w:pPr>
        <w:spacing w:after="0" w:line="20" w:lineRule="atLeast"/>
        <w:ind w:right="-138"/>
        <w:jc w:val="both"/>
        <w:rPr>
          <w:rFonts w:ascii="Verdana" w:eastAsia="Batang" w:hAnsi="Verdana" w:cs="Times"/>
          <w:sz w:val="20"/>
          <w:szCs w:val="24"/>
          <w:lang w:val="en-US" w:eastAsia="es-CR"/>
        </w:rPr>
      </w:pPr>
    </w:p>
    <w:p w:rsidR="0057574C" w:rsidRPr="00873FEC" w:rsidRDefault="0057574C" w:rsidP="00126E97">
      <w:pPr>
        <w:numPr>
          <w:ilvl w:val="0"/>
          <w:numId w:val="3"/>
        </w:numPr>
        <w:spacing w:after="0" w:line="20" w:lineRule="atLeast"/>
        <w:ind w:right="-138"/>
        <w:jc w:val="both"/>
        <w:rPr>
          <w:rFonts w:ascii="Verdana" w:eastAsia="Calibri" w:hAnsi="Verdana" w:cs="Times New Roman"/>
          <w:sz w:val="20"/>
          <w:szCs w:val="20"/>
          <w:lang w:val="es-CR" w:eastAsia="es-CR"/>
        </w:rPr>
      </w:pPr>
      <w:r w:rsidRPr="00873FEC">
        <w:rPr>
          <w:rFonts w:ascii="Verdana" w:eastAsia="Batang" w:hAnsi="Verdana" w:cs="Times New Roman"/>
          <w:sz w:val="20"/>
          <w:szCs w:val="20"/>
          <w:lang w:val="es-CR" w:eastAsia="es-CR"/>
        </w:rPr>
        <w:t>De</w:t>
      </w:r>
      <w:r w:rsidRPr="00873FEC">
        <w:rPr>
          <w:rFonts w:ascii="Verdana" w:eastAsia="Batang" w:hAnsi="Verdana" w:cs="Times"/>
          <w:sz w:val="20"/>
          <w:szCs w:val="24"/>
          <w:lang w:val="es-CR" w:eastAsia="es-CR"/>
        </w:rPr>
        <w:t xml:space="preserve"> </w:t>
      </w:r>
      <w:r w:rsidRPr="00873FEC">
        <w:rPr>
          <w:rFonts w:ascii="Verdana" w:eastAsia="Calibri" w:hAnsi="Verdana" w:cs="Times"/>
          <w:kern w:val="1"/>
          <w:sz w:val="20"/>
          <w:szCs w:val="20"/>
          <w:lang w:eastAsia="es-CR"/>
        </w:rPr>
        <w:t xml:space="preserve">conformidad con la Convención Americana, los Estados Partes están </w:t>
      </w:r>
      <w:r w:rsidRPr="00873FEC">
        <w:rPr>
          <w:rFonts w:ascii="Verdana" w:eastAsia="Batang" w:hAnsi="Verdana" w:cs="Times"/>
          <w:kern w:val="1"/>
          <w:sz w:val="20"/>
          <w:szCs w:val="20"/>
          <w:lang w:eastAsia="es-CR"/>
        </w:rPr>
        <w:t>obligados</w:t>
      </w:r>
      <w:r w:rsidRPr="00873FEC">
        <w:rPr>
          <w:rFonts w:ascii="Verdana" w:eastAsia="Calibri" w:hAnsi="Verdana" w:cs="Times"/>
          <w:kern w:val="1"/>
          <w:sz w:val="20"/>
          <w:szCs w:val="20"/>
          <w:lang w:eastAsia="es-CR"/>
        </w:rPr>
        <w:t xml:space="preserve"> a suministrar recursos judiciales efectivos a las víctimas de </w:t>
      </w:r>
      <w:r w:rsidRPr="00873FEC">
        <w:rPr>
          <w:rFonts w:ascii="Verdana" w:eastAsia="Batang" w:hAnsi="Verdana" w:cs="Times"/>
          <w:kern w:val="1"/>
          <w:sz w:val="20"/>
          <w:szCs w:val="20"/>
          <w:lang w:eastAsia="es-CR"/>
        </w:rPr>
        <w:t>violaciones</w:t>
      </w:r>
      <w:r w:rsidRPr="00873FEC">
        <w:rPr>
          <w:rFonts w:ascii="Verdana" w:eastAsia="Calibri" w:hAnsi="Verdana" w:cs="Times"/>
          <w:kern w:val="1"/>
          <w:sz w:val="20"/>
          <w:szCs w:val="20"/>
          <w:lang w:eastAsia="es-CR"/>
        </w:rPr>
        <w:t xml:space="preserve"> a los derechos humanos (artículo 25), que deben ser sustanciados de conformidad con las reglas del debido proceso legal (artículo 8.1), todo ello dentro de la obligación general, a cargo de los mismos Estados, de garantizar el libre y pleno ejercicio de los derechos reconocidos por la Convención a toda persona que se encuentre bajo su jurisdicción (artículo 1.1)</w:t>
      </w:r>
      <w:r w:rsidRPr="00873FEC">
        <w:rPr>
          <w:rFonts w:ascii="Verdana" w:eastAsia="Calibri" w:hAnsi="Verdana" w:cs="Times New Roman"/>
          <w:kern w:val="1"/>
          <w:sz w:val="20"/>
          <w:szCs w:val="20"/>
          <w:vertAlign w:val="superscript"/>
          <w:lang w:eastAsia="x-none"/>
        </w:rPr>
        <w:footnoteReference w:id="119"/>
      </w:r>
      <w:r w:rsidRPr="00873FEC">
        <w:rPr>
          <w:rFonts w:ascii="Verdana" w:eastAsia="Calibri" w:hAnsi="Verdana" w:cs="Times"/>
          <w:kern w:val="1"/>
          <w:sz w:val="20"/>
          <w:szCs w:val="20"/>
          <w:lang w:eastAsia="es-CR"/>
        </w:rPr>
        <w:t xml:space="preserve">. </w:t>
      </w:r>
    </w:p>
    <w:p w:rsidR="0057574C" w:rsidRPr="00873FEC" w:rsidRDefault="0057574C" w:rsidP="00126E97">
      <w:pPr>
        <w:spacing w:after="0" w:line="20" w:lineRule="atLeast"/>
        <w:ind w:right="-138"/>
        <w:jc w:val="both"/>
        <w:rPr>
          <w:rFonts w:ascii="Verdana" w:eastAsia="Calibri" w:hAnsi="Verdana" w:cs="Times New Roman"/>
          <w:sz w:val="20"/>
          <w:szCs w:val="20"/>
          <w:lang w:val="es-CR" w:eastAsia="es-CR"/>
        </w:rPr>
      </w:pPr>
    </w:p>
    <w:p w:rsidR="0057574C" w:rsidRPr="00873FEC" w:rsidRDefault="0057574C" w:rsidP="00126E97">
      <w:pPr>
        <w:numPr>
          <w:ilvl w:val="0"/>
          <w:numId w:val="3"/>
        </w:numPr>
        <w:spacing w:after="0" w:line="20" w:lineRule="atLeast"/>
        <w:ind w:right="-138"/>
        <w:jc w:val="both"/>
        <w:rPr>
          <w:rFonts w:ascii="Verdana" w:eastAsia="Calibri" w:hAnsi="Verdana" w:cs="Times New Roman"/>
          <w:sz w:val="20"/>
          <w:szCs w:val="20"/>
          <w:lang w:val="es-CR" w:eastAsia="es-CR"/>
        </w:rPr>
      </w:pPr>
      <w:r w:rsidRPr="00873FEC">
        <w:rPr>
          <w:rFonts w:ascii="Verdana" w:eastAsia="Calibri" w:hAnsi="Verdana" w:cs="Times"/>
          <w:kern w:val="1"/>
          <w:sz w:val="20"/>
          <w:szCs w:val="20"/>
          <w:lang w:val="es-CR" w:eastAsia="es-CR"/>
        </w:rPr>
        <w:t>Con base en lo anterior, la Corte examinará las actuaciones de investigación vinculadas a la justicia penal</w:t>
      </w:r>
      <w:r w:rsidR="00795393">
        <w:rPr>
          <w:rFonts w:ascii="Verdana" w:eastAsia="Calibri" w:hAnsi="Verdana" w:cs="Times"/>
          <w:kern w:val="1"/>
          <w:sz w:val="20"/>
          <w:szCs w:val="20"/>
          <w:lang w:val="es-CR" w:eastAsia="es-CR"/>
        </w:rPr>
        <w:t>.</w:t>
      </w:r>
      <w:r w:rsidRPr="00873FEC">
        <w:rPr>
          <w:rFonts w:ascii="Verdana" w:eastAsia="Calibri" w:hAnsi="Verdana" w:cs="Times"/>
          <w:kern w:val="1"/>
          <w:sz w:val="20"/>
          <w:szCs w:val="20"/>
          <w:lang w:val="es-CR" w:eastAsia="es-CR"/>
        </w:rPr>
        <w:t xml:space="preserve"> </w:t>
      </w:r>
    </w:p>
    <w:p w:rsidR="000624C7" w:rsidRPr="00873FEC" w:rsidRDefault="000624C7" w:rsidP="00126E97">
      <w:pPr>
        <w:spacing w:after="0" w:line="20" w:lineRule="atLeast"/>
        <w:ind w:right="-138"/>
        <w:jc w:val="both"/>
        <w:rPr>
          <w:rFonts w:ascii="Verdana" w:eastAsia="Calibri" w:hAnsi="Verdana" w:cs="Times New Roman"/>
          <w:sz w:val="20"/>
          <w:szCs w:val="20"/>
          <w:lang w:val="es-CR" w:eastAsia="es-CR"/>
        </w:rPr>
      </w:pPr>
    </w:p>
    <w:p w:rsidR="00467331" w:rsidRPr="00873FEC" w:rsidRDefault="00467331" w:rsidP="00126E97">
      <w:pPr>
        <w:pStyle w:val="Heading3"/>
        <w:spacing w:before="0" w:line="20" w:lineRule="atLeast"/>
        <w:ind w:left="567"/>
        <w:jc w:val="both"/>
        <w:rPr>
          <w:rFonts w:ascii="Verdana" w:eastAsia="Calibri" w:hAnsi="Verdana" w:cs="Times New Roman"/>
          <w:b w:val="0"/>
          <w:i/>
          <w:color w:val="auto"/>
          <w:sz w:val="20"/>
          <w:szCs w:val="20"/>
          <w:lang w:val="es-CR" w:eastAsia="es-CR"/>
        </w:rPr>
      </w:pPr>
      <w:bookmarkStart w:id="145" w:name="_Toc521694815"/>
      <w:bookmarkStart w:id="146" w:name="_Toc525201169"/>
      <w:r w:rsidRPr="00873FEC">
        <w:rPr>
          <w:rFonts w:ascii="Verdana" w:eastAsia="Calibri" w:hAnsi="Verdana" w:cs="Times New Roman"/>
          <w:b w:val="0"/>
          <w:i/>
          <w:color w:val="auto"/>
          <w:sz w:val="20"/>
          <w:szCs w:val="20"/>
          <w:lang w:val="es-CR" w:eastAsia="es-CR"/>
        </w:rPr>
        <w:t>B.1.</w:t>
      </w:r>
      <w:r w:rsidRPr="00873FEC">
        <w:rPr>
          <w:rFonts w:ascii="Verdana" w:eastAsia="Calibri" w:hAnsi="Verdana" w:cs="Times New Roman"/>
          <w:b w:val="0"/>
          <w:i/>
          <w:color w:val="auto"/>
          <w:sz w:val="20"/>
          <w:szCs w:val="20"/>
          <w:u w:val="single"/>
          <w:lang w:val="es-CR" w:eastAsia="es-CR"/>
        </w:rPr>
        <w:t>Consideraciones generales</w:t>
      </w:r>
      <w:bookmarkEnd w:id="145"/>
      <w:bookmarkEnd w:id="146"/>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eastAsia="es-CR"/>
        </w:rPr>
        <w:t>La obligación de realizar una investigación de los hechos a fin de, en su caso, establecer responsabilidades y sanciones, adquiere importancia de acuerdo a la naturaleza de los derechos lesionados y la gravedad de los delitos cometidos</w:t>
      </w:r>
      <w:r w:rsidRPr="00873FEC">
        <w:rPr>
          <w:rFonts w:ascii="Verdana" w:eastAsia="Batang" w:hAnsi="Verdana" w:cs="Times New Roman"/>
          <w:sz w:val="20"/>
          <w:szCs w:val="20"/>
          <w:vertAlign w:val="superscript"/>
          <w:lang w:val="en-US" w:eastAsia="x-none"/>
        </w:rPr>
        <w:footnoteReference w:id="120"/>
      </w:r>
      <w:r w:rsidRPr="00873FEC">
        <w:rPr>
          <w:rFonts w:ascii="Verdana" w:eastAsia="Calibri" w:hAnsi="Verdana" w:cs="Times New Roman"/>
          <w:sz w:val="20"/>
          <w:szCs w:val="20"/>
          <w:lang w:eastAsia="es-CR"/>
        </w:rPr>
        <w:t>.</w:t>
      </w:r>
      <w:r w:rsidRPr="00873FEC">
        <w:rPr>
          <w:rFonts w:ascii="Verdana" w:eastAsia="Calibri" w:hAnsi="Verdana" w:cs="Times New Roman"/>
          <w:sz w:val="20"/>
          <w:szCs w:val="20"/>
          <w:lang w:val="es-CR" w:eastAsia="es-CR"/>
        </w:rPr>
        <w:t xml:space="preserve"> En ese sentido, la Corte ha indicado el deber estatal de investigar atentados contra la integridad personal</w:t>
      </w:r>
      <w:r w:rsidRPr="00873FEC">
        <w:rPr>
          <w:rFonts w:ascii="Verdana" w:eastAsia="Calibri" w:hAnsi="Verdana" w:cs="Times New Roman"/>
          <w:sz w:val="20"/>
          <w:szCs w:val="20"/>
          <w:vertAlign w:val="superscript"/>
          <w:lang w:val="en-US" w:eastAsia="x-none"/>
        </w:rPr>
        <w:footnoteReference w:id="121"/>
      </w:r>
      <w:r w:rsidRPr="00873FEC">
        <w:rPr>
          <w:rFonts w:ascii="Verdana" w:eastAsia="Calibri" w:hAnsi="Verdana" w:cs="Times New Roman"/>
          <w:sz w:val="20"/>
          <w:szCs w:val="20"/>
          <w:lang w:val="es-CR" w:eastAsia="es-CR"/>
        </w:rPr>
        <w:t>, así como contra la vida</w:t>
      </w:r>
      <w:r w:rsidRPr="00873FEC">
        <w:rPr>
          <w:rFonts w:ascii="Verdana" w:eastAsia="Calibri" w:hAnsi="Verdana" w:cs="Times New Roman"/>
          <w:sz w:val="20"/>
          <w:szCs w:val="20"/>
          <w:vertAlign w:val="superscript"/>
          <w:lang w:val="en-US" w:eastAsia="x-none"/>
        </w:rPr>
        <w:footnoteReference w:id="122"/>
      </w:r>
      <w:r w:rsidRPr="00873FEC">
        <w:rPr>
          <w:rFonts w:ascii="Verdana" w:eastAsia="Calibri" w:hAnsi="Verdana" w:cs="Times New Roman"/>
          <w:sz w:val="20"/>
          <w:szCs w:val="20"/>
          <w:lang w:val="es-CR" w:eastAsia="es-CR"/>
        </w:rPr>
        <w:t>, inclusive ejecuciones extrajudiciales</w:t>
      </w:r>
      <w:r w:rsidR="00641A62" w:rsidRPr="00873FEC">
        <w:rPr>
          <w:rFonts w:ascii="Verdana" w:eastAsia="Calibri" w:hAnsi="Verdana" w:cs="Times New Roman"/>
          <w:sz w:val="20"/>
          <w:szCs w:val="20"/>
          <w:lang w:val="es-CR" w:eastAsia="es-CR"/>
        </w:rPr>
        <w:t xml:space="preserve"> o masacres</w:t>
      </w:r>
      <w:r w:rsidRPr="00873FEC">
        <w:rPr>
          <w:rFonts w:ascii="Verdana" w:eastAsia="Calibri" w:hAnsi="Verdana" w:cs="Times New Roman"/>
          <w:sz w:val="20"/>
          <w:szCs w:val="20"/>
          <w:vertAlign w:val="superscript"/>
          <w:lang w:val="en-US" w:eastAsia="x-none"/>
        </w:rPr>
        <w:footnoteReference w:id="123"/>
      </w:r>
      <w:r w:rsidRPr="00873FEC">
        <w:rPr>
          <w:rFonts w:ascii="Verdana" w:eastAsia="Calibri" w:hAnsi="Verdana" w:cs="Times New Roman"/>
          <w:sz w:val="20"/>
          <w:szCs w:val="20"/>
          <w:lang w:val="es-CR" w:eastAsia="es-CR"/>
        </w:rPr>
        <w:t xml:space="preserve">. </w:t>
      </w:r>
      <w:r w:rsidRPr="00873FEC">
        <w:rPr>
          <w:rFonts w:ascii="Verdana" w:eastAsia="Calibri" w:hAnsi="Verdana" w:cs="Times"/>
          <w:sz w:val="20"/>
          <w:szCs w:val="24"/>
          <w:lang w:val="es-CR" w:eastAsia="es-CR"/>
        </w:rPr>
        <w:t>El deber de investigar violaciones a derechos convencionales, a su vez, puede surgir de normas de derecho interno que el Estado haya adoptado. En este caso, surge de sentencias internas que en virtud de normativa penal de Guatemala se desarrollaron actuaciones a fin de “tutela[r]”, como “</w:t>
      </w:r>
      <w:proofErr w:type="gramStart"/>
      <w:r w:rsidRPr="00873FEC">
        <w:rPr>
          <w:rFonts w:ascii="Verdana" w:eastAsia="Calibri" w:hAnsi="Verdana" w:cs="Times"/>
          <w:sz w:val="20"/>
          <w:szCs w:val="24"/>
          <w:lang w:val="es-CR" w:eastAsia="es-CR"/>
        </w:rPr>
        <w:t>bien[</w:t>
      </w:r>
      <w:proofErr w:type="gramEnd"/>
      <w:r w:rsidRPr="00873FEC">
        <w:rPr>
          <w:rFonts w:ascii="Verdana" w:eastAsia="Calibri" w:hAnsi="Verdana" w:cs="Times"/>
          <w:sz w:val="20"/>
          <w:szCs w:val="24"/>
          <w:lang w:val="es-CR" w:eastAsia="es-CR"/>
        </w:rPr>
        <w:t>es] jurídico[s]”, la “vida” y la “integridad física”</w:t>
      </w:r>
      <w:r w:rsidRPr="00873FEC">
        <w:rPr>
          <w:rFonts w:ascii="Verdana" w:eastAsia="Calibri" w:hAnsi="Verdana" w:cs="Times New Roman"/>
          <w:sz w:val="20"/>
          <w:szCs w:val="20"/>
          <w:vertAlign w:val="superscript"/>
          <w:lang w:val="en-US" w:eastAsia="x-none"/>
        </w:rPr>
        <w:footnoteReference w:id="124"/>
      </w:r>
      <w:r w:rsidRPr="00873FEC">
        <w:rPr>
          <w:rFonts w:ascii="Verdana" w:eastAsia="Calibri" w:hAnsi="Verdana" w:cs="Times"/>
          <w:sz w:val="20"/>
          <w:szCs w:val="24"/>
          <w:lang w:val="es-CR" w:eastAsia="es-CR"/>
        </w:rPr>
        <w:t xml:space="preserve">. Por lo tanto, no cabe duda que tanto con base en la Convención como en el derecho interno, el Estado se encontraba obligado a investigar las muertes y daños a la integridad física sucedidos el 5 de octubre de 1995. </w:t>
      </w:r>
      <w:r w:rsidRPr="00873FEC">
        <w:rPr>
          <w:rFonts w:ascii="Verdana" w:eastAsia="Calibri" w:hAnsi="Verdana" w:cs="Times"/>
          <w:kern w:val="1"/>
          <w:sz w:val="20"/>
          <w:szCs w:val="20"/>
          <w:lang w:eastAsia="es-CR"/>
        </w:rPr>
        <w:t xml:space="preserve">En este marco, el derecho de acceso a la justicia de las presuntas víctimas o sus familiares debe asegurar, </w:t>
      </w:r>
      <w:r w:rsidRPr="00873FEC">
        <w:rPr>
          <w:rFonts w:ascii="Verdana" w:eastAsia="Calibri" w:hAnsi="Verdana" w:cs="Times"/>
          <w:kern w:val="1"/>
          <w:sz w:val="20"/>
          <w:szCs w:val="20"/>
          <w:lang w:eastAsia="es-CR"/>
        </w:rPr>
        <w:lastRenderedPageBreak/>
        <w:t>en tiempo razonable, que se haga todo lo necesario para conocer la verdad de lo sucedido e investigar, juzgar y, en su caso, sancionar a los eventuales responsables</w:t>
      </w:r>
      <w:r w:rsidRPr="00873FEC">
        <w:rPr>
          <w:rFonts w:ascii="Verdana" w:eastAsia="Calibri" w:hAnsi="Verdana" w:cs="Times New Roman"/>
          <w:kern w:val="1"/>
          <w:sz w:val="20"/>
          <w:szCs w:val="20"/>
          <w:vertAlign w:val="superscript"/>
          <w:lang w:eastAsia="x-none"/>
        </w:rPr>
        <w:footnoteReference w:id="125"/>
      </w:r>
      <w:r w:rsidRPr="00873FEC">
        <w:rPr>
          <w:rFonts w:ascii="Verdana" w:eastAsia="Calibri" w:hAnsi="Verdana" w:cs="Times"/>
          <w:kern w:val="1"/>
          <w:sz w:val="20"/>
          <w:szCs w:val="20"/>
          <w:lang w:eastAsia="es-CR"/>
        </w:rPr>
        <w:t>.</w:t>
      </w:r>
      <w:r w:rsidRPr="00873FEC">
        <w:rPr>
          <w:rFonts w:ascii="Times New Roman" w:eastAsia="Calibri" w:hAnsi="Times New Roman" w:cs="Times"/>
          <w:sz w:val="20"/>
          <w:szCs w:val="24"/>
          <w:lang w:val="es-CR" w:eastAsia="es-CR"/>
        </w:rPr>
        <w:t xml:space="preserve"> </w:t>
      </w:r>
    </w:p>
    <w:p w:rsidR="00467331" w:rsidRPr="00873FEC" w:rsidRDefault="00467331" w:rsidP="00126E97">
      <w:pPr>
        <w:spacing w:after="0" w:line="20" w:lineRule="atLeast"/>
        <w:ind w:left="720"/>
        <w:contextualSpacing/>
        <w:rPr>
          <w:rFonts w:ascii="Calibri" w:eastAsia="Calibri" w:hAnsi="Calibri" w:cs="Times"/>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A fin de evaluar la observancia de lo anterior, la Corte tiene la posibilidad, en el ámbito de su competencia coadyuvante y </w:t>
      </w:r>
      <w:r w:rsidRPr="00873FEC">
        <w:rPr>
          <w:rFonts w:ascii="Verdana" w:eastAsia="Batang" w:hAnsi="Verdana" w:cs="Arial"/>
          <w:sz w:val="20"/>
          <w:szCs w:val="20"/>
          <w:lang w:val="es-CR" w:eastAsia="es-CR"/>
        </w:rPr>
        <w:t>complementaria</w:t>
      </w:r>
      <w:r w:rsidRPr="00873FEC">
        <w:rPr>
          <w:rFonts w:ascii="Verdana" w:eastAsia="Batang" w:hAnsi="Verdana" w:cs="Times"/>
          <w:sz w:val="20"/>
          <w:szCs w:val="20"/>
          <w:lang w:val="es-CR" w:eastAsia="es-CR"/>
        </w:rPr>
        <w:t>, de examinar los procedimientos internos de investigación</w:t>
      </w:r>
      <w:r w:rsidRPr="00873FEC">
        <w:rPr>
          <w:rFonts w:ascii="Verdana" w:eastAsia="Batang" w:hAnsi="Verdana" w:cs="Times New Roman"/>
          <w:sz w:val="20"/>
          <w:szCs w:val="20"/>
          <w:vertAlign w:val="superscript"/>
          <w:lang w:val="en-US" w:eastAsia="x-none"/>
        </w:rPr>
        <w:footnoteReference w:id="126"/>
      </w:r>
      <w:r w:rsidRPr="00873FEC">
        <w:rPr>
          <w:rFonts w:ascii="Verdana" w:eastAsia="Batang" w:hAnsi="Verdana" w:cs="Times"/>
          <w:sz w:val="20"/>
          <w:szCs w:val="20"/>
          <w:lang w:val="es-CR" w:eastAsia="es-CR"/>
        </w:rPr>
        <w:t>. Ello, en sus diversos aspectos, entre los que se encuentran la competencia de las autoridades intervinientes y la diligencia seguida. Esto último, en tanto se aduzcan falencias que pudieran haber afectado la investigación en su conjunto, de modo “que conforme el tiempo vaya transcurriendo, se afecte indebidamente la posibilidad de obtener y presentar pruebas pertinentes que permitan esclarecer los hechos y determinar las responsabilidades que correspondan”</w:t>
      </w:r>
      <w:r w:rsidRPr="00873FEC">
        <w:rPr>
          <w:rFonts w:ascii="Verdana" w:eastAsia="Batang" w:hAnsi="Verdana" w:cs="Times New Roman"/>
          <w:sz w:val="20"/>
          <w:szCs w:val="20"/>
          <w:vertAlign w:val="superscript"/>
          <w:lang w:val="en-US" w:eastAsia="x-none"/>
        </w:rPr>
        <w:footnoteReference w:id="127"/>
      </w:r>
      <w:r w:rsidRPr="00873FEC">
        <w:rPr>
          <w:rFonts w:ascii="Verdana" w:eastAsia="Batang" w:hAnsi="Verdana" w:cs="Times"/>
          <w:sz w:val="20"/>
          <w:szCs w:val="20"/>
          <w:lang w:val="es-CR" w:eastAsia="es-CR"/>
        </w:rPr>
        <w:t xml:space="preserve">. </w:t>
      </w:r>
    </w:p>
    <w:p w:rsidR="00467331" w:rsidRPr="00873FEC" w:rsidRDefault="00467331" w:rsidP="00126E97">
      <w:pPr>
        <w:spacing w:after="0" w:line="20" w:lineRule="atLeast"/>
        <w:ind w:left="720"/>
        <w:contextualSpacing/>
        <w:rPr>
          <w:rFonts w:ascii="Calibri" w:eastAsia="Calibri" w:hAnsi="Calibri" w:cs="Times"/>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La debida diligencia en la investigación exige que se lleven a cabo todas aquellas actuaciones y averiguaciones necesarias para procurar el resultado que se persigue</w:t>
      </w:r>
      <w:r w:rsidRPr="00873FEC">
        <w:rPr>
          <w:rFonts w:ascii="Verdana" w:eastAsia="Batang" w:hAnsi="Verdana" w:cs="Times New Roman"/>
          <w:sz w:val="20"/>
          <w:szCs w:val="20"/>
          <w:vertAlign w:val="superscript"/>
          <w:lang w:val="en-US" w:eastAsia="x-none"/>
        </w:rPr>
        <w:footnoteReference w:id="128"/>
      </w:r>
      <w:r w:rsidRPr="00873FEC">
        <w:rPr>
          <w:rFonts w:ascii="Verdana" w:eastAsia="Batang" w:hAnsi="Verdana" w:cs="Times"/>
          <w:sz w:val="20"/>
          <w:szCs w:val="20"/>
          <w:lang w:val="es-CR" w:eastAsia="es-CR"/>
        </w:rPr>
        <w:t xml:space="preserve">. </w:t>
      </w:r>
      <w:r w:rsidRPr="00873FEC">
        <w:rPr>
          <w:rFonts w:ascii="Verdana" w:eastAsia="Batang" w:hAnsi="Verdana" w:cs="Times"/>
          <w:sz w:val="20"/>
          <w:szCs w:val="24"/>
          <w:lang w:val="es-CR" w:eastAsia="es-CR"/>
        </w:rPr>
        <w:t xml:space="preserve">Sin perjuicio de ello, </w:t>
      </w:r>
      <w:r w:rsidRPr="00873FEC">
        <w:rPr>
          <w:rFonts w:ascii="Verdana" w:eastAsia="Batang" w:hAnsi="Verdana" w:cs="Times"/>
          <w:sz w:val="20"/>
          <w:szCs w:val="20"/>
          <w:lang w:val="es-CR" w:eastAsia="es-CR"/>
        </w:rPr>
        <w:t>no corresponde a la Corte determinar puntualmente cuáles son las actuaciones y averiguaciones requeridas. Este Tribunal ha dicho que no le compete “sustituir a la jurisdicción interna estableciendo las modalidades específicas de investigación y juzgamiento […], sino constatar si en los pasos efectivamente dados a nivel interno se violaron o no obligaciones internacionales”</w:t>
      </w:r>
      <w:r w:rsidRPr="00873FEC">
        <w:rPr>
          <w:rFonts w:ascii="Verdana" w:eastAsia="Batang" w:hAnsi="Verdana" w:cs="Times New Roman"/>
          <w:sz w:val="20"/>
          <w:szCs w:val="20"/>
          <w:vertAlign w:val="superscript"/>
          <w:lang w:val="en-US" w:eastAsia="x-none"/>
        </w:rPr>
        <w:footnoteReference w:id="129"/>
      </w:r>
      <w:r w:rsidRPr="00873FEC">
        <w:rPr>
          <w:rFonts w:ascii="Verdana" w:eastAsia="Batang" w:hAnsi="Verdana" w:cs="Times"/>
          <w:sz w:val="20"/>
          <w:szCs w:val="20"/>
          <w:lang w:val="es-CR" w:eastAsia="es-CR"/>
        </w:rPr>
        <w:t>.</w:t>
      </w:r>
      <w:r w:rsidRPr="00873FEC">
        <w:rPr>
          <w:rFonts w:ascii="Verdana" w:eastAsia="Batang" w:hAnsi="Verdana" w:cs="Times"/>
          <w:sz w:val="20"/>
          <w:szCs w:val="24"/>
          <w:lang w:val="es-CR" w:eastAsia="es-CR"/>
        </w:rPr>
        <w:t xml:space="preserve"> Por ello,</w:t>
      </w:r>
      <w:r w:rsidRPr="00873FEC">
        <w:rPr>
          <w:rFonts w:ascii="Verdana" w:eastAsia="Batang" w:hAnsi="Verdana" w:cs="Times"/>
          <w:sz w:val="20"/>
          <w:szCs w:val="20"/>
          <w:lang w:val="es-CR" w:eastAsia="es-CR"/>
        </w:rPr>
        <w:t xml:space="preserve"> “las diligencias […] deben ser valoradas en su conjunto”</w:t>
      </w:r>
      <w:r w:rsidRPr="00873FEC">
        <w:rPr>
          <w:rFonts w:ascii="Verdana" w:eastAsia="Batang" w:hAnsi="Verdana" w:cs="Times New Roman"/>
          <w:sz w:val="20"/>
          <w:szCs w:val="20"/>
          <w:vertAlign w:val="superscript"/>
          <w:lang w:val="en-US" w:eastAsia="x-none"/>
        </w:rPr>
        <w:footnoteReference w:id="130"/>
      </w:r>
      <w:r w:rsidRPr="00873FEC">
        <w:rPr>
          <w:rFonts w:ascii="Verdana" w:eastAsia="Batang" w:hAnsi="Verdana" w:cs="Times"/>
          <w:sz w:val="20"/>
          <w:szCs w:val="20"/>
          <w:lang w:val="es-CR" w:eastAsia="es-CR"/>
        </w:rPr>
        <w:t xml:space="preserve">, a fin de determinar si en el caso concreto </w:t>
      </w:r>
      <w:r w:rsidRPr="00873FEC">
        <w:rPr>
          <w:rFonts w:ascii="Verdana" w:eastAsia="Batang" w:hAnsi="Verdana" w:cs="Arial"/>
          <w:sz w:val="20"/>
          <w:szCs w:val="20"/>
          <w:lang w:val="es-CR" w:eastAsia="es-CR"/>
        </w:rPr>
        <w:t>falencias u omisiones que se acreditaren</w:t>
      </w:r>
      <w:r w:rsidRPr="00873FEC">
        <w:rPr>
          <w:rFonts w:ascii="Verdana" w:eastAsia="Cambria" w:hAnsi="Verdana" w:cs="Arial"/>
          <w:sz w:val="20"/>
          <w:szCs w:val="20"/>
          <w:lang w:val="es-CR" w:eastAsia="es-CR"/>
        </w:rPr>
        <w:t xml:space="preserve"> perjudicaron el esclarecimiento de las circunstancias de los hechos o incidieron en el resultado final de las investigaciones seguidas</w:t>
      </w:r>
      <w:r w:rsidRPr="00873FEC">
        <w:rPr>
          <w:rFonts w:ascii="Verdana" w:eastAsia="Cambria" w:hAnsi="Verdana" w:cs="Arial"/>
          <w:sz w:val="20"/>
          <w:szCs w:val="20"/>
          <w:vertAlign w:val="superscript"/>
          <w:lang w:val="en-US" w:eastAsia="x-none"/>
        </w:rPr>
        <w:footnoteReference w:id="131"/>
      </w:r>
      <w:r w:rsidRPr="00873FEC">
        <w:rPr>
          <w:rFonts w:ascii="Verdana" w:eastAsia="Cambria" w:hAnsi="Verdana" w:cs="Arial"/>
          <w:sz w:val="20"/>
          <w:szCs w:val="20"/>
          <w:lang w:val="es-CR" w:eastAsia="es-CR"/>
        </w:rPr>
        <w:t>.</w:t>
      </w:r>
      <w:r w:rsidRPr="00873FEC">
        <w:rPr>
          <w:rFonts w:ascii="Verdana" w:eastAsia="Cambria" w:hAnsi="Verdana" w:cs="Arial"/>
          <w:sz w:val="20"/>
          <w:szCs w:val="24"/>
          <w:lang w:val="es-CR" w:eastAsia="es-CR"/>
        </w:rPr>
        <w:t xml:space="preserve"> Para tal evaluación </w:t>
      </w:r>
      <w:r w:rsidRPr="00873FEC">
        <w:rPr>
          <w:rFonts w:ascii="Verdana" w:eastAsia="Batang" w:hAnsi="Verdana" w:cs="Times"/>
          <w:bCs/>
          <w:color w:val="000000"/>
          <w:sz w:val="20"/>
          <w:szCs w:val="24"/>
          <w:shd w:val="clear" w:color="auto" w:fill="FFFFFF"/>
          <w:lang w:val="es-CR" w:eastAsia="es-CR"/>
        </w:rPr>
        <w:t xml:space="preserve">debe tenerse en cuenta criterios objetivos o de razonabilidad, a partir de las circunstancias particulares del caso y los argumentos de las partes y la Comisión, apreciando elementos tales como la prueba producida, las </w:t>
      </w:r>
      <w:r w:rsidRPr="00873FEC">
        <w:rPr>
          <w:rFonts w:ascii="Verdana" w:eastAsia="Batang" w:hAnsi="Verdana" w:cs="Arial"/>
          <w:sz w:val="20"/>
          <w:szCs w:val="20"/>
          <w:lang w:val="es-CR" w:eastAsia="es-CR"/>
        </w:rPr>
        <w:t>pautas recogidas por la propia jurisprudencia de este Tribunal, o la propia consideraci</w:t>
      </w:r>
      <w:r w:rsidRPr="00873FEC">
        <w:rPr>
          <w:rFonts w:ascii="Verdana" w:eastAsia="Batang" w:hAnsi="Verdana" w:cs="Times"/>
          <w:sz w:val="20"/>
          <w:szCs w:val="20"/>
          <w:lang w:val="es-CR" w:eastAsia="es-CR"/>
        </w:rPr>
        <w:t>ó</w:t>
      </w:r>
      <w:r w:rsidRPr="00873FEC">
        <w:rPr>
          <w:rFonts w:ascii="Verdana" w:eastAsia="Batang" w:hAnsi="Verdana" w:cs="Arial"/>
          <w:sz w:val="20"/>
          <w:szCs w:val="20"/>
          <w:lang w:val="es-CR" w:eastAsia="es-CR"/>
        </w:rPr>
        <w:t>n de las autoridades internas sobre medidas que, en el caso concreto, se</w:t>
      </w:r>
      <w:r w:rsidRPr="00873FEC">
        <w:rPr>
          <w:rFonts w:ascii="Verdana" w:eastAsia="Batang" w:hAnsi="Verdana" w:cs="Times"/>
          <w:sz w:val="20"/>
          <w:szCs w:val="20"/>
          <w:lang w:val="es-CR" w:eastAsia="es-CR"/>
        </w:rPr>
        <w:t>ñ</w:t>
      </w:r>
      <w:r w:rsidRPr="00873FEC">
        <w:rPr>
          <w:rFonts w:ascii="Verdana" w:eastAsia="Batang" w:hAnsi="Verdana" w:cs="Arial"/>
          <w:sz w:val="20"/>
          <w:szCs w:val="20"/>
          <w:lang w:val="es-CR" w:eastAsia="es-CR"/>
        </w:rPr>
        <w:t>alaron como necesarias</w:t>
      </w:r>
      <w:r w:rsidRPr="00873FEC">
        <w:rPr>
          <w:rFonts w:ascii="Verdana" w:eastAsia="Batang" w:hAnsi="Verdana" w:cs="Times New Roman"/>
          <w:color w:val="000000"/>
          <w:sz w:val="20"/>
          <w:szCs w:val="20"/>
          <w:shd w:val="clear" w:color="auto" w:fill="FFFFFF"/>
          <w:vertAlign w:val="superscript"/>
          <w:lang w:val="en-US" w:eastAsia="x-none"/>
        </w:rPr>
        <w:footnoteReference w:id="132"/>
      </w:r>
      <w:r w:rsidRPr="00873FEC">
        <w:rPr>
          <w:rFonts w:ascii="Verdana" w:eastAsia="Batang" w:hAnsi="Verdana" w:cs="Arial"/>
          <w:sz w:val="20"/>
          <w:szCs w:val="20"/>
          <w:lang w:val="es-CR" w:eastAsia="es-CR"/>
        </w:rPr>
        <w:t>. N</w:t>
      </w:r>
      <w:r w:rsidRPr="00873FEC">
        <w:rPr>
          <w:rFonts w:ascii="Verdana" w:eastAsia="Batang" w:hAnsi="Verdana" w:cs="Times"/>
          <w:sz w:val="20"/>
          <w:szCs w:val="20"/>
          <w:lang w:val="es-CR" w:eastAsia="es-CR"/>
        </w:rPr>
        <w:t>o debe asumirse que fallas en aspectos puntuales de investigación tuvieron un impacto negativo sobre el conjunto del proceso si, pese a ellas, la investigación tuvo un resultado efectivo en la determinación de los hechos</w:t>
      </w:r>
      <w:r w:rsidRPr="00873FEC">
        <w:rPr>
          <w:rFonts w:ascii="Verdana" w:eastAsia="Batang" w:hAnsi="Verdana" w:cs="Times New Roman"/>
          <w:sz w:val="20"/>
          <w:szCs w:val="20"/>
          <w:vertAlign w:val="superscript"/>
          <w:lang w:val="en-US" w:eastAsia="x-none"/>
        </w:rPr>
        <w:footnoteReference w:id="133"/>
      </w:r>
      <w:r w:rsidRPr="00873FEC">
        <w:rPr>
          <w:rFonts w:ascii="Verdana" w:eastAsia="Batang" w:hAnsi="Verdana" w:cs="Times"/>
          <w:sz w:val="20"/>
          <w:szCs w:val="20"/>
          <w:vertAlign w:val="superscript"/>
          <w:lang w:val="es-CR" w:eastAsia="es-CR"/>
        </w:rPr>
        <w:t>.</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Calibri" w:hAnsi="Verdana" w:cs="Times"/>
          <w:sz w:val="20"/>
          <w:szCs w:val="24"/>
          <w:lang w:val="es-CR" w:eastAsia="es-CR"/>
        </w:rPr>
        <w:t>Respecto a lo último indicado, debe advertirse que, en el caso, Guatemala realizó actuaciones que tuvieron como resultado la determinación de lo sucedido y la condena efectiva a 14 personas, que quedó firme el 23 de septiembre de 2005 (</w:t>
      </w:r>
      <w:r w:rsidRPr="00873FEC">
        <w:rPr>
          <w:rFonts w:ascii="Verdana" w:eastAsia="Calibri" w:hAnsi="Verdana" w:cs="Times"/>
          <w:i/>
          <w:sz w:val="20"/>
          <w:szCs w:val="24"/>
          <w:lang w:val="es-CR" w:eastAsia="es-CR"/>
        </w:rPr>
        <w:t>supra</w:t>
      </w:r>
      <w:r w:rsidRPr="00873FEC">
        <w:rPr>
          <w:rFonts w:ascii="Verdana" w:eastAsia="Calibri" w:hAnsi="Verdana" w:cs="Times"/>
          <w:sz w:val="20"/>
          <w:szCs w:val="24"/>
          <w:lang w:val="es-CR" w:eastAsia="es-CR"/>
        </w:rPr>
        <w:t xml:space="preserve"> párr. 65). </w:t>
      </w:r>
      <w:r w:rsidRPr="00873FEC">
        <w:rPr>
          <w:rFonts w:ascii="Verdana" w:eastAsia="Calibri" w:hAnsi="Verdana" w:cs="Times"/>
          <w:sz w:val="20"/>
          <w:szCs w:val="24"/>
          <w:lang w:val="es-CR" w:eastAsia="es-CR"/>
        </w:rPr>
        <w:lastRenderedPageBreak/>
        <w:t>Ni las partes ni la Comisión adujeron que esas determinación y condena fueran en algún modo erróneas. Por ello, en lo que tiene relación con las mismas, la Corte considera que no tiene objeto evaluar argumentos sobre fallas a la diligencia debida</w:t>
      </w:r>
      <w:r w:rsidRPr="00873FEC">
        <w:rPr>
          <w:rFonts w:ascii="Verdana" w:eastAsia="Calibri" w:hAnsi="Verdana" w:cs="Times"/>
          <w:b/>
          <w:sz w:val="20"/>
          <w:szCs w:val="24"/>
          <w:lang w:val="es-CR" w:eastAsia="es-CR"/>
        </w:rPr>
        <w:t xml:space="preserve"> </w:t>
      </w:r>
      <w:r w:rsidRPr="00873FEC">
        <w:rPr>
          <w:rFonts w:ascii="Verdana" w:eastAsia="Calibri" w:hAnsi="Verdana" w:cs="Times"/>
          <w:sz w:val="20"/>
          <w:szCs w:val="24"/>
          <w:lang w:val="es-CR" w:eastAsia="es-CR"/>
        </w:rPr>
        <w:t>respecto de acciones u omisiones vinculadas al manejo de la prueba o la efectividad en la determinación de lo ocurrido</w:t>
      </w:r>
      <w:r w:rsidRPr="00873FEC">
        <w:rPr>
          <w:rFonts w:ascii="Verdana" w:eastAsia="Calibri" w:hAnsi="Verdana" w:cs="Times New Roman"/>
          <w:sz w:val="20"/>
          <w:szCs w:val="20"/>
          <w:vertAlign w:val="superscript"/>
          <w:lang w:val="en-US" w:eastAsia="x-none"/>
        </w:rPr>
        <w:footnoteReference w:id="134"/>
      </w:r>
      <w:r w:rsidRPr="00873FEC">
        <w:rPr>
          <w:rFonts w:ascii="Verdana" w:eastAsia="Calibri" w:hAnsi="Verdana" w:cs="Times"/>
          <w:sz w:val="20"/>
          <w:szCs w:val="24"/>
          <w:lang w:val="es-CR" w:eastAsia="es-CR"/>
        </w:rPr>
        <w:t xml:space="preserve">. </w:t>
      </w:r>
    </w:p>
    <w:p w:rsidR="00467331" w:rsidRPr="00873FEC" w:rsidRDefault="00467331" w:rsidP="00126E97">
      <w:pPr>
        <w:spacing w:after="0" w:line="20" w:lineRule="atLeast"/>
        <w:ind w:left="720"/>
        <w:contextualSpacing/>
        <w:rPr>
          <w:rFonts w:ascii="Calibri" w:eastAsia="Calibri" w:hAnsi="Calibri" w:cs="Times"/>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Calibri" w:hAnsi="Verdana" w:cs="Times"/>
          <w:sz w:val="20"/>
          <w:szCs w:val="24"/>
          <w:lang w:val="es-CR" w:eastAsia="es-CR"/>
        </w:rPr>
        <w:t xml:space="preserve">De modo contrario, sí resulta necesario que la Corte examine los argumentos de las partes y la Comisión respecto a lo siguiente: a) si la intervención del fuero militar en los primeros momentos de las actuaciones fue, en sí misma, violatoria de derechos convencionales; b) si hubo omisiones en cuanto a la indagación de supuestos autores intelectuales y de la “cadena de mando”; c) la reducción de condenas y liberación de condenados; d) la falta de aprehensión de 11 personas prófugas, y e) la razonabilidad del tiempo transcurrido. </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pStyle w:val="Heading3"/>
        <w:spacing w:before="0" w:line="20" w:lineRule="atLeast"/>
        <w:ind w:left="567"/>
        <w:jc w:val="both"/>
        <w:rPr>
          <w:rFonts w:ascii="Verdana" w:eastAsia="Cambria" w:hAnsi="Verdana" w:cs="Times"/>
          <w:b w:val="0"/>
          <w:i/>
          <w:color w:val="auto"/>
          <w:sz w:val="20"/>
          <w:szCs w:val="24"/>
          <w:lang w:val="en-US" w:eastAsia="es-CR"/>
        </w:rPr>
      </w:pPr>
      <w:bookmarkStart w:id="147" w:name="_Toc521694816"/>
      <w:bookmarkStart w:id="148" w:name="_Toc525201170"/>
      <w:r w:rsidRPr="00873FEC">
        <w:rPr>
          <w:rFonts w:ascii="Verdana" w:eastAsia="Cambria" w:hAnsi="Verdana" w:cs="Times"/>
          <w:b w:val="0"/>
          <w:i/>
          <w:color w:val="auto"/>
          <w:sz w:val="20"/>
          <w:szCs w:val="24"/>
          <w:lang w:val="en-US" w:eastAsia="es-CR"/>
        </w:rPr>
        <w:t xml:space="preserve">B.2- </w:t>
      </w:r>
      <w:proofErr w:type="spellStart"/>
      <w:r w:rsidRPr="00873FEC">
        <w:rPr>
          <w:rFonts w:ascii="Verdana" w:eastAsia="Cambria" w:hAnsi="Verdana" w:cs="Times"/>
          <w:b w:val="0"/>
          <w:i/>
          <w:color w:val="auto"/>
          <w:sz w:val="20"/>
          <w:szCs w:val="24"/>
          <w:u w:val="single"/>
          <w:lang w:val="en-US" w:eastAsia="es-CR"/>
        </w:rPr>
        <w:t>Fuero</w:t>
      </w:r>
      <w:proofErr w:type="spellEnd"/>
      <w:r w:rsidRPr="00873FEC">
        <w:rPr>
          <w:rFonts w:ascii="Verdana" w:eastAsia="Cambria" w:hAnsi="Verdana" w:cs="Times"/>
          <w:b w:val="0"/>
          <w:i/>
          <w:color w:val="auto"/>
          <w:sz w:val="20"/>
          <w:szCs w:val="24"/>
          <w:u w:val="single"/>
          <w:lang w:val="en-US" w:eastAsia="es-CR"/>
        </w:rPr>
        <w:t xml:space="preserve"> </w:t>
      </w:r>
      <w:proofErr w:type="spellStart"/>
      <w:r w:rsidRPr="00873FEC">
        <w:rPr>
          <w:rFonts w:ascii="Verdana" w:eastAsia="Cambria" w:hAnsi="Verdana" w:cs="Times"/>
          <w:b w:val="0"/>
          <w:i/>
          <w:color w:val="auto"/>
          <w:sz w:val="20"/>
          <w:szCs w:val="24"/>
          <w:u w:val="single"/>
          <w:lang w:val="en-US" w:eastAsia="es-CR"/>
        </w:rPr>
        <w:t>militar</w:t>
      </w:r>
      <w:bookmarkEnd w:id="147"/>
      <w:bookmarkEnd w:id="148"/>
      <w:proofErr w:type="spellEnd"/>
    </w:p>
    <w:p w:rsidR="00467331" w:rsidRPr="00873FEC" w:rsidRDefault="00467331" w:rsidP="00126E97">
      <w:pPr>
        <w:spacing w:after="0" w:line="20" w:lineRule="atLeast"/>
        <w:ind w:right="-138"/>
        <w:jc w:val="both"/>
        <w:rPr>
          <w:rFonts w:ascii="Verdana" w:eastAsia="Batang" w:hAnsi="Verdana" w:cs="Times"/>
          <w:sz w:val="20"/>
          <w:szCs w:val="24"/>
          <w:lang w:val="en-US"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Arial"/>
          <w:sz w:val="20"/>
          <w:szCs w:val="20"/>
          <w:lang w:val="es-CR" w:eastAsia="es-CR"/>
        </w:rPr>
        <w:t>Este Tribunal ha dicho, y reitera, que la justicia militar “</w:t>
      </w:r>
      <w:r w:rsidRPr="00873FEC">
        <w:rPr>
          <w:rFonts w:ascii="Verdana" w:eastAsia="Batang" w:hAnsi="Verdana" w:cs="Times"/>
          <w:sz w:val="20"/>
          <w:szCs w:val="20"/>
          <w:lang w:val="es-CR" w:eastAsia="es-CR"/>
        </w:rPr>
        <w:t>no es el fuero competente para investigar […] violaciones de derechos humanos”</w:t>
      </w:r>
      <w:r w:rsidRPr="00873FEC">
        <w:rPr>
          <w:rFonts w:ascii="Verdana" w:eastAsia="Batang" w:hAnsi="Verdana" w:cs="Times New Roman"/>
          <w:sz w:val="20"/>
          <w:szCs w:val="20"/>
          <w:vertAlign w:val="superscript"/>
          <w:lang w:val="en-US" w:eastAsia="x-none"/>
        </w:rPr>
        <w:footnoteReference w:id="135"/>
      </w:r>
      <w:r w:rsidRPr="00873FEC">
        <w:rPr>
          <w:rFonts w:ascii="Verdana" w:eastAsia="Batang" w:hAnsi="Verdana" w:cs="Times"/>
          <w:sz w:val="20"/>
          <w:szCs w:val="20"/>
          <w:lang w:val="es-CR" w:eastAsia="es-CR"/>
        </w:rPr>
        <w:t>. No obstante, nota también que en las circunstancias del caso, a partir de planteamientos de competencia efectuados por la querella, se resolvió el traslado de las actuaciones a la justicia ordinaria. En el caso, en que esto se hizo en un tiempo cercano a cuatro meses</w:t>
      </w:r>
      <w:r w:rsidRPr="00873FEC">
        <w:rPr>
          <w:rFonts w:ascii="Verdana" w:eastAsia="Batang" w:hAnsi="Verdana" w:cs="Times New Roman"/>
          <w:sz w:val="20"/>
          <w:szCs w:val="20"/>
          <w:vertAlign w:val="superscript"/>
          <w:lang w:val="en-US" w:eastAsia="x-none"/>
        </w:rPr>
        <w:footnoteReference w:id="136"/>
      </w:r>
      <w:r w:rsidRPr="00873FEC">
        <w:rPr>
          <w:rFonts w:ascii="Verdana" w:eastAsia="Batang" w:hAnsi="Verdana" w:cs="Times"/>
          <w:sz w:val="20"/>
          <w:szCs w:val="20"/>
          <w:lang w:val="es-CR" w:eastAsia="es-CR"/>
        </w:rPr>
        <w:t>, no surge que la intervención del fuero militar perjudicara la posterior actuación de la justicia ordinaria, ámbito en el cual se arribó a decisiones condenatorias firmes. Por ello, atendiendo a las particularidades del caso, la Corte no considera que se viera vulnerada, de forma que perjudicara a las presuntas víctimas, la garantía de actuación de un “juez o tribunal competente”, en los términos del artículo 8.1 de la Convención</w:t>
      </w:r>
      <w:r w:rsidRPr="00873FEC">
        <w:rPr>
          <w:rFonts w:ascii="Verdana" w:eastAsia="Batang" w:hAnsi="Verdana" w:cs="Times New Roman"/>
          <w:sz w:val="20"/>
          <w:szCs w:val="20"/>
          <w:vertAlign w:val="superscript"/>
          <w:lang w:val="es-CR" w:eastAsia="es-CR"/>
        </w:rPr>
        <w:footnoteReference w:id="137"/>
      </w:r>
      <w:r w:rsidRPr="00873FEC">
        <w:rPr>
          <w:rFonts w:ascii="Verdana" w:eastAsia="Batang" w:hAnsi="Verdana" w:cs="Times"/>
          <w:sz w:val="20"/>
          <w:szCs w:val="20"/>
          <w:lang w:val="es-CR" w:eastAsia="es-CR"/>
        </w:rPr>
        <w:t>.</w:t>
      </w:r>
    </w:p>
    <w:p w:rsidR="00467331" w:rsidRPr="00873FEC" w:rsidRDefault="00467331" w:rsidP="00126E97">
      <w:pPr>
        <w:spacing w:after="0" w:line="20" w:lineRule="atLeast"/>
        <w:ind w:left="720"/>
        <w:contextualSpacing/>
        <w:rPr>
          <w:rFonts w:ascii="Verdana" w:eastAsia="Calibri" w:hAnsi="Verdana" w:cs="Times"/>
          <w:sz w:val="20"/>
          <w:szCs w:val="20"/>
          <w:lang w:val="es-CR" w:eastAsia="es-CR"/>
        </w:rPr>
      </w:pPr>
    </w:p>
    <w:p w:rsidR="00467331" w:rsidRPr="00873FEC" w:rsidRDefault="00467331" w:rsidP="00126E97">
      <w:pPr>
        <w:pStyle w:val="Heading3"/>
        <w:spacing w:before="0" w:line="20" w:lineRule="atLeast"/>
        <w:ind w:left="567"/>
        <w:jc w:val="both"/>
        <w:rPr>
          <w:rFonts w:ascii="Verdana" w:eastAsia="Cambria" w:hAnsi="Verdana" w:cs="Times"/>
          <w:b w:val="0"/>
          <w:i/>
          <w:color w:val="auto"/>
          <w:sz w:val="20"/>
          <w:szCs w:val="20"/>
          <w:lang w:val="es-CR" w:eastAsia="es-CR"/>
        </w:rPr>
      </w:pPr>
      <w:bookmarkStart w:id="149" w:name="_Toc521694817"/>
      <w:bookmarkStart w:id="150" w:name="_Toc525201171"/>
      <w:r w:rsidRPr="00873FEC">
        <w:rPr>
          <w:rFonts w:ascii="Verdana" w:eastAsia="Cambria" w:hAnsi="Verdana" w:cs="Times"/>
          <w:b w:val="0"/>
          <w:i/>
          <w:color w:val="auto"/>
          <w:sz w:val="20"/>
          <w:szCs w:val="20"/>
          <w:lang w:val="es-CR" w:eastAsia="es-CR"/>
        </w:rPr>
        <w:lastRenderedPageBreak/>
        <w:t xml:space="preserve">B.3. </w:t>
      </w:r>
      <w:r w:rsidRPr="00873FEC">
        <w:rPr>
          <w:rFonts w:ascii="Verdana" w:eastAsia="Cambria" w:hAnsi="Verdana" w:cs="Times"/>
          <w:b w:val="0"/>
          <w:i/>
          <w:color w:val="auto"/>
          <w:sz w:val="20"/>
          <w:szCs w:val="20"/>
          <w:u w:val="single"/>
          <w:lang w:val="es-CR" w:eastAsia="es-CR"/>
        </w:rPr>
        <w:t>Investigación de autores intelectuales y de la “cadena de mando</w:t>
      </w:r>
      <w:r w:rsidRPr="00873FEC">
        <w:rPr>
          <w:rFonts w:ascii="Verdana" w:eastAsia="Cambria" w:hAnsi="Verdana" w:cs="Times"/>
          <w:b w:val="0"/>
          <w:i/>
          <w:color w:val="auto"/>
          <w:sz w:val="20"/>
          <w:szCs w:val="20"/>
          <w:lang w:val="es-CR" w:eastAsia="es-CR"/>
        </w:rPr>
        <w:t>”</w:t>
      </w:r>
      <w:bookmarkEnd w:id="149"/>
      <w:bookmarkEnd w:id="150"/>
    </w:p>
    <w:p w:rsidR="00467331" w:rsidRPr="00873FEC" w:rsidRDefault="00467331" w:rsidP="00126E97">
      <w:pPr>
        <w:pStyle w:val="Heading3"/>
        <w:spacing w:before="0" w:line="20" w:lineRule="atLeast"/>
        <w:ind w:left="567"/>
        <w:jc w:val="both"/>
        <w:rPr>
          <w:rFonts w:ascii="Verdana" w:eastAsia="Calibri" w:hAnsi="Verdana" w:cs="Times"/>
          <w:b w:val="0"/>
          <w:color w:val="auto"/>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i/>
          <w:sz w:val="20"/>
          <w:szCs w:val="20"/>
          <w:lang w:val="es-CR" w:eastAsia="es-CR"/>
        </w:rPr>
      </w:pPr>
      <w:r w:rsidRPr="00873FEC">
        <w:rPr>
          <w:rFonts w:ascii="Verdana" w:eastAsia="Calibri" w:hAnsi="Verdana" w:cs="Times"/>
          <w:sz w:val="20"/>
          <w:szCs w:val="20"/>
          <w:lang w:val="es-CR" w:eastAsia="es-CR"/>
        </w:rPr>
        <w:t>En cuanto a la investigación de supuestos autores intelectuales o de la cadena de mando, la Corte recuerda que “se debe evitar omisiones en la recaudación de prueba y en el seguimiento de líneas lógicas de investigación”</w:t>
      </w:r>
      <w:r w:rsidRPr="00873FEC">
        <w:rPr>
          <w:rFonts w:ascii="Verdana" w:eastAsia="Calibri" w:hAnsi="Verdana" w:cs="Times New Roman"/>
          <w:szCs w:val="20"/>
          <w:vertAlign w:val="superscript"/>
          <w:lang w:val="es-CR" w:eastAsia="x-none"/>
        </w:rPr>
        <w:footnoteReference w:id="138"/>
      </w:r>
      <w:r w:rsidRPr="00873FEC">
        <w:rPr>
          <w:rFonts w:ascii="Verdana" w:eastAsia="Calibri" w:hAnsi="Verdana" w:cs="Times"/>
          <w:sz w:val="20"/>
          <w:szCs w:val="20"/>
          <w:lang w:val="es-CR" w:eastAsia="es-CR"/>
        </w:rPr>
        <w:t>. Ello cobra sentido cuando de las circunstancias del caso surgen diversas “hipótesis relevantes” sobre los hechos y su autoría</w:t>
      </w:r>
      <w:r w:rsidRPr="00873FEC">
        <w:rPr>
          <w:rFonts w:ascii="Verdana" w:eastAsia="Calibri" w:hAnsi="Verdana" w:cs="Times New Roman"/>
          <w:szCs w:val="20"/>
          <w:vertAlign w:val="superscript"/>
          <w:lang w:val="es-CR" w:eastAsia="x-none"/>
        </w:rPr>
        <w:footnoteReference w:id="139"/>
      </w:r>
      <w:r w:rsidRPr="00873FEC">
        <w:rPr>
          <w:rFonts w:ascii="Verdana" w:eastAsia="Calibri" w:hAnsi="Verdana" w:cs="Times"/>
          <w:sz w:val="20"/>
          <w:szCs w:val="20"/>
          <w:lang w:val="es-CR" w:eastAsia="es-CR"/>
        </w:rPr>
        <w:t xml:space="preserve">. Ello no ocurre en el caso. Los representantes no explicaron por qué surgiría la probabilidad de que la masacre haya sido planificada o, de cualquier otro modo, que la autoría (material o intelectual) exceda a las personas que formaban la patrulla militar. Debe hacerse notar que fueron procesadas 25 personas mayores de edad de ese grupo (también integrado por un niño). Por ello, no corresponde determinar que Guatemala sea responsable por la falta de seguimiento de líneas lógicas de investigación.  </w:t>
      </w:r>
    </w:p>
    <w:p w:rsidR="00467331" w:rsidRPr="00873FEC" w:rsidRDefault="00467331" w:rsidP="00126E97">
      <w:pPr>
        <w:spacing w:after="0" w:line="20" w:lineRule="atLeast"/>
        <w:ind w:right="-138"/>
        <w:contextualSpacing/>
        <w:jc w:val="both"/>
        <w:rPr>
          <w:rFonts w:ascii="Verdana" w:eastAsia="Calibri" w:hAnsi="Verdana" w:cs="Times"/>
          <w:i/>
          <w:sz w:val="20"/>
          <w:szCs w:val="20"/>
          <w:lang w:val="es-CR" w:eastAsia="es-CR"/>
        </w:rPr>
      </w:pPr>
    </w:p>
    <w:p w:rsidR="00467331" w:rsidRPr="00873FEC" w:rsidRDefault="00467331" w:rsidP="00126E97">
      <w:pPr>
        <w:pStyle w:val="Heading3"/>
        <w:spacing w:before="0" w:line="20" w:lineRule="atLeast"/>
        <w:ind w:left="567"/>
        <w:jc w:val="both"/>
        <w:rPr>
          <w:rFonts w:ascii="Verdana" w:eastAsia="Calibri" w:hAnsi="Verdana" w:cs="Times"/>
          <w:b w:val="0"/>
          <w:i/>
          <w:color w:val="auto"/>
          <w:sz w:val="20"/>
          <w:szCs w:val="20"/>
          <w:lang w:val="es-CR" w:eastAsia="es-CR"/>
        </w:rPr>
      </w:pPr>
      <w:bookmarkStart w:id="151" w:name="_Toc525201172"/>
      <w:r w:rsidRPr="00873FEC">
        <w:rPr>
          <w:rFonts w:ascii="Verdana" w:eastAsia="Calibri" w:hAnsi="Verdana" w:cs="Times"/>
          <w:b w:val="0"/>
          <w:i/>
          <w:color w:val="auto"/>
          <w:sz w:val="20"/>
          <w:szCs w:val="20"/>
          <w:lang w:val="es-CR" w:eastAsia="es-CR"/>
        </w:rPr>
        <w:t xml:space="preserve">B.4. </w:t>
      </w:r>
      <w:r w:rsidRPr="00873FEC">
        <w:rPr>
          <w:rFonts w:ascii="Verdana" w:eastAsia="Calibri" w:hAnsi="Verdana" w:cs="Times"/>
          <w:b w:val="0"/>
          <w:i/>
          <w:color w:val="auto"/>
          <w:sz w:val="20"/>
          <w:szCs w:val="20"/>
          <w:u w:val="single"/>
          <w:lang w:val="es-CR" w:eastAsia="es-CR"/>
        </w:rPr>
        <w:t>Reducción del tiempo de condena y liberación de condenados</w:t>
      </w:r>
      <w:bookmarkEnd w:id="151"/>
    </w:p>
    <w:p w:rsidR="00467331" w:rsidRPr="00873FEC" w:rsidRDefault="00467331" w:rsidP="00126E97">
      <w:pPr>
        <w:pStyle w:val="Heading3"/>
        <w:spacing w:before="0" w:line="20" w:lineRule="atLeast"/>
        <w:ind w:left="567"/>
        <w:jc w:val="both"/>
        <w:rPr>
          <w:rFonts w:ascii="Verdana" w:eastAsia="Calibri" w:hAnsi="Verdana" w:cs="Times"/>
          <w:b w:val="0"/>
          <w:i/>
          <w:color w:val="auto"/>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En lo atinente a las condenas impuestas</w:t>
      </w:r>
      <w:r w:rsidRPr="00873FEC">
        <w:rPr>
          <w:rFonts w:ascii="Verdana" w:eastAsia="Calibri" w:hAnsi="Verdana" w:cs="Times New Roman"/>
          <w:szCs w:val="20"/>
          <w:vertAlign w:val="superscript"/>
          <w:lang w:eastAsia="x-none"/>
        </w:rPr>
        <w:footnoteReference w:id="140"/>
      </w:r>
      <w:r w:rsidRPr="00873FEC">
        <w:rPr>
          <w:rFonts w:ascii="Verdana" w:eastAsia="Calibri" w:hAnsi="Verdana" w:cs="Times"/>
          <w:sz w:val="20"/>
          <w:szCs w:val="20"/>
          <w:lang w:eastAsia="es-CR"/>
        </w:rPr>
        <w:t>, debe advertirse que la Corte ha señalado que las penas deben ser proporcionales a la gravedad de las violaciones a derechos humanos involucradas en un delito, y que su determinación no es tarea de la Corte, sino que compete a las autoridades internas</w:t>
      </w:r>
      <w:r w:rsidRPr="00873FEC">
        <w:rPr>
          <w:rFonts w:ascii="Verdana" w:eastAsia="Calibri" w:hAnsi="Verdana" w:cs="Times New Roman"/>
          <w:color w:val="000000"/>
          <w:szCs w:val="20"/>
          <w:vertAlign w:val="superscript"/>
          <w:lang w:val="es-CR" w:eastAsia="x-none"/>
        </w:rPr>
        <w:footnoteReference w:id="141"/>
      </w:r>
      <w:r w:rsidRPr="00873FEC">
        <w:rPr>
          <w:rFonts w:ascii="Verdana" w:eastAsia="Calibri" w:hAnsi="Verdana" w:cs="Verdana"/>
          <w:color w:val="000000"/>
          <w:sz w:val="20"/>
          <w:szCs w:val="20"/>
          <w:lang w:val="es-CR" w:eastAsia="es-CR"/>
        </w:rPr>
        <w:t>.</w:t>
      </w:r>
      <w:r w:rsidRPr="00873FEC">
        <w:rPr>
          <w:rFonts w:ascii="Verdana" w:eastAsia="Calibri" w:hAnsi="Verdana" w:cs="Times"/>
          <w:sz w:val="20"/>
          <w:szCs w:val="20"/>
          <w:lang w:val="es-CR" w:eastAsia="es-CR"/>
        </w:rPr>
        <w:t xml:space="preserve"> Ahora bien, l</w:t>
      </w:r>
      <w:r w:rsidRPr="00873FEC">
        <w:rPr>
          <w:rFonts w:ascii="Verdana" w:eastAsia="Calibri" w:hAnsi="Verdana" w:cs="Times"/>
          <w:sz w:val="20"/>
          <w:szCs w:val="20"/>
          <w:lang w:eastAsia="es-CR"/>
        </w:rPr>
        <w:t>os representantes señalaron</w:t>
      </w:r>
      <w:r w:rsidRPr="00873FEC">
        <w:rPr>
          <w:rFonts w:ascii="Verdana" w:eastAsia="Calibri" w:hAnsi="Verdana" w:cs="Times"/>
          <w:b/>
          <w:sz w:val="20"/>
          <w:szCs w:val="20"/>
          <w:lang w:eastAsia="es-CR"/>
        </w:rPr>
        <w:t xml:space="preserve"> </w:t>
      </w:r>
      <w:r w:rsidRPr="00873FEC">
        <w:rPr>
          <w:rFonts w:ascii="Verdana" w:eastAsia="Calibri" w:hAnsi="Verdana" w:cs="Times"/>
          <w:sz w:val="20"/>
          <w:szCs w:val="20"/>
          <w:lang w:eastAsia="es-CR"/>
        </w:rPr>
        <w:t>que el 8 de julio de 2015 la Corte Suprema de Justicia resolvió reducir las condenas 10 años, quedando limitadas a 30 años de privación de libertad. No obstante, los representantes no han presentado argumentos o información que permitan a esta Corte, en este caso, determinar una afectación a la proporcionalidad de la pena.</w:t>
      </w:r>
      <w:r w:rsidRPr="00873FEC">
        <w:rPr>
          <w:rFonts w:ascii="Verdana" w:eastAsia="Calibri" w:hAnsi="Verdana" w:cs="Times"/>
          <w:sz w:val="20"/>
          <w:szCs w:val="20"/>
          <w:lang w:val="es-CR" w:eastAsia="es-CR"/>
        </w:rPr>
        <w:t xml:space="preserve"> </w:t>
      </w:r>
    </w:p>
    <w:p w:rsidR="00467331" w:rsidRPr="00873FEC" w:rsidRDefault="00467331" w:rsidP="00126E97">
      <w:pPr>
        <w:spacing w:after="0" w:line="20" w:lineRule="atLeast"/>
        <w:ind w:right="-138"/>
        <w:contextualSpacing/>
        <w:jc w:val="both"/>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 xml:space="preserve">Por otra parte, también de acuerdo a indicaciones de los representantes, al menos </w:t>
      </w:r>
      <w:r w:rsidR="00641A62" w:rsidRPr="00873FEC">
        <w:rPr>
          <w:rFonts w:ascii="Verdana" w:eastAsia="Calibri" w:hAnsi="Verdana" w:cs="Times"/>
          <w:sz w:val="20"/>
          <w:szCs w:val="20"/>
          <w:lang w:val="es-CR" w:eastAsia="es-CR"/>
        </w:rPr>
        <w:t>dos</w:t>
      </w:r>
      <w:r w:rsidRPr="00873FEC">
        <w:rPr>
          <w:rFonts w:ascii="Verdana" w:eastAsia="Calibri" w:hAnsi="Verdana" w:cs="Times"/>
          <w:sz w:val="20"/>
          <w:szCs w:val="20"/>
          <w:lang w:val="es-CR" w:eastAsia="es-CR"/>
        </w:rPr>
        <w:t xml:space="preserve"> personas condenadas habrían recuperado ya su libertad por “buena conducta”, y el resto podría hacerlo, invocando la misma causal, durante 2018 o 2019. Ahora bien, las manifestaciones de los representantes sobre las personas liberadas o que podrían obtener su libertad resultan imprecisas y confusas (</w:t>
      </w:r>
      <w:r w:rsidRPr="00873FEC">
        <w:rPr>
          <w:rFonts w:ascii="Verdana" w:eastAsia="Calibri" w:hAnsi="Verdana" w:cs="Times"/>
          <w:i/>
          <w:sz w:val="20"/>
          <w:szCs w:val="20"/>
          <w:lang w:val="es-CR" w:eastAsia="es-CR"/>
        </w:rPr>
        <w:t>supra</w:t>
      </w:r>
      <w:r w:rsidRPr="00873FEC">
        <w:rPr>
          <w:rFonts w:ascii="Verdana" w:eastAsia="Calibri" w:hAnsi="Verdana" w:cs="Times"/>
          <w:sz w:val="20"/>
          <w:szCs w:val="20"/>
          <w:lang w:val="es-CR" w:eastAsia="es-CR"/>
        </w:rPr>
        <w:t xml:space="preserve"> nota a pie de página </w:t>
      </w:r>
      <w:r w:rsidR="00FF1C00" w:rsidRPr="00873FEC">
        <w:rPr>
          <w:rFonts w:ascii="Verdana" w:eastAsia="Calibri" w:hAnsi="Verdana" w:cs="Times"/>
          <w:sz w:val="20"/>
          <w:szCs w:val="20"/>
          <w:lang w:val="es-CR" w:eastAsia="es-CR"/>
        </w:rPr>
        <w:t>115</w:t>
      </w:r>
      <w:r w:rsidRPr="00873FEC">
        <w:rPr>
          <w:rFonts w:ascii="Verdana" w:eastAsia="Calibri" w:hAnsi="Verdana" w:cs="Times"/>
          <w:sz w:val="20"/>
          <w:szCs w:val="20"/>
          <w:lang w:val="es-CR" w:eastAsia="es-CR"/>
        </w:rPr>
        <w:t xml:space="preserve">). Aunado a ello, no han presentado argumentos suficientes para explicar por qué, en el caso, las liberaciones aludidas podrían derivar en la afectación a derechos convencionales. Por ello, la Corte no tiene elementos para examinar este aspecto en el caso.  </w:t>
      </w:r>
    </w:p>
    <w:p w:rsidR="00467331" w:rsidRPr="00873FEC" w:rsidRDefault="00467331" w:rsidP="00126E97">
      <w:pPr>
        <w:spacing w:after="0" w:line="20" w:lineRule="atLeast"/>
        <w:ind w:left="720"/>
        <w:contextualSpacing/>
        <w:rPr>
          <w:rFonts w:ascii="Verdana" w:eastAsia="Calibri" w:hAnsi="Verdana" w:cs="Times"/>
          <w:sz w:val="20"/>
          <w:szCs w:val="20"/>
          <w:lang w:val="es-CR" w:eastAsia="es-CR"/>
        </w:rPr>
      </w:pPr>
    </w:p>
    <w:p w:rsidR="00467331" w:rsidRPr="00873FEC" w:rsidRDefault="00467331" w:rsidP="00126E97">
      <w:pPr>
        <w:pStyle w:val="Heading3"/>
        <w:spacing w:before="0" w:line="20" w:lineRule="atLeast"/>
        <w:ind w:left="567"/>
        <w:jc w:val="both"/>
        <w:rPr>
          <w:rFonts w:ascii="Verdana" w:eastAsia="Calibri" w:hAnsi="Verdana" w:cs="Times"/>
          <w:b w:val="0"/>
          <w:i/>
          <w:color w:val="auto"/>
          <w:sz w:val="20"/>
          <w:szCs w:val="20"/>
          <w:lang w:val="es-CR" w:eastAsia="es-CR"/>
        </w:rPr>
      </w:pPr>
      <w:bookmarkStart w:id="152" w:name="_Toc525201173"/>
      <w:r w:rsidRPr="00873FEC">
        <w:rPr>
          <w:rFonts w:ascii="Verdana" w:eastAsia="Calibri" w:hAnsi="Verdana" w:cs="Times"/>
          <w:b w:val="0"/>
          <w:i/>
          <w:color w:val="auto"/>
          <w:sz w:val="20"/>
          <w:szCs w:val="20"/>
          <w:lang w:val="es-CR" w:eastAsia="es-CR"/>
        </w:rPr>
        <w:t xml:space="preserve">B. 5. </w:t>
      </w:r>
      <w:r w:rsidRPr="00873FEC">
        <w:rPr>
          <w:rFonts w:ascii="Verdana" w:eastAsia="Calibri" w:hAnsi="Verdana" w:cs="Times"/>
          <w:b w:val="0"/>
          <w:i/>
          <w:color w:val="auto"/>
          <w:sz w:val="20"/>
          <w:szCs w:val="20"/>
          <w:u w:val="single"/>
          <w:lang w:val="es-CR" w:eastAsia="es-CR"/>
        </w:rPr>
        <w:t>Sobre personas prófugas</w:t>
      </w:r>
      <w:bookmarkEnd w:id="152"/>
    </w:p>
    <w:p w:rsidR="00467331" w:rsidRPr="00873FEC" w:rsidRDefault="00467331" w:rsidP="00126E97">
      <w:pPr>
        <w:tabs>
          <w:tab w:val="left" w:pos="2385"/>
        </w:tabs>
        <w:spacing w:after="0" w:line="20" w:lineRule="atLeast"/>
        <w:ind w:left="720"/>
        <w:contextualSpacing/>
        <w:rPr>
          <w:rFonts w:ascii="Verdana" w:eastAsia="Calibri" w:hAnsi="Verdana" w:cs="Times"/>
          <w:sz w:val="20"/>
          <w:szCs w:val="20"/>
          <w:lang w:val="es-CR" w:eastAsia="es-CR"/>
        </w:rPr>
      </w:pPr>
      <w:r w:rsidRPr="00873FEC">
        <w:rPr>
          <w:rFonts w:ascii="Verdana" w:eastAsia="Calibri" w:hAnsi="Verdana" w:cs="Times"/>
          <w:sz w:val="20"/>
          <w:szCs w:val="20"/>
          <w:lang w:val="es-CR" w:eastAsia="es-CR"/>
        </w:rPr>
        <w:tab/>
      </w: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Habiendo quedado establecido lo precedente, deben examinarse los señalamientos sobre personas prófugas. De los hechos surge que el 12 de abril de 2000 se anuló la absolución, antes decidida, de 15 personas y se ordenó su detención, y que el mes siguiente el expediente fue trasladado al Tribunal de Sentencia (</w:t>
      </w:r>
      <w:r w:rsidRPr="00873FEC">
        <w:rPr>
          <w:rFonts w:ascii="Verdana" w:eastAsia="Calibri" w:hAnsi="Verdana" w:cs="Times"/>
          <w:i/>
          <w:sz w:val="20"/>
          <w:szCs w:val="20"/>
          <w:lang w:val="es-CR" w:eastAsia="es-CR"/>
        </w:rPr>
        <w:t>supra</w:t>
      </w:r>
      <w:r w:rsidRPr="00873FEC">
        <w:rPr>
          <w:rFonts w:ascii="Verdana" w:eastAsia="Calibri" w:hAnsi="Verdana" w:cs="Times"/>
          <w:sz w:val="20"/>
          <w:szCs w:val="20"/>
          <w:lang w:val="es-CR" w:eastAsia="es-CR"/>
        </w:rPr>
        <w:t xml:space="preserve"> </w:t>
      </w:r>
      <w:proofErr w:type="spellStart"/>
      <w:r w:rsidRPr="00873FEC">
        <w:rPr>
          <w:rFonts w:ascii="Verdana" w:eastAsia="Calibri" w:hAnsi="Verdana" w:cs="Times"/>
          <w:sz w:val="20"/>
          <w:szCs w:val="20"/>
          <w:lang w:val="es-CR" w:eastAsia="es-CR"/>
        </w:rPr>
        <w:t>párr</w:t>
      </w:r>
      <w:r w:rsidR="00FF1C00" w:rsidRPr="00873FEC">
        <w:rPr>
          <w:rFonts w:ascii="Verdana" w:eastAsia="Calibri" w:hAnsi="Verdana" w:cs="Times"/>
          <w:sz w:val="20"/>
          <w:szCs w:val="20"/>
          <w:lang w:val="es-CR" w:eastAsia="es-CR"/>
        </w:rPr>
        <w:t>s</w:t>
      </w:r>
      <w:proofErr w:type="spellEnd"/>
      <w:r w:rsidRPr="00873FEC">
        <w:rPr>
          <w:rFonts w:ascii="Verdana" w:eastAsia="Calibri" w:hAnsi="Verdana" w:cs="Times"/>
          <w:sz w:val="20"/>
          <w:szCs w:val="20"/>
          <w:lang w:val="es-CR" w:eastAsia="es-CR"/>
        </w:rPr>
        <w:t xml:space="preserve">. </w:t>
      </w:r>
      <w:r w:rsidR="00FF1C00" w:rsidRPr="00873FEC">
        <w:rPr>
          <w:rFonts w:ascii="Verdana" w:eastAsia="Calibri" w:hAnsi="Verdana" w:cs="Times"/>
          <w:sz w:val="20"/>
          <w:szCs w:val="20"/>
          <w:lang w:val="es-CR" w:eastAsia="es-CR"/>
        </w:rPr>
        <w:t>61 y 62</w:t>
      </w:r>
      <w:r w:rsidRPr="00873FEC">
        <w:rPr>
          <w:rFonts w:ascii="Verdana" w:eastAsia="Calibri" w:hAnsi="Verdana" w:cs="Times"/>
          <w:sz w:val="20"/>
          <w:szCs w:val="20"/>
          <w:lang w:val="es-CR" w:eastAsia="es-CR"/>
        </w:rPr>
        <w:t>). El Estado ha indicado que 11 de las personas aludidas se encuentran prófugas (</w:t>
      </w:r>
      <w:r w:rsidRPr="00873FEC">
        <w:rPr>
          <w:rFonts w:ascii="Verdana" w:eastAsia="Calibri" w:hAnsi="Verdana" w:cs="Times"/>
          <w:i/>
          <w:sz w:val="20"/>
          <w:szCs w:val="20"/>
          <w:lang w:val="es-CR" w:eastAsia="es-CR"/>
        </w:rPr>
        <w:t>supra</w:t>
      </w:r>
      <w:r w:rsidRPr="00873FEC">
        <w:rPr>
          <w:rFonts w:ascii="Verdana" w:eastAsia="Calibri" w:hAnsi="Verdana" w:cs="Times"/>
          <w:sz w:val="20"/>
          <w:szCs w:val="20"/>
          <w:lang w:val="es-CR" w:eastAsia="es-CR"/>
        </w:rPr>
        <w:t xml:space="preserve"> </w:t>
      </w:r>
      <w:proofErr w:type="spellStart"/>
      <w:r w:rsidRPr="00873FEC">
        <w:rPr>
          <w:rFonts w:ascii="Verdana" w:eastAsia="Calibri" w:hAnsi="Verdana" w:cs="Times"/>
          <w:sz w:val="20"/>
          <w:szCs w:val="20"/>
          <w:lang w:val="es-CR" w:eastAsia="es-CR"/>
        </w:rPr>
        <w:t>párr</w:t>
      </w:r>
      <w:r w:rsidR="00FF1C00" w:rsidRPr="00873FEC">
        <w:rPr>
          <w:rFonts w:ascii="Verdana" w:eastAsia="Calibri" w:hAnsi="Verdana" w:cs="Times"/>
          <w:sz w:val="20"/>
          <w:szCs w:val="20"/>
          <w:lang w:val="es-CR" w:eastAsia="es-CR"/>
        </w:rPr>
        <w:t>s</w:t>
      </w:r>
      <w:proofErr w:type="spellEnd"/>
      <w:r w:rsidRPr="00873FEC">
        <w:rPr>
          <w:rFonts w:ascii="Verdana" w:eastAsia="Calibri" w:hAnsi="Verdana" w:cs="Times"/>
          <w:sz w:val="20"/>
          <w:szCs w:val="20"/>
          <w:lang w:val="es-CR" w:eastAsia="es-CR"/>
        </w:rPr>
        <w:t xml:space="preserve">. </w:t>
      </w:r>
      <w:r w:rsidR="00FF1C00" w:rsidRPr="00873FEC">
        <w:rPr>
          <w:rFonts w:ascii="Verdana" w:eastAsia="Calibri" w:hAnsi="Verdana" w:cs="Times"/>
          <w:sz w:val="20"/>
          <w:szCs w:val="20"/>
          <w:lang w:val="es-CR" w:eastAsia="es-CR"/>
        </w:rPr>
        <w:t>66 y 76</w:t>
      </w:r>
      <w:r w:rsidRPr="00873FEC">
        <w:rPr>
          <w:rFonts w:ascii="Verdana" w:eastAsia="Calibri" w:hAnsi="Verdana" w:cs="Times"/>
          <w:sz w:val="20"/>
          <w:szCs w:val="20"/>
          <w:lang w:val="es-CR" w:eastAsia="es-CR"/>
        </w:rPr>
        <w:t xml:space="preserve">).  </w:t>
      </w:r>
    </w:p>
    <w:p w:rsidR="00467331" w:rsidRPr="00873FEC" w:rsidRDefault="00467331" w:rsidP="00126E97">
      <w:pPr>
        <w:spacing w:after="0" w:line="20" w:lineRule="atLeast"/>
        <w:ind w:right="-138"/>
        <w:contextualSpacing/>
        <w:jc w:val="both"/>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lastRenderedPageBreak/>
        <w:t>Ahora bien, la Corte ha dicho que los Estados, al investigar, deben llevar a cabo todas las actuaciones necesarias para procurar el resultado que se persigue (</w:t>
      </w:r>
      <w:r w:rsidRPr="00873FEC">
        <w:rPr>
          <w:rFonts w:ascii="Verdana" w:eastAsia="Calibri" w:hAnsi="Verdana" w:cs="Times"/>
          <w:i/>
          <w:sz w:val="20"/>
          <w:szCs w:val="20"/>
          <w:lang w:val="es-CR" w:eastAsia="es-CR"/>
        </w:rPr>
        <w:t>supra</w:t>
      </w:r>
      <w:r w:rsidRPr="00873FEC">
        <w:rPr>
          <w:rFonts w:ascii="Verdana" w:eastAsia="Calibri" w:hAnsi="Verdana" w:cs="Times"/>
          <w:sz w:val="20"/>
          <w:szCs w:val="20"/>
          <w:lang w:val="es-CR" w:eastAsia="es-CR"/>
        </w:rPr>
        <w:t xml:space="preserve"> párr. 81). Asimismo, ha conocido circunstancias que denotaban un incumplimiento al deber de investigar en forma diligente dada la falta de actuaciones suficientes para dar con el paradero de personas respecto de quienes se había dictado una orden de captura</w:t>
      </w:r>
      <w:r w:rsidRPr="00873FEC">
        <w:rPr>
          <w:rFonts w:ascii="Verdana" w:eastAsia="Calibri" w:hAnsi="Verdana" w:cs="Times New Roman"/>
          <w:szCs w:val="20"/>
          <w:vertAlign w:val="superscript"/>
          <w:lang w:val="es-CR" w:eastAsia="x-none"/>
        </w:rPr>
        <w:footnoteReference w:id="142"/>
      </w:r>
      <w:r w:rsidRPr="00873FEC">
        <w:rPr>
          <w:rFonts w:ascii="Verdana" w:eastAsia="Calibri" w:hAnsi="Verdana" w:cs="Times"/>
          <w:sz w:val="20"/>
          <w:szCs w:val="20"/>
          <w:lang w:val="es-CR" w:eastAsia="es-CR"/>
        </w:rPr>
        <w:t xml:space="preserve">.  </w:t>
      </w:r>
    </w:p>
    <w:p w:rsidR="00467331" w:rsidRPr="00873FEC" w:rsidRDefault="00467331" w:rsidP="00126E97">
      <w:pPr>
        <w:spacing w:line="20" w:lineRule="atLeast"/>
        <w:contextualSpacing/>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Como parte de sus argumentos para sostener que no es responsable de la violación a los artículos 8 y 25 de la Convención, el Estado manifestó que mantenía vigentes ordenes de aprehensión (</w:t>
      </w:r>
      <w:r w:rsidRPr="00873FEC">
        <w:rPr>
          <w:rFonts w:ascii="Verdana" w:eastAsia="Calibri" w:hAnsi="Verdana" w:cs="Times"/>
          <w:i/>
          <w:sz w:val="20"/>
          <w:szCs w:val="20"/>
          <w:lang w:val="es-CR" w:eastAsia="es-CR"/>
        </w:rPr>
        <w:t>supra</w:t>
      </w:r>
      <w:r w:rsidRPr="00873FEC">
        <w:rPr>
          <w:rFonts w:ascii="Verdana" w:eastAsia="Calibri" w:hAnsi="Verdana" w:cs="Times"/>
          <w:sz w:val="20"/>
          <w:szCs w:val="20"/>
          <w:lang w:val="es-CR" w:eastAsia="es-CR"/>
        </w:rPr>
        <w:t xml:space="preserve"> párr. 7</w:t>
      </w:r>
      <w:r w:rsidR="00731642" w:rsidRPr="00873FEC">
        <w:rPr>
          <w:rFonts w:ascii="Verdana" w:eastAsia="Calibri" w:hAnsi="Verdana" w:cs="Times"/>
          <w:sz w:val="20"/>
          <w:szCs w:val="20"/>
          <w:lang w:val="es-CR" w:eastAsia="es-CR"/>
        </w:rPr>
        <w:t>6</w:t>
      </w:r>
      <w:r w:rsidRPr="00873FEC">
        <w:rPr>
          <w:rFonts w:ascii="Verdana" w:eastAsia="Calibri" w:hAnsi="Verdana" w:cs="Times"/>
          <w:sz w:val="20"/>
          <w:szCs w:val="20"/>
          <w:lang w:val="es-CR" w:eastAsia="es-CR"/>
        </w:rPr>
        <w:t>). No obstante, Guatemala no señaló qué acciones habría adoptado para efectivizarlas. Es decir, la Corte no cuenta con información que indique acciones del Estado durante un periodo de más de 18 años. Al respecto, debe señalarse que la diligencia debida en la investigación no se agota con el dictado de las medidas que se estimen necesarias, sino que requiere de actos dirigidos a su concreción. En este sentido, este Tribunal nota que la falta de aprehensión de las personas en cuestión impidió su juzgamiento, menoscabando el derecho de las presuntas víctimas de acceder a la justicia. Por ello, teniendo en cuenta el tiempo transcurrido, el señalamiento estatal de que las ordenes de aprehensión se mantienen vigentes, sin indicaciones de acciones para concretarlas, no señala un actuar diligente, sino lo contrario</w:t>
      </w:r>
      <w:r w:rsidRPr="00873FEC">
        <w:rPr>
          <w:rFonts w:ascii="Verdana" w:eastAsia="Calibri" w:hAnsi="Verdana" w:cs="Times New Roman"/>
          <w:szCs w:val="20"/>
          <w:vertAlign w:val="superscript"/>
          <w:lang w:val="es-CR" w:eastAsia="x-none"/>
        </w:rPr>
        <w:footnoteReference w:id="143"/>
      </w:r>
      <w:r w:rsidRPr="00873FEC">
        <w:rPr>
          <w:rFonts w:ascii="Verdana" w:eastAsia="Calibri" w:hAnsi="Verdana" w:cs="Times"/>
          <w:sz w:val="20"/>
          <w:szCs w:val="20"/>
          <w:lang w:val="es-CR" w:eastAsia="es-CR"/>
        </w:rPr>
        <w:t xml:space="preserve">. </w:t>
      </w:r>
    </w:p>
    <w:p w:rsidR="00467331" w:rsidRPr="00873FEC" w:rsidRDefault="00467331" w:rsidP="00126E97">
      <w:pPr>
        <w:spacing w:line="20" w:lineRule="atLeast"/>
        <w:contextualSpacing/>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Debe aclararse que la Corte, al expresar esto, no está efectuando una manifestación sobre la responsabilidad penal de las personas</w:t>
      </w:r>
      <w:r w:rsidRPr="00873FEC">
        <w:rPr>
          <w:rFonts w:ascii="Verdana" w:eastAsia="Calibri" w:hAnsi="Verdana" w:cs="Times"/>
          <w:b/>
          <w:sz w:val="20"/>
          <w:szCs w:val="20"/>
          <w:lang w:val="es-CR" w:eastAsia="es-CR"/>
        </w:rPr>
        <w:t xml:space="preserve"> </w:t>
      </w:r>
      <w:r w:rsidRPr="00873FEC">
        <w:rPr>
          <w:rFonts w:ascii="Verdana" w:eastAsia="Calibri" w:hAnsi="Verdana" w:cs="Times"/>
          <w:sz w:val="20"/>
          <w:szCs w:val="20"/>
          <w:lang w:val="es-CR" w:eastAsia="es-CR"/>
        </w:rPr>
        <w:t xml:space="preserve">rebeldes, ni sobre la necesidad de que sean detenidas o privadas preventivamente de la libertad. Son los propios órganos internos los que han considerado necesaria la aprehensión de las 11 personas referidas, a efectos de avanzar en su juzgamiento y, en su caso, la determinación de las responsabilidades correspondientes. </w:t>
      </w:r>
    </w:p>
    <w:p w:rsidR="00467331" w:rsidRPr="00873FEC" w:rsidRDefault="00467331" w:rsidP="00126E97">
      <w:pPr>
        <w:spacing w:line="20" w:lineRule="atLeast"/>
        <w:contextualSpacing/>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ind w:right="-138"/>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 xml:space="preserve">Por todo lo anterior, este Tribunal concluye que el actuar de Guatemala en este aspecto incumplió la diligencia debida. Este incumplimiento se prolonga desde el 12 de abril de 2000, y perjudica a los familiares de las personas muertas en la masacre, a las personas heridas sobrevivientes y a los familiares de estas, </w:t>
      </w:r>
      <w:r w:rsidR="00BA110F">
        <w:rPr>
          <w:rFonts w:ascii="Verdana" w:eastAsia="Calibri" w:hAnsi="Verdana" w:cs="Times"/>
          <w:sz w:val="20"/>
          <w:szCs w:val="20"/>
          <w:lang w:val="es-CR" w:eastAsia="es-CR"/>
        </w:rPr>
        <w:t>que se indican en el Anexo B.1 de</w:t>
      </w:r>
      <w:r w:rsidRPr="00873FEC">
        <w:rPr>
          <w:rFonts w:ascii="Verdana" w:eastAsia="Calibri" w:hAnsi="Verdana" w:cs="Times"/>
          <w:sz w:val="20"/>
          <w:szCs w:val="20"/>
          <w:lang w:val="es-CR" w:eastAsia="es-CR"/>
        </w:rPr>
        <w:t xml:space="preserve"> la presente Sentencia, que integra la misma</w:t>
      </w:r>
      <w:r w:rsidRPr="00873FEC">
        <w:rPr>
          <w:rFonts w:ascii="Verdana" w:eastAsia="Calibri" w:hAnsi="Verdana" w:cs="Times New Roman"/>
          <w:szCs w:val="20"/>
          <w:vertAlign w:val="superscript"/>
          <w:lang w:val="es-CR" w:eastAsia="x-none"/>
        </w:rPr>
        <w:footnoteReference w:id="144"/>
      </w:r>
      <w:r w:rsidRPr="00873FEC">
        <w:rPr>
          <w:rFonts w:ascii="Verdana" w:eastAsia="Calibri" w:hAnsi="Verdana" w:cs="Times"/>
          <w:sz w:val="20"/>
          <w:szCs w:val="20"/>
          <w:lang w:val="es-CR" w:eastAsia="es-CR"/>
        </w:rPr>
        <w:t>. Al respecto, la Corte aprecia las particulares circunstancias de este caso, pues el hecho que produjo las muertes y heridas ocurrió en un ámbito comunitario al que pertenecían no sólo las personas ejecutadas y lesionadas, sino también los familiares de unas y otras. Es por ello que, en el caso, este Tribunal entiende que todos los familiares aludidos se vieron afectados</w:t>
      </w:r>
      <w:r w:rsidRPr="00873FEC">
        <w:rPr>
          <w:rFonts w:ascii="Verdana" w:eastAsia="Calibri" w:hAnsi="Verdana" w:cs="Times New Roman"/>
          <w:sz w:val="20"/>
          <w:szCs w:val="20"/>
          <w:vertAlign w:val="superscript"/>
          <w:lang w:val="es-CR" w:eastAsia="es-CR"/>
        </w:rPr>
        <w:footnoteReference w:id="145"/>
      </w:r>
      <w:r w:rsidRPr="00873FEC">
        <w:rPr>
          <w:rFonts w:ascii="Verdana" w:eastAsia="Calibri" w:hAnsi="Verdana" w:cs="Times"/>
          <w:sz w:val="20"/>
          <w:szCs w:val="20"/>
          <w:lang w:val="es-CR" w:eastAsia="es-CR"/>
        </w:rPr>
        <w:t xml:space="preserve">. </w:t>
      </w:r>
    </w:p>
    <w:p w:rsidR="00467331" w:rsidRPr="00873FEC" w:rsidRDefault="00467331" w:rsidP="00126E97">
      <w:pPr>
        <w:spacing w:after="0" w:line="20" w:lineRule="atLeast"/>
        <w:contextualSpacing/>
        <w:rPr>
          <w:rFonts w:ascii="Verdana" w:eastAsia="Calibri" w:hAnsi="Verdana" w:cs="Times New Roman"/>
          <w:sz w:val="20"/>
          <w:szCs w:val="20"/>
          <w:lang w:val="es-CR" w:eastAsia="es-CR"/>
        </w:rPr>
      </w:pPr>
    </w:p>
    <w:p w:rsidR="00467331" w:rsidRPr="00873FEC" w:rsidRDefault="00467331" w:rsidP="00126E97">
      <w:pPr>
        <w:pStyle w:val="Heading3"/>
        <w:spacing w:before="0" w:line="20" w:lineRule="atLeast"/>
        <w:ind w:left="567"/>
        <w:jc w:val="both"/>
        <w:rPr>
          <w:rFonts w:ascii="Verdana" w:eastAsia="Calibri" w:hAnsi="Verdana" w:cs="Times New Roman"/>
          <w:b w:val="0"/>
          <w:i/>
          <w:color w:val="auto"/>
          <w:sz w:val="20"/>
          <w:szCs w:val="20"/>
          <w:lang w:val="es-CR" w:eastAsia="es-CR"/>
        </w:rPr>
      </w:pPr>
      <w:bookmarkStart w:id="153" w:name="_Toc525201174"/>
      <w:r w:rsidRPr="00873FEC">
        <w:rPr>
          <w:rFonts w:ascii="Verdana" w:eastAsia="Calibri" w:hAnsi="Verdana" w:cs="Times New Roman"/>
          <w:b w:val="0"/>
          <w:i/>
          <w:color w:val="auto"/>
          <w:sz w:val="20"/>
          <w:szCs w:val="20"/>
          <w:lang w:val="es-CR" w:eastAsia="es-CR"/>
        </w:rPr>
        <w:t xml:space="preserve">B.6. </w:t>
      </w:r>
      <w:r w:rsidRPr="00873FEC">
        <w:rPr>
          <w:rFonts w:ascii="Verdana" w:eastAsia="Calibri" w:hAnsi="Verdana" w:cs="Times New Roman"/>
          <w:b w:val="0"/>
          <w:i/>
          <w:color w:val="auto"/>
          <w:sz w:val="20"/>
          <w:szCs w:val="20"/>
          <w:u w:val="single"/>
          <w:lang w:val="es-CR" w:eastAsia="es-CR"/>
        </w:rPr>
        <w:t>Duración de las actuaciones</w:t>
      </w:r>
      <w:bookmarkEnd w:id="153"/>
    </w:p>
    <w:p w:rsidR="00467331" w:rsidRPr="00873FEC" w:rsidRDefault="00467331" w:rsidP="00126E97">
      <w:pPr>
        <w:spacing w:after="0" w:line="20" w:lineRule="atLeast"/>
        <w:contextualSpacing/>
        <w:rPr>
          <w:rFonts w:ascii="Verdana" w:eastAsia="Calibri"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val="es-CR" w:eastAsia="es-CR"/>
        </w:rPr>
        <w:t xml:space="preserve">Estando determinado todo lo anterior, debe la Corte verificar si </w:t>
      </w:r>
      <w:r w:rsidRPr="00873FEC">
        <w:rPr>
          <w:rFonts w:ascii="Verdana" w:eastAsia="Calibri" w:hAnsi="Verdana" w:cs="Arial"/>
          <w:sz w:val="20"/>
          <w:szCs w:val="20"/>
          <w:lang w:val="es-CR" w:eastAsia="es-CR"/>
        </w:rPr>
        <w:t xml:space="preserve">se cumplió o no con la garantía judicial de plazo razonable. </w:t>
      </w:r>
      <w:r w:rsidRPr="00873FEC">
        <w:rPr>
          <w:rFonts w:ascii="Verdana" w:eastAsia="Calibri" w:hAnsi="Verdana" w:cs="Times New Roman"/>
          <w:sz w:val="20"/>
          <w:szCs w:val="20"/>
          <w:lang w:val="es-CR" w:eastAsia="es-CR"/>
        </w:rPr>
        <w:t>A</w:t>
      </w:r>
      <w:r w:rsidRPr="00873FEC">
        <w:rPr>
          <w:rFonts w:ascii="Verdana" w:eastAsia="Calibri" w:hAnsi="Verdana" w:cs="Times"/>
          <w:sz w:val="20"/>
          <w:lang w:val="es-CR" w:eastAsia="es-CR"/>
        </w:rPr>
        <w:t xml:space="preserve"> efectos de analizar el plazo, en términos generales, la Corte </w:t>
      </w:r>
      <w:r w:rsidRPr="00873FEC">
        <w:rPr>
          <w:rFonts w:ascii="Verdana" w:eastAsia="Calibri" w:hAnsi="Verdana" w:cs="Times"/>
          <w:sz w:val="20"/>
          <w:lang w:val="es-MX" w:eastAsia="es-CR"/>
        </w:rPr>
        <w:t>debe considerar la duración global de un proceso hasta e</w:t>
      </w:r>
      <w:r w:rsidR="001D1D5B" w:rsidRPr="00873FEC">
        <w:rPr>
          <w:rFonts w:ascii="Verdana" w:eastAsia="Calibri" w:hAnsi="Verdana" w:cs="Times"/>
          <w:sz w:val="20"/>
          <w:lang w:val="es-MX" w:eastAsia="es-CR"/>
        </w:rPr>
        <w:t>l</w:t>
      </w:r>
      <w:r w:rsidRPr="00873FEC">
        <w:rPr>
          <w:rFonts w:ascii="Verdana" w:eastAsia="Calibri" w:hAnsi="Verdana" w:cs="Times"/>
          <w:sz w:val="20"/>
          <w:lang w:val="es-MX" w:eastAsia="es-CR"/>
        </w:rPr>
        <w:t xml:space="preserve"> dict</w:t>
      </w:r>
      <w:r w:rsidR="001D1D5B" w:rsidRPr="00873FEC">
        <w:rPr>
          <w:rFonts w:ascii="Verdana" w:eastAsia="Calibri" w:hAnsi="Verdana" w:cs="Times"/>
          <w:sz w:val="20"/>
          <w:lang w:val="es-MX" w:eastAsia="es-CR"/>
        </w:rPr>
        <w:t>ado de</w:t>
      </w:r>
      <w:r w:rsidRPr="00873FEC">
        <w:rPr>
          <w:rFonts w:ascii="Verdana" w:eastAsia="Calibri" w:hAnsi="Verdana" w:cs="Times"/>
          <w:sz w:val="20"/>
          <w:lang w:val="es-MX" w:eastAsia="es-CR"/>
        </w:rPr>
        <w:t xml:space="preserve"> sentencia definitiva</w:t>
      </w:r>
      <w:r w:rsidRPr="00873FEC">
        <w:rPr>
          <w:rFonts w:ascii="Calibri" w:eastAsia="Calibri" w:hAnsi="Calibri" w:cs="Times New Roman"/>
          <w:szCs w:val="20"/>
          <w:vertAlign w:val="superscript"/>
          <w:lang w:val="es-PE" w:eastAsia="x-none"/>
        </w:rPr>
        <w:footnoteReference w:id="146"/>
      </w:r>
      <w:r w:rsidRPr="00873FEC">
        <w:rPr>
          <w:rFonts w:ascii="Verdana" w:eastAsia="Calibri" w:hAnsi="Verdana" w:cs="Times"/>
          <w:sz w:val="20"/>
          <w:lang w:val="es-MX" w:eastAsia="es-CR"/>
        </w:rPr>
        <w:t>, sin perjuicio de que en ciertas situaciones puede ser pertinente una valoración específica de sus distintas etapas</w:t>
      </w:r>
      <w:r w:rsidRPr="00873FEC">
        <w:rPr>
          <w:rFonts w:ascii="Verdana" w:eastAsia="Calibri" w:hAnsi="Verdana" w:cs="Times New Roman"/>
          <w:szCs w:val="20"/>
          <w:vertAlign w:val="superscript"/>
          <w:lang w:val="es-CR" w:eastAsia="x-none"/>
        </w:rPr>
        <w:footnoteReference w:id="147"/>
      </w:r>
      <w:r w:rsidRPr="00873FEC">
        <w:rPr>
          <w:rFonts w:ascii="Verdana" w:eastAsia="Calibri" w:hAnsi="Verdana" w:cs="Times"/>
          <w:sz w:val="20"/>
          <w:lang w:val="es-MX" w:eastAsia="es-CR"/>
        </w:rPr>
        <w:t>.</w:t>
      </w:r>
    </w:p>
    <w:p w:rsidR="00467331" w:rsidRPr="00873FEC" w:rsidRDefault="00467331" w:rsidP="00126E97">
      <w:pPr>
        <w:spacing w:line="20" w:lineRule="atLeast"/>
        <w:ind w:left="720"/>
        <w:contextualSpacing/>
        <w:rPr>
          <w:rFonts w:ascii="Verdana" w:eastAsia="Calibri"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val="es-CR" w:eastAsia="es-CR"/>
        </w:rPr>
        <w:t xml:space="preserve">En el presente caso, la Corte considera adecuado efectuar la evaluación sobre el plazo transcurrido considerando el proceso judicial penal, que fue seguido desde el inicio de las actuaciones hasta que el 23 de septiembre de 2005 quedara firme la condena a 40 años de prisión de 14 militares. Ahora bien, en atención al modo en que se desarrolló el proceso, este Tribunal entiende relevante dividir el tiempo referido en dos etapas: a) la primera, desde que el personal militar fue consignado ante el Juzgado Militar Primero de Primera Instancia de Jalapa, lo que ocurrió inmediatamente después de que el 5 de octubre de 1995 se cometiera la masacre, hasta el 12 de abril de 2000, cuando la Corte Suprema anuló la sentencia de 6 de diciembre de 1999, que había determinado la condena de diez militares, y b) la segunda, desde el 12 de abril de 2000 hasta el 23 de septiembre de 2005, cuando la Corte Suprema dejó firme la sentencia condenatoria emitida el 8 de julio de 2004. </w:t>
      </w:r>
    </w:p>
    <w:p w:rsidR="00467331" w:rsidRPr="00873FEC" w:rsidRDefault="00467331" w:rsidP="00126E97">
      <w:pPr>
        <w:spacing w:line="20" w:lineRule="atLeast"/>
        <w:contextualSpacing/>
        <w:jc w:val="both"/>
        <w:rPr>
          <w:rFonts w:ascii="Verdana" w:eastAsia="Calibri"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val="es-CR" w:eastAsia="es-CR"/>
        </w:rPr>
        <w:t xml:space="preserve">En cuanto a la primera etapa, la Corte destaca, por una parte, que hasta la emisión de una sentencia condenatoria, el proceso se desarrolló en un periodo cercano a tres años y medio, que en este caso concreto </w:t>
      </w:r>
      <w:r w:rsidRPr="00873FEC">
        <w:rPr>
          <w:rFonts w:ascii="Verdana" w:eastAsia="Calibri" w:hAnsi="Verdana" w:cs="Times New Roman"/>
          <w:i/>
          <w:sz w:val="20"/>
          <w:szCs w:val="20"/>
          <w:lang w:val="es-CR" w:eastAsia="es-CR"/>
        </w:rPr>
        <w:t>a priori</w:t>
      </w:r>
      <w:r w:rsidRPr="00873FEC">
        <w:rPr>
          <w:rFonts w:ascii="Verdana" w:eastAsia="Calibri" w:hAnsi="Verdana" w:cs="Times New Roman"/>
          <w:sz w:val="20"/>
          <w:szCs w:val="20"/>
          <w:lang w:val="es-CR" w:eastAsia="es-CR"/>
        </w:rPr>
        <w:t xml:space="preserve"> no parece excesivo. Por otra parte, la Corte no determinó faltas a la debida diligencia que se cometieran durante el tiempo respectivo, en el curso del cual no se advierten demoras prolongadas. Por ende, este Tribunal considera que no hubo una dilación indebida y que no es necesario examinar cada uno de los elementos referidos en su jurisprudencia para determinar la razonabilidad del tiempo en que se desarrolla el proceso</w:t>
      </w:r>
      <w:r w:rsidRPr="00873FEC">
        <w:rPr>
          <w:rFonts w:ascii="Verdana" w:eastAsia="Calibri" w:hAnsi="Verdana" w:cs="Times New Roman"/>
          <w:sz w:val="20"/>
          <w:szCs w:val="20"/>
          <w:vertAlign w:val="superscript"/>
          <w:lang w:val="es-CR" w:eastAsia="es-CR"/>
        </w:rPr>
        <w:footnoteReference w:id="148"/>
      </w:r>
      <w:r w:rsidRPr="00873FEC">
        <w:rPr>
          <w:rFonts w:ascii="Verdana" w:eastAsia="Calibri" w:hAnsi="Verdana" w:cs="Times New Roman"/>
          <w:sz w:val="20"/>
          <w:szCs w:val="20"/>
          <w:lang w:val="es-CR" w:eastAsia="es-CR"/>
        </w:rPr>
        <w:t xml:space="preserve">. </w:t>
      </w:r>
    </w:p>
    <w:p w:rsidR="00467331" w:rsidRPr="00873FEC" w:rsidRDefault="00467331" w:rsidP="00126E97">
      <w:pPr>
        <w:spacing w:line="20" w:lineRule="atLeast"/>
        <w:contextualSpacing/>
        <w:rPr>
          <w:rFonts w:ascii="Verdana" w:eastAsia="Calibri"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val="es-CR" w:eastAsia="es-CR"/>
        </w:rPr>
        <w:lastRenderedPageBreak/>
        <w:t>Respecto de la segunda etapa antes aludida (</w:t>
      </w:r>
      <w:r w:rsidRPr="00873FEC">
        <w:rPr>
          <w:rFonts w:ascii="Verdana" w:eastAsia="Calibri" w:hAnsi="Verdana" w:cs="Times New Roman"/>
          <w:i/>
          <w:sz w:val="20"/>
          <w:szCs w:val="20"/>
          <w:lang w:val="es-CR" w:eastAsia="es-CR"/>
        </w:rPr>
        <w:t>supra</w:t>
      </w:r>
      <w:r w:rsidRPr="00873FEC">
        <w:rPr>
          <w:rFonts w:ascii="Verdana" w:eastAsia="Calibri" w:hAnsi="Verdana" w:cs="Times New Roman"/>
          <w:sz w:val="20"/>
          <w:szCs w:val="20"/>
          <w:lang w:val="es-CR" w:eastAsia="es-CR"/>
        </w:rPr>
        <w:t xml:space="preserve"> párr. 94), la Corte nota que después de la referida decisión de 12 de abril de 2000, en mayo del mismo año el expediente fue trasladado al Tribunal de Sentencia de Cobán, para la celebración de un nuevo juicio. </w:t>
      </w:r>
      <w:r w:rsidR="000C5676">
        <w:rPr>
          <w:rFonts w:ascii="Verdana" w:eastAsia="Calibri" w:hAnsi="Verdana" w:cs="Times New Roman"/>
          <w:sz w:val="20"/>
          <w:szCs w:val="20"/>
          <w:lang w:val="es-CR" w:eastAsia="es-CR"/>
        </w:rPr>
        <w:t xml:space="preserve">No fue aportada prueba </w:t>
      </w:r>
      <w:r w:rsidRPr="00873FEC">
        <w:rPr>
          <w:rFonts w:ascii="Verdana" w:eastAsia="Calibri" w:hAnsi="Verdana" w:cs="Times New Roman"/>
          <w:sz w:val="20"/>
          <w:szCs w:val="20"/>
          <w:lang w:val="es-CR" w:eastAsia="es-CR"/>
        </w:rPr>
        <w:t xml:space="preserve">sobre trámites efectuados con posterioridad a ello, pero </w:t>
      </w:r>
      <w:r w:rsidR="000C5676">
        <w:rPr>
          <w:rFonts w:ascii="Verdana" w:eastAsia="Calibri" w:hAnsi="Verdana" w:cs="Times New Roman"/>
          <w:sz w:val="20"/>
          <w:szCs w:val="20"/>
          <w:lang w:val="es-CR" w:eastAsia="es-CR"/>
        </w:rPr>
        <w:t>sí consta</w:t>
      </w:r>
      <w:r w:rsidRPr="00873FEC">
        <w:rPr>
          <w:rFonts w:ascii="Verdana" w:eastAsia="Calibri" w:hAnsi="Verdana" w:cs="Times New Roman"/>
          <w:sz w:val="20"/>
          <w:szCs w:val="20"/>
          <w:lang w:val="es-CR" w:eastAsia="es-CR"/>
        </w:rPr>
        <w:t xml:space="preserve"> que el 3 de julio de 2003 inició el debate oral, luego del cual el 8 de julio de 2004 se emitió una sentencia condenatoria. Este Tribunal considera que no cuenta con elementos ni argumentos suficientes que le permitan determinar demoras excesivas</w:t>
      </w:r>
      <w:r w:rsidRPr="00873FEC">
        <w:rPr>
          <w:rFonts w:ascii="Verdana" w:eastAsia="Calibri" w:hAnsi="Verdana" w:cs="Times New Roman"/>
          <w:sz w:val="20"/>
          <w:szCs w:val="20"/>
          <w:vertAlign w:val="superscript"/>
          <w:lang w:val="es-CR" w:eastAsia="es-CR"/>
        </w:rPr>
        <w:footnoteReference w:id="149"/>
      </w:r>
      <w:r w:rsidRPr="00873FEC">
        <w:rPr>
          <w:rFonts w:ascii="Verdana" w:eastAsia="Calibri" w:hAnsi="Verdana" w:cs="Times New Roman"/>
          <w:sz w:val="20"/>
          <w:szCs w:val="20"/>
          <w:lang w:val="es-CR" w:eastAsia="es-CR"/>
        </w:rPr>
        <w:t xml:space="preserve">. Luego del 8 de julio de 2004 se desarrollaron actuaciones derivadas de la presentación de recursos interpuestos por los condenados, y no se advierten dilaciones excesivas imputables al Estado hasta que el 23 de septiembre de 2005 la condena quedase firme.   </w:t>
      </w:r>
    </w:p>
    <w:p w:rsidR="00467331" w:rsidRPr="00873FEC" w:rsidRDefault="00467331" w:rsidP="00126E97">
      <w:pPr>
        <w:spacing w:line="20" w:lineRule="atLeast"/>
        <w:contextualSpacing/>
        <w:rPr>
          <w:rFonts w:ascii="Verdana" w:eastAsia="Calibri" w:hAnsi="Verdana" w:cs="Times"/>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 xml:space="preserve">Por ende, la Corte no puede determinar una vulneración del plazo razonable en las actuaciones. </w:t>
      </w:r>
    </w:p>
    <w:p w:rsidR="00467331" w:rsidRPr="00873FEC" w:rsidRDefault="00467331" w:rsidP="00126E97">
      <w:pPr>
        <w:spacing w:after="0" w:line="20" w:lineRule="atLeast"/>
        <w:ind w:left="720"/>
        <w:contextualSpacing/>
        <w:rPr>
          <w:rFonts w:ascii="Verdana" w:eastAsia="Calibri" w:hAnsi="Verdana" w:cs="Times New Roman"/>
          <w:sz w:val="20"/>
          <w:szCs w:val="20"/>
          <w:lang w:val="es-CR" w:eastAsia="es-CR"/>
        </w:rPr>
      </w:pPr>
      <w:bookmarkStart w:id="154" w:name="_Toc520207596"/>
      <w:bookmarkEnd w:id="154"/>
    </w:p>
    <w:p w:rsidR="00467331" w:rsidRPr="00873FEC" w:rsidRDefault="00467331" w:rsidP="00126E97">
      <w:pPr>
        <w:pStyle w:val="Heading3"/>
        <w:spacing w:before="0" w:line="20" w:lineRule="atLeast"/>
        <w:ind w:left="567"/>
        <w:jc w:val="both"/>
        <w:rPr>
          <w:rFonts w:ascii="Verdana" w:eastAsia="Calibri" w:hAnsi="Verdana" w:cs="Times"/>
          <w:b w:val="0"/>
          <w:i/>
          <w:color w:val="auto"/>
          <w:sz w:val="20"/>
          <w:szCs w:val="20"/>
          <w:lang w:val="es-CR" w:eastAsia="es-CR"/>
        </w:rPr>
      </w:pPr>
      <w:bookmarkStart w:id="155" w:name="_Toc520207597"/>
      <w:bookmarkStart w:id="156" w:name="_Toc525201175"/>
      <w:bookmarkEnd w:id="155"/>
      <w:r w:rsidRPr="00873FEC">
        <w:rPr>
          <w:rFonts w:ascii="Verdana" w:eastAsia="Calibri" w:hAnsi="Verdana" w:cs="Times"/>
          <w:b w:val="0"/>
          <w:i/>
          <w:color w:val="auto"/>
          <w:sz w:val="20"/>
          <w:szCs w:val="20"/>
          <w:lang w:val="es-CR" w:eastAsia="es-CR"/>
        </w:rPr>
        <w:t>B.</w:t>
      </w:r>
      <w:r w:rsidR="00E062DF" w:rsidRPr="00873FEC">
        <w:rPr>
          <w:rFonts w:ascii="Verdana" w:eastAsia="Calibri" w:hAnsi="Verdana" w:cs="Times"/>
          <w:b w:val="0"/>
          <w:i/>
          <w:color w:val="auto"/>
          <w:sz w:val="20"/>
          <w:szCs w:val="20"/>
          <w:lang w:val="es-CR" w:eastAsia="es-CR"/>
        </w:rPr>
        <w:t>7</w:t>
      </w:r>
      <w:r w:rsidRPr="00873FEC">
        <w:rPr>
          <w:rFonts w:ascii="Verdana" w:eastAsia="Calibri" w:hAnsi="Verdana" w:cs="Times"/>
          <w:b w:val="0"/>
          <w:i/>
          <w:color w:val="auto"/>
          <w:sz w:val="20"/>
          <w:szCs w:val="20"/>
          <w:lang w:val="es-CR" w:eastAsia="es-CR"/>
        </w:rPr>
        <w:t xml:space="preserve">. </w:t>
      </w:r>
      <w:r w:rsidRPr="00873FEC">
        <w:rPr>
          <w:rFonts w:ascii="Verdana" w:eastAsia="Calibri" w:hAnsi="Verdana" w:cs="Times"/>
          <w:b w:val="0"/>
          <w:i/>
          <w:color w:val="auto"/>
          <w:sz w:val="20"/>
          <w:szCs w:val="20"/>
          <w:u w:val="single"/>
          <w:lang w:val="es-CR" w:eastAsia="es-CR"/>
        </w:rPr>
        <w:t>Conclusión</w:t>
      </w:r>
      <w:bookmarkEnd w:id="156"/>
      <w:r w:rsidRPr="00873FEC">
        <w:rPr>
          <w:rFonts w:ascii="Verdana" w:eastAsia="Calibri" w:hAnsi="Verdana" w:cs="Times"/>
          <w:b w:val="0"/>
          <w:i/>
          <w:color w:val="auto"/>
          <w:sz w:val="20"/>
          <w:szCs w:val="20"/>
          <w:lang w:val="es-CR" w:eastAsia="es-CR"/>
        </w:rPr>
        <w:t xml:space="preserve">  </w:t>
      </w:r>
    </w:p>
    <w:p w:rsidR="00467331" w:rsidRPr="00873FEC" w:rsidRDefault="00467331" w:rsidP="00126E97">
      <w:pPr>
        <w:spacing w:after="0" w:line="20" w:lineRule="atLeast"/>
        <w:jc w:val="both"/>
        <w:rPr>
          <w:rFonts w:ascii="Verdana" w:eastAsia="Batang"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New Roman"/>
          <w:sz w:val="20"/>
          <w:szCs w:val="20"/>
          <w:lang w:val="es-CR" w:eastAsia="es-CR"/>
        </w:rPr>
      </w:pPr>
      <w:r w:rsidRPr="00873FEC">
        <w:rPr>
          <w:rFonts w:ascii="Verdana" w:eastAsia="Calibri" w:hAnsi="Verdana" w:cs="Times New Roman"/>
          <w:sz w:val="20"/>
          <w:szCs w:val="20"/>
          <w:lang w:val="es-CR" w:eastAsia="es-CR"/>
        </w:rPr>
        <w:t>Por las consideraciones expuestas, la Corte determina que el Estado es responsable por la violación de los artículos 8.1 y 25.1 de la Convención</w:t>
      </w:r>
      <w:r w:rsidR="000C5676">
        <w:rPr>
          <w:rFonts w:ascii="Verdana" w:eastAsia="Calibri" w:hAnsi="Verdana" w:cs="Times New Roman"/>
          <w:sz w:val="20"/>
          <w:szCs w:val="20"/>
          <w:lang w:val="es-CR" w:eastAsia="es-CR"/>
        </w:rPr>
        <w:t>,</w:t>
      </w:r>
      <w:r w:rsidRPr="00873FEC">
        <w:rPr>
          <w:rFonts w:ascii="Verdana" w:eastAsia="Calibri" w:hAnsi="Verdana" w:cs="Times New Roman"/>
          <w:sz w:val="20"/>
          <w:szCs w:val="20"/>
          <w:lang w:val="es-CR" w:eastAsia="es-CR"/>
        </w:rPr>
        <w:t xml:space="preserve"> en perjuicio de los familiares de las personas muertas, de las personas heridas y de los familiares de éstas. Los nombres de las perso</w:t>
      </w:r>
      <w:r w:rsidR="00ED28B6">
        <w:rPr>
          <w:rFonts w:ascii="Verdana" w:eastAsia="Calibri" w:hAnsi="Verdana" w:cs="Times New Roman"/>
          <w:sz w:val="20"/>
          <w:szCs w:val="20"/>
          <w:lang w:val="es-CR" w:eastAsia="es-CR"/>
        </w:rPr>
        <w:t>nas indicadas se señalan en el A</w:t>
      </w:r>
      <w:r w:rsidRPr="00873FEC">
        <w:rPr>
          <w:rFonts w:ascii="Verdana" w:eastAsia="Calibri" w:hAnsi="Verdana" w:cs="Times New Roman"/>
          <w:sz w:val="20"/>
          <w:szCs w:val="20"/>
          <w:lang w:val="es-CR" w:eastAsia="es-CR"/>
        </w:rPr>
        <w:t xml:space="preserve">nexo B.1 </w:t>
      </w:r>
      <w:r w:rsidR="00ED28B6">
        <w:rPr>
          <w:rFonts w:ascii="Verdana" w:eastAsia="Calibri" w:hAnsi="Verdana" w:cs="Times New Roman"/>
          <w:sz w:val="20"/>
          <w:szCs w:val="20"/>
          <w:lang w:val="es-CR" w:eastAsia="es-CR"/>
        </w:rPr>
        <w:t>de</w:t>
      </w:r>
      <w:r w:rsidRPr="00873FEC">
        <w:rPr>
          <w:rFonts w:ascii="Verdana" w:eastAsia="Calibri" w:hAnsi="Verdana" w:cs="Times New Roman"/>
          <w:sz w:val="20"/>
          <w:szCs w:val="20"/>
          <w:lang w:val="es-CR" w:eastAsia="es-CR"/>
        </w:rPr>
        <w:t xml:space="preserve"> la presente Sentencia.</w:t>
      </w:r>
    </w:p>
    <w:p w:rsidR="00467331" w:rsidRPr="00873FEC" w:rsidRDefault="00467331" w:rsidP="00126E97">
      <w:pPr>
        <w:spacing w:after="0" w:line="20" w:lineRule="atLeast"/>
        <w:contextualSpacing/>
        <w:rPr>
          <w:rFonts w:ascii="Verdana" w:eastAsia="Calibri" w:hAnsi="Verdana" w:cs="Times New Roman"/>
          <w:sz w:val="20"/>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Dado lo concluido, este Tribunal pasa a examinar el resto de las violaciones aducidas. </w:t>
      </w:r>
    </w:p>
    <w:p w:rsidR="00467331" w:rsidRPr="00873FEC" w:rsidRDefault="00467331" w:rsidP="00126E97">
      <w:pPr>
        <w:spacing w:after="0" w:line="20" w:lineRule="atLeast"/>
        <w:jc w:val="both"/>
        <w:rPr>
          <w:rFonts w:ascii="Verdana" w:eastAsia="Batang" w:hAnsi="Verdana" w:cs="Times"/>
          <w:sz w:val="20"/>
          <w:szCs w:val="24"/>
          <w:lang w:val="es-CR" w:eastAsia="es-CR"/>
        </w:rPr>
      </w:pPr>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keepNext/>
        <w:keepLines/>
        <w:spacing w:after="0" w:line="20" w:lineRule="atLeast"/>
        <w:jc w:val="center"/>
        <w:outlineLvl w:val="0"/>
        <w:rPr>
          <w:rFonts w:ascii="Verdana" w:eastAsia="Times New Roman" w:hAnsi="Verdana" w:cs="Times New Roman"/>
          <w:b/>
          <w:caps/>
          <w:sz w:val="20"/>
          <w:szCs w:val="20"/>
          <w:lang w:val="es-CR" w:eastAsia="es-CR"/>
        </w:rPr>
      </w:pPr>
      <w:bookmarkStart w:id="157" w:name="_Toc520207598"/>
      <w:bookmarkStart w:id="158" w:name="_Toc521694818"/>
      <w:bookmarkStart w:id="159" w:name="_Toc525201176"/>
      <w:bookmarkEnd w:id="157"/>
      <w:r w:rsidRPr="00873FEC">
        <w:rPr>
          <w:rFonts w:ascii="Verdana" w:eastAsia="Times New Roman" w:hAnsi="Verdana" w:cs="Times New Roman"/>
          <w:b/>
          <w:caps/>
          <w:sz w:val="20"/>
          <w:szCs w:val="20"/>
          <w:lang w:val="es-CR" w:eastAsia="es-CR"/>
        </w:rPr>
        <w:t>ViI.2</w:t>
      </w:r>
      <w:bookmarkEnd w:id="158"/>
      <w:bookmarkEnd w:id="159"/>
    </w:p>
    <w:p w:rsidR="00467331" w:rsidRPr="00873FEC" w:rsidRDefault="00467331" w:rsidP="00126E97">
      <w:pPr>
        <w:keepNext/>
        <w:keepLines/>
        <w:spacing w:after="0" w:line="20" w:lineRule="atLeast"/>
        <w:jc w:val="center"/>
        <w:outlineLvl w:val="0"/>
        <w:rPr>
          <w:rFonts w:ascii="Verdana" w:eastAsia="Times New Roman" w:hAnsi="Verdana" w:cs="Times New Roman"/>
          <w:caps/>
          <w:sz w:val="20"/>
          <w:szCs w:val="20"/>
          <w:lang w:val="es-CR" w:eastAsia="es-CR"/>
        </w:rPr>
      </w:pPr>
      <w:bookmarkStart w:id="160" w:name="_Toc520207599"/>
      <w:bookmarkStart w:id="161" w:name="_Toc521694819"/>
      <w:bookmarkStart w:id="162" w:name="_Toc525201177"/>
      <w:bookmarkEnd w:id="160"/>
      <w:r w:rsidRPr="00873FEC">
        <w:rPr>
          <w:rFonts w:ascii="Verdana" w:eastAsia="Times New Roman" w:hAnsi="Verdana" w:cs="Times New Roman"/>
          <w:b/>
          <w:caps/>
          <w:sz w:val="20"/>
          <w:szCs w:val="20"/>
          <w:lang w:val="es-CR" w:eastAsia="es-CR"/>
        </w:rPr>
        <w:t>DERECHOS A LA VIDA</w:t>
      </w:r>
      <w:r w:rsidRPr="00873FEC">
        <w:rPr>
          <w:rFonts w:ascii="Verdana" w:eastAsia="Times New Roman" w:hAnsi="Verdana" w:cs="Times New Roman"/>
          <w:sz w:val="20"/>
          <w:szCs w:val="20"/>
          <w:vertAlign w:val="superscript"/>
          <w:lang w:val="es-CR" w:eastAsia="x-none"/>
        </w:rPr>
        <w:footnoteReference w:id="150"/>
      </w:r>
      <w:r w:rsidRPr="00873FEC">
        <w:rPr>
          <w:rFonts w:ascii="Verdana" w:eastAsia="Times New Roman" w:hAnsi="Verdana" w:cs="Times New Roman"/>
          <w:b/>
          <w:caps/>
          <w:sz w:val="20"/>
          <w:szCs w:val="20"/>
          <w:lang w:val="es-CR" w:eastAsia="es-CR"/>
        </w:rPr>
        <w:t>, INTEGRIDAD PERSONAL</w:t>
      </w:r>
      <w:r w:rsidRPr="00873FEC">
        <w:rPr>
          <w:rFonts w:ascii="Verdana" w:eastAsia="Times New Roman" w:hAnsi="Verdana" w:cs="Times New Roman"/>
          <w:sz w:val="20"/>
          <w:szCs w:val="20"/>
          <w:vertAlign w:val="superscript"/>
          <w:lang w:val="es-CR" w:eastAsia="x-none"/>
        </w:rPr>
        <w:footnoteReference w:id="151"/>
      </w:r>
      <w:r w:rsidRPr="00873FEC">
        <w:rPr>
          <w:rFonts w:ascii="Verdana" w:eastAsia="Times New Roman" w:hAnsi="Verdana" w:cs="Times New Roman"/>
          <w:b/>
          <w:caps/>
          <w:sz w:val="20"/>
          <w:szCs w:val="20"/>
          <w:lang w:val="es-CR" w:eastAsia="es-CR"/>
        </w:rPr>
        <w:t xml:space="preserve"> Y DERECHOS DEL NIÑO</w:t>
      </w:r>
      <w:r w:rsidRPr="00873FEC">
        <w:rPr>
          <w:rFonts w:ascii="Verdana" w:eastAsia="Times New Roman" w:hAnsi="Verdana" w:cs="Times New Roman"/>
          <w:sz w:val="20"/>
          <w:szCs w:val="20"/>
          <w:vertAlign w:val="superscript"/>
          <w:lang w:val="es-CR" w:eastAsia="x-none"/>
        </w:rPr>
        <w:footnoteReference w:id="152"/>
      </w:r>
      <w:bookmarkEnd w:id="161"/>
      <w:r w:rsidRPr="00873FEC">
        <w:rPr>
          <w:rFonts w:ascii="Verdana" w:eastAsia="Times New Roman" w:hAnsi="Verdana" w:cs="Times New Roman"/>
          <w:b/>
          <w:caps/>
          <w:sz w:val="20"/>
          <w:szCs w:val="20"/>
          <w:lang w:val="es-CR" w:eastAsia="es-CR"/>
        </w:rPr>
        <w:t xml:space="preserve"> EN RELACIÓN CON LA OBLIGACIÓN DE RESPETAR LOS DERECHOS SIN DISCRIMINACIÓN</w:t>
      </w:r>
      <w:bookmarkEnd w:id="162"/>
    </w:p>
    <w:p w:rsidR="00467331" w:rsidRPr="00873FEC" w:rsidRDefault="00467331" w:rsidP="00126E97">
      <w:pPr>
        <w:spacing w:after="0" w:line="20" w:lineRule="atLeast"/>
        <w:contextualSpacing/>
        <w:jc w:val="center"/>
        <w:rPr>
          <w:rFonts w:ascii="Verdana" w:eastAsia="Batang" w:hAnsi="Verdana" w:cs="Times New Roman"/>
          <w:b/>
          <w:sz w:val="20"/>
          <w:szCs w:val="20"/>
          <w:lang w:val="es-CR" w:eastAsia="es-CR"/>
        </w:rPr>
      </w:pPr>
    </w:p>
    <w:p w:rsidR="00467331" w:rsidRPr="00873FEC" w:rsidRDefault="00467331" w:rsidP="00126E97">
      <w:pPr>
        <w:keepNext/>
        <w:keepLines/>
        <w:numPr>
          <w:ilvl w:val="0"/>
          <w:numId w:val="8"/>
        </w:numPr>
        <w:spacing w:after="0" w:line="20" w:lineRule="atLeast"/>
        <w:ind w:left="284"/>
        <w:jc w:val="both"/>
        <w:outlineLvl w:val="1"/>
        <w:rPr>
          <w:rFonts w:ascii="Verdana" w:eastAsia="Cambria" w:hAnsi="Verdana" w:cs="Times New Roman"/>
          <w:b/>
          <w:i/>
          <w:sz w:val="20"/>
          <w:szCs w:val="20"/>
          <w:lang w:val="es-CR" w:eastAsia="es-CR"/>
        </w:rPr>
      </w:pPr>
      <w:bookmarkStart w:id="163" w:name="_Toc520207600"/>
      <w:bookmarkStart w:id="164" w:name="_Toc521694820"/>
      <w:bookmarkStart w:id="165" w:name="_Toc525201178"/>
      <w:bookmarkEnd w:id="163"/>
      <w:r w:rsidRPr="00873FEC">
        <w:rPr>
          <w:rFonts w:ascii="Verdana" w:eastAsia="Cambria" w:hAnsi="Verdana" w:cs="Times New Roman"/>
          <w:b/>
          <w:i/>
          <w:sz w:val="20"/>
          <w:szCs w:val="20"/>
          <w:lang w:val="es-CR" w:eastAsia="es-CR"/>
        </w:rPr>
        <w:t>Alegatos de la Comisión y de las partes</w:t>
      </w:r>
      <w:bookmarkEnd w:id="164"/>
      <w:bookmarkEnd w:id="165"/>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t xml:space="preserve">La </w:t>
      </w:r>
      <w:r w:rsidRPr="00873FEC">
        <w:rPr>
          <w:rFonts w:ascii="Verdana" w:eastAsia="Batang" w:hAnsi="Verdana" w:cs="Times New Roman"/>
          <w:b/>
          <w:i/>
          <w:sz w:val="20"/>
          <w:szCs w:val="20"/>
          <w:lang w:val="es-CR" w:eastAsia="es-CR"/>
        </w:rPr>
        <w:t>Comisión</w:t>
      </w:r>
      <w:r w:rsidRPr="00873FEC">
        <w:rPr>
          <w:rFonts w:ascii="Verdana" w:eastAsia="Batang" w:hAnsi="Verdana" w:cs="Times New Roman"/>
          <w:sz w:val="20"/>
          <w:szCs w:val="20"/>
          <w:lang w:val="es-CR" w:eastAsia="es-CR"/>
        </w:rPr>
        <w:t xml:space="preserve"> consideró que el uso de la fuerza por parte de militares fue efectuado en contravención de los principios de finalidad legítima, necesidad y proporcionalidad. Por ello, entendió que las muertes de ocho personas</w:t>
      </w:r>
      <w:r w:rsidRPr="00873FEC">
        <w:rPr>
          <w:rFonts w:ascii="Verdana" w:eastAsia="Batang" w:hAnsi="Verdana" w:cs="Times New Roman"/>
          <w:sz w:val="20"/>
          <w:szCs w:val="20"/>
          <w:vertAlign w:val="superscript"/>
          <w:lang w:val="es-CR" w:eastAsia="x-none"/>
        </w:rPr>
        <w:footnoteReference w:id="153"/>
      </w:r>
      <w:r w:rsidRPr="00873FEC">
        <w:rPr>
          <w:rFonts w:ascii="Verdana" w:eastAsia="Batang" w:hAnsi="Verdana" w:cs="Times New Roman"/>
          <w:sz w:val="20"/>
          <w:szCs w:val="20"/>
          <w:lang w:val="es-CR" w:eastAsia="es-CR"/>
        </w:rPr>
        <w:t xml:space="preserve"> causadas en la finca </w:t>
      </w:r>
      <w:proofErr w:type="spellStart"/>
      <w:r w:rsidRPr="00873FEC">
        <w:rPr>
          <w:rFonts w:ascii="Verdana" w:eastAsia="Batang" w:hAnsi="Verdana" w:cs="Times New Roman"/>
          <w:sz w:val="20"/>
          <w:szCs w:val="20"/>
          <w:lang w:val="es-CR" w:eastAsia="es-CR"/>
        </w:rPr>
        <w:t>Xamán</w:t>
      </w:r>
      <w:proofErr w:type="spellEnd"/>
      <w:r w:rsidRPr="00873FEC">
        <w:rPr>
          <w:rFonts w:ascii="Verdana" w:eastAsia="Batang" w:hAnsi="Verdana" w:cs="Times New Roman"/>
          <w:sz w:val="20"/>
          <w:szCs w:val="20"/>
          <w:lang w:val="es-CR" w:eastAsia="es-CR"/>
        </w:rPr>
        <w:t xml:space="preserve"> constituyeron privaciones arbitrarias del derecho a la vida y las heridas a 26 personas</w:t>
      </w:r>
      <w:r w:rsidRPr="00873FEC">
        <w:rPr>
          <w:rFonts w:ascii="Verdana" w:eastAsia="Batang" w:hAnsi="Verdana" w:cs="Times New Roman"/>
          <w:sz w:val="20"/>
          <w:szCs w:val="20"/>
          <w:vertAlign w:val="superscript"/>
          <w:lang w:val="es-CR" w:eastAsia="x-none"/>
        </w:rPr>
        <w:footnoteReference w:id="154"/>
      </w:r>
      <w:r w:rsidRPr="00873FEC">
        <w:rPr>
          <w:rFonts w:ascii="Verdana" w:eastAsia="Batang" w:hAnsi="Verdana" w:cs="Times New Roman"/>
          <w:sz w:val="20"/>
          <w:szCs w:val="20"/>
          <w:lang w:val="es-CR" w:eastAsia="es-CR"/>
        </w:rPr>
        <w:t xml:space="preserve">, afectaciones al derecho a la integridad personal. Señaló que tres personas que resultaron heridas y murieron con posterioridad vieron vulnerados ambos </w:t>
      </w:r>
      <w:r w:rsidRPr="00873FEC">
        <w:rPr>
          <w:rFonts w:ascii="Verdana" w:eastAsia="Batang" w:hAnsi="Verdana" w:cs="Times New Roman"/>
          <w:sz w:val="20"/>
          <w:szCs w:val="20"/>
          <w:lang w:val="es-CR" w:eastAsia="es-CR"/>
        </w:rPr>
        <w:lastRenderedPageBreak/>
        <w:t>derechos</w:t>
      </w:r>
      <w:r w:rsidRPr="00873FEC">
        <w:rPr>
          <w:rFonts w:ascii="Verdana" w:eastAsia="Batang" w:hAnsi="Verdana" w:cs="Times New Roman"/>
          <w:sz w:val="20"/>
          <w:szCs w:val="20"/>
          <w:vertAlign w:val="superscript"/>
          <w:lang w:val="es-CR" w:eastAsia="x-none"/>
        </w:rPr>
        <w:footnoteReference w:id="155"/>
      </w:r>
      <w:r w:rsidRPr="00873FEC">
        <w:rPr>
          <w:rFonts w:ascii="Verdana" w:eastAsia="Batang" w:hAnsi="Verdana" w:cs="Times New Roman"/>
          <w:sz w:val="20"/>
          <w:szCs w:val="20"/>
          <w:lang w:val="es-CR" w:eastAsia="es-CR"/>
        </w:rPr>
        <w:t>. También determinó que la muerte de dos niños y una niña</w:t>
      </w:r>
      <w:r w:rsidRPr="00873FEC">
        <w:rPr>
          <w:rFonts w:ascii="Verdana" w:eastAsia="Batang" w:hAnsi="Verdana" w:cs="Times New Roman"/>
          <w:sz w:val="20"/>
          <w:szCs w:val="20"/>
          <w:vertAlign w:val="superscript"/>
          <w:lang w:val="es-CR" w:eastAsia="x-none"/>
        </w:rPr>
        <w:footnoteReference w:id="156"/>
      </w:r>
      <w:r w:rsidRPr="00873FEC">
        <w:rPr>
          <w:rFonts w:ascii="Verdana" w:eastAsia="Batang" w:hAnsi="Verdana" w:cs="Times New Roman"/>
          <w:sz w:val="20"/>
          <w:szCs w:val="20"/>
          <w:lang w:val="es-CR" w:eastAsia="es-CR"/>
        </w:rPr>
        <w:t xml:space="preserve"> implicó una violación al derecho a la vida en relación con los derechos del niño, dado el incumplimiento del deber particular del Estado </w:t>
      </w:r>
      <w:r w:rsidR="00AB6711" w:rsidRPr="00873FEC">
        <w:rPr>
          <w:rFonts w:ascii="Verdana" w:eastAsia="Batang" w:hAnsi="Verdana" w:cs="Times New Roman"/>
          <w:sz w:val="20"/>
          <w:szCs w:val="20"/>
          <w:lang w:val="es-CR" w:eastAsia="es-CR"/>
        </w:rPr>
        <w:t>de</w:t>
      </w:r>
      <w:r w:rsidRPr="00873FEC">
        <w:rPr>
          <w:rFonts w:ascii="Verdana" w:eastAsia="Batang" w:hAnsi="Verdana" w:cs="Times New Roman"/>
          <w:sz w:val="20"/>
          <w:szCs w:val="20"/>
          <w:lang w:val="es-CR" w:eastAsia="es-CR"/>
        </w:rPr>
        <w:t xml:space="preserve"> proteger a niñas y niños ante actuaciones de fuerzas de seguridad pública. Por lo anterior, la Comisión adujo que Guatemala vulneró, en perjuicio de las personas directamente afectadas por el uso de la fuerza por parte de personal militar, y según cada caso, los artículos 4.1 y/o 5.1 de la Convención, en relación con su artículo 1.1, así como dicho artículo 4.1 en relación con los artículos 19 y 1.1 del mismo tratado, en perjuicio de los niños y la niña muerta.</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w:sz w:val="20"/>
          <w:szCs w:val="24"/>
          <w:lang w:val="es-CR" w:eastAsia="es-CR"/>
        </w:rPr>
        <w:t xml:space="preserve">Por otra parte, la Comisión </w:t>
      </w:r>
      <w:r w:rsidRPr="00873FEC">
        <w:rPr>
          <w:rFonts w:ascii="Verdana" w:eastAsia="Batang" w:hAnsi="Verdana" w:cs="Times"/>
          <w:sz w:val="20"/>
          <w:szCs w:val="20"/>
          <w:lang w:val="es-CR" w:eastAsia="es-CR"/>
        </w:rPr>
        <w:t>consideró que el comportamiento de las tropas en l</w:t>
      </w:r>
      <w:r w:rsidR="00F5049E" w:rsidRPr="00873FEC">
        <w:rPr>
          <w:rFonts w:ascii="Verdana" w:eastAsia="Batang" w:hAnsi="Verdana" w:cs="Times"/>
          <w:sz w:val="20"/>
          <w:szCs w:val="20"/>
          <w:lang w:val="es-CR" w:eastAsia="es-CR"/>
        </w:rPr>
        <w:t>a C</w:t>
      </w:r>
      <w:r w:rsidRPr="00873FEC">
        <w:rPr>
          <w:rFonts w:ascii="Verdana" w:eastAsia="Batang" w:hAnsi="Verdana" w:cs="Times"/>
          <w:sz w:val="20"/>
          <w:szCs w:val="20"/>
          <w:lang w:val="es-CR" w:eastAsia="es-CR"/>
        </w:rPr>
        <w:t>omunidad el día de los hechos se relacionó con el contexto en que se enmarcaba el conflicto armado interno, que implicaba violaciones a derechos de personas pertenecientes al pueblo maya</w:t>
      </w:r>
      <w:r w:rsidRPr="00873FEC">
        <w:rPr>
          <w:rFonts w:ascii="Verdana" w:eastAsia="Batang" w:hAnsi="Verdana" w:cs="Times New Roman"/>
          <w:sz w:val="20"/>
          <w:szCs w:val="20"/>
          <w:vertAlign w:val="superscript"/>
          <w:lang w:val="es-CR" w:eastAsia="x-none"/>
        </w:rPr>
        <w:footnoteReference w:id="157"/>
      </w:r>
      <w:r w:rsidRPr="00873FEC">
        <w:rPr>
          <w:rFonts w:ascii="Verdana" w:eastAsia="Batang" w:hAnsi="Verdana" w:cs="Times"/>
          <w:sz w:val="20"/>
          <w:szCs w:val="20"/>
          <w:lang w:val="es-CR" w:eastAsia="es-CR"/>
        </w:rPr>
        <w:t>. Asimismo, adujó que en el caso en concreto, existía una obligación reforzada por parte del Estado de garantizar la seguridad de las personas que retornaron a la luz de los compromisos asumidos por Guatemala. Encontró, por ende, que los hechos fueron una expresión de “discriminación racial” y</w:t>
      </w:r>
      <w:r w:rsidR="00900FA6">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en consecuencia</w:t>
      </w:r>
      <w:r w:rsidR="00900FA6">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una violación al artículo 24 de la Convención, en relación con el artículo 1.1 de la misma</w:t>
      </w:r>
      <w:r w:rsidRPr="00873FEC">
        <w:rPr>
          <w:rFonts w:ascii="Verdana" w:eastAsia="Batang" w:hAnsi="Verdana" w:cs="Times"/>
          <w:sz w:val="20"/>
          <w:szCs w:val="24"/>
          <w:lang w:val="es-CR" w:eastAsia="es-CR"/>
        </w:rPr>
        <w:t>.</w:t>
      </w:r>
      <w:r w:rsidRPr="00873FEC">
        <w:rPr>
          <w:rFonts w:ascii="Verdana" w:eastAsia="Batang" w:hAnsi="Verdana" w:cs="Times"/>
          <w:b/>
          <w:sz w:val="20"/>
          <w:szCs w:val="24"/>
          <w:lang w:val="es-CR" w:eastAsia="es-CR"/>
        </w:rPr>
        <w:t xml:space="preserve"> </w:t>
      </w:r>
    </w:p>
    <w:p w:rsidR="00467331" w:rsidRPr="00873FEC" w:rsidRDefault="00467331" w:rsidP="00126E97">
      <w:pPr>
        <w:spacing w:after="0" w:line="20" w:lineRule="atLeast"/>
        <w:ind w:right="-138"/>
        <w:jc w:val="both"/>
        <w:rPr>
          <w:rFonts w:ascii="Verdana" w:eastAsia="Batang" w:hAnsi="Verdana" w:cs="Times"/>
          <w:b/>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New Roman"/>
          <w:sz w:val="20"/>
          <w:szCs w:val="20"/>
          <w:lang w:val="es-CR" w:eastAsia="es-CR"/>
        </w:rPr>
        <w:t xml:space="preserve">Los </w:t>
      </w:r>
      <w:r w:rsidRPr="00873FEC">
        <w:rPr>
          <w:rFonts w:ascii="Verdana" w:eastAsia="Batang" w:hAnsi="Verdana" w:cs="Times New Roman"/>
          <w:b/>
          <w:i/>
          <w:sz w:val="20"/>
          <w:szCs w:val="20"/>
          <w:lang w:val="es-CR" w:eastAsia="es-CR"/>
        </w:rPr>
        <w:t>representantes</w:t>
      </w:r>
      <w:r w:rsidRPr="00873FEC">
        <w:rPr>
          <w:rFonts w:ascii="Verdana" w:eastAsia="Batang" w:hAnsi="Verdana" w:cs="Times New Roman"/>
          <w:sz w:val="20"/>
          <w:szCs w:val="20"/>
          <w:lang w:val="es-CR" w:eastAsia="es-CR"/>
        </w:rPr>
        <w:t>, en el mismo sentido que la Comisión</w:t>
      </w:r>
      <w:r w:rsidRPr="00873FEC">
        <w:rPr>
          <w:rFonts w:ascii="Verdana" w:eastAsia="Batang" w:hAnsi="Verdana" w:cs="Times New Roman"/>
          <w:sz w:val="20"/>
          <w:szCs w:val="20"/>
          <w:vertAlign w:val="superscript"/>
          <w:lang w:val="es-CR" w:eastAsia="x-none"/>
        </w:rPr>
        <w:footnoteReference w:id="158"/>
      </w:r>
      <w:r w:rsidRPr="00873FEC">
        <w:rPr>
          <w:rFonts w:ascii="Verdana" w:eastAsia="Batang" w:hAnsi="Verdana" w:cs="Times New Roman"/>
          <w:sz w:val="20"/>
          <w:szCs w:val="20"/>
          <w:lang w:val="es-CR" w:eastAsia="es-CR"/>
        </w:rPr>
        <w:t>, adujeron la violación de los derechos a la vida y a la integridad personal, además de la violación de los derechos del niño</w:t>
      </w:r>
      <w:r w:rsidRPr="00873FEC">
        <w:rPr>
          <w:rFonts w:ascii="Verdana" w:eastAsia="Batang" w:hAnsi="Verdana" w:cs="Times New Roman"/>
          <w:sz w:val="20"/>
          <w:szCs w:val="20"/>
          <w:vertAlign w:val="superscript"/>
          <w:lang w:val="es-CR" w:eastAsia="x-none"/>
        </w:rPr>
        <w:footnoteReference w:id="159"/>
      </w:r>
      <w:r w:rsidRPr="00873FEC">
        <w:rPr>
          <w:rFonts w:ascii="Verdana" w:eastAsia="Batang" w:hAnsi="Verdana" w:cs="Times New Roman"/>
          <w:sz w:val="20"/>
          <w:szCs w:val="20"/>
          <w:lang w:val="es-CR" w:eastAsia="es-CR"/>
        </w:rPr>
        <w:t xml:space="preserve">. </w:t>
      </w:r>
      <w:r w:rsidRPr="00873FEC">
        <w:rPr>
          <w:rFonts w:ascii="Verdana" w:eastAsia="Batang" w:hAnsi="Verdana" w:cs="Times"/>
          <w:sz w:val="20"/>
          <w:szCs w:val="20"/>
          <w:lang w:eastAsia="es-CR"/>
        </w:rPr>
        <w:t>E</w:t>
      </w:r>
      <w:proofErr w:type="spellStart"/>
      <w:r w:rsidRPr="00873FEC">
        <w:rPr>
          <w:rFonts w:ascii="Verdana" w:eastAsia="Times New Roman" w:hAnsi="Verdana" w:cs="Times New Roman"/>
          <w:bCs/>
          <w:color w:val="000000"/>
          <w:sz w:val="20"/>
          <w:szCs w:val="20"/>
          <w:lang w:val="es-CR" w:eastAsia="es-CR"/>
        </w:rPr>
        <w:t>ntendieron</w:t>
      </w:r>
      <w:proofErr w:type="spellEnd"/>
      <w:r w:rsidRPr="00873FEC">
        <w:rPr>
          <w:rFonts w:ascii="Verdana" w:eastAsia="Times New Roman" w:hAnsi="Verdana" w:cs="Times New Roman"/>
          <w:bCs/>
          <w:color w:val="000000"/>
          <w:sz w:val="20"/>
          <w:szCs w:val="20"/>
          <w:lang w:val="es-CR" w:eastAsia="es-CR"/>
        </w:rPr>
        <w:t>, asimismo, que se vulneró el derecho a la igual protección de la ley a</w:t>
      </w:r>
      <w:r w:rsidR="00900FA6">
        <w:rPr>
          <w:rFonts w:ascii="Verdana" w:eastAsia="Times New Roman" w:hAnsi="Verdana" w:cs="Times New Roman"/>
          <w:bCs/>
          <w:color w:val="000000"/>
          <w:sz w:val="20"/>
          <w:szCs w:val="20"/>
          <w:lang w:val="es-CR" w:eastAsia="es-CR"/>
        </w:rPr>
        <w:t>l no cumplirse</w:t>
      </w:r>
      <w:r w:rsidRPr="00873FEC">
        <w:rPr>
          <w:rFonts w:ascii="Verdana" w:eastAsia="Times New Roman" w:hAnsi="Verdana" w:cs="Times New Roman"/>
          <w:bCs/>
          <w:color w:val="000000"/>
          <w:sz w:val="20"/>
          <w:szCs w:val="20"/>
          <w:lang w:eastAsia="es-CR"/>
        </w:rPr>
        <w:t xml:space="preserve"> los acuerdos pactados para el retorno de refugiados.</w:t>
      </w:r>
      <w:r w:rsidRPr="00873FEC">
        <w:rPr>
          <w:rFonts w:ascii="Verdana" w:eastAsia="Times New Roman" w:hAnsi="Verdana" w:cs="Times New Roman"/>
          <w:b/>
          <w:bCs/>
          <w:color w:val="000000"/>
          <w:sz w:val="20"/>
          <w:szCs w:val="20"/>
          <w:lang w:eastAsia="es-CR"/>
        </w:rPr>
        <w:t xml:space="preserve">  </w:t>
      </w:r>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t xml:space="preserve">El </w:t>
      </w:r>
      <w:r w:rsidRPr="00873FEC">
        <w:rPr>
          <w:rFonts w:ascii="Verdana" w:eastAsia="Batang" w:hAnsi="Verdana" w:cs="Times New Roman"/>
          <w:b/>
          <w:i/>
          <w:sz w:val="20"/>
          <w:szCs w:val="20"/>
          <w:lang w:val="es-CR" w:eastAsia="es-CR"/>
        </w:rPr>
        <w:t>Estado</w:t>
      </w:r>
      <w:r w:rsidRPr="00873FEC">
        <w:rPr>
          <w:rFonts w:ascii="Verdana" w:eastAsia="Batang" w:hAnsi="Verdana" w:cs="Times New Roman"/>
          <w:sz w:val="20"/>
          <w:szCs w:val="20"/>
          <w:lang w:val="es-CR" w:eastAsia="es-CR"/>
        </w:rPr>
        <w:t xml:space="preserve"> consideró no ser responsable de violar el derecho a la vida, como tampoco el derecho la integridad personal. Al respecto, entendió que como cumplió el deber de garantizar los derechos mediante una investigación, no resulta responsable</w:t>
      </w:r>
      <w:r w:rsidRPr="00873FEC">
        <w:rPr>
          <w:rFonts w:ascii="Verdana" w:eastAsia="Batang" w:hAnsi="Verdana" w:cs="Times New Roman"/>
          <w:sz w:val="20"/>
          <w:szCs w:val="20"/>
          <w:vertAlign w:val="superscript"/>
          <w:lang w:val="es-CR" w:eastAsia="x-none"/>
        </w:rPr>
        <w:footnoteReference w:id="160"/>
      </w:r>
      <w:r w:rsidRPr="00873FEC">
        <w:rPr>
          <w:rFonts w:ascii="Verdana" w:eastAsia="Batang" w:hAnsi="Verdana" w:cs="Times New Roman"/>
          <w:sz w:val="20"/>
          <w:szCs w:val="20"/>
          <w:lang w:val="es-CR" w:eastAsia="es-CR"/>
        </w:rPr>
        <w:t xml:space="preserve">. </w:t>
      </w:r>
      <w:r w:rsidRPr="00873FEC">
        <w:rPr>
          <w:rFonts w:ascii="Verdana" w:eastAsia="Batang" w:hAnsi="Verdana" w:cs="Times"/>
          <w:sz w:val="20"/>
          <w:szCs w:val="20"/>
          <w:lang w:eastAsia="es-CR"/>
        </w:rPr>
        <w:t xml:space="preserve">Igualmente, señaló no haber negado información ni “el acceso a la justicia” a las personas afectadas. Argumentó, además, que tales personas tuvieron oportunidad de </w:t>
      </w:r>
      <w:r w:rsidRPr="00873FEC">
        <w:rPr>
          <w:rFonts w:ascii="Verdana" w:eastAsia="Batang" w:hAnsi="Verdana" w:cs="Times"/>
          <w:sz w:val="20"/>
          <w:szCs w:val="20"/>
          <w:lang w:eastAsia="es-CR"/>
        </w:rPr>
        <w:lastRenderedPageBreak/>
        <w:t xml:space="preserve">ejercer acciones civiles “sin haberlo planteado oportunamente”, lo que no es atribuible al Estado. </w:t>
      </w:r>
      <w:r w:rsidRPr="00873FEC">
        <w:rPr>
          <w:rFonts w:ascii="Verdana" w:eastAsia="Times New Roman" w:hAnsi="Verdana" w:cs="Times"/>
          <w:bCs/>
          <w:color w:val="000000"/>
          <w:sz w:val="20"/>
          <w:szCs w:val="20"/>
          <w:lang w:val="es-CR" w:eastAsia="es-CR"/>
        </w:rPr>
        <w:t xml:space="preserve">Además, </w:t>
      </w:r>
      <w:r w:rsidRPr="00873FEC">
        <w:rPr>
          <w:rFonts w:ascii="Verdana" w:eastAsia="Batang" w:hAnsi="Verdana" w:cs="Times"/>
          <w:sz w:val="20"/>
          <w:szCs w:val="20"/>
          <w:lang w:val="es-CR" w:eastAsia="es-CR"/>
        </w:rPr>
        <w:t xml:space="preserve">consideró que </w:t>
      </w:r>
      <w:r w:rsidRPr="00873FEC">
        <w:rPr>
          <w:rFonts w:ascii="Verdana" w:eastAsia="Times New Roman" w:hAnsi="Verdana" w:cs="Times New Roman"/>
          <w:bCs/>
          <w:color w:val="000000"/>
          <w:sz w:val="20"/>
          <w:szCs w:val="20"/>
          <w:lang w:val="es-CR" w:eastAsia="es-CR"/>
        </w:rPr>
        <w:t xml:space="preserve">sus actuaciones no se enmarcaron en una discriminación ni de hecho ni de derecho. Argumentó también que la mayoría de estos soldados eran </w:t>
      </w:r>
      <w:proofErr w:type="spellStart"/>
      <w:r w:rsidRPr="00873FEC">
        <w:rPr>
          <w:rFonts w:ascii="Verdana" w:eastAsia="Times New Roman" w:hAnsi="Verdana" w:cs="Times New Roman"/>
          <w:bCs/>
          <w:color w:val="000000"/>
          <w:sz w:val="20"/>
          <w:szCs w:val="20"/>
          <w:lang w:val="es-CR" w:eastAsia="es-CR"/>
        </w:rPr>
        <w:t>q'eqchís</w:t>
      </w:r>
      <w:proofErr w:type="spellEnd"/>
      <w:r w:rsidRPr="00873FEC">
        <w:rPr>
          <w:rFonts w:ascii="Verdana" w:eastAsia="Times New Roman" w:hAnsi="Verdana" w:cs="Times New Roman"/>
          <w:bCs/>
          <w:color w:val="000000"/>
          <w:sz w:val="20"/>
          <w:szCs w:val="20"/>
          <w:lang w:val="es-CR" w:eastAsia="es-CR"/>
        </w:rPr>
        <w:t>, es decir, pertenecientes a la misma etnia ind</w:t>
      </w:r>
      <w:r w:rsidR="00F5049E" w:rsidRPr="00873FEC">
        <w:rPr>
          <w:rFonts w:ascii="Verdana" w:eastAsia="Times New Roman" w:hAnsi="Verdana" w:cs="Times New Roman"/>
          <w:bCs/>
          <w:color w:val="000000"/>
          <w:sz w:val="20"/>
          <w:szCs w:val="20"/>
          <w:lang w:val="es-CR" w:eastAsia="es-CR"/>
        </w:rPr>
        <w:t>ígena maya prevaleciente en la C</w:t>
      </w:r>
      <w:r w:rsidRPr="00873FEC">
        <w:rPr>
          <w:rFonts w:ascii="Verdana" w:eastAsia="Times New Roman" w:hAnsi="Verdana" w:cs="Times New Roman"/>
          <w:bCs/>
          <w:color w:val="000000"/>
          <w:sz w:val="20"/>
          <w:szCs w:val="20"/>
          <w:lang w:val="es-CR" w:eastAsia="es-CR"/>
        </w:rPr>
        <w:t xml:space="preserve">omunidad </w:t>
      </w:r>
      <w:r w:rsidR="00F5049E" w:rsidRPr="00873FEC">
        <w:rPr>
          <w:rFonts w:ascii="Verdana" w:eastAsia="Times New Roman" w:hAnsi="Verdana" w:cs="Times New Roman"/>
          <w:bCs/>
          <w:color w:val="000000"/>
          <w:sz w:val="20"/>
          <w:szCs w:val="20"/>
          <w:lang w:val="es-CR" w:eastAsia="es-CR"/>
        </w:rPr>
        <w:t xml:space="preserve">asentada en la finca </w:t>
      </w:r>
      <w:proofErr w:type="spellStart"/>
      <w:r w:rsidRPr="00873FEC">
        <w:rPr>
          <w:rFonts w:ascii="Verdana" w:eastAsia="Times New Roman" w:hAnsi="Verdana" w:cs="Times New Roman"/>
          <w:bCs/>
          <w:color w:val="000000"/>
          <w:sz w:val="20"/>
          <w:szCs w:val="20"/>
          <w:lang w:val="es-CR" w:eastAsia="es-CR"/>
        </w:rPr>
        <w:t>Xamán</w:t>
      </w:r>
      <w:proofErr w:type="spellEnd"/>
      <w:r w:rsidRPr="00873FEC">
        <w:rPr>
          <w:rFonts w:ascii="Verdana" w:eastAsia="Times New Roman" w:hAnsi="Verdana" w:cs="Times New Roman"/>
          <w:bCs/>
          <w:color w:val="000000"/>
          <w:sz w:val="20"/>
          <w:szCs w:val="20"/>
          <w:lang w:val="es-CR" w:eastAsia="es-CR"/>
        </w:rPr>
        <w:t>.</w:t>
      </w:r>
      <w:r w:rsidRPr="00873FEC">
        <w:rPr>
          <w:rFonts w:ascii="Verdana" w:eastAsia="Times New Roman" w:hAnsi="Verdana" w:cs="Times New Roman"/>
          <w:b/>
          <w:bCs/>
          <w:color w:val="000000"/>
          <w:sz w:val="20"/>
          <w:szCs w:val="20"/>
          <w:lang w:val="es-CR" w:eastAsia="es-CR"/>
        </w:rPr>
        <w:t xml:space="preserve">  </w:t>
      </w:r>
      <w:r w:rsidRPr="00873FEC">
        <w:rPr>
          <w:rFonts w:ascii="Verdana" w:eastAsia="Times New Roman" w:hAnsi="Verdana" w:cs="Times New Roman"/>
          <w:bCs/>
          <w:color w:val="000000"/>
          <w:sz w:val="20"/>
          <w:szCs w:val="20"/>
          <w:lang w:val="es-CR" w:eastAsia="es-CR"/>
        </w:rPr>
        <w:t xml:space="preserve"> </w:t>
      </w:r>
    </w:p>
    <w:p w:rsidR="00467331" w:rsidRPr="00873FEC" w:rsidRDefault="00467331" w:rsidP="00126E97">
      <w:pPr>
        <w:spacing w:after="0" w:line="20" w:lineRule="atLeast"/>
        <w:contextualSpacing/>
        <w:jc w:val="both"/>
        <w:rPr>
          <w:rFonts w:ascii="Verdana" w:eastAsia="Batang" w:hAnsi="Verdana" w:cs="Times New Roman"/>
          <w:sz w:val="20"/>
          <w:szCs w:val="20"/>
          <w:lang w:val="es-CR" w:eastAsia="es-CR"/>
        </w:rPr>
      </w:pPr>
    </w:p>
    <w:p w:rsidR="00467331" w:rsidRPr="00873FEC" w:rsidRDefault="00467331" w:rsidP="00126E97">
      <w:pPr>
        <w:numPr>
          <w:ilvl w:val="0"/>
          <w:numId w:val="8"/>
        </w:numPr>
        <w:spacing w:after="0" w:line="20" w:lineRule="atLeast"/>
        <w:ind w:left="284"/>
        <w:contextualSpacing/>
        <w:jc w:val="both"/>
        <w:outlineLvl w:val="1"/>
        <w:rPr>
          <w:rFonts w:ascii="Verdana" w:eastAsia="Calibri" w:hAnsi="Verdana" w:cs="Times New Roman"/>
          <w:b/>
          <w:i/>
          <w:sz w:val="20"/>
          <w:szCs w:val="20"/>
          <w:lang w:val="es-CR" w:eastAsia="es-CR"/>
        </w:rPr>
      </w:pPr>
      <w:bookmarkStart w:id="166" w:name="_Toc520207601"/>
      <w:bookmarkStart w:id="167" w:name="_Toc525201179"/>
      <w:bookmarkEnd w:id="166"/>
      <w:r w:rsidRPr="00873FEC">
        <w:rPr>
          <w:rFonts w:ascii="Verdana" w:eastAsia="Calibri" w:hAnsi="Verdana" w:cs="Times New Roman"/>
          <w:b/>
          <w:i/>
          <w:sz w:val="20"/>
          <w:szCs w:val="20"/>
          <w:lang w:val="es-CR" w:eastAsia="es-CR"/>
        </w:rPr>
        <w:t>Consideraciones de la Corte</w:t>
      </w:r>
      <w:bookmarkEnd w:id="167"/>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New Roman"/>
          <w:sz w:val="20"/>
          <w:szCs w:val="20"/>
          <w:lang w:val="es-CR" w:eastAsia="es-CR"/>
        </w:rPr>
        <w:t xml:space="preserve">La Corte </w:t>
      </w:r>
      <w:r w:rsidR="00900FA6">
        <w:rPr>
          <w:rFonts w:ascii="Verdana" w:eastAsia="Batang" w:hAnsi="Verdana" w:cs="Times New Roman"/>
          <w:sz w:val="20"/>
          <w:szCs w:val="20"/>
          <w:lang w:val="es-CR" w:eastAsia="es-CR"/>
        </w:rPr>
        <w:t>considera pertinente</w:t>
      </w:r>
      <w:r w:rsidRPr="00873FEC">
        <w:rPr>
          <w:rFonts w:ascii="Verdana" w:eastAsia="Batang" w:hAnsi="Verdana" w:cs="Times New Roman"/>
          <w:sz w:val="20"/>
          <w:szCs w:val="20"/>
          <w:lang w:val="es-CR" w:eastAsia="es-CR"/>
        </w:rPr>
        <w:t xml:space="preserve"> abordar en conjunto las violaciones alegadas a los derechos a la vida y a la integridad personal, debido a que </w:t>
      </w:r>
      <w:r w:rsidR="00900FA6">
        <w:rPr>
          <w:rFonts w:ascii="Verdana" w:eastAsia="Batang" w:hAnsi="Verdana" w:cs="Times New Roman"/>
          <w:sz w:val="20"/>
          <w:szCs w:val="20"/>
          <w:lang w:val="es-CR" w:eastAsia="es-CR"/>
        </w:rPr>
        <w:t>el análisis de ambos</w:t>
      </w:r>
      <w:r w:rsidRPr="00873FEC">
        <w:rPr>
          <w:rFonts w:ascii="Verdana" w:eastAsia="Batang" w:hAnsi="Verdana" w:cs="Times New Roman"/>
          <w:sz w:val="20"/>
          <w:szCs w:val="20"/>
          <w:lang w:val="es-CR" w:eastAsia="es-CR"/>
        </w:rPr>
        <w:t xml:space="preserve"> se origina en un mismo hecho: </w:t>
      </w:r>
      <w:r w:rsidRPr="00873FEC">
        <w:rPr>
          <w:rFonts w:ascii="Verdana" w:eastAsia="Batang" w:hAnsi="Verdana" w:cs="Times"/>
          <w:sz w:val="20"/>
          <w:szCs w:val="20"/>
          <w:lang w:val="es-CR" w:eastAsia="es-CR"/>
        </w:rPr>
        <w:t>la masacre perpetrada por miembros de las Fuerzas Armadas de Guatemala el 5 de octubre de 1995</w:t>
      </w:r>
      <w:r w:rsidR="00900FA6">
        <w:rPr>
          <w:rFonts w:ascii="Verdana" w:eastAsia="Batang" w:hAnsi="Verdana" w:cs="Times"/>
          <w:sz w:val="20"/>
          <w:szCs w:val="20"/>
          <w:lang w:val="es-CR" w:eastAsia="es-CR"/>
        </w:rPr>
        <w:t>,</w:t>
      </w:r>
      <w:r w:rsidRPr="00873FEC">
        <w:rPr>
          <w:rFonts w:ascii="Verdana" w:eastAsia="Batang" w:hAnsi="Verdana" w:cs="Times"/>
          <w:sz w:val="20"/>
          <w:szCs w:val="20"/>
          <w:lang w:val="es-CR" w:eastAsia="es-CR"/>
        </w:rPr>
        <w:t xml:space="preserve"> en perjuicio de once personas que resultaron muertas y 29 personas heridas.  </w:t>
      </w:r>
    </w:p>
    <w:p w:rsidR="00467331" w:rsidRPr="00873FEC" w:rsidRDefault="00467331" w:rsidP="00126E97">
      <w:pPr>
        <w:spacing w:after="0" w:line="20" w:lineRule="atLeast"/>
        <w:ind w:right="-138"/>
        <w:jc w:val="both"/>
        <w:rPr>
          <w:rFonts w:ascii="Verdana" w:eastAsia="Batang" w:hAnsi="Verdana" w:cs="Times"/>
          <w:b/>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A su vez, en relación con tales derechos, entiende pertinente examinar las aducidas violaciones a los derechos del niño, siendo que una niña y dos niños integran el grupo de 11 personas muertas, así como los alegatos sobre discriminación. Respecto a esto último, </w:t>
      </w:r>
      <w:r w:rsidRPr="00873FEC">
        <w:rPr>
          <w:rFonts w:ascii="Verdana" w:eastAsia="Times New Roman" w:hAnsi="Verdana" w:cs="Times New Roman"/>
          <w:bCs/>
          <w:color w:val="000000"/>
          <w:sz w:val="20"/>
          <w:szCs w:val="20"/>
          <w:lang w:val="es-CR" w:eastAsia="es-CR"/>
        </w:rPr>
        <w:t>no se han aducido normas internas concretas cuya aplicación o efectos pudieren explicar o relacionarse con la actuación militar, y la Corte entiende que los argumentos respectivos no pueden ser examinados bajo el artículo 24 de la Convención, como fueron alegados. En ese sentido, cabe recordar lo dicho por este Tribunal, en cuanto a que un hecho debe analizarse a la luz del artículo 24 de la Convención si “</w:t>
      </w:r>
      <w:r w:rsidRPr="00873FEC">
        <w:rPr>
          <w:rFonts w:ascii="Verdana" w:eastAsia="Batang" w:hAnsi="Verdana" w:cs="Times"/>
          <w:sz w:val="20"/>
          <w:szCs w:val="20"/>
          <w:lang w:eastAsia="es-CR"/>
        </w:rPr>
        <w:t>se refiere a una protección desigual de la ley interna o su aplicación”</w:t>
      </w:r>
      <w:r w:rsidRPr="00873FEC">
        <w:rPr>
          <w:rFonts w:ascii="Verdana" w:eastAsia="Batang" w:hAnsi="Verdana" w:cs="Times New Roman"/>
          <w:sz w:val="20"/>
          <w:szCs w:val="20"/>
          <w:vertAlign w:val="superscript"/>
          <w:lang w:val="es-CR" w:eastAsia="x-none"/>
        </w:rPr>
        <w:footnoteReference w:id="161"/>
      </w:r>
      <w:r w:rsidRPr="00873FEC">
        <w:rPr>
          <w:rFonts w:ascii="Verdana" w:eastAsia="Batang" w:hAnsi="Verdana" w:cs="Times"/>
          <w:sz w:val="20"/>
          <w:szCs w:val="20"/>
          <w:lang w:val="es-CR" w:eastAsia="es-CR"/>
        </w:rPr>
        <w:t>.</w:t>
      </w:r>
      <w:r w:rsidRPr="00873FEC">
        <w:rPr>
          <w:rFonts w:ascii="Verdana" w:eastAsia="Batang" w:hAnsi="Verdana" w:cs="Times"/>
          <w:sz w:val="16"/>
          <w:szCs w:val="16"/>
          <w:lang w:val="es-CR" w:eastAsia="es-CR"/>
        </w:rPr>
        <w:t xml:space="preserve"> </w:t>
      </w:r>
      <w:r w:rsidRPr="00873FEC">
        <w:rPr>
          <w:rFonts w:ascii="Verdana" w:eastAsia="Times New Roman" w:hAnsi="Verdana" w:cs="Times New Roman"/>
          <w:bCs/>
          <w:color w:val="000000"/>
          <w:sz w:val="20"/>
          <w:szCs w:val="20"/>
          <w:lang w:val="es-CR" w:eastAsia="es-CR"/>
        </w:rPr>
        <w:t xml:space="preserve">No obstante, en virtud del principio </w:t>
      </w:r>
      <w:proofErr w:type="spellStart"/>
      <w:r w:rsidRPr="00873FEC">
        <w:rPr>
          <w:rFonts w:ascii="Verdana" w:eastAsia="Times New Roman" w:hAnsi="Verdana" w:cs="Times New Roman"/>
          <w:bCs/>
          <w:i/>
          <w:color w:val="000000"/>
          <w:sz w:val="20"/>
          <w:szCs w:val="20"/>
          <w:lang w:val="es-CR" w:eastAsia="es-CR"/>
        </w:rPr>
        <w:t>iura</w:t>
      </w:r>
      <w:proofErr w:type="spellEnd"/>
      <w:r w:rsidRPr="00873FEC">
        <w:rPr>
          <w:rFonts w:ascii="Verdana" w:eastAsia="Times New Roman" w:hAnsi="Verdana" w:cs="Times New Roman"/>
          <w:bCs/>
          <w:i/>
          <w:color w:val="000000"/>
          <w:sz w:val="20"/>
          <w:szCs w:val="20"/>
          <w:lang w:val="es-CR" w:eastAsia="es-CR"/>
        </w:rPr>
        <w:t xml:space="preserve"> </w:t>
      </w:r>
      <w:proofErr w:type="spellStart"/>
      <w:r w:rsidRPr="00873FEC">
        <w:rPr>
          <w:rFonts w:ascii="Verdana" w:eastAsia="Times New Roman" w:hAnsi="Verdana" w:cs="Times New Roman"/>
          <w:bCs/>
          <w:i/>
          <w:color w:val="000000"/>
          <w:sz w:val="20"/>
          <w:szCs w:val="20"/>
          <w:lang w:val="es-CR" w:eastAsia="es-CR"/>
        </w:rPr>
        <w:t>novit</w:t>
      </w:r>
      <w:proofErr w:type="spellEnd"/>
      <w:r w:rsidRPr="00873FEC">
        <w:rPr>
          <w:rFonts w:ascii="Verdana" w:eastAsia="Times New Roman" w:hAnsi="Verdana" w:cs="Times New Roman"/>
          <w:bCs/>
          <w:i/>
          <w:color w:val="000000"/>
          <w:sz w:val="20"/>
          <w:szCs w:val="20"/>
          <w:lang w:val="es-CR" w:eastAsia="es-CR"/>
        </w:rPr>
        <w:t xml:space="preserve"> curia</w:t>
      </w:r>
      <w:r w:rsidRPr="00873FEC">
        <w:rPr>
          <w:rFonts w:ascii="Verdana" w:eastAsia="Batang" w:hAnsi="Verdana" w:cs="Times New Roman"/>
          <w:bCs/>
          <w:color w:val="000000"/>
          <w:sz w:val="20"/>
          <w:szCs w:val="20"/>
          <w:vertAlign w:val="superscript"/>
          <w:lang w:val="es-CR" w:eastAsia="x-none"/>
        </w:rPr>
        <w:footnoteReference w:id="162"/>
      </w:r>
      <w:r w:rsidRPr="00873FEC">
        <w:rPr>
          <w:rFonts w:ascii="Verdana" w:eastAsia="Times New Roman" w:hAnsi="Verdana" w:cs="Times New Roman"/>
          <w:bCs/>
          <w:i/>
          <w:color w:val="000000"/>
          <w:sz w:val="20"/>
          <w:szCs w:val="20"/>
          <w:lang w:val="es-CR" w:eastAsia="es-CR"/>
        </w:rPr>
        <w:t xml:space="preserve">, </w:t>
      </w:r>
      <w:r w:rsidRPr="00873FEC">
        <w:rPr>
          <w:rFonts w:ascii="Verdana" w:eastAsia="Times New Roman" w:hAnsi="Verdana" w:cs="Times New Roman"/>
          <w:bCs/>
          <w:color w:val="000000"/>
          <w:sz w:val="20"/>
          <w:szCs w:val="20"/>
          <w:lang w:val="es-CR" w:eastAsia="es-CR"/>
        </w:rPr>
        <w:t>se examinará si cabe determinar en el caso la discriminación respecto de un derecho convencional a partir de lo dispuesto por el artículo 1.1 de la Convención, norma que se ve incumplida “</w:t>
      </w:r>
      <w:r w:rsidRPr="00873FEC">
        <w:rPr>
          <w:rFonts w:ascii="Verdana" w:eastAsia="Batang" w:hAnsi="Verdana" w:cs="Times"/>
          <w:sz w:val="20"/>
          <w:szCs w:val="20"/>
          <w:lang w:eastAsia="es-CR"/>
        </w:rPr>
        <w:t>si un Estado discrimina en el respeto o garantía de un derecho convencional”</w:t>
      </w:r>
      <w:r w:rsidRPr="00873FEC">
        <w:rPr>
          <w:rFonts w:ascii="Verdana" w:eastAsia="Batang" w:hAnsi="Verdana" w:cs="Times New Roman"/>
          <w:sz w:val="20"/>
          <w:szCs w:val="20"/>
          <w:vertAlign w:val="superscript"/>
          <w:lang w:val="es-CR" w:eastAsia="x-none"/>
        </w:rPr>
        <w:footnoteReference w:id="163"/>
      </w:r>
      <w:r w:rsidRPr="00873FEC">
        <w:rPr>
          <w:rFonts w:ascii="Verdana" w:eastAsia="Batang" w:hAnsi="Verdana" w:cs="Times"/>
          <w:sz w:val="20"/>
          <w:szCs w:val="20"/>
          <w:lang w:eastAsia="es-CR"/>
        </w:rPr>
        <w:t>.</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Este Tribunal, luego de formular consideraciones generales sobre los derechos aludidos, examinará la aducida violación a derechos de personas que murieron o resultaron heridas en la masacre</w:t>
      </w:r>
      <w:r w:rsidRPr="00873FEC">
        <w:rPr>
          <w:rFonts w:ascii="Verdana" w:eastAsia="Batang" w:hAnsi="Verdana" w:cs="Times New Roman"/>
          <w:sz w:val="20"/>
          <w:szCs w:val="20"/>
          <w:vertAlign w:val="superscript"/>
          <w:lang w:val="es-CR" w:eastAsia="es-CR"/>
        </w:rPr>
        <w:footnoteReference w:id="164"/>
      </w:r>
      <w:r w:rsidRPr="00873FEC">
        <w:rPr>
          <w:rFonts w:ascii="Verdana" w:eastAsia="Batang" w:hAnsi="Verdana" w:cs="Times"/>
          <w:sz w:val="20"/>
          <w:szCs w:val="20"/>
          <w:lang w:val="es-CR" w:eastAsia="es-CR"/>
        </w:rPr>
        <w:t xml:space="preserve">. </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pStyle w:val="Heading3"/>
        <w:spacing w:before="0" w:line="20" w:lineRule="atLeast"/>
        <w:ind w:left="567"/>
        <w:jc w:val="both"/>
        <w:rPr>
          <w:rFonts w:ascii="Verdana" w:eastAsia="Batang" w:hAnsi="Verdana" w:cs="Times"/>
          <w:b w:val="0"/>
          <w:i/>
          <w:sz w:val="20"/>
          <w:szCs w:val="24"/>
          <w:lang w:val="es-CR" w:eastAsia="es-CR"/>
        </w:rPr>
      </w:pPr>
      <w:bookmarkStart w:id="168" w:name="_Toc525201180"/>
      <w:r w:rsidRPr="00873FEC">
        <w:rPr>
          <w:rFonts w:ascii="Verdana" w:eastAsia="Batang" w:hAnsi="Verdana" w:cs="Times"/>
          <w:b w:val="0"/>
          <w:i/>
          <w:color w:val="auto"/>
          <w:sz w:val="20"/>
          <w:szCs w:val="24"/>
          <w:lang w:val="es-CR" w:eastAsia="es-CR"/>
        </w:rPr>
        <w:t xml:space="preserve">B.1. </w:t>
      </w:r>
      <w:r w:rsidRPr="00873FEC">
        <w:rPr>
          <w:rFonts w:ascii="Verdana" w:eastAsia="Batang" w:hAnsi="Verdana" w:cs="Times"/>
          <w:b w:val="0"/>
          <w:i/>
          <w:color w:val="auto"/>
          <w:sz w:val="20"/>
          <w:szCs w:val="24"/>
          <w:u w:val="single"/>
          <w:lang w:val="es-CR" w:eastAsia="es-CR"/>
        </w:rPr>
        <w:t>Consideraciones generales</w:t>
      </w:r>
      <w:bookmarkEnd w:id="168"/>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t>El derecho a la vida resulta fundamental en la Convención por ser el presupuesto esencial para el ejercicio de los demás derechos</w:t>
      </w:r>
      <w:r w:rsidRPr="00873FEC">
        <w:rPr>
          <w:rFonts w:ascii="Verdana" w:eastAsia="Batang" w:hAnsi="Verdana" w:cs="Times New Roman"/>
          <w:sz w:val="20"/>
          <w:szCs w:val="20"/>
          <w:vertAlign w:val="superscript"/>
          <w:lang w:val="es-CR" w:eastAsia="x-none"/>
        </w:rPr>
        <w:footnoteReference w:id="165"/>
      </w:r>
      <w:r w:rsidRPr="00873FEC">
        <w:rPr>
          <w:rFonts w:ascii="Verdana" w:eastAsia="Batang" w:hAnsi="Verdana" w:cs="Times New Roman"/>
          <w:sz w:val="20"/>
          <w:szCs w:val="20"/>
          <w:lang w:val="es-CR" w:eastAsia="es-CR"/>
        </w:rPr>
        <w:t xml:space="preserve">. La observancia del artículo 4, relacionado con el artículo 1.1 de la Convención Americana, no solo presupone que </w:t>
      </w:r>
      <w:r w:rsidRPr="00873FEC">
        <w:rPr>
          <w:rFonts w:ascii="Verdana" w:eastAsia="Batang" w:hAnsi="Verdana" w:cs="Times New Roman"/>
          <w:sz w:val="20"/>
          <w:szCs w:val="20"/>
          <w:lang w:val="es-CR" w:eastAsia="es-CR"/>
        </w:rPr>
        <w:lastRenderedPageBreak/>
        <w:t>ninguna persona sea privada de su vida arbitrariamente (obligación negativa), sino que además requiere que los Estados adopten todas las medidas apropiadas para proteger y preservar el derecho a la vida (obligación positiva)</w:t>
      </w:r>
      <w:r w:rsidRPr="00873FEC">
        <w:rPr>
          <w:rFonts w:ascii="Verdana" w:eastAsia="Batang" w:hAnsi="Verdana" w:cs="Times New Roman"/>
          <w:sz w:val="20"/>
          <w:szCs w:val="20"/>
          <w:vertAlign w:val="superscript"/>
          <w:lang w:val="es-CR" w:eastAsia="x-none"/>
        </w:rPr>
        <w:footnoteReference w:id="166"/>
      </w:r>
      <w:r w:rsidRPr="00873FEC">
        <w:rPr>
          <w:rFonts w:ascii="Verdana" w:eastAsia="Batang" w:hAnsi="Verdana" w:cs="Times New Roman"/>
          <w:sz w:val="20"/>
          <w:szCs w:val="20"/>
          <w:lang w:val="es-CR" w:eastAsia="es-CR"/>
        </w:rPr>
        <w:t>, conforme al deber de garantizar el pleno y libre ejercicio de los derechos de todas las personas bajo su jurisdicción</w:t>
      </w:r>
      <w:r w:rsidRPr="00873FEC">
        <w:rPr>
          <w:rFonts w:ascii="Verdana" w:eastAsia="Batang" w:hAnsi="Verdana" w:cs="Times New Roman"/>
          <w:sz w:val="20"/>
          <w:szCs w:val="20"/>
          <w:vertAlign w:val="superscript"/>
          <w:lang w:val="es-CR" w:eastAsia="x-none"/>
        </w:rPr>
        <w:footnoteReference w:id="167"/>
      </w:r>
      <w:r w:rsidRPr="00873FEC">
        <w:rPr>
          <w:rFonts w:ascii="Verdana" w:eastAsia="Batang" w:hAnsi="Verdana" w:cs="Times New Roman"/>
          <w:sz w:val="20"/>
          <w:szCs w:val="20"/>
          <w:lang w:val="es-CR" w:eastAsia="es-CR"/>
        </w:rPr>
        <w:t>. La protección activa del derecho a la vida involucra a toda institución estatal, inclusive a quienes deben resguardar la seguridad, ya sea que se trate de fuerzas de policía o fuerzas armadas</w:t>
      </w:r>
      <w:r w:rsidRPr="00873FEC">
        <w:rPr>
          <w:rFonts w:ascii="Verdana" w:eastAsia="Batang" w:hAnsi="Verdana" w:cs="Times New Roman"/>
          <w:sz w:val="20"/>
          <w:szCs w:val="20"/>
          <w:vertAlign w:val="superscript"/>
          <w:lang w:val="es-CR" w:eastAsia="x-none"/>
        </w:rPr>
        <w:footnoteReference w:id="168"/>
      </w:r>
      <w:r w:rsidRPr="00873FEC">
        <w:rPr>
          <w:rFonts w:ascii="Verdana" w:eastAsia="Batang" w:hAnsi="Verdana" w:cs="Times New Roman"/>
          <w:sz w:val="20"/>
          <w:szCs w:val="20"/>
          <w:lang w:val="es-CR" w:eastAsia="es-CR"/>
        </w:rPr>
        <w:t>.</w:t>
      </w:r>
      <w:r w:rsidRPr="00873FEC">
        <w:rPr>
          <w:rFonts w:ascii="Verdana" w:eastAsia="Batang" w:hAnsi="Verdana" w:cs="Times"/>
          <w:sz w:val="20"/>
          <w:szCs w:val="24"/>
          <w:lang w:val="es-CR" w:eastAsia="es-CR"/>
        </w:rPr>
        <w:t xml:space="preserve"> Es </w:t>
      </w:r>
      <w:r w:rsidRPr="00873FEC">
        <w:rPr>
          <w:rFonts w:ascii="Verdana" w:eastAsia="Batang" w:hAnsi="Verdana" w:cs="Times New Roman"/>
          <w:sz w:val="20"/>
          <w:szCs w:val="20"/>
          <w:lang w:val="es-CR" w:eastAsia="es-CR"/>
        </w:rPr>
        <w:t>contraria a la Convención aquella privación de la vida que sea producto de la utilización de la fuerza de forma ilegítima, excesiva o desproporcionada</w:t>
      </w:r>
      <w:r w:rsidRPr="00873FEC">
        <w:rPr>
          <w:rFonts w:ascii="Calibri" w:eastAsia="Batang" w:hAnsi="Calibri" w:cs="Times New Roman"/>
          <w:vertAlign w:val="superscript"/>
          <w:lang w:val="es-CR" w:eastAsia="x-none"/>
        </w:rPr>
        <w:footnoteReference w:id="169"/>
      </w:r>
      <w:r w:rsidRPr="00873FEC">
        <w:rPr>
          <w:rFonts w:ascii="Verdana" w:eastAsia="Batang" w:hAnsi="Verdana" w:cs="Times New Roman"/>
          <w:sz w:val="20"/>
          <w:szCs w:val="20"/>
          <w:lang w:val="es-CR" w:eastAsia="es-CR"/>
        </w:rPr>
        <w:t>.</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t>Por otra parte, la Convención Americana reconoce expresamente el derecho a la integridad personal, física y psíquica, cuya infracción “es una clase de violación que tiene diversas connotaciones de grado y […] cuyas secuelas físicas y psíquicas varían de intensidad según los factores endógenos y exógenos que deberán ser demostrados en cada situación concreta”</w:t>
      </w:r>
      <w:r w:rsidRPr="00873FEC">
        <w:rPr>
          <w:rFonts w:ascii="Verdana" w:eastAsia="Batang" w:hAnsi="Verdana" w:cs="Times New Roman"/>
          <w:sz w:val="20"/>
          <w:szCs w:val="20"/>
          <w:vertAlign w:val="superscript"/>
          <w:lang w:val="es-CR" w:eastAsia="x-none"/>
        </w:rPr>
        <w:footnoteReference w:id="170"/>
      </w:r>
      <w:r w:rsidRPr="00873FEC">
        <w:rPr>
          <w:rFonts w:ascii="Verdana" w:eastAsia="Batang" w:hAnsi="Verdana" w:cs="Times New Roman"/>
          <w:sz w:val="20"/>
          <w:szCs w:val="20"/>
          <w:lang w:val="es-CR" w:eastAsia="es-CR"/>
        </w:rPr>
        <w:t>. Rigen respecto al derecho a la integridad personal los deberes de respeto y garantía señalados respecto del derecho a la vida.</w:t>
      </w:r>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bookmarkStart w:id="169" w:name="_Toc520207603"/>
      <w:bookmarkEnd w:id="169"/>
    </w:p>
    <w:p w:rsidR="00467331" w:rsidRPr="00873FEC" w:rsidRDefault="00467331" w:rsidP="00126E97">
      <w:pPr>
        <w:numPr>
          <w:ilvl w:val="0"/>
          <w:numId w:val="3"/>
        </w:numPr>
        <w:spacing w:after="0" w:line="20" w:lineRule="atLeast"/>
        <w:ind w:right="-138"/>
        <w:jc w:val="both"/>
        <w:rPr>
          <w:rFonts w:ascii="Verdana" w:eastAsia="Batang" w:hAnsi="Verdana" w:cs="Times"/>
          <w:strike/>
          <w:sz w:val="20"/>
          <w:szCs w:val="24"/>
          <w:lang w:val="es-CR" w:eastAsia="es-CR"/>
        </w:rPr>
      </w:pPr>
      <w:r w:rsidRPr="00873FEC">
        <w:rPr>
          <w:rFonts w:ascii="Verdana" w:eastAsia="Batang" w:hAnsi="Verdana" w:cs="Times New Roman"/>
          <w:sz w:val="20"/>
          <w:szCs w:val="20"/>
          <w:lang w:val="es-CR" w:eastAsia="es-CR"/>
        </w:rPr>
        <w:t xml:space="preserve">En el caso, el Estado no ha negado que sus agentes provocaron muertes y lesiones en los hechos ocurridos el 5 de octubre de 1995, sino que ha señalado que no es responsable porque cumplió el deber de garantizar los derechos respectivos, al investigar diligentemente los hechos y sancionar a 14 personas. En primer término, este Tribunal destaca que ya evaluó que la investigación efectuada por el Estado, pese a sus avances y determinaciones, resultó violatoria de los derechos a las garantías y protección judiciales. Por ende, no puede admitirse que, como ha sostenido el Estado, el caso haya sido ya “dilucidado en el ámbito interno” ni que Guatemala haya cumplido, por medio de una investigación, su deber de garantizar los derechos a la vida e integridad personal. Esto hace procedente que la Corte examine la vulneración aducida a tales derechos. En particular, el Tribunal puede y debe analizar si Guatemala, por medio de su personal militar, incumplió su obligación de respetar los derechos indicados.  </w:t>
      </w:r>
      <w:r w:rsidRPr="00873FEC">
        <w:rPr>
          <w:rFonts w:ascii="Verdana" w:eastAsia="Batang" w:hAnsi="Verdana" w:cs="Times New Roman"/>
          <w:strike/>
          <w:sz w:val="20"/>
          <w:szCs w:val="20"/>
          <w:lang w:val="es-CR" w:eastAsia="es-CR"/>
        </w:rPr>
        <w:t xml:space="preserve"> </w:t>
      </w:r>
    </w:p>
    <w:p w:rsidR="00467331" w:rsidRPr="00873FEC" w:rsidRDefault="00467331" w:rsidP="00126E97">
      <w:pPr>
        <w:spacing w:after="0" w:line="20" w:lineRule="atLeast"/>
        <w:jc w:val="both"/>
        <w:rPr>
          <w:rFonts w:ascii="Verdana" w:eastAsia="Batang" w:hAnsi="Verdana" w:cs="Times New Roman"/>
          <w:sz w:val="20"/>
          <w:szCs w:val="20"/>
          <w:lang w:val="es-CR" w:eastAsia="es-CR"/>
        </w:rPr>
      </w:pPr>
    </w:p>
    <w:p w:rsidR="00467331" w:rsidRPr="00873FEC" w:rsidRDefault="00467331" w:rsidP="00126E97">
      <w:pPr>
        <w:pStyle w:val="Heading3"/>
        <w:spacing w:before="0" w:line="20" w:lineRule="atLeast"/>
        <w:ind w:left="567"/>
        <w:jc w:val="both"/>
        <w:rPr>
          <w:rFonts w:ascii="Verdana" w:eastAsia="Batang" w:hAnsi="Verdana" w:cs="Times New Roman"/>
          <w:b w:val="0"/>
          <w:i/>
          <w:color w:val="auto"/>
          <w:sz w:val="20"/>
          <w:szCs w:val="20"/>
          <w:lang w:val="es-CR" w:eastAsia="es-CR"/>
        </w:rPr>
      </w:pPr>
      <w:bookmarkStart w:id="170" w:name="_Toc525201181"/>
      <w:r w:rsidRPr="00873FEC">
        <w:rPr>
          <w:rFonts w:ascii="Verdana" w:eastAsia="Batang" w:hAnsi="Verdana" w:cs="Times New Roman"/>
          <w:b w:val="0"/>
          <w:i/>
          <w:color w:val="auto"/>
          <w:sz w:val="20"/>
          <w:szCs w:val="20"/>
          <w:lang w:val="es-CR" w:eastAsia="es-CR"/>
        </w:rPr>
        <w:t xml:space="preserve">B.2. </w:t>
      </w:r>
      <w:r w:rsidRPr="00873FEC">
        <w:rPr>
          <w:rFonts w:ascii="Verdana" w:eastAsia="Batang" w:hAnsi="Verdana" w:cs="Times New Roman"/>
          <w:b w:val="0"/>
          <w:i/>
          <w:color w:val="auto"/>
          <w:sz w:val="20"/>
          <w:szCs w:val="20"/>
          <w:u w:val="single"/>
          <w:lang w:val="es-CR" w:eastAsia="es-CR"/>
        </w:rPr>
        <w:t>Derechos a la vida e integridad personal</w:t>
      </w:r>
      <w:bookmarkEnd w:id="170"/>
    </w:p>
    <w:p w:rsidR="00467331" w:rsidRPr="00873FEC" w:rsidRDefault="00467331" w:rsidP="00126E97">
      <w:pPr>
        <w:spacing w:after="0" w:line="20" w:lineRule="atLeast"/>
        <w:jc w:val="both"/>
        <w:rPr>
          <w:rFonts w:ascii="Verdana" w:eastAsia="Batang" w:hAnsi="Verdana" w:cs="Times New Roman"/>
          <w:sz w:val="20"/>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t>Ahora bien, en el caso el Estado destacó la condena firme a la que arribaron sus órganos judiciales. Por tanto, Guatemala no cuestiona esa determinación, como tampoco la Comisión o los representantes. Pues bien, el 8 de julio de 2004 se condenó a militares</w:t>
      </w:r>
      <w:r w:rsidR="00731642" w:rsidRPr="00873FEC">
        <w:rPr>
          <w:rFonts w:ascii="Verdana" w:eastAsia="Batang" w:hAnsi="Verdana" w:cs="Times New Roman"/>
          <w:sz w:val="20"/>
          <w:szCs w:val="20"/>
          <w:lang w:val="es-CR" w:eastAsia="es-CR"/>
        </w:rPr>
        <w:t xml:space="preserve"> (</w:t>
      </w:r>
      <w:r w:rsidR="00731642" w:rsidRPr="00873FEC">
        <w:rPr>
          <w:rFonts w:ascii="Verdana" w:eastAsia="Batang" w:hAnsi="Verdana" w:cs="Times New Roman"/>
          <w:i/>
          <w:sz w:val="20"/>
          <w:szCs w:val="20"/>
          <w:lang w:val="es-CR" w:eastAsia="es-CR"/>
        </w:rPr>
        <w:t>supra</w:t>
      </w:r>
      <w:r w:rsidR="00731642" w:rsidRPr="00873FEC">
        <w:rPr>
          <w:rFonts w:ascii="Verdana" w:eastAsia="Batang" w:hAnsi="Verdana" w:cs="Times New Roman"/>
          <w:sz w:val="20"/>
          <w:szCs w:val="20"/>
          <w:lang w:val="es-CR" w:eastAsia="es-CR"/>
        </w:rPr>
        <w:t xml:space="preserve"> párr. 64)</w:t>
      </w:r>
      <w:r w:rsidRPr="00873FEC">
        <w:rPr>
          <w:rFonts w:ascii="Verdana" w:eastAsia="Batang" w:hAnsi="Verdana" w:cs="Times New Roman"/>
          <w:sz w:val="20"/>
          <w:szCs w:val="20"/>
          <w:lang w:val="es-CR" w:eastAsia="es-CR"/>
        </w:rPr>
        <w:t>, “en calidad de autores materiales”, por el delito de “ejecución extrajudicial” en el “grado de consumación, en contra del bien jurídico tutelado [….] vida”, y “del delito de lesiones graves en contra de la integridad física”. Esa decisión fue ratificada, luego de que se presentaran recursos de apelación y casación, y quedó firme</w:t>
      </w:r>
      <w:r w:rsidR="00E379BE" w:rsidRPr="00873FEC">
        <w:rPr>
          <w:rFonts w:ascii="Verdana" w:eastAsia="Batang" w:hAnsi="Verdana" w:cs="Times New Roman"/>
          <w:sz w:val="20"/>
          <w:szCs w:val="20"/>
          <w:lang w:val="es-CR" w:eastAsia="es-CR"/>
        </w:rPr>
        <w:t xml:space="preserve"> (</w:t>
      </w:r>
      <w:r w:rsidR="00E379BE" w:rsidRPr="00873FEC">
        <w:rPr>
          <w:rFonts w:ascii="Verdana" w:eastAsia="Batang" w:hAnsi="Verdana" w:cs="Times New Roman"/>
          <w:i/>
          <w:sz w:val="20"/>
          <w:szCs w:val="20"/>
          <w:lang w:val="es-CR" w:eastAsia="es-CR"/>
        </w:rPr>
        <w:t>supra</w:t>
      </w:r>
      <w:r w:rsidR="00E379BE" w:rsidRPr="00873FEC">
        <w:rPr>
          <w:rFonts w:ascii="Verdana" w:eastAsia="Batang" w:hAnsi="Verdana" w:cs="Times New Roman"/>
          <w:sz w:val="20"/>
          <w:szCs w:val="20"/>
          <w:lang w:val="es-CR" w:eastAsia="es-CR"/>
        </w:rPr>
        <w:t xml:space="preserve"> párr. </w:t>
      </w:r>
      <w:r w:rsidR="00731642" w:rsidRPr="00873FEC">
        <w:rPr>
          <w:rFonts w:ascii="Verdana" w:eastAsia="Batang" w:hAnsi="Verdana" w:cs="Times New Roman"/>
          <w:sz w:val="20"/>
          <w:szCs w:val="20"/>
          <w:lang w:val="es-CR" w:eastAsia="es-CR"/>
        </w:rPr>
        <w:t>65</w:t>
      </w:r>
      <w:r w:rsidR="00E379BE" w:rsidRPr="00873FEC">
        <w:rPr>
          <w:rFonts w:ascii="Verdana" w:eastAsia="Batang" w:hAnsi="Verdana" w:cs="Times New Roman"/>
          <w:sz w:val="20"/>
          <w:szCs w:val="20"/>
          <w:lang w:val="es-CR" w:eastAsia="es-CR"/>
        </w:rPr>
        <w:t>)</w:t>
      </w:r>
      <w:r w:rsidRPr="00873FEC">
        <w:rPr>
          <w:rFonts w:ascii="Verdana" w:eastAsia="Batang" w:hAnsi="Verdana" w:cs="Times New Roman"/>
          <w:sz w:val="20"/>
          <w:szCs w:val="20"/>
          <w:lang w:val="es-CR" w:eastAsia="es-CR"/>
        </w:rPr>
        <w:t xml:space="preserve">. </w:t>
      </w:r>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New Roman"/>
          <w:sz w:val="20"/>
          <w:szCs w:val="20"/>
          <w:lang w:val="es-CR" w:eastAsia="es-CR"/>
        </w:rPr>
        <w:lastRenderedPageBreak/>
        <w:t>Teniendo en cuenta lo anterior, no surge elemento alguno de justificación del uso de fuerza letal por parte de militares, que fue considerado delictivo por las autoridades judiciales guatemaltecas</w:t>
      </w:r>
      <w:r w:rsidRPr="00873FEC">
        <w:rPr>
          <w:rFonts w:ascii="Verdana" w:eastAsia="Batang" w:hAnsi="Verdana" w:cs="Times New Roman"/>
          <w:sz w:val="20"/>
          <w:szCs w:val="20"/>
          <w:vertAlign w:val="superscript"/>
          <w:lang w:val="es-CR" w:eastAsia="x-none"/>
        </w:rPr>
        <w:footnoteReference w:id="171"/>
      </w:r>
      <w:r w:rsidRPr="00873FEC">
        <w:rPr>
          <w:rFonts w:ascii="Verdana" w:eastAsia="Batang" w:hAnsi="Verdana" w:cs="Times New Roman"/>
          <w:sz w:val="20"/>
          <w:szCs w:val="20"/>
          <w:lang w:val="es-CR" w:eastAsia="es-CR"/>
        </w:rPr>
        <w:t>. De los hechos acreditados surge que varias personas, según se refirió (</w:t>
      </w:r>
      <w:r w:rsidRPr="00873FEC">
        <w:rPr>
          <w:rFonts w:ascii="Verdana" w:eastAsia="Batang" w:hAnsi="Verdana" w:cs="Times New Roman"/>
          <w:i/>
          <w:sz w:val="20"/>
          <w:szCs w:val="20"/>
          <w:lang w:val="es-CR" w:eastAsia="es-CR"/>
        </w:rPr>
        <w:t>supra</w:t>
      </w:r>
      <w:r w:rsidRPr="00873FEC">
        <w:rPr>
          <w:rFonts w:ascii="Verdana" w:eastAsia="Batang" w:hAnsi="Verdana" w:cs="Times New Roman"/>
          <w:sz w:val="20"/>
          <w:szCs w:val="20"/>
          <w:lang w:val="es-CR" w:eastAsia="es-CR"/>
        </w:rPr>
        <w:t xml:space="preserve"> párr. </w:t>
      </w:r>
      <w:r w:rsidR="00731642" w:rsidRPr="00873FEC">
        <w:rPr>
          <w:rFonts w:ascii="Verdana" w:eastAsia="Batang" w:hAnsi="Verdana" w:cs="Times New Roman"/>
          <w:sz w:val="20"/>
          <w:szCs w:val="20"/>
          <w:lang w:val="es-CR" w:eastAsia="es-CR"/>
        </w:rPr>
        <w:t>37</w:t>
      </w:r>
      <w:r w:rsidRPr="00873FEC">
        <w:rPr>
          <w:rFonts w:ascii="Verdana" w:eastAsia="Batang" w:hAnsi="Verdana" w:cs="Times New Roman"/>
          <w:sz w:val="20"/>
          <w:szCs w:val="20"/>
          <w:lang w:val="es-CR" w:eastAsia="es-CR"/>
        </w:rPr>
        <w:t>) y se precisa más adelante (</w:t>
      </w:r>
      <w:r w:rsidRPr="00873FEC">
        <w:rPr>
          <w:rFonts w:ascii="Verdana" w:eastAsia="Batang" w:hAnsi="Verdana" w:cs="Times New Roman"/>
          <w:i/>
          <w:sz w:val="20"/>
          <w:szCs w:val="20"/>
          <w:lang w:val="es-CR" w:eastAsia="es-CR"/>
        </w:rPr>
        <w:t>infra</w:t>
      </w:r>
      <w:r w:rsidRPr="00873FEC">
        <w:rPr>
          <w:rFonts w:ascii="Verdana" w:eastAsia="Batang" w:hAnsi="Verdana" w:cs="Times New Roman"/>
          <w:sz w:val="20"/>
          <w:szCs w:val="20"/>
          <w:lang w:val="es-CR" w:eastAsia="es-CR"/>
        </w:rPr>
        <w:t xml:space="preserve"> </w:t>
      </w:r>
      <w:r w:rsidR="006F430C">
        <w:rPr>
          <w:rFonts w:ascii="Verdana" w:eastAsia="Batang" w:hAnsi="Verdana" w:cs="Times"/>
          <w:color w:val="1A1A1A"/>
          <w:sz w:val="20"/>
          <w:szCs w:val="20"/>
          <w:lang w:eastAsia="es-CR"/>
        </w:rPr>
        <w:t>Anexos B.2, B.3 y B.4 de</w:t>
      </w:r>
      <w:r w:rsidRPr="00873FEC">
        <w:rPr>
          <w:rFonts w:ascii="Verdana" w:eastAsia="Batang" w:hAnsi="Verdana" w:cs="Times"/>
          <w:color w:val="1A1A1A"/>
          <w:sz w:val="20"/>
          <w:szCs w:val="20"/>
          <w:lang w:eastAsia="es-CR"/>
        </w:rPr>
        <w:t xml:space="preserve"> la presente Sentencia</w:t>
      </w:r>
      <w:r w:rsidRPr="00873FEC">
        <w:rPr>
          <w:rFonts w:ascii="Verdana" w:eastAsia="Batang" w:hAnsi="Verdana" w:cs="Times New Roman"/>
          <w:sz w:val="20"/>
          <w:szCs w:val="20"/>
          <w:lang w:val="es-CR" w:eastAsia="es-CR"/>
        </w:rPr>
        <w:t xml:space="preserve">), resultaron muertas y heridas a causa de lo acontecido. Por tanto, según cada caso, Guatemala violó en su perjuicio los derechos a la vida e integridad personal.  </w:t>
      </w:r>
    </w:p>
    <w:p w:rsidR="00467331" w:rsidRPr="00873FEC" w:rsidRDefault="00467331" w:rsidP="00126E97">
      <w:pPr>
        <w:spacing w:after="0" w:line="20" w:lineRule="atLeast"/>
        <w:ind w:right="-138"/>
        <w:jc w:val="both"/>
        <w:rPr>
          <w:rFonts w:ascii="Verdana" w:eastAsia="Batang" w:hAnsi="Verdana" w:cs="Times"/>
          <w:sz w:val="20"/>
          <w:szCs w:val="24"/>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w:color w:val="1A1A1A"/>
          <w:sz w:val="20"/>
          <w:szCs w:val="20"/>
          <w:lang w:eastAsia="es-CR"/>
        </w:rPr>
        <w:t xml:space="preserve">Ahora bien, respecto a Santiago </w:t>
      </w:r>
      <w:proofErr w:type="spellStart"/>
      <w:r w:rsidRPr="00873FEC">
        <w:rPr>
          <w:rFonts w:ascii="Verdana" w:eastAsia="Calibri" w:hAnsi="Verdana" w:cs="Times"/>
          <w:color w:val="1A1A1A"/>
          <w:sz w:val="20"/>
          <w:szCs w:val="20"/>
          <w:lang w:eastAsia="es-CR"/>
        </w:rPr>
        <w:t>Maquín</w:t>
      </w:r>
      <w:proofErr w:type="spellEnd"/>
      <w:r w:rsidR="00D2259F">
        <w:rPr>
          <w:rFonts w:ascii="Verdana" w:eastAsia="Calibri" w:hAnsi="Verdana" w:cs="Times"/>
          <w:color w:val="1A1A1A"/>
          <w:sz w:val="20"/>
          <w:szCs w:val="20"/>
          <w:lang w:eastAsia="es-CR"/>
        </w:rPr>
        <w:t xml:space="preserve"> </w:t>
      </w:r>
      <w:proofErr w:type="spellStart"/>
      <w:r w:rsidR="00D2259F">
        <w:rPr>
          <w:rFonts w:ascii="Verdana" w:eastAsia="Calibri" w:hAnsi="Verdana" w:cs="Times"/>
          <w:color w:val="1A1A1A"/>
          <w:sz w:val="20"/>
          <w:szCs w:val="20"/>
          <w:lang w:eastAsia="es-CR"/>
        </w:rPr>
        <w:t>Quip</w:t>
      </w:r>
      <w:proofErr w:type="spellEnd"/>
      <w:r w:rsidRPr="00873FEC">
        <w:rPr>
          <w:rFonts w:ascii="Verdana" w:eastAsia="Calibri" w:hAnsi="Verdana" w:cs="Times"/>
          <w:color w:val="1A1A1A"/>
          <w:sz w:val="20"/>
          <w:szCs w:val="20"/>
          <w:lang w:eastAsia="es-CR"/>
        </w:rPr>
        <w:t>, Gerardo Maldonado Sales y Rosendo Morales Ortiz, se adujo la violación tanto a su derecho a la vida como a su derecho a la integridad personal, pues resultaron heridos y luego murieron. No obstante, no resulta acreditado que las causas de sus muertes, producidas no menos de ocho años después de los hechos, tuvieran un nexo causal con las heridas sufridas</w:t>
      </w:r>
      <w:r w:rsidRPr="00873FEC">
        <w:rPr>
          <w:rFonts w:ascii="Verdana" w:eastAsia="Calibri" w:hAnsi="Verdana" w:cs="Times New Roman"/>
          <w:color w:val="1A1A1A"/>
          <w:szCs w:val="20"/>
          <w:vertAlign w:val="superscript"/>
          <w:lang w:eastAsia="x-none"/>
        </w:rPr>
        <w:footnoteReference w:id="172"/>
      </w:r>
      <w:r w:rsidRPr="00873FEC">
        <w:rPr>
          <w:rFonts w:ascii="Verdana" w:eastAsia="Calibri" w:hAnsi="Verdana" w:cs="Times"/>
          <w:color w:val="1A1A1A"/>
          <w:sz w:val="20"/>
          <w:szCs w:val="20"/>
          <w:lang w:eastAsia="es-CR"/>
        </w:rPr>
        <w:t xml:space="preserve">. </w:t>
      </w:r>
      <w:bookmarkStart w:id="171" w:name="_Toc520207604"/>
      <w:bookmarkEnd w:id="171"/>
    </w:p>
    <w:p w:rsidR="00467331" w:rsidRPr="00873FEC" w:rsidRDefault="00467331" w:rsidP="00126E97">
      <w:pPr>
        <w:spacing w:after="0" w:line="20" w:lineRule="atLeast"/>
        <w:jc w:val="both"/>
        <w:rPr>
          <w:rFonts w:ascii="Verdana" w:eastAsia="Batang" w:hAnsi="Verdana" w:cs="Times New Roman"/>
          <w:sz w:val="20"/>
          <w:szCs w:val="20"/>
          <w:lang w:val="es-CR" w:eastAsia="es-CR"/>
        </w:rPr>
      </w:pPr>
    </w:p>
    <w:p w:rsidR="00467331" w:rsidRPr="00873FEC" w:rsidRDefault="00467331" w:rsidP="00126E97">
      <w:pPr>
        <w:pStyle w:val="Heading3"/>
        <w:spacing w:before="0" w:line="20" w:lineRule="atLeast"/>
        <w:ind w:left="567"/>
        <w:jc w:val="both"/>
        <w:rPr>
          <w:rFonts w:ascii="Verdana" w:eastAsia="Batang" w:hAnsi="Verdana" w:cs="Times New Roman"/>
          <w:b w:val="0"/>
          <w:i/>
          <w:color w:val="auto"/>
          <w:sz w:val="20"/>
          <w:szCs w:val="20"/>
          <w:lang w:val="es-CR" w:eastAsia="es-CR"/>
        </w:rPr>
      </w:pPr>
      <w:bookmarkStart w:id="172" w:name="_Toc525201182"/>
      <w:r w:rsidRPr="00873FEC">
        <w:rPr>
          <w:rFonts w:ascii="Verdana" w:eastAsia="Batang" w:hAnsi="Verdana" w:cs="Times New Roman"/>
          <w:b w:val="0"/>
          <w:i/>
          <w:color w:val="auto"/>
          <w:sz w:val="20"/>
          <w:szCs w:val="20"/>
          <w:lang w:val="es-CR" w:eastAsia="es-CR"/>
        </w:rPr>
        <w:t xml:space="preserve">B.3. </w:t>
      </w:r>
      <w:r w:rsidRPr="00873FEC">
        <w:rPr>
          <w:rFonts w:ascii="Verdana" w:eastAsia="Batang" w:hAnsi="Verdana" w:cs="Times New Roman"/>
          <w:b w:val="0"/>
          <w:i/>
          <w:color w:val="auto"/>
          <w:sz w:val="20"/>
          <w:szCs w:val="20"/>
          <w:u w:val="single"/>
          <w:lang w:val="es-CR" w:eastAsia="es-CR"/>
        </w:rPr>
        <w:t>Derechos del niño</w:t>
      </w:r>
      <w:bookmarkEnd w:id="172"/>
    </w:p>
    <w:p w:rsidR="00467331" w:rsidRPr="00873FEC" w:rsidRDefault="00467331" w:rsidP="00126E97">
      <w:pPr>
        <w:spacing w:after="0" w:line="20" w:lineRule="atLeast"/>
        <w:jc w:val="both"/>
        <w:rPr>
          <w:rFonts w:ascii="Verdana" w:eastAsia="Batang" w:hAnsi="Verdana" w:cs="Times New Roman"/>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New Roman"/>
          <w:sz w:val="20"/>
          <w:szCs w:val="20"/>
          <w:lang w:val="es-CR" w:eastAsia="es-CR"/>
        </w:rPr>
        <w:t>Sentado lo anterior, debe examinarse la alegación sobre violaciones a los derechos del niño. El Tribunal ha destacado que de las obligaciones generales de respetar y garantizar los derechos derivan deberes especiales, respecto a los derechos de niñas o niños, determinables en función de las particulares necesidades de protección del sujeto de derecho, ya sea por su condición personal o por la situación específica en que se encuentre</w:t>
      </w:r>
      <w:r w:rsidRPr="00873FEC">
        <w:rPr>
          <w:rFonts w:ascii="Verdana" w:eastAsia="Calibri" w:hAnsi="Verdana" w:cs="Times New Roman"/>
          <w:sz w:val="20"/>
          <w:szCs w:val="20"/>
          <w:vertAlign w:val="superscript"/>
          <w:lang w:val="es-CR" w:eastAsia="x-none"/>
        </w:rPr>
        <w:footnoteReference w:id="173"/>
      </w:r>
      <w:r w:rsidRPr="00873FEC">
        <w:rPr>
          <w:rFonts w:ascii="Verdana" w:eastAsia="Calibri" w:hAnsi="Verdana" w:cs="Times New Roman"/>
          <w:sz w:val="20"/>
          <w:szCs w:val="20"/>
          <w:lang w:val="es-CR" w:eastAsia="es-CR"/>
        </w:rPr>
        <w:t xml:space="preserve">. </w:t>
      </w:r>
    </w:p>
    <w:p w:rsidR="00467331" w:rsidRPr="00873FEC" w:rsidRDefault="00467331" w:rsidP="00126E97">
      <w:pPr>
        <w:spacing w:line="20" w:lineRule="atLeast"/>
        <w:ind w:left="720"/>
        <w:contextualSpacing/>
        <w:rPr>
          <w:rFonts w:ascii="Calibri" w:eastAsia="Calibri" w:hAnsi="Calibri" w:cs="Times New Roman"/>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New Roman"/>
          <w:sz w:val="20"/>
          <w:szCs w:val="20"/>
          <w:lang w:val="es-CR" w:eastAsia="es-CR"/>
        </w:rPr>
        <w:t xml:space="preserve">Antes de efectuar ese examen en lo que es pertinente para las presuntas víctimas del caso, la Corte considera relevante hacer notar que un niño integraba el batallón militar que ingresó el 5 de octubre de 1995 a la finca </w:t>
      </w:r>
      <w:proofErr w:type="spellStart"/>
      <w:r w:rsidRPr="00873FEC">
        <w:rPr>
          <w:rFonts w:ascii="Verdana" w:eastAsia="Calibri" w:hAnsi="Verdana" w:cs="Times New Roman"/>
          <w:sz w:val="20"/>
          <w:szCs w:val="20"/>
          <w:lang w:val="es-CR" w:eastAsia="es-CR"/>
        </w:rPr>
        <w:t>Xamán</w:t>
      </w:r>
      <w:proofErr w:type="spellEnd"/>
      <w:r w:rsidRPr="00873FEC">
        <w:rPr>
          <w:rFonts w:ascii="Verdana" w:eastAsia="Calibri" w:hAnsi="Verdana" w:cs="Times New Roman"/>
          <w:sz w:val="20"/>
          <w:szCs w:val="20"/>
          <w:lang w:val="es-CR" w:eastAsia="es-CR"/>
        </w:rPr>
        <w:t xml:space="preserve">. Al respecto, la CEH señaló que “[e]l reclutamiento de menores quedó evidenciado durante la masacre de </w:t>
      </w:r>
      <w:proofErr w:type="spellStart"/>
      <w:r w:rsidRPr="00873FEC">
        <w:rPr>
          <w:rFonts w:ascii="Verdana" w:eastAsia="Calibri" w:hAnsi="Verdana" w:cs="Times New Roman"/>
          <w:sz w:val="20"/>
          <w:szCs w:val="20"/>
          <w:lang w:val="es-CR" w:eastAsia="es-CR"/>
        </w:rPr>
        <w:t>Xamán</w:t>
      </w:r>
      <w:proofErr w:type="spellEnd"/>
      <w:r w:rsidRPr="00873FEC">
        <w:rPr>
          <w:rFonts w:ascii="Verdana" w:eastAsia="Calibri" w:hAnsi="Verdana" w:cs="Times New Roman"/>
          <w:sz w:val="20"/>
          <w:szCs w:val="20"/>
          <w:lang w:val="es-CR" w:eastAsia="es-CR"/>
        </w:rPr>
        <w:t xml:space="preserve"> (octubre de 1995), en la cual participaron 26 miembros del Ejército, entre ellos un adolescente de 16 años que se encontraba prestando servicio en el destacamento militar de </w:t>
      </w:r>
      <w:proofErr w:type="spellStart"/>
      <w:r w:rsidRPr="00873FEC">
        <w:rPr>
          <w:rFonts w:ascii="Verdana" w:eastAsia="Calibri" w:hAnsi="Verdana" w:cs="Times New Roman"/>
          <w:sz w:val="20"/>
          <w:szCs w:val="20"/>
          <w:lang w:val="es-CR" w:eastAsia="es-CR"/>
        </w:rPr>
        <w:t>Rubelsanto</w:t>
      </w:r>
      <w:proofErr w:type="spellEnd"/>
      <w:r w:rsidRPr="00873FEC">
        <w:rPr>
          <w:rFonts w:ascii="Verdana" w:eastAsia="Calibri" w:hAnsi="Verdana" w:cs="Times New Roman"/>
          <w:sz w:val="20"/>
          <w:szCs w:val="20"/>
          <w:lang w:val="es-CR" w:eastAsia="es-CR"/>
        </w:rPr>
        <w:t>”</w:t>
      </w:r>
      <w:r w:rsidRPr="00873FEC">
        <w:rPr>
          <w:rFonts w:ascii="Verdana" w:eastAsia="Calibri" w:hAnsi="Verdana" w:cs="Times New Roman"/>
          <w:sz w:val="20"/>
          <w:szCs w:val="20"/>
          <w:vertAlign w:val="superscript"/>
          <w:lang w:val="es-CR" w:eastAsia="es-CR"/>
        </w:rPr>
        <w:footnoteReference w:id="174"/>
      </w:r>
      <w:r w:rsidRPr="00873FEC">
        <w:rPr>
          <w:rFonts w:ascii="Verdana" w:eastAsia="Calibri" w:hAnsi="Verdana" w:cs="Times New Roman"/>
          <w:sz w:val="20"/>
          <w:szCs w:val="20"/>
          <w:lang w:val="es-CR" w:eastAsia="es-CR"/>
        </w:rPr>
        <w:t xml:space="preserve">. Dicho niño no es una de las presuntas víctimas en el caso, y la Corte no puede examinar su situación. Sin perjuicio de ello, </w:t>
      </w:r>
      <w:r w:rsidRPr="00873FEC">
        <w:rPr>
          <w:rFonts w:ascii="Verdana" w:eastAsia="Calibri" w:hAnsi="Verdana" w:cs="Times New Roman"/>
          <w:sz w:val="20"/>
          <w:szCs w:val="20"/>
          <w:lang w:val="es-CR" w:eastAsia="es-CR"/>
        </w:rPr>
        <w:lastRenderedPageBreak/>
        <w:t xml:space="preserve">este Tribunal reitera que </w:t>
      </w:r>
      <w:r w:rsidRPr="00873FEC">
        <w:rPr>
          <w:rFonts w:ascii="Verdana" w:hAnsi="Verdana" w:cs="Verdana"/>
          <w:sz w:val="20"/>
          <w:szCs w:val="20"/>
          <w:lang w:val="es-CR"/>
        </w:rPr>
        <w:t>el derecho internacional de los derechos humanos exige la imposición de restricciones al reclutamiento de niños en las fuerzas armadas</w:t>
      </w:r>
      <w:r w:rsidRPr="00873FEC">
        <w:rPr>
          <w:rFonts w:ascii="Verdana" w:hAnsi="Verdana" w:cs="Times New Roman"/>
          <w:sz w:val="20"/>
          <w:szCs w:val="20"/>
          <w:vertAlign w:val="superscript"/>
          <w:lang w:val="es-CR"/>
        </w:rPr>
        <w:footnoteReference w:id="175"/>
      </w:r>
      <w:r w:rsidRPr="00873FEC">
        <w:rPr>
          <w:rFonts w:ascii="Verdana" w:hAnsi="Verdana" w:cs="Verdana"/>
          <w:sz w:val="20"/>
          <w:szCs w:val="20"/>
          <w:lang w:val="es-CR"/>
        </w:rPr>
        <w:t xml:space="preserve">. </w:t>
      </w:r>
    </w:p>
    <w:p w:rsidR="00467331" w:rsidRPr="00873FEC" w:rsidRDefault="00467331" w:rsidP="00126E97">
      <w:pPr>
        <w:spacing w:line="20" w:lineRule="atLeast"/>
        <w:ind w:left="720"/>
        <w:contextualSpacing/>
        <w:rPr>
          <w:rFonts w:ascii="Calibri" w:eastAsia="Calibri" w:hAnsi="Calibri" w:cs="Times New Roman"/>
          <w:b/>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New Roman"/>
          <w:sz w:val="20"/>
          <w:szCs w:val="20"/>
          <w:lang w:val="es-CR" w:eastAsia="es-CR"/>
        </w:rPr>
        <w:t>Ahora bien, en relación con las presuntas víctimas de este caso, la Corte recuerda que</w:t>
      </w:r>
      <w:r w:rsidRPr="00873FEC">
        <w:rPr>
          <w:rFonts w:ascii="Verdana" w:eastAsia="Calibri" w:hAnsi="Verdana" w:cs="Times New Roman"/>
          <w:b/>
          <w:sz w:val="20"/>
          <w:szCs w:val="20"/>
          <w:lang w:val="es-CR" w:eastAsia="es-CR"/>
        </w:rPr>
        <w:t xml:space="preserve"> </w:t>
      </w:r>
      <w:r w:rsidRPr="00873FEC">
        <w:rPr>
          <w:rFonts w:ascii="Verdana" w:eastAsia="Calibri" w:hAnsi="Verdana" w:cs="Times New Roman"/>
          <w:sz w:val="20"/>
          <w:szCs w:val="20"/>
          <w:lang w:val="es-CR" w:eastAsia="es-CR"/>
        </w:rPr>
        <w:t>ha señalado que “revisten especial gravedad los casos en los cuales las víctimas de violaciones a los derechos humanos son niñas y niños”</w:t>
      </w:r>
      <w:r w:rsidRPr="00873FEC">
        <w:rPr>
          <w:rFonts w:ascii="Verdana" w:eastAsia="Calibri" w:hAnsi="Verdana" w:cs="Times New Roman"/>
          <w:sz w:val="20"/>
          <w:szCs w:val="20"/>
          <w:vertAlign w:val="superscript"/>
          <w:lang w:val="es-CR" w:eastAsia="es-CR"/>
        </w:rPr>
        <w:footnoteReference w:id="176"/>
      </w:r>
      <w:r w:rsidRPr="00873FEC">
        <w:rPr>
          <w:rFonts w:ascii="Verdana" w:eastAsia="Calibri" w:hAnsi="Verdana" w:cs="Times New Roman"/>
          <w:sz w:val="20"/>
          <w:szCs w:val="20"/>
          <w:lang w:val="es-CR" w:eastAsia="es-CR"/>
        </w:rPr>
        <w:t>. Este Tribunal, al examinar circunstancias en que hubo un agresión de fuerzas militares respecto a un grupo de personas, ha señalado “la especial vulnerabilidad” de niños y niñas “se hace aún más evidente […] pues [tales personas] son l[a]s menos preparad[a]s para adaptarse o responder a dicha situación y, […] son quienes padecen sus excesos de forma desmesurada”</w:t>
      </w:r>
      <w:r w:rsidRPr="00873FEC">
        <w:rPr>
          <w:rFonts w:ascii="Verdana" w:eastAsia="Calibri" w:hAnsi="Verdana" w:cs="Times New Roman"/>
          <w:sz w:val="20"/>
          <w:szCs w:val="20"/>
          <w:vertAlign w:val="superscript"/>
          <w:lang w:val="es-CR" w:eastAsia="es-CR"/>
        </w:rPr>
        <w:footnoteReference w:id="177"/>
      </w:r>
      <w:r w:rsidRPr="00873FEC">
        <w:rPr>
          <w:rFonts w:ascii="Verdana" w:eastAsia="Calibri" w:hAnsi="Verdana" w:cs="Times New Roman"/>
          <w:sz w:val="20"/>
          <w:szCs w:val="20"/>
          <w:lang w:val="es-CR" w:eastAsia="es-CR"/>
        </w:rPr>
        <w:t>. La Corte considera que</w:t>
      </w:r>
      <w:r w:rsidR="00900FA6">
        <w:rPr>
          <w:rFonts w:ascii="Verdana" w:eastAsia="Calibri" w:hAnsi="Verdana" w:cs="Times New Roman"/>
          <w:sz w:val="20"/>
          <w:szCs w:val="20"/>
          <w:lang w:val="es-CR" w:eastAsia="es-CR"/>
        </w:rPr>
        <w:t>,</w:t>
      </w:r>
      <w:r w:rsidRPr="00873FEC">
        <w:rPr>
          <w:rFonts w:ascii="Verdana" w:eastAsia="Calibri" w:hAnsi="Verdana" w:cs="Times New Roman"/>
          <w:sz w:val="20"/>
          <w:szCs w:val="20"/>
          <w:lang w:val="es-CR" w:eastAsia="es-CR"/>
        </w:rPr>
        <w:t xml:space="preserve"> por las características del hecho aquí analizado, esa consideración resulta pertinente</w:t>
      </w:r>
      <w:r w:rsidRPr="00873FEC">
        <w:rPr>
          <w:rFonts w:ascii="Verdana" w:eastAsia="Calibri" w:hAnsi="Verdana" w:cs="Times New Roman"/>
          <w:sz w:val="20"/>
          <w:szCs w:val="20"/>
          <w:vertAlign w:val="superscript"/>
          <w:lang w:val="es-CR" w:eastAsia="es-CR"/>
        </w:rPr>
        <w:footnoteReference w:id="178"/>
      </w:r>
      <w:r w:rsidRPr="00873FEC">
        <w:rPr>
          <w:rFonts w:ascii="Verdana" w:eastAsia="Calibri" w:hAnsi="Verdana" w:cs="Times New Roman"/>
          <w:sz w:val="20"/>
          <w:szCs w:val="20"/>
          <w:lang w:val="es-CR" w:eastAsia="es-CR"/>
        </w:rPr>
        <w:t>. Por ello, dada la especial gravedad que tiene la agresión directa a niños o niñas por parte de agentes estatales, en e</w:t>
      </w:r>
      <w:r w:rsidR="00900FA6">
        <w:rPr>
          <w:rFonts w:ascii="Verdana" w:eastAsia="Calibri" w:hAnsi="Verdana" w:cs="Times New Roman"/>
          <w:sz w:val="20"/>
          <w:szCs w:val="20"/>
          <w:lang w:val="es-CR" w:eastAsia="es-CR"/>
        </w:rPr>
        <w:t>ste</w:t>
      </w:r>
      <w:r w:rsidRPr="00873FEC">
        <w:rPr>
          <w:rFonts w:ascii="Verdana" w:eastAsia="Calibri" w:hAnsi="Verdana" w:cs="Times New Roman"/>
          <w:sz w:val="20"/>
          <w:szCs w:val="20"/>
          <w:lang w:val="es-CR" w:eastAsia="es-CR"/>
        </w:rPr>
        <w:t xml:space="preserve"> caso la Corte determina que Guatemala </w:t>
      </w:r>
      <w:r w:rsidRPr="00873FEC">
        <w:rPr>
          <w:rFonts w:ascii="Verdana" w:eastAsia="Calibri" w:hAnsi="Verdana" w:cs="Times"/>
          <w:sz w:val="20"/>
          <w:szCs w:val="20"/>
          <w:lang w:val="es-CR" w:eastAsia="es-CR"/>
        </w:rPr>
        <w:t xml:space="preserve">incumplió con su deber de protección de las niñas y niños, y </w:t>
      </w:r>
      <w:r w:rsidRPr="00873FEC">
        <w:rPr>
          <w:rFonts w:ascii="Verdana" w:eastAsia="Calibri" w:hAnsi="Verdana" w:cs="Times New Roman"/>
          <w:sz w:val="20"/>
          <w:szCs w:val="20"/>
          <w:lang w:val="es-CR" w:eastAsia="es-CR"/>
        </w:rPr>
        <w:t xml:space="preserve">vulneró los derechos de la niña y los dos niños que fallecieron en las circunstancias de la masacre. </w:t>
      </w:r>
    </w:p>
    <w:p w:rsidR="00126E97" w:rsidRPr="00873FEC" w:rsidRDefault="00126E97" w:rsidP="00126E97">
      <w:pPr>
        <w:spacing w:after="0" w:line="20" w:lineRule="atLeast"/>
        <w:ind w:left="720"/>
        <w:contextualSpacing/>
        <w:rPr>
          <w:rFonts w:ascii="Verdana" w:eastAsia="Calibri" w:hAnsi="Verdana" w:cs="Times"/>
          <w:color w:val="1A1A1A"/>
          <w:sz w:val="20"/>
          <w:szCs w:val="20"/>
          <w:lang w:eastAsia="es-CR"/>
        </w:rPr>
      </w:pPr>
    </w:p>
    <w:p w:rsidR="00467331" w:rsidRPr="00873FEC" w:rsidRDefault="00467331" w:rsidP="00126E97">
      <w:pPr>
        <w:pStyle w:val="Heading3"/>
        <w:spacing w:before="0" w:line="20" w:lineRule="atLeast"/>
        <w:ind w:left="567"/>
        <w:jc w:val="both"/>
        <w:rPr>
          <w:rFonts w:ascii="Verdana" w:eastAsia="Calibri" w:hAnsi="Verdana" w:cs="Times"/>
          <w:b w:val="0"/>
          <w:i/>
          <w:color w:val="auto"/>
          <w:sz w:val="20"/>
          <w:szCs w:val="20"/>
          <w:lang w:eastAsia="es-CR"/>
        </w:rPr>
      </w:pPr>
      <w:bookmarkStart w:id="173" w:name="_Toc525201183"/>
      <w:r w:rsidRPr="00873FEC">
        <w:rPr>
          <w:rFonts w:ascii="Verdana" w:eastAsia="Calibri" w:hAnsi="Verdana" w:cs="Times"/>
          <w:b w:val="0"/>
          <w:i/>
          <w:color w:val="auto"/>
          <w:sz w:val="20"/>
          <w:szCs w:val="20"/>
          <w:lang w:eastAsia="es-CR"/>
        </w:rPr>
        <w:t xml:space="preserve">B.4. </w:t>
      </w:r>
      <w:r w:rsidRPr="00873FEC">
        <w:rPr>
          <w:rFonts w:ascii="Verdana" w:eastAsia="Calibri" w:hAnsi="Verdana" w:cs="Times"/>
          <w:b w:val="0"/>
          <w:i/>
          <w:color w:val="auto"/>
          <w:sz w:val="20"/>
          <w:szCs w:val="20"/>
          <w:u w:val="single"/>
          <w:lang w:eastAsia="es-CR"/>
        </w:rPr>
        <w:t>Obligación de respetar los derechos sin discriminación</w:t>
      </w:r>
      <w:bookmarkEnd w:id="173"/>
    </w:p>
    <w:p w:rsidR="00467331" w:rsidRPr="00873FEC" w:rsidRDefault="00467331" w:rsidP="00126E97">
      <w:pPr>
        <w:spacing w:after="0" w:line="20" w:lineRule="atLeast"/>
        <w:ind w:left="720"/>
        <w:contextualSpacing/>
        <w:rPr>
          <w:rFonts w:ascii="Verdana" w:eastAsia="Calibri" w:hAnsi="Verdana" w:cs="Times"/>
          <w:color w:val="1A1A1A"/>
          <w:sz w:val="20"/>
          <w:szCs w:val="20"/>
          <w:lang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w:color w:val="1A1A1A"/>
          <w:sz w:val="20"/>
          <w:szCs w:val="20"/>
          <w:lang w:eastAsia="es-CR"/>
        </w:rPr>
        <w:t>Sentado lo expuesto, debe ahora examinarse si las violaciones a derechos ya declaradas resultan, a su vez, un incumplimiento del de</w:t>
      </w:r>
      <w:r w:rsidR="00900FA6">
        <w:rPr>
          <w:rFonts w:ascii="Verdana" w:eastAsia="Calibri" w:hAnsi="Verdana" w:cs="Times"/>
          <w:color w:val="1A1A1A"/>
          <w:sz w:val="20"/>
          <w:szCs w:val="20"/>
          <w:lang w:eastAsia="es-CR"/>
        </w:rPr>
        <w:t>ber de no discriminación regulado</w:t>
      </w:r>
      <w:r w:rsidRPr="00873FEC">
        <w:rPr>
          <w:rFonts w:ascii="Verdana" w:eastAsia="Calibri" w:hAnsi="Verdana" w:cs="Times"/>
          <w:color w:val="1A1A1A"/>
          <w:sz w:val="20"/>
          <w:szCs w:val="20"/>
          <w:lang w:eastAsia="es-CR"/>
        </w:rPr>
        <w:t xml:space="preserve"> en el artículo 1.1 de la Convención. </w:t>
      </w:r>
    </w:p>
    <w:p w:rsidR="00467331" w:rsidRPr="00873FEC" w:rsidRDefault="00467331" w:rsidP="00126E97">
      <w:pPr>
        <w:spacing w:after="0" w:line="20" w:lineRule="atLeast"/>
        <w:contextualSpacing/>
        <w:jc w:val="both"/>
        <w:rPr>
          <w:rFonts w:ascii="Verdana" w:eastAsia="Calibri" w:hAnsi="Verdana" w:cs="Times"/>
          <w:color w:val="1A1A1A"/>
          <w:sz w:val="20"/>
          <w:szCs w:val="20"/>
          <w:lang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Times New Roman" w:hAnsi="Verdana" w:cs="Times New Roman"/>
          <w:bCs/>
          <w:color w:val="000000"/>
          <w:sz w:val="20"/>
          <w:szCs w:val="20"/>
          <w:lang w:val="es-CR" w:eastAsia="es-CR"/>
        </w:rPr>
        <w:t xml:space="preserve">Al respecto, en primer término, este Tribunal rechaza el argumento del Estado consistente en </w:t>
      </w:r>
      <w:r w:rsidR="00900FA6">
        <w:rPr>
          <w:rFonts w:ascii="Verdana" w:eastAsia="Times New Roman" w:hAnsi="Verdana" w:cs="Times New Roman"/>
          <w:bCs/>
          <w:color w:val="000000"/>
          <w:sz w:val="20"/>
          <w:szCs w:val="20"/>
          <w:lang w:val="es-CR" w:eastAsia="es-CR"/>
        </w:rPr>
        <w:t xml:space="preserve">que </w:t>
      </w:r>
      <w:r w:rsidRPr="00873FEC">
        <w:rPr>
          <w:rFonts w:ascii="Verdana" w:eastAsia="Times New Roman" w:hAnsi="Verdana" w:cs="Times New Roman"/>
          <w:bCs/>
          <w:color w:val="000000"/>
          <w:sz w:val="20"/>
          <w:szCs w:val="20"/>
          <w:lang w:val="es-CR" w:eastAsia="es-CR"/>
        </w:rPr>
        <w:t>no podría haber discriminación</w:t>
      </w:r>
      <w:r w:rsidR="00900FA6">
        <w:rPr>
          <w:rFonts w:ascii="Verdana" w:eastAsia="Times New Roman" w:hAnsi="Verdana" w:cs="Times New Roman"/>
          <w:bCs/>
          <w:color w:val="000000"/>
          <w:sz w:val="20"/>
          <w:szCs w:val="20"/>
          <w:lang w:val="es-CR" w:eastAsia="es-CR"/>
        </w:rPr>
        <w:t>,</w:t>
      </w:r>
      <w:r w:rsidRPr="00873FEC">
        <w:rPr>
          <w:rFonts w:ascii="Verdana" w:eastAsia="Times New Roman" w:hAnsi="Verdana" w:cs="Times New Roman"/>
          <w:bCs/>
          <w:color w:val="000000"/>
          <w:sz w:val="20"/>
          <w:szCs w:val="20"/>
          <w:lang w:val="es-CR" w:eastAsia="es-CR"/>
        </w:rPr>
        <w:t xml:space="preserve"> dado que algunos soldados tenían ascendencia indígena</w:t>
      </w:r>
      <w:r w:rsidRPr="00873FEC">
        <w:rPr>
          <w:rFonts w:ascii="Verdana" w:eastAsia="Batang" w:hAnsi="Verdana" w:cs="Times New Roman"/>
          <w:bCs/>
          <w:color w:val="000000"/>
          <w:sz w:val="20"/>
          <w:szCs w:val="20"/>
          <w:vertAlign w:val="superscript"/>
          <w:lang w:val="es-CR" w:eastAsia="x-none"/>
        </w:rPr>
        <w:footnoteReference w:id="179"/>
      </w:r>
      <w:r w:rsidRPr="00873FEC">
        <w:rPr>
          <w:rFonts w:ascii="Verdana" w:eastAsia="Times New Roman" w:hAnsi="Verdana" w:cs="Times New Roman"/>
          <w:bCs/>
          <w:color w:val="000000"/>
          <w:sz w:val="20"/>
          <w:szCs w:val="20"/>
          <w:lang w:val="es-CR" w:eastAsia="es-CR"/>
        </w:rPr>
        <w:t xml:space="preserve">. </w:t>
      </w:r>
      <w:r w:rsidR="009975A3">
        <w:rPr>
          <w:rFonts w:ascii="Verdana" w:eastAsia="Times New Roman" w:hAnsi="Verdana" w:cs="Times New Roman"/>
          <w:bCs/>
          <w:color w:val="000000"/>
          <w:sz w:val="20"/>
          <w:szCs w:val="20"/>
          <w:lang w:val="es-CR" w:eastAsia="es-CR"/>
        </w:rPr>
        <w:t>E</w:t>
      </w:r>
      <w:r w:rsidRPr="00873FEC">
        <w:rPr>
          <w:rFonts w:ascii="Verdana" w:eastAsia="Times New Roman" w:hAnsi="Verdana" w:cs="Times New Roman"/>
          <w:bCs/>
          <w:color w:val="000000"/>
          <w:sz w:val="20"/>
          <w:szCs w:val="20"/>
          <w:lang w:val="es-CR" w:eastAsia="es-CR"/>
        </w:rPr>
        <w:t>sa circunstancia no exime por sí mi</w:t>
      </w:r>
      <w:r w:rsidR="009F258B" w:rsidRPr="00873FEC">
        <w:rPr>
          <w:rFonts w:ascii="Verdana" w:eastAsia="Times New Roman" w:hAnsi="Verdana" w:cs="Times New Roman"/>
          <w:bCs/>
          <w:color w:val="000000"/>
          <w:sz w:val="20"/>
          <w:szCs w:val="20"/>
          <w:lang w:val="es-CR" w:eastAsia="es-CR"/>
        </w:rPr>
        <w:t>s</w:t>
      </w:r>
      <w:r w:rsidRPr="00873FEC">
        <w:rPr>
          <w:rFonts w:ascii="Verdana" w:eastAsia="Times New Roman" w:hAnsi="Verdana" w:cs="Times New Roman"/>
          <w:bCs/>
          <w:color w:val="000000"/>
          <w:sz w:val="20"/>
          <w:szCs w:val="20"/>
          <w:lang w:val="es-CR" w:eastAsia="es-CR"/>
        </w:rPr>
        <w:t xml:space="preserve">ma la posibilidad de que la actuación estatal en un hecho, como la masacre sucedida, pueda relacionarse con un contexto de violencia y discriminación contra pueblos indígenas. Por otra parte, la pertenencia o relación de una determinada persona con un colectivo identificable por ciertas características, como puede ser el origen indígena de algunos soldados, no obsta a que la persona en cuestión pueda actuar contra personas pertenecientes a ese grupo a causa de dicha pertenencia. </w:t>
      </w:r>
    </w:p>
    <w:p w:rsidR="00467331" w:rsidRPr="00873FEC" w:rsidRDefault="00467331" w:rsidP="00126E97">
      <w:pPr>
        <w:spacing w:after="0" w:line="20" w:lineRule="atLeast"/>
        <w:ind w:left="720"/>
        <w:contextualSpacing/>
        <w:rPr>
          <w:rFonts w:ascii="Verdana" w:eastAsia="Calibri" w:hAnsi="Verdana" w:cs="Times"/>
          <w:b/>
          <w:sz w:val="20"/>
          <w:szCs w:val="20"/>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Times New Roman" w:hAnsi="Verdana" w:cs="Times New Roman"/>
          <w:color w:val="000000"/>
          <w:sz w:val="20"/>
          <w:szCs w:val="20"/>
          <w:lang w:val="es-CR" w:eastAsia="es-CR"/>
        </w:rPr>
        <w:t>Cabe recordar que la Corte ha advertido que</w:t>
      </w:r>
      <w:r w:rsidR="00C66AF3">
        <w:rPr>
          <w:rFonts w:ascii="Verdana" w:eastAsia="Times New Roman" w:hAnsi="Verdana" w:cs="Times New Roman"/>
          <w:color w:val="000000"/>
          <w:sz w:val="20"/>
          <w:szCs w:val="20"/>
          <w:lang w:val="es-CR" w:eastAsia="es-CR"/>
        </w:rPr>
        <w:t>,</w:t>
      </w:r>
      <w:r w:rsidRPr="00873FEC">
        <w:rPr>
          <w:rFonts w:ascii="Verdana" w:eastAsia="Times New Roman" w:hAnsi="Verdana" w:cs="Times New Roman"/>
          <w:color w:val="000000"/>
          <w:sz w:val="20"/>
          <w:szCs w:val="20"/>
          <w:lang w:val="es-CR" w:eastAsia="es-CR"/>
        </w:rPr>
        <w:t xml:space="preserve"> </w:t>
      </w:r>
    </w:p>
    <w:p w:rsidR="00467331" w:rsidRPr="00873FEC" w:rsidRDefault="00467331" w:rsidP="00126E97">
      <w:pPr>
        <w:spacing w:after="0" w:line="20" w:lineRule="atLeast"/>
        <w:ind w:left="567" w:right="616"/>
        <w:jc w:val="both"/>
        <w:rPr>
          <w:rFonts w:ascii="Verdana" w:eastAsia="Calibri" w:hAnsi="Verdana" w:cs="Verdana"/>
          <w:color w:val="000000"/>
          <w:sz w:val="16"/>
          <w:szCs w:val="16"/>
          <w:lang w:val="es-CR" w:eastAsia="es-CR"/>
        </w:rPr>
      </w:pPr>
    </w:p>
    <w:p w:rsidR="00467331" w:rsidRPr="00873FEC" w:rsidRDefault="00467331" w:rsidP="00126E97">
      <w:pPr>
        <w:spacing w:after="0" w:line="20" w:lineRule="atLeast"/>
        <w:ind w:left="567" w:right="616"/>
        <w:jc w:val="both"/>
        <w:rPr>
          <w:rFonts w:ascii="Verdana" w:eastAsia="Calibri" w:hAnsi="Verdana" w:cs="Verdana"/>
          <w:color w:val="000000"/>
          <w:sz w:val="16"/>
          <w:szCs w:val="16"/>
          <w:lang w:val="es-CR" w:eastAsia="es-CR"/>
        </w:rPr>
      </w:pPr>
      <w:proofErr w:type="gramStart"/>
      <w:r w:rsidRPr="00873FEC">
        <w:rPr>
          <w:rFonts w:ascii="Verdana" w:eastAsia="Calibri" w:hAnsi="Verdana" w:cs="Verdana"/>
          <w:color w:val="000000"/>
          <w:sz w:val="16"/>
          <w:szCs w:val="16"/>
          <w:lang w:val="es-CR" w:eastAsia="es-CR"/>
        </w:rPr>
        <w:t>bajo</w:t>
      </w:r>
      <w:proofErr w:type="gramEnd"/>
      <w:r w:rsidRPr="00873FEC">
        <w:rPr>
          <w:rFonts w:ascii="Verdana" w:eastAsia="Calibri" w:hAnsi="Verdana" w:cs="Verdana"/>
          <w:color w:val="000000"/>
          <w:sz w:val="16"/>
          <w:szCs w:val="16"/>
          <w:lang w:val="es-CR" w:eastAsia="es-CR"/>
        </w:rPr>
        <w:t xml:space="preserve"> la “Doctrina de Seguridad Nacional” (1978-1983), el Ejército identificó, entre otros, a los miembros del pueblo indígena maya como “enemigo interno”, por considerar que constituían o podían constituir la base social de la guerrilla […]. Como ya se señaló, en su Informe Final de junio 1999, la CEH explicó que la identificación entre las comunidades mayas y la insurgencia, y la saña e indiscriminación con que se realizaban las “operaciones militares contra centenares de comunidades mayas en el occidente y noroccidente del país, en particular entre 1981 y 1983”, se apoyó en tradicionales prejuicios racistas</w:t>
      </w:r>
      <w:r w:rsidRPr="00873FEC">
        <w:rPr>
          <w:rFonts w:ascii="Verdana" w:eastAsia="Calibri" w:hAnsi="Verdana" w:cs="Times New Roman"/>
          <w:color w:val="000000"/>
          <w:sz w:val="16"/>
          <w:szCs w:val="20"/>
          <w:vertAlign w:val="superscript"/>
          <w:lang w:val="es-CR" w:eastAsia="es-CR"/>
        </w:rPr>
        <w:footnoteReference w:id="180"/>
      </w:r>
      <w:r w:rsidRPr="00873FEC">
        <w:rPr>
          <w:rFonts w:ascii="Verdana" w:eastAsia="Calibri" w:hAnsi="Verdana" w:cs="Verdana"/>
          <w:color w:val="000000"/>
          <w:sz w:val="16"/>
          <w:szCs w:val="16"/>
          <w:lang w:val="es-CR" w:eastAsia="es-CR"/>
        </w:rPr>
        <w:t xml:space="preserve">. </w:t>
      </w:r>
    </w:p>
    <w:p w:rsidR="00467331" w:rsidRPr="00873FEC" w:rsidRDefault="00467331" w:rsidP="00126E97">
      <w:pPr>
        <w:spacing w:after="0" w:line="20" w:lineRule="atLeast"/>
        <w:ind w:left="567" w:right="616"/>
        <w:jc w:val="both"/>
        <w:rPr>
          <w:rFonts w:ascii="Verdana" w:eastAsia="Calibri" w:hAnsi="Verdana" w:cs="Verdana"/>
          <w:b/>
          <w:color w:val="000000"/>
          <w:sz w:val="16"/>
          <w:szCs w:val="16"/>
          <w:lang w:val="es-CR" w:eastAsia="es-CR"/>
        </w:rPr>
      </w:pPr>
    </w:p>
    <w:p w:rsidR="00467331" w:rsidRPr="00873FEC" w:rsidRDefault="00467331"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Times New Roman" w:hAnsi="Verdana" w:cs="Times New Roman"/>
          <w:color w:val="000000"/>
          <w:sz w:val="20"/>
          <w:szCs w:val="20"/>
          <w:lang w:val="es-CR" w:eastAsia="es-CR"/>
        </w:rPr>
        <w:t>Ahora bien, el presente caso se enmarca en conflicto armado interno, en el que se produjeron atentados contra personas pertenecientes a población indígena. En ese sentido, si bien no hay elementos que acrediten la planificación de la masacre (</w:t>
      </w:r>
      <w:r w:rsidRPr="00873FEC">
        <w:rPr>
          <w:rFonts w:ascii="Verdana" w:eastAsia="Times New Roman" w:hAnsi="Verdana" w:cs="Times New Roman"/>
          <w:i/>
          <w:color w:val="000000"/>
          <w:sz w:val="20"/>
          <w:szCs w:val="20"/>
          <w:lang w:val="es-CR" w:eastAsia="es-CR"/>
        </w:rPr>
        <w:t>supra</w:t>
      </w:r>
      <w:r w:rsidRPr="00873FEC">
        <w:rPr>
          <w:rFonts w:ascii="Verdana" w:eastAsia="Times New Roman" w:hAnsi="Verdana" w:cs="Times New Roman"/>
          <w:color w:val="000000"/>
          <w:sz w:val="20"/>
          <w:szCs w:val="20"/>
          <w:lang w:val="es-CR" w:eastAsia="es-CR"/>
        </w:rPr>
        <w:t xml:space="preserve"> párr. 85), esto no puede llevar a la Corte a desconocer el vínculo entre los hechos sucedidos y la situación contextual general en la que tuvieron lugar. Sobre ello, ya se ha indicado que el pueblo maya fue el grupo étnico más afectado por las violaciones de derechos humanos cometidas durante el enfrentamiento armado, y que la violencia dirigida contra él se manifestó en distintos tipos de actos, inclusive masacres (s</w:t>
      </w:r>
      <w:r w:rsidRPr="00873FEC">
        <w:rPr>
          <w:rFonts w:ascii="Verdana" w:eastAsia="Times New Roman" w:hAnsi="Verdana" w:cs="Times New Roman"/>
          <w:i/>
          <w:color w:val="000000"/>
          <w:sz w:val="20"/>
          <w:szCs w:val="20"/>
          <w:lang w:val="es-CR" w:eastAsia="es-CR"/>
        </w:rPr>
        <w:t xml:space="preserve">upra </w:t>
      </w:r>
      <w:r w:rsidRPr="00873FEC">
        <w:rPr>
          <w:rFonts w:ascii="Verdana" w:eastAsia="Times New Roman" w:hAnsi="Verdana" w:cs="Times New Roman"/>
          <w:color w:val="000000"/>
          <w:sz w:val="20"/>
          <w:szCs w:val="20"/>
          <w:lang w:val="es-CR" w:eastAsia="es-CR"/>
        </w:rPr>
        <w:t>párr. 29</w:t>
      </w:r>
      <w:r w:rsidRPr="00873FEC">
        <w:rPr>
          <w:rFonts w:ascii="Verdana" w:eastAsia="Times New Roman" w:hAnsi="Verdana" w:cs="Times New Roman"/>
          <w:i/>
          <w:color w:val="000000"/>
          <w:sz w:val="20"/>
          <w:szCs w:val="20"/>
          <w:lang w:val="es-CR" w:eastAsia="es-CR"/>
        </w:rPr>
        <w:t>)</w:t>
      </w:r>
      <w:r w:rsidRPr="00873FEC">
        <w:rPr>
          <w:rFonts w:ascii="Verdana" w:eastAsia="Times New Roman" w:hAnsi="Verdana" w:cs="Times New Roman"/>
          <w:color w:val="000000"/>
          <w:sz w:val="20"/>
          <w:szCs w:val="20"/>
          <w:lang w:val="es-CR" w:eastAsia="es-CR"/>
        </w:rPr>
        <w:t>. Al respecto, si bien los hechos del caso sucedieron en los últimos tiempos del conflicto, la Corte nota que la CEH, en referencia a este caso, concluyó que la conducta de los soldados, al aproximarse a la Comunidad, denotó “</w:t>
      </w:r>
      <w:r w:rsidRPr="00873FEC">
        <w:rPr>
          <w:rFonts w:ascii="Verdana" w:hAnsi="Verdana" w:cs="AGaramond-Regular"/>
          <w:sz w:val="20"/>
          <w:szCs w:val="20"/>
          <w:lang w:val="es-CR"/>
        </w:rPr>
        <w:t>la persistencia, en el pensamiento castrense, de la identificación de [personas] retornadas con guerrilleros”</w:t>
      </w:r>
      <w:r w:rsidRPr="00873FEC">
        <w:rPr>
          <w:rFonts w:ascii="Verdana" w:hAnsi="Verdana" w:cs="Times New Roman"/>
          <w:sz w:val="20"/>
          <w:szCs w:val="20"/>
          <w:vertAlign w:val="superscript"/>
          <w:lang w:val="es-CR"/>
        </w:rPr>
        <w:footnoteReference w:id="181"/>
      </w:r>
      <w:r w:rsidRPr="00873FEC">
        <w:rPr>
          <w:rFonts w:ascii="Verdana" w:hAnsi="Verdana" w:cs="AGaramond-Regular"/>
          <w:sz w:val="20"/>
          <w:szCs w:val="20"/>
          <w:lang w:val="es-CR"/>
        </w:rPr>
        <w:t>. Cabe recordar que</w:t>
      </w:r>
      <w:r w:rsidR="00C66AF3">
        <w:rPr>
          <w:rFonts w:ascii="Verdana" w:hAnsi="Verdana" w:cs="AGaramond-Regular"/>
          <w:sz w:val="20"/>
          <w:szCs w:val="20"/>
          <w:lang w:val="es-CR"/>
        </w:rPr>
        <w:t>,</w:t>
      </w:r>
      <w:r w:rsidRPr="00873FEC">
        <w:rPr>
          <w:rFonts w:ascii="Verdana" w:hAnsi="Verdana" w:cs="AGaramond-Regular"/>
          <w:sz w:val="20"/>
          <w:szCs w:val="20"/>
          <w:lang w:val="es-CR"/>
        </w:rPr>
        <w:t xml:space="preserve"> del contexto establecido (</w:t>
      </w:r>
      <w:r w:rsidRPr="00873FEC">
        <w:rPr>
          <w:rFonts w:ascii="Verdana" w:hAnsi="Verdana" w:cs="AGaramond-Regular"/>
          <w:i/>
          <w:sz w:val="20"/>
          <w:szCs w:val="20"/>
          <w:lang w:val="es-CR"/>
        </w:rPr>
        <w:t>supra</w:t>
      </w:r>
      <w:r w:rsidRPr="00873FEC">
        <w:rPr>
          <w:rFonts w:ascii="Verdana" w:hAnsi="Verdana" w:cs="AGaramond-Regular"/>
          <w:sz w:val="20"/>
          <w:szCs w:val="20"/>
          <w:lang w:val="es-CR"/>
        </w:rPr>
        <w:t xml:space="preserve"> </w:t>
      </w:r>
      <w:proofErr w:type="spellStart"/>
      <w:r w:rsidRPr="00873FEC">
        <w:rPr>
          <w:rFonts w:ascii="Verdana" w:hAnsi="Verdana" w:cs="AGaramond-Regular"/>
          <w:sz w:val="20"/>
          <w:szCs w:val="20"/>
          <w:lang w:val="es-CR"/>
        </w:rPr>
        <w:t>párrs</w:t>
      </w:r>
      <w:proofErr w:type="spellEnd"/>
      <w:r w:rsidRPr="00873FEC">
        <w:rPr>
          <w:rFonts w:ascii="Verdana" w:hAnsi="Verdana" w:cs="AGaramond-Regular"/>
          <w:sz w:val="20"/>
          <w:szCs w:val="20"/>
          <w:lang w:val="es-CR"/>
        </w:rPr>
        <w:t>. 27 a 34)</w:t>
      </w:r>
      <w:r w:rsidR="00C66AF3">
        <w:rPr>
          <w:rFonts w:ascii="Verdana" w:hAnsi="Verdana" w:cs="AGaramond-Regular"/>
          <w:sz w:val="20"/>
          <w:szCs w:val="20"/>
          <w:lang w:val="es-CR"/>
        </w:rPr>
        <w:t>,</w:t>
      </w:r>
      <w:r w:rsidRPr="00873FEC">
        <w:rPr>
          <w:rFonts w:ascii="Verdana" w:hAnsi="Verdana" w:cs="AGaramond-Regular"/>
          <w:sz w:val="20"/>
          <w:szCs w:val="20"/>
          <w:lang w:val="es-CR"/>
        </w:rPr>
        <w:t xml:space="preserve"> surge que el ejército había identificado que personas indígena podía</w:t>
      </w:r>
      <w:r w:rsidR="00C66AF3">
        <w:rPr>
          <w:rFonts w:ascii="Verdana" w:hAnsi="Verdana" w:cs="AGaramond-Regular"/>
          <w:sz w:val="20"/>
          <w:szCs w:val="20"/>
          <w:lang w:val="es-CR"/>
        </w:rPr>
        <w:t>n</w:t>
      </w:r>
      <w:r w:rsidRPr="00873FEC">
        <w:rPr>
          <w:rFonts w:ascii="Verdana" w:hAnsi="Verdana" w:cs="AGaramond-Regular"/>
          <w:sz w:val="20"/>
          <w:szCs w:val="20"/>
          <w:lang w:val="es-CR"/>
        </w:rPr>
        <w:t xml:space="preserve"> constituir la base social de la guerrilla y, por ende, quedaban enmarcadas en la categoría de “enemigo interno”. En igual sentido, </w:t>
      </w:r>
      <w:r w:rsidRPr="00873FEC">
        <w:rPr>
          <w:rFonts w:ascii="Verdana" w:eastAsia="Batang" w:hAnsi="Verdana" w:cs="Times"/>
          <w:sz w:val="20"/>
          <w:szCs w:val="20"/>
          <w:lang w:val="es-CR" w:eastAsia="es-CR"/>
        </w:rPr>
        <w:t>la perita Samayoa Pineda, refiriéndose a lo sucedido en el caso, expresó que quedó evidenciada “la predisposición de la patrulla militar ante la [C]</w:t>
      </w:r>
      <w:proofErr w:type="spellStart"/>
      <w:proofErr w:type="gramStart"/>
      <w:r w:rsidRPr="00873FEC">
        <w:rPr>
          <w:rFonts w:ascii="Verdana" w:eastAsia="Batang" w:hAnsi="Verdana" w:cs="Times"/>
          <w:sz w:val="20"/>
          <w:szCs w:val="20"/>
          <w:lang w:val="es-CR" w:eastAsia="es-CR"/>
        </w:rPr>
        <w:t>omunidad</w:t>
      </w:r>
      <w:proofErr w:type="spellEnd"/>
      <w:r w:rsidRPr="00873FEC">
        <w:rPr>
          <w:rFonts w:ascii="Verdana" w:eastAsia="Batang" w:hAnsi="Verdana" w:cs="Times"/>
          <w:sz w:val="20"/>
          <w:szCs w:val="20"/>
          <w:lang w:val="es-CR" w:eastAsia="es-CR"/>
        </w:rPr>
        <w:t>[</w:t>
      </w:r>
      <w:proofErr w:type="gramEnd"/>
      <w:r w:rsidRPr="00873FEC">
        <w:rPr>
          <w:rFonts w:ascii="Verdana" w:eastAsia="Batang" w:hAnsi="Verdana" w:cs="Times"/>
          <w:sz w:val="20"/>
          <w:szCs w:val="20"/>
          <w:lang w:val="es-CR" w:eastAsia="es-CR"/>
        </w:rPr>
        <w:t>,…] lo que generó como efecto la violación al derecho a la vida y a la integridad de un conjunto de individuos y familias indígenas a quienes se les consideraba guerrilleras”</w:t>
      </w:r>
      <w:r w:rsidRPr="00873FEC">
        <w:rPr>
          <w:rFonts w:ascii="Verdana" w:eastAsia="Batang" w:hAnsi="Verdana" w:cs="Times New Roman"/>
          <w:sz w:val="20"/>
          <w:szCs w:val="20"/>
          <w:vertAlign w:val="superscript"/>
          <w:lang w:val="es-CR" w:eastAsia="es-CR"/>
        </w:rPr>
        <w:footnoteReference w:id="182"/>
      </w:r>
      <w:r w:rsidRPr="00873FEC">
        <w:rPr>
          <w:rFonts w:ascii="Verdana" w:eastAsia="Batang" w:hAnsi="Verdana" w:cs="Times"/>
          <w:sz w:val="20"/>
          <w:szCs w:val="20"/>
          <w:lang w:val="es-CR" w:eastAsia="es-CR"/>
        </w:rPr>
        <w:t>. Dado lo expresado, esta Corte concluye que, en las circunstancias propias del caso, la actuación militar, que resultó violatoria de derechos a la vida e integridad personal, estuvo relacionada con concepciones discriminatorias contra personas indígenas. Por ende, el Estado incumplió su deber de respetar sin discriminación los derechos a la vida e integridad personal.</w:t>
      </w:r>
    </w:p>
    <w:p w:rsidR="00467331" w:rsidRPr="00873FEC" w:rsidRDefault="00467331" w:rsidP="00126E97">
      <w:pPr>
        <w:spacing w:after="0" w:line="20" w:lineRule="atLeast"/>
        <w:ind w:left="720"/>
        <w:contextualSpacing/>
        <w:rPr>
          <w:rFonts w:ascii="Calibri" w:eastAsia="Calibri" w:hAnsi="Calibri" w:cs="Times New Roman"/>
          <w:szCs w:val="20"/>
          <w:lang w:val="es-CR" w:eastAsia="es-CR"/>
        </w:rPr>
      </w:pPr>
    </w:p>
    <w:p w:rsidR="00467331" w:rsidRPr="00873FEC" w:rsidRDefault="00467331" w:rsidP="00126E97">
      <w:pPr>
        <w:pStyle w:val="Heading3"/>
        <w:spacing w:before="0" w:line="20" w:lineRule="atLeast"/>
        <w:ind w:left="567"/>
        <w:jc w:val="both"/>
        <w:rPr>
          <w:rFonts w:ascii="Verdana" w:eastAsia="Calibri" w:hAnsi="Verdana" w:cs="Times New Roman"/>
          <w:b w:val="0"/>
          <w:i/>
          <w:color w:val="auto"/>
          <w:sz w:val="20"/>
          <w:szCs w:val="20"/>
          <w:u w:val="single"/>
          <w:lang w:val="es-CR" w:eastAsia="es-CR"/>
        </w:rPr>
      </w:pPr>
      <w:bookmarkStart w:id="174" w:name="_Toc525201184"/>
      <w:r w:rsidRPr="00873FEC">
        <w:rPr>
          <w:rFonts w:ascii="Verdana" w:eastAsia="Calibri" w:hAnsi="Verdana" w:cs="Times New Roman"/>
          <w:b w:val="0"/>
          <w:i/>
          <w:color w:val="auto"/>
          <w:sz w:val="20"/>
          <w:szCs w:val="20"/>
          <w:lang w:val="es-CR" w:eastAsia="es-CR"/>
        </w:rPr>
        <w:t xml:space="preserve">B.5. </w:t>
      </w:r>
      <w:r w:rsidRPr="00873FEC">
        <w:rPr>
          <w:rFonts w:ascii="Verdana" w:eastAsia="Calibri" w:hAnsi="Verdana" w:cs="Times New Roman"/>
          <w:b w:val="0"/>
          <w:i/>
          <w:color w:val="auto"/>
          <w:sz w:val="20"/>
          <w:szCs w:val="20"/>
          <w:u w:val="single"/>
          <w:lang w:val="es-CR" w:eastAsia="es-CR"/>
        </w:rPr>
        <w:t>Conclusión</w:t>
      </w:r>
      <w:bookmarkEnd w:id="174"/>
    </w:p>
    <w:p w:rsidR="00467331" w:rsidRPr="00873FEC" w:rsidRDefault="00467331" w:rsidP="00126E97">
      <w:pPr>
        <w:spacing w:after="0" w:line="20" w:lineRule="atLeast"/>
        <w:ind w:left="720"/>
        <w:contextualSpacing/>
        <w:rPr>
          <w:rFonts w:ascii="Verdana" w:eastAsia="Calibri" w:hAnsi="Verdana" w:cs="Times New Roman"/>
          <w:b/>
          <w:i/>
          <w:sz w:val="20"/>
          <w:szCs w:val="20"/>
          <w:lang w:val="es-CR" w:eastAsia="es-CR"/>
        </w:rPr>
      </w:pPr>
    </w:p>
    <w:p w:rsidR="00467331" w:rsidRPr="00873FEC" w:rsidRDefault="00467331" w:rsidP="00126E97">
      <w:pPr>
        <w:numPr>
          <w:ilvl w:val="0"/>
          <w:numId w:val="3"/>
        </w:numPr>
        <w:spacing w:after="0" w:line="20" w:lineRule="atLeast"/>
        <w:contextualSpacing/>
        <w:jc w:val="both"/>
        <w:rPr>
          <w:rFonts w:ascii="Verdana" w:eastAsia="Calibri" w:hAnsi="Verdana" w:cs="Times"/>
          <w:color w:val="1A1A1A"/>
          <w:sz w:val="20"/>
          <w:szCs w:val="20"/>
          <w:lang w:eastAsia="es-CR"/>
        </w:rPr>
      </w:pPr>
      <w:r w:rsidRPr="00873FEC">
        <w:rPr>
          <w:rFonts w:ascii="Verdana" w:eastAsia="Calibri" w:hAnsi="Verdana" w:cs="Times New Roman"/>
          <w:sz w:val="20"/>
          <w:szCs w:val="20"/>
          <w:lang w:val="es-CR" w:eastAsia="es-CR"/>
        </w:rPr>
        <w:t xml:space="preserve">Por lo anterior, la Corte concluye que </w:t>
      </w:r>
      <w:r w:rsidRPr="00873FEC">
        <w:rPr>
          <w:rFonts w:ascii="Verdana" w:eastAsia="Calibri" w:hAnsi="Verdana" w:cs="Times"/>
          <w:sz w:val="20"/>
          <w:szCs w:val="20"/>
          <w:lang w:val="es-CR" w:eastAsia="es-CR"/>
        </w:rPr>
        <w:t xml:space="preserve">el Estado de Guatemala es responsable: a) por violación del artículo 4.1 de la Convención, en relación con la obligación de respetar los derechos sin discriminación, establecida en su artículo 1.1, en perjuicio de </w:t>
      </w:r>
      <w:r w:rsidR="005B4879" w:rsidRPr="00873FEC">
        <w:rPr>
          <w:rFonts w:ascii="Verdana" w:eastAsia="Calibri" w:hAnsi="Verdana" w:cs="Times"/>
          <w:sz w:val="20"/>
          <w:szCs w:val="20"/>
          <w:lang w:val="es-CR" w:eastAsia="es-CR"/>
        </w:rPr>
        <w:t>ocho</w:t>
      </w:r>
      <w:r w:rsidRPr="00873FEC">
        <w:rPr>
          <w:rFonts w:ascii="Verdana" w:eastAsia="Calibri" w:hAnsi="Verdana" w:cs="Times"/>
          <w:sz w:val="20"/>
          <w:szCs w:val="20"/>
          <w:lang w:val="es-CR" w:eastAsia="es-CR"/>
        </w:rPr>
        <w:t xml:space="preserve"> personas que fueron muertas al momento de los hechos; b) por la violación del artículo 5.1 de la Convención, en relación con la obligación de respetar los derechos sin discriminación, establecida en su artículo 1.1, en perjuicio de 29 personas que resultaron heridas a causa de lo sucedido el 5 de octubre de 1995, y c) por la violación del artículo 4.1 de la Convención, en relación con su artículo 19 y con la obligación de respetar los derechos sin discriminación, establecida en 1.1, en perjuicio de la niña y los dos niños que murieron al momento de los hechos. Los nombres de las víctimas referidas se indican, respectivamente</w:t>
      </w:r>
      <w:r w:rsidR="00C66AF3">
        <w:rPr>
          <w:rFonts w:ascii="Verdana" w:eastAsia="Calibri" w:hAnsi="Verdana" w:cs="Times"/>
          <w:sz w:val="20"/>
          <w:szCs w:val="20"/>
          <w:lang w:val="es-CR" w:eastAsia="es-CR"/>
        </w:rPr>
        <w:t>,</w:t>
      </w:r>
      <w:r w:rsidRPr="00873FEC">
        <w:rPr>
          <w:rFonts w:ascii="Verdana" w:eastAsia="Calibri" w:hAnsi="Verdana" w:cs="Times"/>
          <w:sz w:val="20"/>
          <w:szCs w:val="20"/>
          <w:lang w:val="es-CR" w:eastAsia="es-CR"/>
        </w:rPr>
        <w:t xml:space="preserve"> en los Anexos B.2, B.3 y B.4 </w:t>
      </w:r>
      <w:r w:rsidR="00C66AF3">
        <w:rPr>
          <w:rFonts w:ascii="Verdana" w:eastAsia="Calibri" w:hAnsi="Verdana" w:cs="Times"/>
          <w:sz w:val="20"/>
          <w:szCs w:val="20"/>
          <w:lang w:val="es-CR" w:eastAsia="es-CR"/>
        </w:rPr>
        <w:t>de</w:t>
      </w:r>
      <w:r w:rsidRPr="00873FEC">
        <w:rPr>
          <w:rFonts w:ascii="Verdana" w:eastAsia="Calibri" w:hAnsi="Verdana" w:cs="Times"/>
          <w:sz w:val="20"/>
          <w:szCs w:val="20"/>
          <w:lang w:val="es-CR" w:eastAsia="es-CR"/>
        </w:rPr>
        <w:t xml:space="preserve"> la presente Sentencia</w:t>
      </w:r>
      <w:r w:rsidR="00B5386D">
        <w:rPr>
          <w:rFonts w:ascii="Verdana" w:eastAsia="Calibri" w:hAnsi="Verdana" w:cs="Times"/>
          <w:sz w:val="20"/>
          <w:szCs w:val="20"/>
          <w:lang w:val="es-CR" w:eastAsia="es-CR"/>
        </w:rPr>
        <w:t>, que integran la misma</w:t>
      </w:r>
      <w:r w:rsidRPr="00873FEC">
        <w:rPr>
          <w:rFonts w:ascii="Verdana" w:eastAsia="Calibri" w:hAnsi="Verdana" w:cs="Times"/>
          <w:sz w:val="20"/>
          <w:szCs w:val="20"/>
          <w:lang w:val="es-CR" w:eastAsia="es-CR"/>
        </w:rPr>
        <w:t xml:space="preserve">. </w:t>
      </w:r>
    </w:p>
    <w:p w:rsidR="00467331" w:rsidRDefault="00467331"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Default="00126E97" w:rsidP="00126E97">
      <w:pPr>
        <w:spacing w:after="0" w:line="20" w:lineRule="atLeast"/>
        <w:jc w:val="both"/>
        <w:rPr>
          <w:rFonts w:ascii="Verdana" w:eastAsia="Batang" w:hAnsi="Verdana" w:cs="Times"/>
          <w:sz w:val="20"/>
          <w:szCs w:val="24"/>
          <w:lang w:eastAsia="es-CR"/>
        </w:rPr>
      </w:pPr>
    </w:p>
    <w:p w:rsidR="00126E97" w:rsidRPr="00873FEC" w:rsidRDefault="00126E97" w:rsidP="00126E97">
      <w:pPr>
        <w:spacing w:after="0" w:line="20" w:lineRule="atLeast"/>
        <w:jc w:val="both"/>
        <w:rPr>
          <w:rFonts w:ascii="Verdana" w:eastAsia="Batang" w:hAnsi="Verdana" w:cs="Times"/>
          <w:sz w:val="20"/>
          <w:szCs w:val="24"/>
          <w:lang w:eastAsia="es-CR"/>
        </w:rPr>
      </w:pPr>
    </w:p>
    <w:p w:rsidR="00332F58" w:rsidRPr="00873FEC" w:rsidRDefault="00332F58" w:rsidP="00126E97">
      <w:pPr>
        <w:pStyle w:val="ListParagraph"/>
        <w:spacing w:after="0" w:line="20" w:lineRule="atLeast"/>
        <w:jc w:val="center"/>
        <w:outlineLvl w:val="0"/>
        <w:rPr>
          <w:rFonts w:ascii="Verdana" w:hAnsi="Verdana"/>
          <w:b/>
          <w:sz w:val="20"/>
          <w:szCs w:val="20"/>
          <w:lang w:val="es-CR"/>
        </w:rPr>
      </w:pPr>
      <w:bookmarkStart w:id="175" w:name="_Toc525201185"/>
      <w:r w:rsidRPr="00873FEC">
        <w:rPr>
          <w:rFonts w:ascii="Verdana" w:hAnsi="Verdana"/>
          <w:b/>
          <w:sz w:val="20"/>
          <w:szCs w:val="20"/>
          <w:lang w:val="es-CR"/>
        </w:rPr>
        <w:lastRenderedPageBreak/>
        <w:t>VII.3.</w:t>
      </w:r>
      <w:bookmarkEnd w:id="175"/>
      <w:r w:rsidRPr="00873FEC">
        <w:rPr>
          <w:rFonts w:ascii="Verdana" w:hAnsi="Verdana"/>
          <w:b/>
          <w:sz w:val="20"/>
          <w:szCs w:val="20"/>
          <w:lang w:val="es-CR"/>
        </w:rPr>
        <w:t xml:space="preserve"> </w:t>
      </w:r>
    </w:p>
    <w:p w:rsidR="00332F58" w:rsidRPr="00873FEC" w:rsidRDefault="00332F58" w:rsidP="00126E97">
      <w:pPr>
        <w:pStyle w:val="ListParagraph"/>
        <w:spacing w:after="0" w:line="20" w:lineRule="atLeast"/>
        <w:jc w:val="center"/>
        <w:outlineLvl w:val="0"/>
        <w:rPr>
          <w:rFonts w:ascii="Verdana" w:hAnsi="Verdana"/>
          <w:b/>
          <w:sz w:val="20"/>
          <w:szCs w:val="20"/>
          <w:lang w:val="es-CR"/>
        </w:rPr>
      </w:pPr>
      <w:bookmarkStart w:id="176" w:name="_Toc525201186"/>
      <w:r w:rsidRPr="00873FEC">
        <w:rPr>
          <w:rFonts w:ascii="Verdana" w:hAnsi="Verdana"/>
          <w:b/>
          <w:sz w:val="20"/>
          <w:szCs w:val="20"/>
          <w:lang w:val="es-CR"/>
        </w:rPr>
        <w:t>DERECHO A LA INTEGRIDAD PERSONAL DE FAMILIARES DE PERSONAS MUERTAS Y HERIDAS</w:t>
      </w:r>
      <w:bookmarkEnd w:id="176"/>
    </w:p>
    <w:p w:rsidR="00332F58" w:rsidRPr="00873FEC" w:rsidRDefault="00332F58" w:rsidP="00126E97">
      <w:pPr>
        <w:pStyle w:val="ListParagraph"/>
        <w:tabs>
          <w:tab w:val="left" w:pos="1200"/>
        </w:tabs>
        <w:spacing w:after="0" w:line="20" w:lineRule="atLeast"/>
        <w:ind w:left="0"/>
        <w:rPr>
          <w:rFonts w:ascii="Verdana" w:hAnsi="Verdana"/>
          <w:sz w:val="20"/>
          <w:szCs w:val="20"/>
          <w:lang w:val="es-CR"/>
        </w:rPr>
      </w:pPr>
    </w:p>
    <w:p w:rsidR="00332F58" w:rsidRPr="00873FEC" w:rsidRDefault="00332F58" w:rsidP="00126E97">
      <w:pPr>
        <w:pStyle w:val="Heading2"/>
        <w:numPr>
          <w:ilvl w:val="0"/>
          <w:numId w:val="11"/>
        </w:numPr>
        <w:spacing w:before="0" w:line="20" w:lineRule="atLeast"/>
        <w:jc w:val="both"/>
        <w:rPr>
          <w:rFonts w:ascii="Verdana" w:hAnsi="Verdana" w:cs="Times New Roman"/>
          <w:i/>
          <w:color w:val="auto"/>
          <w:sz w:val="20"/>
          <w:szCs w:val="20"/>
          <w:lang w:val="es-CR"/>
        </w:rPr>
      </w:pPr>
      <w:bookmarkStart w:id="177" w:name="_Toc525201187"/>
      <w:r w:rsidRPr="00873FEC">
        <w:rPr>
          <w:rFonts w:ascii="Verdana" w:hAnsi="Verdana" w:cs="Times New Roman"/>
          <w:i/>
          <w:color w:val="auto"/>
          <w:sz w:val="20"/>
          <w:szCs w:val="20"/>
          <w:lang w:val="es-CR"/>
        </w:rPr>
        <w:t>Alegatos de la Comisión y de las partes</w:t>
      </w:r>
      <w:bookmarkEnd w:id="177"/>
    </w:p>
    <w:p w:rsidR="00332F58" w:rsidRPr="00873FEC" w:rsidRDefault="00332F58" w:rsidP="00126E97">
      <w:pPr>
        <w:pStyle w:val="ListParagraph"/>
        <w:tabs>
          <w:tab w:val="left" w:pos="1200"/>
        </w:tabs>
        <w:spacing w:after="0" w:line="20" w:lineRule="atLeast"/>
        <w:ind w:left="0"/>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L"/>
        </w:rPr>
        <w:t xml:space="preserve">La </w:t>
      </w:r>
      <w:r w:rsidRPr="00873FEC">
        <w:rPr>
          <w:rFonts w:ascii="Verdana" w:hAnsi="Verdana"/>
          <w:b/>
          <w:i/>
          <w:sz w:val="20"/>
          <w:szCs w:val="20"/>
          <w:lang w:val="es-CL"/>
        </w:rPr>
        <w:t>Comisión</w:t>
      </w:r>
      <w:r w:rsidRPr="00873FEC">
        <w:rPr>
          <w:rFonts w:ascii="Verdana" w:hAnsi="Verdana"/>
          <w:sz w:val="20"/>
          <w:szCs w:val="20"/>
          <w:lang w:val="es-CL"/>
        </w:rPr>
        <w:t xml:space="preserve"> consideró que la pérdida de un ser querido en una situación como la del caso, así como la demora en el trámite del proceso, generaron una afectación a la integridad psíquica y moral de familiares de las personas directamente afectadas. </w:t>
      </w:r>
      <w:r w:rsidRPr="00873FEC">
        <w:rPr>
          <w:rFonts w:ascii="Verdana" w:hAnsi="Verdana"/>
          <w:sz w:val="20"/>
          <w:szCs w:val="20"/>
          <w:lang w:val="es-CR"/>
        </w:rPr>
        <w:t xml:space="preserve">Señaló que familiares de personas heridas y </w:t>
      </w:r>
      <w:r w:rsidR="00F5049E" w:rsidRPr="00873FEC">
        <w:rPr>
          <w:rFonts w:ascii="Verdana" w:hAnsi="Verdana"/>
          <w:sz w:val="20"/>
          <w:szCs w:val="20"/>
          <w:lang w:val="es-CR"/>
        </w:rPr>
        <w:t>muertas, al formar parte de la C</w:t>
      </w:r>
      <w:r w:rsidRPr="00873FEC">
        <w:rPr>
          <w:rFonts w:ascii="Verdana" w:hAnsi="Verdana"/>
          <w:sz w:val="20"/>
          <w:szCs w:val="20"/>
          <w:lang w:val="es-CR"/>
        </w:rPr>
        <w:t xml:space="preserve">omunidad de la finca </w:t>
      </w:r>
      <w:proofErr w:type="spellStart"/>
      <w:r w:rsidRPr="00873FEC">
        <w:rPr>
          <w:rFonts w:ascii="Verdana" w:hAnsi="Verdana"/>
          <w:sz w:val="20"/>
          <w:szCs w:val="20"/>
          <w:lang w:val="es-CR"/>
        </w:rPr>
        <w:t>Xamán</w:t>
      </w:r>
      <w:proofErr w:type="spellEnd"/>
      <w:r w:rsidRPr="00873FEC">
        <w:rPr>
          <w:rFonts w:ascii="Verdana" w:hAnsi="Verdana"/>
          <w:sz w:val="20"/>
          <w:szCs w:val="20"/>
          <w:lang w:val="es-CR"/>
        </w:rPr>
        <w:t xml:space="preserve">, presenciaron los hechos de su fallecimiento y lesiones. </w:t>
      </w:r>
      <w:r w:rsidRPr="00873FEC">
        <w:rPr>
          <w:rFonts w:ascii="Verdana" w:hAnsi="Verdana"/>
          <w:sz w:val="20"/>
          <w:szCs w:val="20"/>
          <w:lang w:val="es-CL"/>
        </w:rPr>
        <w:t>Resaltó que no han recibido una adecuada asistencia médica ni psicológica. Concluyó que el Estado violó el artículo 5.1 de la Convención</w:t>
      </w:r>
      <w:r w:rsidR="00C66AF3">
        <w:rPr>
          <w:rFonts w:ascii="Verdana" w:hAnsi="Verdana"/>
          <w:sz w:val="20"/>
          <w:szCs w:val="20"/>
          <w:lang w:val="es-CL"/>
        </w:rPr>
        <w:t>,</w:t>
      </w:r>
      <w:r w:rsidRPr="00873FEC">
        <w:rPr>
          <w:rFonts w:ascii="Verdana" w:hAnsi="Verdana"/>
          <w:sz w:val="20"/>
          <w:szCs w:val="20"/>
          <w:lang w:val="es-CL"/>
        </w:rPr>
        <w:t xml:space="preserve"> con relación al artículo 1.1 de la misma, en perjuicio de </w:t>
      </w:r>
      <w:r w:rsidR="005B4879" w:rsidRPr="00873FEC">
        <w:rPr>
          <w:rFonts w:ascii="Verdana" w:hAnsi="Verdana"/>
          <w:sz w:val="20"/>
          <w:szCs w:val="20"/>
          <w:lang w:val="es-CL"/>
        </w:rPr>
        <w:t xml:space="preserve">los </w:t>
      </w:r>
      <w:r w:rsidRPr="00873FEC">
        <w:rPr>
          <w:rFonts w:ascii="Verdana" w:hAnsi="Verdana"/>
          <w:sz w:val="20"/>
          <w:szCs w:val="20"/>
          <w:lang w:val="es-CL"/>
        </w:rPr>
        <w:t>familiares de las personas muertas y heridas</w:t>
      </w:r>
      <w:r w:rsidRPr="00873FEC">
        <w:rPr>
          <w:rStyle w:val="FootnoteReference"/>
          <w:rFonts w:ascii="Verdana" w:hAnsi="Verdana"/>
          <w:sz w:val="20"/>
          <w:lang w:val="es-CR" w:eastAsia="x-none"/>
        </w:rPr>
        <w:footnoteReference w:id="183"/>
      </w:r>
      <w:r w:rsidRPr="00873FEC">
        <w:rPr>
          <w:rFonts w:ascii="Verdana" w:hAnsi="Verdana"/>
          <w:sz w:val="20"/>
          <w:szCs w:val="20"/>
          <w:lang w:val="es-CL"/>
        </w:rPr>
        <w:t xml:space="preserve">. </w:t>
      </w:r>
      <w:r w:rsidRPr="00873FEC">
        <w:rPr>
          <w:rFonts w:ascii="Verdana" w:hAnsi="Verdana" w:cs="Times New Roman"/>
          <w:sz w:val="20"/>
          <w:szCs w:val="20"/>
          <w:lang w:val="es-CR"/>
        </w:rPr>
        <w:t xml:space="preserve">Los </w:t>
      </w:r>
      <w:r w:rsidRPr="00873FEC">
        <w:rPr>
          <w:rFonts w:ascii="Verdana" w:hAnsi="Verdana" w:cs="Times New Roman"/>
          <w:b/>
          <w:i/>
          <w:sz w:val="20"/>
          <w:szCs w:val="20"/>
          <w:lang w:val="es-CR"/>
        </w:rPr>
        <w:t>representantes</w:t>
      </w:r>
      <w:r w:rsidRPr="00873FEC">
        <w:rPr>
          <w:rFonts w:ascii="Verdana" w:hAnsi="Verdana" w:cs="Times New Roman"/>
          <w:sz w:val="20"/>
          <w:szCs w:val="20"/>
          <w:lang w:val="es-CR"/>
        </w:rPr>
        <w:t xml:space="preserve"> se manifestaron en el mismo sentido que la Comisión. </w:t>
      </w:r>
    </w:p>
    <w:p w:rsidR="00332F58" w:rsidRPr="00873FEC" w:rsidRDefault="00332F58" w:rsidP="00126E97">
      <w:pPr>
        <w:tabs>
          <w:tab w:val="left" w:pos="1050"/>
        </w:tabs>
        <w:spacing w:after="0" w:line="20" w:lineRule="atLeast"/>
        <w:rPr>
          <w:rFonts w:ascii="Verdana" w:hAnsi="Verdana"/>
          <w:sz w:val="20"/>
          <w:szCs w:val="20"/>
          <w:lang w:val="es-CR"/>
        </w:rPr>
      </w:pPr>
    </w:p>
    <w:p w:rsidR="001D1F47"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cs="Times New Roman"/>
          <w:sz w:val="20"/>
          <w:szCs w:val="20"/>
          <w:lang w:val="es-CR"/>
        </w:rPr>
        <w:t xml:space="preserve">El </w:t>
      </w:r>
      <w:r w:rsidRPr="00873FEC">
        <w:rPr>
          <w:rFonts w:ascii="Verdana" w:hAnsi="Verdana" w:cs="Times New Roman"/>
          <w:b/>
          <w:i/>
          <w:sz w:val="20"/>
          <w:szCs w:val="20"/>
          <w:lang w:val="es-CR"/>
        </w:rPr>
        <w:t>Estado</w:t>
      </w:r>
      <w:r w:rsidRPr="00873FEC">
        <w:rPr>
          <w:rFonts w:ascii="Verdana" w:hAnsi="Verdana" w:cs="Times New Roman"/>
          <w:i/>
          <w:sz w:val="20"/>
          <w:szCs w:val="20"/>
          <w:lang w:val="es-CR"/>
        </w:rPr>
        <w:t xml:space="preserve">, </w:t>
      </w:r>
      <w:r w:rsidRPr="00873FEC">
        <w:rPr>
          <w:rFonts w:ascii="Verdana" w:hAnsi="Verdana" w:cs="Times New Roman"/>
          <w:sz w:val="20"/>
          <w:szCs w:val="20"/>
          <w:lang w:val="es-CR"/>
        </w:rPr>
        <w:t xml:space="preserve">como se ha </w:t>
      </w:r>
      <w:r w:rsidR="00C66AF3">
        <w:rPr>
          <w:rFonts w:ascii="Verdana" w:hAnsi="Verdana" w:cs="Times New Roman"/>
          <w:sz w:val="20"/>
          <w:szCs w:val="20"/>
          <w:lang w:val="es-CR"/>
        </w:rPr>
        <w:t>señalado</w:t>
      </w:r>
      <w:r w:rsidRPr="00873FEC">
        <w:rPr>
          <w:rFonts w:ascii="Verdana" w:hAnsi="Verdana" w:cs="Times New Roman"/>
          <w:i/>
          <w:sz w:val="20"/>
          <w:szCs w:val="20"/>
          <w:lang w:val="es-CR"/>
        </w:rPr>
        <w:t xml:space="preserve"> (supra</w:t>
      </w:r>
      <w:r w:rsidRPr="00873FEC">
        <w:rPr>
          <w:rFonts w:ascii="Verdana" w:hAnsi="Verdana" w:cs="Times New Roman"/>
          <w:sz w:val="20"/>
          <w:szCs w:val="20"/>
          <w:lang w:val="es-CR"/>
        </w:rPr>
        <w:t xml:space="preserve"> párr. </w:t>
      </w:r>
      <w:r w:rsidR="008877A6" w:rsidRPr="00873FEC">
        <w:rPr>
          <w:rFonts w:ascii="Verdana" w:hAnsi="Verdana" w:cs="Times New Roman"/>
          <w:sz w:val="20"/>
          <w:szCs w:val="20"/>
          <w:lang w:val="es-CR"/>
        </w:rPr>
        <w:t>103</w:t>
      </w:r>
      <w:r w:rsidRPr="00873FEC">
        <w:rPr>
          <w:rFonts w:ascii="Verdana" w:hAnsi="Verdana" w:cs="Times New Roman"/>
          <w:sz w:val="20"/>
          <w:szCs w:val="20"/>
          <w:lang w:val="es-CR"/>
        </w:rPr>
        <w:t xml:space="preserve">), </w:t>
      </w:r>
      <w:r w:rsidR="00C66AF3">
        <w:rPr>
          <w:rFonts w:ascii="Verdana" w:hAnsi="Verdana" w:cs="Times New Roman"/>
          <w:sz w:val="20"/>
          <w:szCs w:val="20"/>
          <w:lang w:val="es-CR"/>
        </w:rPr>
        <w:t>indicó que no es</w:t>
      </w:r>
      <w:r w:rsidRPr="00873FEC">
        <w:rPr>
          <w:rFonts w:ascii="Verdana" w:hAnsi="Verdana" w:cs="Times New Roman"/>
          <w:sz w:val="20"/>
          <w:szCs w:val="20"/>
          <w:lang w:val="es-CR"/>
        </w:rPr>
        <w:t xml:space="preserve"> responsable por violar el derecho a la integridad personal, dadas las investigaciones desarrolladas en el ámbito interno. </w:t>
      </w:r>
    </w:p>
    <w:p w:rsidR="00126E97" w:rsidRPr="00873FEC" w:rsidRDefault="00126E97" w:rsidP="00126E97">
      <w:pPr>
        <w:pStyle w:val="ListParagraph"/>
        <w:spacing w:after="0" w:line="20" w:lineRule="atLeast"/>
        <w:rPr>
          <w:rFonts w:ascii="Verdana" w:hAnsi="Verdana"/>
          <w:sz w:val="20"/>
          <w:szCs w:val="20"/>
        </w:rPr>
      </w:pPr>
    </w:p>
    <w:p w:rsidR="001D1F47" w:rsidRPr="00873FEC" w:rsidRDefault="001D1F47" w:rsidP="00126E97">
      <w:pPr>
        <w:pStyle w:val="Heading2"/>
        <w:numPr>
          <w:ilvl w:val="0"/>
          <w:numId w:val="11"/>
        </w:numPr>
        <w:spacing w:before="0" w:line="20" w:lineRule="atLeast"/>
        <w:jc w:val="both"/>
        <w:rPr>
          <w:rFonts w:ascii="Verdana" w:hAnsi="Verdana" w:cs="Times New Roman"/>
          <w:i/>
          <w:color w:val="auto"/>
          <w:sz w:val="20"/>
          <w:szCs w:val="20"/>
          <w:lang w:val="es-CR"/>
        </w:rPr>
      </w:pPr>
      <w:bookmarkStart w:id="178" w:name="_Toc525201188"/>
      <w:r w:rsidRPr="00873FEC">
        <w:rPr>
          <w:rFonts w:ascii="Verdana" w:hAnsi="Verdana" w:cs="Times New Roman"/>
          <w:i/>
          <w:color w:val="auto"/>
          <w:sz w:val="20"/>
          <w:szCs w:val="20"/>
          <w:lang w:val="es-CR"/>
        </w:rPr>
        <w:t>Consideraciones de la Corte</w:t>
      </w:r>
      <w:bookmarkEnd w:id="178"/>
    </w:p>
    <w:p w:rsidR="001D1F47" w:rsidRPr="00873FEC" w:rsidRDefault="001D1F47" w:rsidP="00126E97">
      <w:pPr>
        <w:pStyle w:val="ListParagraph"/>
        <w:spacing w:after="0" w:line="20" w:lineRule="atLeast"/>
        <w:rPr>
          <w:rFonts w:ascii="Verdana" w:hAnsi="Verdana"/>
          <w:sz w:val="20"/>
          <w:szCs w:val="20"/>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rPr>
        <w:t>La Corte ha sostenido, en reiteradas ocasiones</w:t>
      </w:r>
      <w:r w:rsidRPr="00873FEC">
        <w:rPr>
          <w:rStyle w:val="FootnoteReference"/>
          <w:rFonts w:ascii="Verdana" w:hAnsi="Verdana"/>
          <w:color w:val="2D2D2D"/>
          <w:sz w:val="20"/>
          <w:lang w:val="es-CL" w:eastAsia="x-none"/>
        </w:rPr>
        <w:footnoteReference w:id="184"/>
      </w:r>
      <w:r w:rsidRPr="00873FEC">
        <w:rPr>
          <w:rFonts w:ascii="Verdana" w:hAnsi="Verdana"/>
          <w:sz w:val="20"/>
          <w:szCs w:val="20"/>
        </w:rPr>
        <w:t>, que</w:t>
      </w:r>
      <w:r w:rsidRPr="00873FEC">
        <w:rPr>
          <w:rFonts w:ascii="Verdana" w:hAnsi="Verdana"/>
          <w:color w:val="1A1A1A"/>
          <w:sz w:val="20"/>
          <w:szCs w:val="20"/>
        </w:rPr>
        <w:t xml:space="preserve"> lo</w:t>
      </w:r>
      <w:r w:rsidRPr="00873FEC">
        <w:rPr>
          <w:rFonts w:ascii="Verdana" w:hAnsi="Verdana"/>
          <w:color w:val="3C3C3C"/>
          <w:sz w:val="20"/>
          <w:szCs w:val="20"/>
        </w:rPr>
        <w:t xml:space="preserve">s </w:t>
      </w:r>
      <w:r w:rsidRPr="00873FEC">
        <w:rPr>
          <w:rFonts w:ascii="Verdana" w:hAnsi="Verdana"/>
          <w:sz w:val="20"/>
          <w:szCs w:val="20"/>
        </w:rPr>
        <w:t xml:space="preserve">familiares </w:t>
      </w:r>
      <w:r w:rsidRPr="00873FEC">
        <w:rPr>
          <w:rFonts w:ascii="Verdana" w:hAnsi="Verdana"/>
          <w:color w:val="1A1A1A"/>
          <w:sz w:val="20"/>
          <w:szCs w:val="20"/>
        </w:rPr>
        <w:t xml:space="preserve">de </w:t>
      </w:r>
      <w:r w:rsidRPr="00873FEC">
        <w:rPr>
          <w:rFonts w:ascii="Verdana" w:hAnsi="Verdana"/>
          <w:sz w:val="20"/>
          <w:szCs w:val="20"/>
        </w:rPr>
        <w:t xml:space="preserve">víctimas </w:t>
      </w:r>
      <w:r w:rsidRPr="00873FEC">
        <w:rPr>
          <w:rFonts w:ascii="Verdana" w:hAnsi="Verdana"/>
          <w:color w:val="1A1A1A"/>
          <w:sz w:val="20"/>
          <w:szCs w:val="20"/>
        </w:rPr>
        <w:t xml:space="preserve">de </w:t>
      </w:r>
      <w:r w:rsidRPr="00873FEC">
        <w:rPr>
          <w:rFonts w:ascii="Verdana" w:hAnsi="Verdana"/>
          <w:sz w:val="20"/>
          <w:szCs w:val="20"/>
        </w:rPr>
        <w:t xml:space="preserve">ciertas violaciones </w:t>
      </w:r>
      <w:r w:rsidRPr="00873FEC">
        <w:rPr>
          <w:rFonts w:ascii="Verdana" w:hAnsi="Verdana"/>
          <w:color w:val="1A1A1A"/>
          <w:sz w:val="20"/>
          <w:szCs w:val="20"/>
        </w:rPr>
        <w:t>de derechos humanos</w:t>
      </w:r>
      <w:r w:rsidRPr="00873FEC">
        <w:rPr>
          <w:rFonts w:ascii="Verdana" w:hAnsi="Verdana"/>
          <w:color w:val="3C3C3C"/>
          <w:sz w:val="20"/>
          <w:szCs w:val="20"/>
        </w:rPr>
        <w:t xml:space="preserve"> </w:t>
      </w:r>
      <w:r w:rsidRPr="00873FEC">
        <w:rPr>
          <w:rFonts w:ascii="Verdana" w:hAnsi="Verdana"/>
          <w:color w:val="1A1A1A"/>
          <w:sz w:val="20"/>
          <w:szCs w:val="20"/>
        </w:rPr>
        <w:t xml:space="preserve">pueden ser </w:t>
      </w:r>
      <w:r w:rsidRPr="00873FEC">
        <w:rPr>
          <w:rFonts w:ascii="Verdana" w:hAnsi="Verdana"/>
          <w:sz w:val="20"/>
          <w:szCs w:val="20"/>
        </w:rPr>
        <w:t>considerados</w:t>
      </w:r>
      <w:r w:rsidRPr="00873FEC">
        <w:rPr>
          <w:rFonts w:ascii="Verdana" w:hAnsi="Verdana"/>
          <w:color w:val="4E4E4E"/>
          <w:sz w:val="20"/>
          <w:szCs w:val="20"/>
        </w:rPr>
        <w:t xml:space="preserve">, </w:t>
      </w:r>
      <w:r w:rsidRPr="00873FEC">
        <w:rPr>
          <w:rFonts w:ascii="Verdana" w:hAnsi="Verdana"/>
          <w:sz w:val="20"/>
          <w:szCs w:val="20"/>
        </w:rPr>
        <w:t xml:space="preserve">a su </w:t>
      </w:r>
      <w:r w:rsidRPr="00873FEC">
        <w:rPr>
          <w:rFonts w:ascii="Verdana" w:hAnsi="Verdana"/>
          <w:color w:val="1A1A1A"/>
          <w:sz w:val="20"/>
          <w:szCs w:val="20"/>
        </w:rPr>
        <w:t xml:space="preserve">vez, </w:t>
      </w:r>
      <w:r w:rsidRPr="00873FEC">
        <w:rPr>
          <w:rFonts w:ascii="Verdana" w:hAnsi="Verdana"/>
          <w:sz w:val="20"/>
          <w:szCs w:val="20"/>
        </w:rPr>
        <w:t>como víctimas</w:t>
      </w:r>
      <w:r w:rsidR="00065154" w:rsidRPr="00873FEC">
        <w:rPr>
          <w:rStyle w:val="FootnoteReference"/>
          <w:rFonts w:ascii="Verdana" w:hAnsi="Verdana"/>
          <w:sz w:val="20"/>
        </w:rPr>
        <w:footnoteReference w:id="185"/>
      </w:r>
      <w:r w:rsidRPr="00873FEC">
        <w:rPr>
          <w:rFonts w:ascii="Verdana" w:hAnsi="Verdana"/>
          <w:sz w:val="20"/>
          <w:szCs w:val="20"/>
        </w:rPr>
        <w:t>.</w:t>
      </w:r>
      <w:r w:rsidR="00065154" w:rsidRPr="00873FEC">
        <w:rPr>
          <w:rFonts w:ascii="Verdana" w:hAnsi="Verdana"/>
          <w:sz w:val="20"/>
          <w:szCs w:val="20"/>
        </w:rPr>
        <w:t xml:space="preserve"> </w:t>
      </w:r>
      <w:r w:rsidRPr="00873FEC">
        <w:rPr>
          <w:rFonts w:ascii="Verdana" w:hAnsi="Verdana"/>
          <w:sz w:val="20"/>
          <w:szCs w:val="20"/>
        </w:rPr>
        <w:t xml:space="preserve">Del mismo modo, ha señalado que se puede declarar la violación del derecho a la integridad de familiares de víctimas de ciertas violaciones de derechos humanos, aplicando una presunción </w:t>
      </w:r>
      <w:r w:rsidRPr="00873FEC">
        <w:rPr>
          <w:rFonts w:ascii="Verdana" w:hAnsi="Verdana"/>
          <w:i/>
          <w:sz w:val="20"/>
          <w:szCs w:val="20"/>
        </w:rPr>
        <w:t>iuris tantum</w:t>
      </w:r>
      <w:r w:rsidRPr="00873FEC">
        <w:rPr>
          <w:rFonts w:ascii="Verdana" w:hAnsi="Verdana"/>
          <w:sz w:val="20"/>
          <w:szCs w:val="20"/>
        </w:rPr>
        <w:t xml:space="preserve"> respecto</w:t>
      </w:r>
      <w:r w:rsidR="00167906" w:rsidRPr="00873FEC">
        <w:rPr>
          <w:rFonts w:ascii="Verdana" w:hAnsi="Verdana"/>
          <w:sz w:val="20"/>
          <w:szCs w:val="20"/>
        </w:rPr>
        <w:t xml:space="preserve"> familiares tales como</w:t>
      </w:r>
      <w:r w:rsidRPr="00873FEC">
        <w:rPr>
          <w:rFonts w:ascii="Verdana" w:hAnsi="Verdana"/>
          <w:sz w:val="20"/>
          <w:szCs w:val="20"/>
        </w:rPr>
        <w:t xml:space="preserve"> de madres y padres, hijas e hijos, esposos y esposas y compañeros y compañeras permanentes, siempre que ello responda a las circunstancias particulares en el caso</w:t>
      </w:r>
      <w:r w:rsidRPr="00873FEC">
        <w:rPr>
          <w:rStyle w:val="FootnoteReference"/>
          <w:rFonts w:ascii="Verdana" w:hAnsi="Verdana"/>
          <w:sz w:val="20"/>
          <w:lang w:eastAsia="x-none"/>
        </w:rPr>
        <w:footnoteReference w:id="186"/>
      </w:r>
      <w:r w:rsidRPr="00873FEC">
        <w:rPr>
          <w:rFonts w:ascii="Verdana" w:hAnsi="Verdana"/>
          <w:sz w:val="20"/>
          <w:szCs w:val="20"/>
        </w:rPr>
        <w:t xml:space="preserve">. En relación </w:t>
      </w:r>
      <w:r w:rsidR="00167906" w:rsidRPr="00873FEC">
        <w:rPr>
          <w:rFonts w:ascii="Verdana" w:hAnsi="Verdana"/>
          <w:sz w:val="20"/>
          <w:szCs w:val="20"/>
        </w:rPr>
        <w:t>con</w:t>
      </w:r>
      <w:r w:rsidRPr="00873FEC">
        <w:rPr>
          <w:rFonts w:ascii="Verdana" w:hAnsi="Verdana"/>
          <w:sz w:val="20"/>
          <w:szCs w:val="20"/>
        </w:rPr>
        <w:t xml:space="preserve"> tales familiares, corresponde al Estado desvirtuar dicha presunción</w:t>
      </w:r>
      <w:r w:rsidRPr="00873FEC">
        <w:rPr>
          <w:rStyle w:val="FootnoteReference"/>
          <w:rFonts w:ascii="Verdana" w:hAnsi="Verdana"/>
          <w:sz w:val="20"/>
          <w:lang w:eastAsia="x-none"/>
        </w:rPr>
        <w:footnoteReference w:id="187"/>
      </w:r>
      <w:r w:rsidR="00972480" w:rsidRPr="00873FEC">
        <w:rPr>
          <w:rFonts w:ascii="Verdana" w:hAnsi="Verdana"/>
          <w:sz w:val="20"/>
          <w:szCs w:val="20"/>
        </w:rPr>
        <w:t>, la que</w:t>
      </w:r>
      <w:r w:rsidRPr="00873FEC">
        <w:rPr>
          <w:rFonts w:ascii="Verdana" w:hAnsi="Verdana"/>
          <w:sz w:val="20"/>
          <w:szCs w:val="20"/>
        </w:rPr>
        <w:t xml:space="preserve"> </w:t>
      </w:r>
      <w:r w:rsidR="00972480" w:rsidRPr="00873FEC">
        <w:rPr>
          <w:rFonts w:ascii="Verdana" w:hAnsi="Verdana"/>
          <w:sz w:val="20"/>
          <w:szCs w:val="20"/>
        </w:rPr>
        <w:t>p</w:t>
      </w:r>
      <w:r w:rsidR="00167906" w:rsidRPr="00873FEC">
        <w:rPr>
          <w:rFonts w:ascii="Verdana" w:hAnsi="Verdana"/>
          <w:sz w:val="20"/>
          <w:szCs w:val="20"/>
        </w:rPr>
        <w:t>rocede e</w:t>
      </w:r>
      <w:r w:rsidRPr="00873FEC">
        <w:rPr>
          <w:rFonts w:ascii="Verdana" w:hAnsi="Verdana"/>
          <w:sz w:val="20"/>
          <w:szCs w:val="20"/>
          <w:lang w:val="es-CR"/>
        </w:rPr>
        <w:t>n casos de masacres y ejecuciones extrajudiciales</w:t>
      </w:r>
      <w:r w:rsidRPr="00873FEC">
        <w:rPr>
          <w:rStyle w:val="FootnoteReference"/>
          <w:rFonts w:ascii="Verdana" w:hAnsi="Verdana"/>
          <w:sz w:val="20"/>
          <w:lang w:val="es-CR" w:eastAsia="x-none"/>
        </w:rPr>
        <w:footnoteReference w:id="188"/>
      </w:r>
      <w:r w:rsidRPr="00873FEC">
        <w:rPr>
          <w:rFonts w:ascii="Verdana" w:hAnsi="Verdana"/>
          <w:sz w:val="20"/>
          <w:szCs w:val="20"/>
          <w:lang w:val="es-CR"/>
        </w:rPr>
        <w:t xml:space="preserve"> respecto de familiares de personas muertas. </w:t>
      </w:r>
      <w:r w:rsidRPr="00873FEC">
        <w:rPr>
          <w:rFonts w:ascii="Verdana" w:hAnsi="Verdana"/>
          <w:sz w:val="20"/>
          <w:szCs w:val="20"/>
        </w:rPr>
        <w:t xml:space="preserve">En circunstancias en que no procede la presunción, este </w:t>
      </w:r>
      <w:r w:rsidRPr="00873FEC">
        <w:rPr>
          <w:rFonts w:ascii="Verdana" w:hAnsi="Verdana"/>
          <w:sz w:val="20"/>
          <w:szCs w:val="20"/>
        </w:rPr>
        <w:lastRenderedPageBreak/>
        <w:t>Tribunal debe evaluar, por un lado, la existencia de un vínculo particularmente estrecho entre los familiares y la víctima del caso que les permita establecer una afectación a su integridad personal y, por otro lado, si de la prueba que consta en el expediente se acredita una violación del derecho a la integridad</w:t>
      </w:r>
      <w:r w:rsidR="0081472F" w:rsidRPr="00873FEC">
        <w:rPr>
          <w:rFonts w:ascii="Verdana" w:hAnsi="Verdana"/>
          <w:sz w:val="20"/>
          <w:szCs w:val="20"/>
        </w:rPr>
        <w:t xml:space="preserve"> personal</w:t>
      </w:r>
      <w:r w:rsidRPr="00873FEC">
        <w:rPr>
          <w:rStyle w:val="FootnoteReference"/>
          <w:rFonts w:ascii="Verdana" w:hAnsi="Verdana"/>
          <w:sz w:val="20"/>
          <w:lang w:eastAsia="x-none"/>
        </w:rPr>
        <w:footnoteReference w:id="189"/>
      </w:r>
      <w:r w:rsidRPr="00873FEC">
        <w:rPr>
          <w:rFonts w:ascii="Verdana" w:hAnsi="Verdana"/>
          <w:sz w:val="20"/>
          <w:szCs w:val="20"/>
        </w:rPr>
        <w:t>.</w:t>
      </w:r>
    </w:p>
    <w:p w:rsidR="00332F58" w:rsidRPr="00873FEC" w:rsidRDefault="00332F58" w:rsidP="00126E97">
      <w:pPr>
        <w:pStyle w:val="ListParagraph"/>
        <w:spacing w:after="0" w:line="20" w:lineRule="atLeast"/>
        <w:rPr>
          <w:rFonts w:ascii="Verdana" w:hAnsi="Verdana"/>
          <w:color w:val="1A1A1A"/>
          <w:sz w:val="20"/>
          <w:szCs w:val="20"/>
          <w:lang w:val="es-CL"/>
        </w:rPr>
      </w:pPr>
    </w:p>
    <w:p w:rsidR="00332F58" w:rsidRPr="00873FEC" w:rsidRDefault="00332F58" w:rsidP="00126E97">
      <w:pPr>
        <w:numPr>
          <w:ilvl w:val="0"/>
          <w:numId w:val="3"/>
        </w:numPr>
        <w:spacing w:after="0" w:line="20" w:lineRule="atLeast"/>
        <w:ind w:right="-138"/>
        <w:jc w:val="both"/>
        <w:rPr>
          <w:szCs w:val="20"/>
          <w:lang w:val="es-CL"/>
        </w:rPr>
      </w:pPr>
      <w:r w:rsidRPr="00873FEC">
        <w:rPr>
          <w:rFonts w:ascii="Verdana" w:hAnsi="Verdana"/>
          <w:sz w:val="20"/>
          <w:szCs w:val="20"/>
        </w:rPr>
        <w:t xml:space="preserve">En el presente caso, debe presumirse que los familiares directos de las personas que fueron muertas el 5 de octubre de 1995 vieron afectada su integridad personal. La Corte no cuenta con elementos para desvirtuar esta presunción. Además, en el caso, </w:t>
      </w:r>
      <w:r w:rsidR="00C66AF3">
        <w:rPr>
          <w:rFonts w:ascii="Verdana" w:hAnsi="Verdana"/>
          <w:sz w:val="20"/>
          <w:szCs w:val="20"/>
        </w:rPr>
        <w:t>se</w:t>
      </w:r>
      <w:r w:rsidRPr="00873FEC">
        <w:rPr>
          <w:rFonts w:ascii="Verdana" w:hAnsi="Verdana"/>
          <w:sz w:val="20"/>
          <w:szCs w:val="20"/>
        </w:rPr>
        <w:t xml:space="preserve"> entiende que las afectaciones </w:t>
      </w:r>
      <w:r w:rsidR="00C66AF3">
        <w:rPr>
          <w:rFonts w:ascii="Verdana" w:hAnsi="Verdana"/>
          <w:sz w:val="20"/>
          <w:szCs w:val="20"/>
        </w:rPr>
        <w:t>a</w:t>
      </w:r>
      <w:r w:rsidRPr="00873FEC">
        <w:rPr>
          <w:rFonts w:ascii="Verdana" w:hAnsi="Verdana"/>
          <w:sz w:val="20"/>
          <w:szCs w:val="20"/>
        </w:rPr>
        <w:t xml:space="preserve"> la integridad personal de dichos familiares se ven agravadas por haber vivido por sí mismos los hechos</w:t>
      </w:r>
      <w:r w:rsidRPr="00873FEC">
        <w:rPr>
          <w:rStyle w:val="FootnoteReference"/>
          <w:rFonts w:ascii="Verdana" w:hAnsi="Verdana"/>
          <w:sz w:val="20"/>
          <w:lang w:eastAsia="x-none"/>
        </w:rPr>
        <w:footnoteReference w:id="190"/>
      </w:r>
      <w:r w:rsidRPr="00873FEC">
        <w:rPr>
          <w:rFonts w:ascii="Verdana" w:hAnsi="Verdana"/>
          <w:sz w:val="20"/>
          <w:szCs w:val="20"/>
        </w:rPr>
        <w:t xml:space="preserve"> y, en algunos casos, ser testigos directos de la muerte de un ser querido</w:t>
      </w:r>
      <w:r w:rsidRPr="00873FEC">
        <w:rPr>
          <w:rStyle w:val="FootnoteReference"/>
          <w:rFonts w:ascii="Verdana" w:hAnsi="Verdana"/>
          <w:sz w:val="20"/>
          <w:lang w:eastAsia="x-none"/>
        </w:rPr>
        <w:footnoteReference w:id="191"/>
      </w:r>
      <w:r w:rsidRPr="00873FEC">
        <w:rPr>
          <w:rFonts w:ascii="Verdana" w:hAnsi="Verdana"/>
          <w:sz w:val="20"/>
          <w:szCs w:val="20"/>
        </w:rPr>
        <w:t>. Aunado a lo dicho, no consta que el Estado</w:t>
      </w:r>
      <w:r w:rsidRPr="00873FEC">
        <w:rPr>
          <w:rFonts w:ascii="Verdana" w:hAnsi="Verdana"/>
          <w:sz w:val="20"/>
          <w:szCs w:val="20"/>
          <w:lang w:val="es-CL"/>
        </w:rPr>
        <w:t xml:space="preserve"> </w:t>
      </w:r>
      <w:proofErr w:type="spellStart"/>
      <w:r w:rsidRPr="00873FEC">
        <w:rPr>
          <w:rFonts w:ascii="Verdana" w:hAnsi="Verdana"/>
          <w:sz w:val="20"/>
          <w:szCs w:val="20"/>
          <w:lang w:val="es-CL"/>
        </w:rPr>
        <w:t>brindara</w:t>
      </w:r>
      <w:proofErr w:type="spellEnd"/>
      <w:r w:rsidRPr="00873FEC">
        <w:rPr>
          <w:rFonts w:ascii="Verdana" w:hAnsi="Verdana"/>
          <w:sz w:val="20"/>
          <w:szCs w:val="20"/>
          <w:lang w:val="es-CL"/>
        </w:rPr>
        <w:t xml:space="preserve"> asistencia médica o psicológica frente a esta situación</w:t>
      </w:r>
      <w:r w:rsidRPr="00873FEC">
        <w:rPr>
          <w:rStyle w:val="FootnoteReference"/>
          <w:rFonts w:ascii="Verdana" w:hAnsi="Verdana"/>
          <w:sz w:val="20"/>
          <w:lang w:eastAsia="x-none"/>
        </w:rPr>
        <w:footnoteReference w:id="192"/>
      </w:r>
      <w:r w:rsidRPr="00873FEC">
        <w:rPr>
          <w:rFonts w:ascii="Verdana" w:hAnsi="Verdana"/>
          <w:sz w:val="20"/>
          <w:szCs w:val="20"/>
        </w:rPr>
        <w:t xml:space="preserve">. Por lo tanto, Guatemala violó el derecho a la integridad respecto de los familiares directos de las víctimas fallecidas. </w:t>
      </w:r>
    </w:p>
    <w:p w:rsidR="00FE7D3F" w:rsidRPr="00873FEC" w:rsidRDefault="00FE7D3F" w:rsidP="00126E97">
      <w:pPr>
        <w:spacing w:after="0" w:line="20" w:lineRule="atLeast"/>
        <w:ind w:right="-138"/>
        <w:jc w:val="both"/>
        <w:rPr>
          <w:szCs w:val="20"/>
          <w:lang w:val="es-CL"/>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L"/>
        </w:rPr>
        <w:t>Con r</w:t>
      </w:r>
      <w:r w:rsidRPr="00873FEC">
        <w:rPr>
          <w:rFonts w:ascii="Verdana" w:hAnsi="Verdana"/>
          <w:sz w:val="20"/>
          <w:szCs w:val="20"/>
          <w:lang w:val="es-CR"/>
        </w:rPr>
        <w:t>elación a familiares de personas heridas, la Comisión y los representantes s</w:t>
      </w:r>
      <w:r w:rsidR="00C66AF3">
        <w:rPr>
          <w:rFonts w:ascii="Verdana" w:hAnsi="Verdana"/>
          <w:sz w:val="20"/>
          <w:szCs w:val="20"/>
          <w:lang w:val="es-CR"/>
        </w:rPr>
        <w:t>ó</w:t>
      </w:r>
      <w:r w:rsidRPr="00873FEC">
        <w:rPr>
          <w:rFonts w:ascii="Verdana" w:hAnsi="Verdana"/>
          <w:sz w:val="20"/>
          <w:szCs w:val="20"/>
          <w:lang w:val="es-CR"/>
        </w:rPr>
        <w:t>lo señalaron como presuntas víctimas a familiares de Francisco Hernández. No obstante, también deben considerarse en esa situación</w:t>
      </w:r>
      <w:r w:rsidR="00C66AF3">
        <w:rPr>
          <w:rFonts w:ascii="Verdana" w:hAnsi="Verdana"/>
          <w:sz w:val="20"/>
          <w:szCs w:val="20"/>
          <w:lang w:val="es-CR"/>
        </w:rPr>
        <w:t>,</w:t>
      </w:r>
      <w:r w:rsidRPr="00873FEC">
        <w:rPr>
          <w:rFonts w:ascii="Verdana" w:hAnsi="Verdana"/>
          <w:sz w:val="20"/>
          <w:szCs w:val="20"/>
          <w:lang w:val="es-CR"/>
        </w:rPr>
        <w:t xml:space="preserve"> a</w:t>
      </w:r>
      <w:r w:rsidR="00C66AF3">
        <w:rPr>
          <w:rFonts w:ascii="Verdana" w:hAnsi="Verdana"/>
          <w:sz w:val="20"/>
          <w:szCs w:val="20"/>
          <w:lang w:val="es-CR"/>
        </w:rPr>
        <w:t xml:space="preserve"> los</w:t>
      </w:r>
      <w:r w:rsidRPr="00873FEC">
        <w:rPr>
          <w:rFonts w:ascii="Verdana" w:hAnsi="Verdana"/>
          <w:sz w:val="20"/>
          <w:szCs w:val="20"/>
          <w:lang w:val="es-CR"/>
        </w:rPr>
        <w:t xml:space="preserve"> familiares de Santiago </w:t>
      </w:r>
      <w:proofErr w:type="spellStart"/>
      <w:r w:rsidRPr="00873FEC">
        <w:rPr>
          <w:rFonts w:ascii="Verdana" w:hAnsi="Verdana"/>
          <w:sz w:val="20"/>
          <w:szCs w:val="20"/>
          <w:lang w:val="es-CR"/>
        </w:rPr>
        <w:t>Maquín</w:t>
      </w:r>
      <w:proofErr w:type="spellEnd"/>
      <w:r w:rsidRPr="00873FEC">
        <w:rPr>
          <w:rFonts w:ascii="Verdana" w:hAnsi="Verdana"/>
          <w:sz w:val="20"/>
          <w:szCs w:val="20"/>
          <w:lang w:val="es-CR"/>
        </w:rPr>
        <w:t xml:space="preserve"> </w:t>
      </w:r>
      <w:proofErr w:type="spellStart"/>
      <w:r w:rsidRPr="00873FEC">
        <w:rPr>
          <w:rFonts w:ascii="Verdana" w:hAnsi="Verdana"/>
          <w:sz w:val="20"/>
          <w:szCs w:val="20"/>
          <w:lang w:val="es-CR"/>
        </w:rPr>
        <w:t>Quip</w:t>
      </w:r>
      <w:proofErr w:type="spellEnd"/>
      <w:r w:rsidRPr="00873FEC">
        <w:rPr>
          <w:rFonts w:ascii="Verdana" w:hAnsi="Verdana"/>
          <w:sz w:val="20"/>
          <w:szCs w:val="20"/>
          <w:lang w:val="es-CR"/>
        </w:rPr>
        <w:t xml:space="preserve"> y Rosendo Morales Ortiz pues</w:t>
      </w:r>
      <w:r w:rsidR="00C66AF3">
        <w:rPr>
          <w:rFonts w:ascii="Verdana" w:hAnsi="Verdana"/>
          <w:sz w:val="20"/>
          <w:szCs w:val="20"/>
          <w:lang w:val="es-CR"/>
        </w:rPr>
        <w:t>,</w:t>
      </w:r>
      <w:r w:rsidRPr="00873FEC">
        <w:rPr>
          <w:rFonts w:ascii="Verdana" w:hAnsi="Verdana"/>
          <w:sz w:val="20"/>
          <w:szCs w:val="20"/>
          <w:lang w:val="es-CR"/>
        </w:rPr>
        <w:t xml:space="preserve"> respecto a ambos, la Corte no consideró violado su derecho a la vida, dado que determinó que no es posible establecer un vínculo entre su muerte y las heridas que sufrieron el 5 de octubre de 1995 (</w:t>
      </w:r>
      <w:r w:rsidRPr="00873FEC">
        <w:rPr>
          <w:rFonts w:ascii="Verdana" w:hAnsi="Verdana"/>
          <w:i/>
          <w:sz w:val="20"/>
          <w:szCs w:val="20"/>
          <w:lang w:val="es-CR"/>
        </w:rPr>
        <w:t>supra</w:t>
      </w:r>
      <w:r w:rsidRPr="00873FEC">
        <w:rPr>
          <w:rFonts w:ascii="Verdana" w:hAnsi="Verdana"/>
          <w:sz w:val="20"/>
          <w:szCs w:val="20"/>
          <w:lang w:val="es-CR"/>
        </w:rPr>
        <w:t xml:space="preserve"> párr. 1</w:t>
      </w:r>
      <w:r w:rsidR="008877A6" w:rsidRPr="00873FEC">
        <w:rPr>
          <w:rFonts w:ascii="Verdana" w:hAnsi="Verdana"/>
          <w:sz w:val="20"/>
          <w:szCs w:val="20"/>
          <w:lang w:val="es-CR"/>
        </w:rPr>
        <w:t>1</w:t>
      </w:r>
      <w:r w:rsidRPr="00873FEC">
        <w:rPr>
          <w:rFonts w:ascii="Verdana" w:hAnsi="Verdana"/>
          <w:sz w:val="20"/>
          <w:szCs w:val="20"/>
          <w:lang w:val="es-CR"/>
        </w:rPr>
        <w:t>2)</w:t>
      </w:r>
      <w:r w:rsidRPr="00873FEC">
        <w:rPr>
          <w:rStyle w:val="FootnoteReference"/>
          <w:rFonts w:ascii="Verdana" w:hAnsi="Verdana"/>
          <w:sz w:val="20"/>
          <w:lang w:val="es-CR" w:eastAsia="x-none"/>
        </w:rPr>
        <w:footnoteReference w:id="193"/>
      </w:r>
      <w:r w:rsidRPr="00873FEC">
        <w:rPr>
          <w:rFonts w:ascii="Verdana" w:hAnsi="Verdana"/>
          <w:sz w:val="20"/>
          <w:szCs w:val="20"/>
          <w:lang w:val="es-CR"/>
        </w:rPr>
        <w:t xml:space="preserve">.  </w:t>
      </w:r>
    </w:p>
    <w:p w:rsidR="00332F58" w:rsidRPr="00873FEC" w:rsidRDefault="00332F58" w:rsidP="00126E97">
      <w:pPr>
        <w:pStyle w:val="ListParagraph"/>
        <w:spacing w:after="0" w:line="20" w:lineRule="atLeast"/>
        <w:rPr>
          <w:rFonts w:ascii="Verdana" w:hAnsi="Verdana"/>
          <w:sz w:val="20"/>
          <w:szCs w:val="20"/>
          <w:lang w:val="es-CL"/>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L"/>
        </w:rPr>
        <w:t>Respect</w:t>
      </w:r>
      <w:r w:rsidR="00B32759" w:rsidRPr="00873FEC">
        <w:rPr>
          <w:rFonts w:ascii="Verdana" w:hAnsi="Verdana"/>
          <w:sz w:val="20"/>
          <w:szCs w:val="20"/>
          <w:lang w:val="es-CL"/>
        </w:rPr>
        <w:t xml:space="preserve">o al caso de los familiares de </w:t>
      </w:r>
      <w:r w:rsidR="00B32759" w:rsidRPr="00873FEC">
        <w:rPr>
          <w:rFonts w:ascii="Verdana" w:hAnsi="Verdana"/>
          <w:sz w:val="20"/>
          <w:szCs w:val="20"/>
        </w:rPr>
        <w:t>Francisco</w:t>
      </w:r>
      <w:r w:rsidRPr="00873FEC">
        <w:rPr>
          <w:rFonts w:ascii="Verdana" w:hAnsi="Verdana"/>
          <w:sz w:val="20"/>
          <w:szCs w:val="20"/>
        </w:rPr>
        <w:t xml:space="preserve"> Hernández, los antecedentes aportados por las partes y las declaraciones de sus familiares no permiten establecer un sufrimiento adicional producto de las circunstancias par</w:t>
      </w:r>
      <w:r w:rsidR="00C66AF3">
        <w:rPr>
          <w:rFonts w:ascii="Verdana" w:hAnsi="Verdana"/>
          <w:sz w:val="20"/>
          <w:szCs w:val="20"/>
        </w:rPr>
        <w:t>ticulares vividas por é</w:t>
      </w:r>
      <w:r w:rsidRPr="00873FEC">
        <w:rPr>
          <w:rFonts w:ascii="Verdana" w:hAnsi="Verdana"/>
          <w:sz w:val="20"/>
          <w:szCs w:val="20"/>
        </w:rPr>
        <w:t>ste</w:t>
      </w:r>
      <w:r w:rsidR="00550BBF" w:rsidRPr="00873FEC">
        <w:rPr>
          <w:rStyle w:val="FootnoteReference"/>
          <w:rFonts w:ascii="Verdana" w:hAnsi="Verdana"/>
          <w:sz w:val="20"/>
          <w:lang w:eastAsia="x-none"/>
        </w:rPr>
        <w:footnoteReference w:id="194"/>
      </w:r>
      <w:r w:rsidRPr="00873FEC">
        <w:rPr>
          <w:rFonts w:ascii="Verdana" w:hAnsi="Verdana"/>
          <w:sz w:val="20"/>
          <w:szCs w:val="20"/>
        </w:rPr>
        <w:t xml:space="preserve">. Por todo lo anterior, </w:t>
      </w:r>
      <w:r w:rsidRPr="00873FEC">
        <w:rPr>
          <w:rFonts w:ascii="Verdana" w:eastAsia="Times New Roman" w:hAnsi="Verdana"/>
          <w:bCs/>
          <w:color w:val="000000"/>
          <w:sz w:val="20"/>
          <w:szCs w:val="20"/>
        </w:rPr>
        <w:t>este Tribunal estima que no existe, en relación con las heridas sufridas por Francisco Hernández, una vulneración de la integridad personal de Cruz Maldonado Silvestre</w:t>
      </w:r>
      <w:r w:rsidR="00550BBF" w:rsidRPr="00873FEC">
        <w:rPr>
          <w:rFonts w:ascii="Verdana" w:eastAsia="Times New Roman" w:hAnsi="Verdana"/>
          <w:bCs/>
          <w:color w:val="000000"/>
          <w:sz w:val="20"/>
          <w:szCs w:val="20"/>
        </w:rPr>
        <w:t xml:space="preserve">, ni de </w:t>
      </w:r>
      <w:r w:rsidRPr="00873FEC">
        <w:rPr>
          <w:rFonts w:ascii="Verdana" w:eastAsia="Times New Roman" w:hAnsi="Verdana"/>
          <w:bCs/>
          <w:color w:val="000000"/>
          <w:sz w:val="20"/>
          <w:szCs w:val="20"/>
        </w:rPr>
        <w:t xml:space="preserve">Florencia, Andrés, </w:t>
      </w:r>
      <w:proofErr w:type="spellStart"/>
      <w:r w:rsidRPr="00873FEC">
        <w:rPr>
          <w:rFonts w:ascii="Verdana" w:eastAsia="Times New Roman" w:hAnsi="Verdana"/>
          <w:bCs/>
          <w:color w:val="000000"/>
          <w:sz w:val="20"/>
          <w:szCs w:val="20"/>
        </w:rPr>
        <w:t>Martalia</w:t>
      </w:r>
      <w:proofErr w:type="spellEnd"/>
      <w:r w:rsidRPr="00873FEC">
        <w:rPr>
          <w:rFonts w:ascii="Verdana" w:eastAsia="Times New Roman" w:hAnsi="Verdana"/>
          <w:bCs/>
          <w:color w:val="000000"/>
          <w:sz w:val="20"/>
          <w:szCs w:val="20"/>
        </w:rPr>
        <w:t xml:space="preserve">, </w:t>
      </w:r>
      <w:proofErr w:type="spellStart"/>
      <w:r w:rsidRPr="00873FEC">
        <w:rPr>
          <w:rFonts w:ascii="Verdana" w:eastAsia="Times New Roman" w:hAnsi="Verdana"/>
          <w:bCs/>
          <w:color w:val="000000"/>
          <w:sz w:val="20"/>
          <w:szCs w:val="20"/>
        </w:rPr>
        <w:t>Atilana</w:t>
      </w:r>
      <w:proofErr w:type="spellEnd"/>
      <w:r w:rsidRPr="00873FEC">
        <w:rPr>
          <w:rFonts w:ascii="Verdana" w:eastAsia="Times New Roman" w:hAnsi="Verdana"/>
          <w:bCs/>
          <w:color w:val="000000"/>
          <w:sz w:val="20"/>
          <w:szCs w:val="20"/>
        </w:rPr>
        <w:t xml:space="preserve"> y Rolando, tod</w:t>
      </w:r>
      <w:r w:rsidR="00B32759" w:rsidRPr="00873FEC">
        <w:rPr>
          <w:rFonts w:ascii="Verdana" w:eastAsia="Times New Roman" w:hAnsi="Verdana"/>
          <w:bCs/>
          <w:color w:val="000000"/>
          <w:sz w:val="20"/>
          <w:szCs w:val="20"/>
        </w:rPr>
        <w:t xml:space="preserve">as </w:t>
      </w:r>
      <w:r w:rsidR="00550BBF" w:rsidRPr="00873FEC">
        <w:rPr>
          <w:rFonts w:ascii="Verdana" w:eastAsia="Times New Roman" w:hAnsi="Verdana"/>
          <w:bCs/>
          <w:color w:val="000000"/>
          <w:sz w:val="20"/>
          <w:szCs w:val="20"/>
        </w:rPr>
        <w:t xml:space="preserve">estas últimas </w:t>
      </w:r>
      <w:r w:rsidR="00B32759" w:rsidRPr="00873FEC">
        <w:rPr>
          <w:rFonts w:ascii="Verdana" w:eastAsia="Times New Roman" w:hAnsi="Verdana"/>
          <w:bCs/>
          <w:color w:val="000000"/>
          <w:sz w:val="20"/>
          <w:szCs w:val="20"/>
        </w:rPr>
        <w:t>personas de</w:t>
      </w:r>
      <w:r w:rsidRPr="00873FEC">
        <w:rPr>
          <w:rFonts w:ascii="Verdana" w:eastAsia="Times New Roman" w:hAnsi="Verdana"/>
          <w:bCs/>
          <w:color w:val="000000"/>
          <w:sz w:val="20"/>
          <w:szCs w:val="20"/>
        </w:rPr>
        <w:t xml:space="preserve"> apellido Hernández Maldonado.</w:t>
      </w:r>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lastRenderedPageBreak/>
        <w:t xml:space="preserve">Con relación a la muerte de Santiago </w:t>
      </w:r>
      <w:proofErr w:type="spellStart"/>
      <w:r w:rsidRPr="00873FEC">
        <w:rPr>
          <w:rFonts w:ascii="Verdana" w:hAnsi="Verdana"/>
          <w:sz w:val="20"/>
          <w:szCs w:val="20"/>
          <w:lang w:val="es-CR"/>
        </w:rPr>
        <w:t>Ma</w:t>
      </w:r>
      <w:r w:rsidR="0004311C">
        <w:rPr>
          <w:rFonts w:ascii="Verdana" w:hAnsi="Verdana"/>
          <w:sz w:val="20"/>
          <w:szCs w:val="20"/>
          <w:lang w:val="es-CR"/>
        </w:rPr>
        <w:t>quín</w:t>
      </w:r>
      <w:proofErr w:type="spellEnd"/>
      <w:r w:rsidR="0004311C">
        <w:rPr>
          <w:rFonts w:ascii="Verdana" w:hAnsi="Verdana"/>
          <w:sz w:val="20"/>
          <w:szCs w:val="20"/>
          <w:lang w:val="es-CR"/>
        </w:rPr>
        <w:t xml:space="preserve"> </w:t>
      </w:r>
      <w:proofErr w:type="spellStart"/>
      <w:r w:rsidR="0004311C">
        <w:rPr>
          <w:rFonts w:ascii="Verdana" w:hAnsi="Verdana"/>
          <w:sz w:val="20"/>
          <w:szCs w:val="20"/>
          <w:lang w:val="es-CR"/>
        </w:rPr>
        <w:t>Quip</w:t>
      </w:r>
      <w:proofErr w:type="spellEnd"/>
      <w:r w:rsidR="0004311C">
        <w:rPr>
          <w:rFonts w:ascii="Verdana" w:hAnsi="Verdana"/>
          <w:sz w:val="20"/>
          <w:szCs w:val="20"/>
          <w:lang w:val="es-CR"/>
        </w:rPr>
        <w:t xml:space="preserve"> y Rosendo Morales </w:t>
      </w:r>
      <w:proofErr w:type="spellStart"/>
      <w:r w:rsidR="0004311C">
        <w:rPr>
          <w:rFonts w:ascii="Verdana" w:hAnsi="Verdana"/>
          <w:sz w:val="20"/>
          <w:szCs w:val="20"/>
          <w:lang w:val="es-CR"/>
        </w:rPr>
        <w:t>Ortí</w:t>
      </w:r>
      <w:r w:rsidRPr="00873FEC">
        <w:rPr>
          <w:rFonts w:ascii="Verdana" w:hAnsi="Verdana"/>
          <w:sz w:val="20"/>
          <w:szCs w:val="20"/>
          <w:lang w:val="es-CR"/>
        </w:rPr>
        <w:t>z</w:t>
      </w:r>
      <w:proofErr w:type="spellEnd"/>
      <w:r w:rsidRPr="00873FEC">
        <w:rPr>
          <w:rFonts w:ascii="Verdana" w:hAnsi="Verdana"/>
          <w:sz w:val="20"/>
          <w:szCs w:val="20"/>
          <w:lang w:val="es-CR"/>
        </w:rPr>
        <w:t>, por lo expuesto (</w:t>
      </w:r>
      <w:r w:rsidRPr="00873FEC">
        <w:rPr>
          <w:rFonts w:ascii="Verdana" w:hAnsi="Verdana"/>
          <w:i/>
          <w:sz w:val="20"/>
          <w:szCs w:val="20"/>
          <w:lang w:val="es-CR"/>
        </w:rPr>
        <w:t>supra</w:t>
      </w:r>
      <w:r w:rsidRPr="00873FEC">
        <w:rPr>
          <w:rFonts w:ascii="Verdana" w:hAnsi="Verdana"/>
          <w:sz w:val="20"/>
          <w:szCs w:val="20"/>
          <w:lang w:val="es-CR"/>
        </w:rPr>
        <w:t xml:space="preserve"> párr. 12</w:t>
      </w:r>
      <w:r w:rsidR="001D1F47" w:rsidRPr="00873FEC">
        <w:rPr>
          <w:rFonts w:ascii="Verdana" w:hAnsi="Verdana"/>
          <w:sz w:val="20"/>
          <w:szCs w:val="20"/>
          <w:lang w:val="es-CR"/>
        </w:rPr>
        <w:t>5</w:t>
      </w:r>
      <w:r w:rsidRPr="00873FEC">
        <w:rPr>
          <w:rFonts w:ascii="Verdana" w:hAnsi="Verdana"/>
          <w:sz w:val="20"/>
          <w:szCs w:val="20"/>
          <w:lang w:val="es-CR"/>
        </w:rPr>
        <w:t xml:space="preserve">), </w:t>
      </w:r>
      <w:r w:rsidRPr="00873FEC">
        <w:rPr>
          <w:rFonts w:ascii="Verdana" w:eastAsia="Times New Roman" w:hAnsi="Verdana"/>
          <w:bCs/>
          <w:color w:val="000000"/>
          <w:sz w:val="20"/>
          <w:szCs w:val="20"/>
        </w:rPr>
        <w:t xml:space="preserve">no puede </w:t>
      </w:r>
      <w:r w:rsidR="00550BBF" w:rsidRPr="00873FEC">
        <w:rPr>
          <w:rFonts w:ascii="Verdana" w:eastAsia="Times New Roman" w:hAnsi="Verdana"/>
          <w:bCs/>
          <w:color w:val="000000"/>
          <w:sz w:val="20"/>
          <w:szCs w:val="20"/>
        </w:rPr>
        <w:t xml:space="preserve">presumirse la </w:t>
      </w:r>
      <w:r w:rsidRPr="00873FEC">
        <w:rPr>
          <w:rFonts w:ascii="Verdana" w:eastAsia="Times New Roman" w:hAnsi="Verdana"/>
          <w:bCs/>
          <w:color w:val="000000"/>
          <w:sz w:val="20"/>
          <w:szCs w:val="20"/>
        </w:rPr>
        <w:t xml:space="preserve">responsabilidad </w:t>
      </w:r>
      <w:r w:rsidR="00550BBF" w:rsidRPr="00873FEC">
        <w:rPr>
          <w:rFonts w:ascii="Verdana" w:eastAsia="Times New Roman" w:hAnsi="Verdana"/>
          <w:bCs/>
          <w:color w:val="000000"/>
          <w:sz w:val="20"/>
          <w:szCs w:val="20"/>
        </w:rPr>
        <w:t xml:space="preserve">estatal </w:t>
      </w:r>
      <w:r w:rsidRPr="00873FEC">
        <w:rPr>
          <w:rFonts w:ascii="Verdana" w:eastAsia="Times New Roman" w:hAnsi="Verdana"/>
          <w:bCs/>
          <w:color w:val="000000"/>
          <w:sz w:val="20"/>
          <w:szCs w:val="20"/>
        </w:rPr>
        <w:t>por una afectación a la integridad personal de sus familiares. Por otra parte, no constan pruebas y argumentos que demuestren</w:t>
      </w:r>
      <w:r w:rsidRPr="00873FEC">
        <w:rPr>
          <w:rFonts w:ascii="Verdana" w:hAnsi="Verdana"/>
          <w:sz w:val="20"/>
          <w:szCs w:val="20"/>
        </w:rPr>
        <w:t xml:space="preserve"> algún tipo de afectación causada a los familiares de dichas personas a causa de </w:t>
      </w:r>
      <w:r w:rsidRPr="00873FEC">
        <w:rPr>
          <w:rFonts w:ascii="Verdana" w:eastAsia="Times New Roman" w:hAnsi="Verdana"/>
          <w:bCs/>
          <w:color w:val="000000"/>
          <w:sz w:val="20"/>
          <w:szCs w:val="20"/>
        </w:rPr>
        <w:t>las heridas que ellos sufrieron. Por lo tanto, no procede</w:t>
      </w:r>
      <w:r w:rsidR="00DC2D75" w:rsidRPr="00873FEC">
        <w:rPr>
          <w:rFonts w:ascii="Verdana" w:eastAsia="Times New Roman" w:hAnsi="Verdana"/>
          <w:bCs/>
          <w:color w:val="000000"/>
          <w:sz w:val="20"/>
          <w:szCs w:val="20"/>
        </w:rPr>
        <w:t>, en relación con las heridas sufridas por las dos personas nombradas,</w:t>
      </w:r>
      <w:r w:rsidRPr="00873FEC">
        <w:rPr>
          <w:rFonts w:ascii="Verdana" w:eastAsia="Times New Roman" w:hAnsi="Verdana"/>
          <w:bCs/>
          <w:color w:val="000000"/>
          <w:sz w:val="20"/>
          <w:szCs w:val="20"/>
        </w:rPr>
        <w:t xml:space="preserve"> declarar vulnerado el derecho a la integridad personal en perjuicio de Manuela Pop</w:t>
      </w:r>
      <w:r w:rsidR="00FA5CA1">
        <w:rPr>
          <w:rFonts w:ascii="Verdana" w:eastAsia="Times New Roman" w:hAnsi="Verdana"/>
          <w:bCs/>
          <w:color w:val="000000"/>
          <w:sz w:val="20"/>
          <w:szCs w:val="20"/>
        </w:rPr>
        <w:t xml:space="preserve"> </w:t>
      </w:r>
      <w:proofErr w:type="spellStart"/>
      <w:r w:rsidR="00FA5CA1">
        <w:rPr>
          <w:rFonts w:ascii="Verdana" w:eastAsia="Times New Roman" w:hAnsi="Verdana"/>
          <w:bCs/>
          <w:color w:val="000000"/>
          <w:sz w:val="20"/>
          <w:szCs w:val="20"/>
        </w:rPr>
        <w:t>Choc</w:t>
      </w:r>
      <w:proofErr w:type="spellEnd"/>
      <w:r w:rsidR="00FA5CA1">
        <w:rPr>
          <w:rFonts w:ascii="Verdana" w:eastAsia="Times New Roman" w:hAnsi="Verdana"/>
          <w:bCs/>
          <w:color w:val="000000"/>
          <w:sz w:val="20"/>
          <w:szCs w:val="20"/>
        </w:rPr>
        <w:t xml:space="preserve">, Francisco </w:t>
      </w:r>
      <w:proofErr w:type="spellStart"/>
      <w:r w:rsidR="00FA5CA1">
        <w:rPr>
          <w:rFonts w:ascii="Verdana" w:eastAsia="Times New Roman" w:hAnsi="Verdana"/>
          <w:bCs/>
          <w:color w:val="000000"/>
          <w:sz w:val="20"/>
          <w:szCs w:val="20"/>
        </w:rPr>
        <w:t>Quip</w:t>
      </w:r>
      <w:proofErr w:type="spellEnd"/>
      <w:r w:rsidR="00FA5CA1">
        <w:rPr>
          <w:rFonts w:ascii="Verdana" w:eastAsia="Times New Roman" w:hAnsi="Verdana"/>
          <w:bCs/>
          <w:color w:val="000000"/>
          <w:sz w:val="20"/>
          <w:szCs w:val="20"/>
        </w:rPr>
        <w:t xml:space="preserve"> </w:t>
      </w:r>
      <w:proofErr w:type="spellStart"/>
      <w:r w:rsidR="00FA5CA1">
        <w:rPr>
          <w:rFonts w:ascii="Verdana" w:eastAsia="Times New Roman" w:hAnsi="Verdana"/>
          <w:bCs/>
          <w:color w:val="000000"/>
          <w:sz w:val="20"/>
          <w:szCs w:val="20"/>
        </w:rPr>
        <w:t>Choc</w:t>
      </w:r>
      <w:proofErr w:type="spellEnd"/>
      <w:r w:rsidR="00FA5CA1">
        <w:rPr>
          <w:rFonts w:ascii="Verdana" w:eastAsia="Times New Roman" w:hAnsi="Verdana"/>
          <w:bCs/>
          <w:color w:val="000000"/>
          <w:sz w:val="20"/>
          <w:szCs w:val="20"/>
        </w:rPr>
        <w:t xml:space="preserve">, Petrona </w:t>
      </w:r>
      <w:proofErr w:type="spellStart"/>
      <w:r w:rsidR="00FA5CA1">
        <w:rPr>
          <w:rFonts w:ascii="Verdana" w:eastAsia="Times New Roman" w:hAnsi="Verdana"/>
          <w:bCs/>
          <w:color w:val="000000"/>
          <w:sz w:val="20"/>
          <w:szCs w:val="20"/>
        </w:rPr>
        <w:t>Quip</w:t>
      </w:r>
      <w:proofErr w:type="spellEnd"/>
      <w:r w:rsidR="00FA5CA1">
        <w:rPr>
          <w:rFonts w:ascii="Verdana" w:eastAsia="Times New Roman" w:hAnsi="Verdana"/>
          <w:bCs/>
          <w:color w:val="000000"/>
          <w:sz w:val="20"/>
          <w:szCs w:val="20"/>
        </w:rPr>
        <w:t xml:space="preserve"> Pop, Margarita </w:t>
      </w:r>
      <w:proofErr w:type="spellStart"/>
      <w:r w:rsidR="00FA5CA1">
        <w:rPr>
          <w:rFonts w:ascii="Verdana" w:eastAsia="Times New Roman" w:hAnsi="Verdana"/>
          <w:bCs/>
          <w:color w:val="000000"/>
          <w:sz w:val="20"/>
          <w:szCs w:val="20"/>
        </w:rPr>
        <w:t>Quip</w:t>
      </w:r>
      <w:proofErr w:type="spellEnd"/>
      <w:r w:rsidR="00FA5CA1">
        <w:rPr>
          <w:rFonts w:ascii="Verdana" w:eastAsia="Times New Roman" w:hAnsi="Verdana"/>
          <w:bCs/>
          <w:color w:val="000000"/>
          <w:sz w:val="20"/>
          <w:szCs w:val="20"/>
        </w:rPr>
        <w:t xml:space="preserve"> Pop, Martín </w:t>
      </w:r>
      <w:proofErr w:type="spellStart"/>
      <w:r w:rsidR="00FA5CA1">
        <w:rPr>
          <w:rFonts w:ascii="Verdana" w:eastAsia="Times New Roman" w:hAnsi="Verdana"/>
          <w:bCs/>
          <w:color w:val="000000"/>
          <w:sz w:val="20"/>
          <w:szCs w:val="20"/>
        </w:rPr>
        <w:t>Maquín</w:t>
      </w:r>
      <w:proofErr w:type="spellEnd"/>
      <w:r w:rsidR="00FA5CA1">
        <w:rPr>
          <w:rFonts w:ascii="Verdana" w:eastAsia="Times New Roman" w:hAnsi="Verdana"/>
          <w:bCs/>
          <w:color w:val="000000"/>
          <w:sz w:val="20"/>
          <w:szCs w:val="20"/>
        </w:rPr>
        <w:t xml:space="preserve"> </w:t>
      </w:r>
      <w:proofErr w:type="spellStart"/>
      <w:r w:rsidR="00FA5CA1">
        <w:rPr>
          <w:rFonts w:ascii="Verdana" w:eastAsia="Times New Roman" w:hAnsi="Verdana"/>
          <w:bCs/>
          <w:color w:val="000000"/>
          <w:sz w:val="20"/>
          <w:szCs w:val="20"/>
        </w:rPr>
        <w:t>Quip</w:t>
      </w:r>
      <w:proofErr w:type="spellEnd"/>
      <w:r w:rsidRPr="00873FEC">
        <w:rPr>
          <w:rFonts w:ascii="Verdana" w:eastAsia="Times New Roman" w:hAnsi="Verdana"/>
          <w:bCs/>
          <w:color w:val="000000"/>
          <w:sz w:val="20"/>
          <w:szCs w:val="20"/>
        </w:rPr>
        <w:t xml:space="preserve"> Pop, D</w:t>
      </w:r>
      <w:r w:rsidR="00FA5CA1">
        <w:rPr>
          <w:rFonts w:ascii="Verdana" w:eastAsia="Times New Roman" w:hAnsi="Verdana"/>
          <w:bCs/>
          <w:color w:val="000000"/>
          <w:sz w:val="20"/>
          <w:szCs w:val="20"/>
        </w:rPr>
        <w:t xml:space="preserve">ominga </w:t>
      </w:r>
      <w:proofErr w:type="spellStart"/>
      <w:r w:rsidR="00FA5CA1">
        <w:rPr>
          <w:rFonts w:ascii="Verdana" w:eastAsia="Times New Roman" w:hAnsi="Verdana"/>
          <w:bCs/>
          <w:color w:val="000000"/>
          <w:sz w:val="20"/>
          <w:szCs w:val="20"/>
        </w:rPr>
        <w:t>Maquín</w:t>
      </w:r>
      <w:proofErr w:type="spellEnd"/>
      <w:r w:rsidR="00FA5CA1">
        <w:rPr>
          <w:rFonts w:ascii="Verdana" w:eastAsia="Times New Roman" w:hAnsi="Verdana"/>
          <w:bCs/>
          <w:color w:val="000000"/>
          <w:sz w:val="20"/>
          <w:szCs w:val="20"/>
        </w:rPr>
        <w:t xml:space="preserve"> Pop, Santiago </w:t>
      </w:r>
      <w:proofErr w:type="spellStart"/>
      <w:r w:rsidR="00FA5CA1">
        <w:rPr>
          <w:rFonts w:ascii="Verdana" w:eastAsia="Times New Roman" w:hAnsi="Verdana"/>
          <w:bCs/>
          <w:color w:val="000000"/>
          <w:sz w:val="20"/>
          <w:szCs w:val="20"/>
        </w:rPr>
        <w:t>Quip</w:t>
      </w:r>
      <w:proofErr w:type="spellEnd"/>
      <w:r w:rsidR="00135334">
        <w:rPr>
          <w:rFonts w:ascii="Verdana" w:eastAsia="Times New Roman" w:hAnsi="Verdana"/>
          <w:bCs/>
          <w:color w:val="000000"/>
          <w:sz w:val="20"/>
          <w:szCs w:val="20"/>
        </w:rPr>
        <w:t xml:space="preserve"> Pop y José Morales </w:t>
      </w:r>
      <w:proofErr w:type="spellStart"/>
      <w:r w:rsidR="00135334">
        <w:rPr>
          <w:rFonts w:ascii="Verdana" w:eastAsia="Times New Roman" w:hAnsi="Verdana"/>
          <w:bCs/>
          <w:color w:val="000000"/>
          <w:sz w:val="20"/>
          <w:szCs w:val="20"/>
        </w:rPr>
        <w:t>Ortí</w:t>
      </w:r>
      <w:r w:rsidRPr="00873FEC">
        <w:rPr>
          <w:rFonts w:ascii="Verdana" w:eastAsia="Times New Roman" w:hAnsi="Verdana"/>
          <w:bCs/>
          <w:color w:val="000000"/>
          <w:sz w:val="20"/>
          <w:szCs w:val="20"/>
        </w:rPr>
        <w:t>z</w:t>
      </w:r>
      <w:proofErr w:type="spellEnd"/>
      <w:r w:rsidRPr="00873FEC">
        <w:rPr>
          <w:rFonts w:ascii="Verdana" w:eastAsia="Times New Roman" w:hAnsi="Verdana"/>
          <w:bCs/>
          <w:color w:val="000000"/>
          <w:sz w:val="20"/>
          <w:szCs w:val="20"/>
        </w:rPr>
        <w:t>.</w:t>
      </w:r>
    </w:p>
    <w:p w:rsidR="00332F58" w:rsidRPr="00873FEC" w:rsidRDefault="00332F58" w:rsidP="00126E97">
      <w:pPr>
        <w:pStyle w:val="ListParagraph"/>
        <w:spacing w:after="0" w:line="20" w:lineRule="atLeast"/>
        <w:rPr>
          <w:rFonts w:ascii="Verdana" w:hAnsi="Verdana"/>
          <w:sz w:val="20"/>
          <w:szCs w:val="20"/>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rPr>
        <w:t xml:space="preserve">Resta abordar los argumentos que relacionan el derecho a la integridad personal de familiares de personas muertas y heridas con los procesos judiciales. </w:t>
      </w:r>
      <w:r w:rsidR="006C5A57">
        <w:rPr>
          <w:rFonts w:ascii="Verdana" w:hAnsi="Verdana"/>
          <w:sz w:val="20"/>
          <w:szCs w:val="20"/>
        </w:rPr>
        <w:t>E</w:t>
      </w:r>
      <w:r w:rsidRPr="00873FEC">
        <w:rPr>
          <w:rFonts w:ascii="Verdana" w:hAnsi="Verdana"/>
          <w:sz w:val="20"/>
          <w:szCs w:val="20"/>
        </w:rPr>
        <w:t xml:space="preserve">l proceso judicial posibilitó determinar lo sucedido y establecer responsabilidades y no </w:t>
      </w:r>
      <w:r w:rsidR="006C5A57">
        <w:rPr>
          <w:rFonts w:ascii="Verdana" w:hAnsi="Verdana"/>
          <w:sz w:val="20"/>
          <w:szCs w:val="20"/>
        </w:rPr>
        <w:t>se presentan</w:t>
      </w:r>
      <w:r w:rsidRPr="00873FEC">
        <w:rPr>
          <w:rFonts w:ascii="Verdana" w:hAnsi="Verdana"/>
          <w:sz w:val="20"/>
          <w:szCs w:val="20"/>
        </w:rPr>
        <w:t xml:space="preserve"> elementos que permitan concluir </w:t>
      </w:r>
      <w:r w:rsidR="006C5A57">
        <w:rPr>
          <w:rFonts w:ascii="Verdana" w:hAnsi="Verdana"/>
          <w:sz w:val="20"/>
          <w:szCs w:val="20"/>
        </w:rPr>
        <w:t xml:space="preserve">a esta Corte </w:t>
      </w:r>
      <w:r w:rsidRPr="00873FEC">
        <w:rPr>
          <w:rFonts w:ascii="Verdana" w:hAnsi="Verdana"/>
          <w:sz w:val="20"/>
          <w:szCs w:val="20"/>
        </w:rPr>
        <w:t>que, por sí mism</w:t>
      </w:r>
      <w:r w:rsidR="00550BBF" w:rsidRPr="00873FEC">
        <w:rPr>
          <w:rFonts w:ascii="Verdana" w:hAnsi="Verdana"/>
          <w:sz w:val="20"/>
          <w:szCs w:val="20"/>
        </w:rPr>
        <w:t>o</w:t>
      </w:r>
      <w:r w:rsidRPr="00873FEC">
        <w:rPr>
          <w:rFonts w:ascii="Verdana" w:hAnsi="Verdana"/>
          <w:sz w:val="20"/>
          <w:szCs w:val="20"/>
        </w:rPr>
        <w:t>, el hecho de que algunas personas se encuentren prófugas haya generado afectaciones a la integridad personal. En cuanto al aducido temor por la liberación de militares (</w:t>
      </w:r>
      <w:r w:rsidRPr="00873FEC">
        <w:rPr>
          <w:rFonts w:ascii="Verdana" w:hAnsi="Verdana"/>
          <w:i/>
          <w:sz w:val="20"/>
          <w:szCs w:val="20"/>
        </w:rPr>
        <w:t xml:space="preserve">supra </w:t>
      </w:r>
      <w:r w:rsidRPr="00873FEC">
        <w:rPr>
          <w:rFonts w:ascii="Verdana" w:hAnsi="Verdana"/>
          <w:sz w:val="20"/>
          <w:szCs w:val="20"/>
        </w:rPr>
        <w:t xml:space="preserve">nota a pie de página </w:t>
      </w:r>
      <w:r w:rsidR="008877A6" w:rsidRPr="00873FEC">
        <w:rPr>
          <w:rFonts w:ascii="Verdana" w:hAnsi="Verdana"/>
          <w:sz w:val="20"/>
          <w:szCs w:val="20"/>
        </w:rPr>
        <w:t>158</w:t>
      </w:r>
      <w:r w:rsidRPr="00873FEC">
        <w:rPr>
          <w:rFonts w:ascii="Verdana" w:hAnsi="Verdana"/>
          <w:sz w:val="20"/>
          <w:szCs w:val="20"/>
        </w:rPr>
        <w:t>), la Corte entiende que no puede atribuir responsabilidad al Estado por esa situación y se remite a lo indicado con relación a los derechos a las garantías y protección judiciales (</w:t>
      </w:r>
      <w:r w:rsidRPr="00873FEC">
        <w:rPr>
          <w:rFonts w:ascii="Verdana" w:hAnsi="Verdana"/>
          <w:i/>
          <w:sz w:val="20"/>
          <w:szCs w:val="20"/>
        </w:rPr>
        <w:t>supra</w:t>
      </w:r>
      <w:r w:rsidRPr="00873FEC">
        <w:rPr>
          <w:rFonts w:ascii="Verdana" w:hAnsi="Verdana"/>
          <w:sz w:val="20"/>
          <w:szCs w:val="20"/>
        </w:rPr>
        <w:t xml:space="preserve"> </w:t>
      </w:r>
      <w:proofErr w:type="spellStart"/>
      <w:r w:rsidRPr="00873FEC">
        <w:rPr>
          <w:rFonts w:ascii="Verdana" w:hAnsi="Verdana"/>
          <w:sz w:val="20"/>
          <w:szCs w:val="20"/>
        </w:rPr>
        <w:t>párr</w:t>
      </w:r>
      <w:r w:rsidR="008877A6" w:rsidRPr="00873FEC">
        <w:rPr>
          <w:rFonts w:ascii="Verdana" w:hAnsi="Verdana"/>
          <w:sz w:val="20"/>
          <w:szCs w:val="20"/>
        </w:rPr>
        <w:t>s</w:t>
      </w:r>
      <w:proofErr w:type="spellEnd"/>
      <w:r w:rsidRPr="00873FEC">
        <w:rPr>
          <w:rFonts w:ascii="Verdana" w:hAnsi="Verdana"/>
          <w:sz w:val="20"/>
          <w:szCs w:val="20"/>
        </w:rPr>
        <w:t xml:space="preserve">. </w:t>
      </w:r>
      <w:r w:rsidR="008877A6" w:rsidRPr="00873FEC">
        <w:rPr>
          <w:rFonts w:ascii="Verdana" w:hAnsi="Verdana"/>
          <w:sz w:val="20"/>
          <w:szCs w:val="20"/>
        </w:rPr>
        <w:t>86 y 87</w:t>
      </w:r>
      <w:r w:rsidRPr="00873FEC">
        <w:rPr>
          <w:rFonts w:ascii="Verdana" w:hAnsi="Verdana"/>
          <w:sz w:val="20"/>
          <w:szCs w:val="20"/>
        </w:rPr>
        <w:t>), recordando también lo señalado respecto de las medidas provisionales (</w:t>
      </w:r>
      <w:r w:rsidRPr="00873FEC">
        <w:rPr>
          <w:rFonts w:ascii="Verdana" w:hAnsi="Verdana"/>
          <w:i/>
          <w:sz w:val="20"/>
          <w:szCs w:val="20"/>
        </w:rPr>
        <w:t>supra</w:t>
      </w:r>
      <w:r w:rsidRPr="00873FEC">
        <w:rPr>
          <w:rFonts w:ascii="Verdana" w:hAnsi="Verdana"/>
          <w:sz w:val="20"/>
          <w:szCs w:val="20"/>
        </w:rPr>
        <w:t xml:space="preserve"> párr. 10 y nota a pie de página 7). </w:t>
      </w:r>
    </w:p>
    <w:p w:rsidR="00332F58" w:rsidRPr="00873FEC" w:rsidRDefault="00332F58" w:rsidP="00126E97">
      <w:pPr>
        <w:spacing w:after="0" w:line="20" w:lineRule="atLeast"/>
        <w:ind w:right="-138"/>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De acuerdo </w:t>
      </w:r>
      <w:r w:rsidR="006C5A57">
        <w:rPr>
          <w:rFonts w:ascii="Verdana" w:hAnsi="Verdana"/>
          <w:sz w:val="20"/>
          <w:szCs w:val="20"/>
          <w:lang w:val="es-CR"/>
        </w:rPr>
        <w:t>a</w:t>
      </w:r>
      <w:r w:rsidRPr="00873FEC">
        <w:rPr>
          <w:rFonts w:ascii="Verdana" w:hAnsi="Verdana"/>
          <w:sz w:val="20"/>
          <w:szCs w:val="20"/>
          <w:lang w:val="es-CR"/>
        </w:rPr>
        <w:t xml:space="preserve"> lo señalado en forma precedente, la Corte declara que </w:t>
      </w:r>
      <w:r w:rsidRPr="00873FEC">
        <w:rPr>
          <w:rFonts w:ascii="Verdana" w:hAnsi="Verdana"/>
          <w:sz w:val="20"/>
          <w:szCs w:val="20"/>
        </w:rPr>
        <w:t>Guatemala violó el derecho a la integridad personal</w:t>
      </w:r>
      <w:r w:rsidR="0034081F" w:rsidRPr="00873FEC">
        <w:rPr>
          <w:rFonts w:ascii="Verdana" w:hAnsi="Verdana"/>
          <w:sz w:val="20"/>
          <w:szCs w:val="20"/>
        </w:rPr>
        <w:t xml:space="preserve"> de l</w:t>
      </w:r>
      <w:r w:rsidR="006C5A57">
        <w:rPr>
          <w:rFonts w:ascii="Verdana" w:hAnsi="Verdana"/>
          <w:sz w:val="20"/>
          <w:szCs w:val="20"/>
        </w:rPr>
        <w:t>o</w:t>
      </w:r>
      <w:r w:rsidR="0034081F" w:rsidRPr="00873FEC">
        <w:rPr>
          <w:rFonts w:ascii="Verdana" w:hAnsi="Verdana"/>
          <w:sz w:val="20"/>
          <w:szCs w:val="20"/>
        </w:rPr>
        <w:t xml:space="preserve">s </w:t>
      </w:r>
      <w:r w:rsidRPr="00873FEC">
        <w:rPr>
          <w:rFonts w:ascii="Verdana" w:hAnsi="Verdana"/>
          <w:sz w:val="20"/>
          <w:szCs w:val="20"/>
        </w:rPr>
        <w:t>familiares direct</w:t>
      </w:r>
      <w:r w:rsidR="006C5A57">
        <w:rPr>
          <w:rFonts w:ascii="Verdana" w:hAnsi="Verdana"/>
          <w:sz w:val="20"/>
          <w:szCs w:val="20"/>
        </w:rPr>
        <w:t>o</w:t>
      </w:r>
      <w:r w:rsidRPr="00873FEC">
        <w:rPr>
          <w:rFonts w:ascii="Verdana" w:hAnsi="Verdana"/>
          <w:sz w:val="20"/>
          <w:szCs w:val="20"/>
        </w:rPr>
        <w:t>s de las víctimas fallecidas en la masacre acaecida el 5 de octubre de 1995</w:t>
      </w:r>
      <w:r w:rsidR="00DC2D75" w:rsidRPr="00873FEC">
        <w:rPr>
          <w:rFonts w:ascii="Verdana" w:hAnsi="Verdana"/>
          <w:sz w:val="20"/>
          <w:szCs w:val="20"/>
        </w:rPr>
        <w:t>,</w:t>
      </w:r>
      <w:r w:rsidRPr="00873FEC">
        <w:rPr>
          <w:rFonts w:ascii="Verdana" w:hAnsi="Verdana"/>
          <w:sz w:val="20"/>
          <w:szCs w:val="20"/>
        </w:rPr>
        <w:t xml:space="preserve"> tran</w:t>
      </w:r>
      <w:r w:rsidR="0034081F" w:rsidRPr="00873FEC">
        <w:rPr>
          <w:rFonts w:ascii="Verdana" w:hAnsi="Verdana"/>
          <w:sz w:val="20"/>
          <w:szCs w:val="20"/>
        </w:rPr>
        <w:t>sgrediendo, en perjuicio de aqué</w:t>
      </w:r>
      <w:r w:rsidRPr="00873FEC">
        <w:rPr>
          <w:rFonts w:ascii="Verdana" w:hAnsi="Verdana"/>
          <w:sz w:val="20"/>
          <w:szCs w:val="20"/>
        </w:rPr>
        <w:t>ll</w:t>
      </w:r>
      <w:r w:rsidR="0034081F" w:rsidRPr="00873FEC">
        <w:rPr>
          <w:rFonts w:ascii="Verdana" w:hAnsi="Verdana"/>
          <w:sz w:val="20"/>
          <w:szCs w:val="20"/>
        </w:rPr>
        <w:t>a</w:t>
      </w:r>
      <w:r w:rsidRPr="00873FEC">
        <w:rPr>
          <w:rFonts w:ascii="Verdana" w:hAnsi="Verdana"/>
          <w:sz w:val="20"/>
          <w:szCs w:val="20"/>
        </w:rPr>
        <w:t xml:space="preserve">s, el artículo 5.1 de la Convención </w:t>
      </w:r>
      <w:r w:rsidR="00DC2D75" w:rsidRPr="00873FEC">
        <w:rPr>
          <w:rFonts w:ascii="Verdana" w:hAnsi="Verdana"/>
          <w:sz w:val="20"/>
          <w:szCs w:val="20"/>
        </w:rPr>
        <w:t>Americana</w:t>
      </w:r>
      <w:r w:rsidR="006C5A57">
        <w:rPr>
          <w:rFonts w:ascii="Verdana" w:hAnsi="Verdana"/>
          <w:sz w:val="20"/>
          <w:szCs w:val="20"/>
        </w:rPr>
        <w:t>,</w:t>
      </w:r>
      <w:r w:rsidR="00DC2D75" w:rsidRPr="00873FEC">
        <w:rPr>
          <w:rFonts w:ascii="Verdana" w:hAnsi="Verdana"/>
          <w:sz w:val="20"/>
          <w:szCs w:val="20"/>
        </w:rPr>
        <w:t xml:space="preserve"> </w:t>
      </w:r>
      <w:r w:rsidRPr="00873FEC">
        <w:rPr>
          <w:rFonts w:ascii="Verdana" w:hAnsi="Verdana"/>
          <w:sz w:val="20"/>
          <w:szCs w:val="20"/>
        </w:rPr>
        <w:t xml:space="preserve">en relación con el artículo 1.1 del mismo tratado. Los nombres de las víctimas de la violación declarada se </w:t>
      </w:r>
      <w:r w:rsidR="006C5A57">
        <w:rPr>
          <w:rFonts w:ascii="Verdana" w:hAnsi="Verdana"/>
          <w:sz w:val="20"/>
          <w:szCs w:val="20"/>
        </w:rPr>
        <w:t>enlistan</w:t>
      </w:r>
      <w:r w:rsidR="00ED28B6">
        <w:rPr>
          <w:rFonts w:ascii="Verdana" w:hAnsi="Verdana"/>
          <w:sz w:val="20"/>
          <w:szCs w:val="20"/>
        </w:rPr>
        <w:t xml:space="preserve"> en el A</w:t>
      </w:r>
      <w:r w:rsidRPr="00873FEC">
        <w:rPr>
          <w:rFonts w:ascii="Verdana" w:hAnsi="Verdana"/>
          <w:sz w:val="20"/>
          <w:szCs w:val="20"/>
        </w:rPr>
        <w:t xml:space="preserve">nexo B.5 </w:t>
      </w:r>
      <w:r w:rsidR="006C5A57">
        <w:rPr>
          <w:rFonts w:ascii="Verdana" w:hAnsi="Verdana"/>
          <w:sz w:val="20"/>
          <w:szCs w:val="20"/>
        </w:rPr>
        <w:t>de</w:t>
      </w:r>
      <w:r w:rsidRPr="00873FEC">
        <w:rPr>
          <w:rFonts w:ascii="Verdana" w:hAnsi="Verdana"/>
          <w:sz w:val="20"/>
          <w:szCs w:val="20"/>
        </w:rPr>
        <w:t xml:space="preserve"> la presente Sentencia</w:t>
      </w:r>
      <w:r w:rsidR="002E4E3D">
        <w:rPr>
          <w:rFonts w:ascii="Verdana" w:hAnsi="Verdana"/>
          <w:sz w:val="20"/>
          <w:szCs w:val="20"/>
        </w:rPr>
        <w:t>, que integra la misma</w:t>
      </w:r>
      <w:r w:rsidRPr="00873FEC">
        <w:rPr>
          <w:rFonts w:ascii="Verdana" w:hAnsi="Verdana"/>
          <w:sz w:val="20"/>
          <w:szCs w:val="20"/>
        </w:rPr>
        <w:t>.</w:t>
      </w:r>
    </w:p>
    <w:p w:rsidR="00332F58" w:rsidRPr="006C5A57"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pStyle w:val="Heading1"/>
        <w:spacing w:before="0" w:line="20" w:lineRule="atLeast"/>
        <w:jc w:val="center"/>
        <w:rPr>
          <w:rFonts w:ascii="Verdana" w:hAnsi="Verdana" w:cs="Times New Roman"/>
          <w:color w:val="auto"/>
          <w:sz w:val="20"/>
          <w:szCs w:val="20"/>
        </w:rPr>
      </w:pPr>
      <w:bookmarkStart w:id="179" w:name="_Toc525201189"/>
      <w:r w:rsidRPr="00873FEC">
        <w:rPr>
          <w:rFonts w:ascii="Verdana" w:hAnsi="Verdana" w:cs="Times New Roman"/>
          <w:color w:val="auto"/>
          <w:sz w:val="20"/>
          <w:szCs w:val="20"/>
        </w:rPr>
        <w:t>VII.4</w:t>
      </w:r>
      <w:bookmarkEnd w:id="179"/>
    </w:p>
    <w:p w:rsidR="00332F58" w:rsidRPr="00873FEC" w:rsidRDefault="00332F58" w:rsidP="00126E97">
      <w:pPr>
        <w:pStyle w:val="Heading1"/>
        <w:spacing w:before="0" w:line="20" w:lineRule="atLeast"/>
        <w:jc w:val="center"/>
        <w:rPr>
          <w:rFonts w:ascii="Verdana" w:hAnsi="Verdana" w:cs="Times New Roman"/>
          <w:color w:val="auto"/>
          <w:sz w:val="20"/>
          <w:szCs w:val="20"/>
        </w:rPr>
      </w:pPr>
      <w:bookmarkStart w:id="180" w:name="_Toc525201190"/>
      <w:r w:rsidRPr="00873FEC">
        <w:rPr>
          <w:rFonts w:ascii="Verdana" w:hAnsi="Verdana" w:cs="Times New Roman"/>
          <w:color w:val="auto"/>
          <w:sz w:val="20"/>
          <w:szCs w:val="20"/>
        </w:rPr>
        <w:t>ALEGADA VIOLACIÓN AL DERECHO A LA PROPIEDAD PRIVADA</w:t>
      </w:r>
      <w:r w:rsidRPr="00873FEC">
        <w:rPr>
          <w:rStyle w:val="FootnoteReference"/>
          <w:rFonts w:ascii="Verdana" w:hAnsi="Verdana"/>
          <w:b w:val="0"/>
          <w:color w:val="auto"/>
          <w:sz w:val="20"/>
          <w:lang w:eastAsia="x-none"/>
        </w:rPr>
        <w:footnoteReference w:id="195"/>
      </w:r>
      <w:bookmarkEnd w:id="180"/>
    </w:p>
    <w:p w:rsidR="00332F58" w:rsidRPr="00873FEC" w:rsidRDefault="00332F58" w:rsidP="00126E97">
      <w:pPr>
        <w:pStyle w:val="ListParagraph"/>
        <w:spacing w:after="0" w:line="20" w:lineRule="atLeast"/>
        <w:rPr>
          <w:rFonts w:ascii="Verdana" w:hAnsi="Verdana"/>
          <w:sz w:val="20"/>
          <w:szCs w:val="20"/>
        </w:rPr>
      </w:pPr>
    </w:p>
    <w:p w:rsidR="00332F58" w:rsidRPr="00873FEC" w:rsidRDefault="00332F58" w:rsidP="00126E97">
      <w:pPr>
        <w:pStyle w:val="ListParagraph"/>
        <w:numPr>
          <w:ilvl w:val="0"/>
          <w:numId w:val="9"/>
        </w:numPr>
        <w:spacing w:after="0" w:line="20" w:lineRule="atLeast"/>
        <w:ind w:left="284"/>
        <w:jc w:val="both"/>
        <w:outlineLvl w:val="1"/>
        <w:rPr>
          <w:rFonts w:ascii="Verdana" w:hAnsi="Verdana" w:cs="Times New Roman"/>
          <w:b/>
          <w:sz w:val="20"/>
          <w:szCs w:val="20"/>
          <w:lang w:val="es-CR"/>
        </w:rPr>
      </w:pPr>
      <w:bookmarkStart w:id="181" w:name="_Toc525201191"/>
      <w:r w:rsidRPr="00873FEC">
        <w:rPr>
          <w:rFonts w:ascii="Verdana" w:hAnsi="Verdana" w:cs="Times New Roman"/>
          <w:b/>
          <w:i/>
          <w:sz w:val="20"/>
          <w:szCs w:val="20"/>
          <w:lang w:val="es-CR"/>
        </w:rPr>
        <w:t>Alegatos de las partes</w:t>
      </w:r>
      <w:bookmarkEnd w:id="181"/>
    </w:p>
    <w:p w:rsidR="00332F58" w:rsidRPr="00873FEC" w:rsidRDefault="00332F58" w:rsidP="00126E97">
      <w:pPr>
        <w:pStyle w:val="ListParagraph"/>
        <w:spacing w:after="0" w:line="20" w:lineRule="atLeast"/>
        <w:rPr>
          <w:rFonts w:ascii="Verdana" w:hAnsi="Verdana"/>
          <w:sz w:val="20"/>
          <w:szCs w:val="20"/>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rPr>
        <w:t xml:space="preserve"> </w:t>
      </w:r>
      <w:r w:rsidRPr="00873FEC">
        <w:rPr>
          <w:rFonts w:ascii="Verdana" w:hAnsi="Verdana"/>
          <w:sz w:val="20"/>
          <w:szCs w:val="20"/>
          <w:lang w:val="es-CR"/>
        </w:rPr>
        <w:t xml:space="preserve">La </w:t>
      </w:r>
      <w:r w:rsidRPr="00873FEC">
        <w:rPr>
          <w:rFonts w:ascii="Verdana" w:hAnsi="Verdana"/>
          <w:b/>
          <w:i/>
          <w:sz w:val="20"/>
          <w:szCs w:val="20"/>
          <w:lang w:val="es-CR"/>
        </w:rPr>
        <w:t>Comisión</w:t>
      </w:r>
      <w:r w:rsidRPr="00873FEC">
        <w:rPr>
          <w:rFonts w:ascii="Verdana" w:hAnsi="Verdana"/>
          <w:sz w:val="20"/>
          <w:szCs w:val="20"/>
          <w:lang w:val="es-CR"/>
        </w:rPr>
        <w:t xml:space="preserve"> no </w:t>
      </w:r>
      <w:r w:rsidR="006C5A57">
        <w:rPr>
          <w:rFonts w:ascii="Verdana" w:hAnsi="Verdana"/>
          <w:sz w:val="20"/>
          <w:szCs w:val="20"/>
          <w:lang w:val="es-CR"/>
        </w:rPr>
        <w:t>alegó</w:t>
      </w:r>
      <w:r w:rsidRPr="00873FEC">
        <w:rPr>
          <w:rFonts w:ascii="Verdana" w:hAnsi="Verdana"/>
          <w:sz w:val="20"/>
          <w:szCs w:val="20"/>
          <w:lang w:val="es-CR"/>
        </w:rPr>
        <w:t xml:space="preserve"> la violación al derecho a la propiedad privada. </w:t>
      </w:r>
    </w:p>
    <w:p w:rsidR="00332F58" w:rsidRPr="00873FEC" w:rsidRDefault="00332F58" w:rsidP="00126E97">
      <w:pPr>
        <w:spacing w:after="0" w:line="20" w:lineRule="atLeast"/>
        <w:ind w:right="-138"/>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Los </w:t>
      </w:r>
      <w:r w:rsidRPr="00873FEC">
        <w:rPr>
          <w:rFonts w:ascii="Verdana" w:hAnsi="Verdana"/>
          <w:b/>
          <w:i/>
          <w:sz w:val="20"/>
          <w:szCs w:val="20"/>
          <w:lang w:val="es-CR"/>
        </w:rPr>
        <w:t>representantes</w:t>
      </w:r>
      <w:r w:rsidRPr="00873FEC">
        <w:rPr>
          <w:rFonts w:ascii="Verdana" w:hAnsi="Verdana"/>
          <w:sz w:val="20"/>
          <w:szCs w:val="20"/>
          <w:lang w:val="es-CR"/>
        </w:rPr>
        <w:t xml:space="preserve"> sostuvieron que se violó el derecho a la propiedad privada</w:t>
      </w:r>
      <w:r w:rsidR="006C5A57">
        <w:rPr>
          <w:rFonts w:ascii="Verdana" w:hAnsi="Verdana"/>
          <w:sz w:val="20"/>
          <w:szCs w:val="20"/>
          <w:lang w:val="es-CR"/>
        </w:rPr>
        <w:t>,</w:t>
      </w:r>
      <w:r w:rsidRPr="00873FEC">
        <w:rPr>
          <w:rFonts w:ascii="Verdana" w:hAnsi="Verdana"/>
          <w:sz w:val="20"/>
          <w:szCs w:val="20"/>
          <w:lang w:val="es-CR"/>
        </w:rPr>
        <w:t xml:space="preserve"> en perjuicio de todas las personas indicadas como víctimas, debido al ingreso del ejército sin una orden judicial. </w:t>
      </w:r>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El </w:t>
      </w:r>
      <w:r w:rsidRPr="00873FEC">
        <w:rPr>
          <w:rFonts w:ascii="Verdana" w:hAnsi="Verdana"/>
          <w:b/>
          <w:i/>
          <w:sz w:val="20"/>
          <w:szCs w:val="20"/>
          <w:lang w:val="es-CR"/>
        </w:rPr>
        <w:t>Estado</w:t>
      </w:r>
      <w:r w:rsidRPr="00873FEC">
        <w:rPr>
          <w:rFonts w:ascii="Verdana" w:hAnsi="Verdana"/>
          <w:sz w:val="20"/>
          <w:szCs w:val="20"/>
          <w:lang w:val="es-CR"/>
        </w:rPr>
        <w:t xml:space="preserve"> señaló que no realizó acciones de expropiación o usura respecto </w:t>
      </w:r>
      <w:r w:rsidR="00F5049E" w:rsidRPr="00873FEC">
        <w:rPr>
          <w:rFonts w:ascii="Verdana" w:hAnsi="Verdana"/>
          <w:sz w:val="20"/>
          <w:szCs w:val="20"/>
          <w:lang w:val="es-CR"/>
        </w:rPr>
        <w:t>a bienes de los miembros de la C</w:t>
      </w:r>
      <w:r w:rsidRPr="00873FEC">
        <w:rPr>
          <w:rFonts w:ascii="Verdana" w:hAnsi="Verdana"/>
          <w:sz w:val="20"/>
          <w:szCs w:val="20"/>
          <w:lang w:val="es-CR"/>
        </w:rPr>
        <w:t xml:space="preserve">omunidad. Entendió que no es responsable de violar el artículo 21 de la Convención. </w:t>
      </w:r>
    </w:p>
    <w:p w:rsidR="00332F58" w:rsidRDefault="00332F58" w:rsidP="00126E97">
      <w:pPr>
        <w:pStyle w:val="Heading2"/>
        <w:spacing w:before="0" w:line="20" w:lineRule="atLeast"/>
        <w:ind w:left="284"/>
        <w:rPr>
          <w:rFonts w:ascii="Verdana" w:hAnsi="Verdana"/>
          <w:color w:val="auto"/>
          <w:sz w:val="20"/>
          <w:szCs w:val="20"/>
          <w:lang w:val="es-CR"/>
        </w:rPr>
      </w:pPr>
    </w:p>
    <w:p w:rsidR="00126E97" w:rsidRDefault="00126E97" w:rsidP="00126E97">
      <w:pPr>
        <w:rPr>
          <w:lang w:val="es-CR"/>
        </w:rPr>
      </w:pPr>
    </w:p>
    <w:p w:rsidR="006C5A57" w:rsidRPr="00126E97" w:rsidRDefault="006C5A57" w:rsidP="00126E97">
      <w:pPr>
        <w:rPr>
          <w:lang w:val="es-CR"/>
        </w:rPr>
      </w:pPr>
    </w:p>
    <w:p w:rsidR="00332F58" w:rsidRPr="00873FEC" w:rsidRDefault="00332F58" w:rsidP="00126E97">
      <w:pPr>
        <w:pStyle w:val="Heading2"/>
        <w:numPr>
          <w:ilvl w:val="0"/>
          <w:numId w:val="9"/>
        </w:numPr>
        <w:spacing w:before="0" w:line="20" w:lineRule="atLeast"/>
        <w:ind w:left="284"/>
        <w:jc w:val="both"/>
        <w:rPr>
          <w:rFonts w:ascii="Verdana" w:hAnsi="Verdana"/>
          <w:i/>
          <w:color w:val="auto"/>
          <w:sz w:val="20"/>
          <w:szCs w:val="20"/>
          <w:lang w:val="es-CR"/>
        </w:rPr>
      </w:pPr>
      <w:bookmarkStart w:id="182" w:name="_Toc525201192"/>
      <w:r w:rsidRPr="00873FEC">
        <w:rPr>
          <w:rFonts w:ascii="Verdana" w:hAnsi="Verdana"/>
          <w:i/>
          <w:color w:val="auto"/>
          <w:sz w:val="20"/>
          <w:szCs w:val="20"/>
          <w:lang w:val="es-CR"/>
        </w:rPr>
        <w:lastRenderedPageBreak/>
        <w:t>Consideraciones de la Corte</w:t>
      </w:r>
      <w:bookmarkEnd w:id="182"/>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Las presuntas víctimas y sus representantes pueden invocar la violación de derechos distintos a los comprendidos en el Informe de Fondo, siempre y cuando se atengan a los hechos contenidos en dicho documento</w:t>
      </w:r>
      <w:r w:rsidRPr="00873FEC">
        <w:rPr>
          <w:rStyle w:val="FootnoteReference"/>
          <w:rFonts w:ascii="Verdana" w:hAnsi="Verdana"/>
          <w:sz w:val="20"/>
          <w:lang w:val="es-CR" w:eastAsia="x-none"/>
        </w:rPr>
        <w:footnoteReference w:id="196"/>
      </w:r>
      <w:r w:rsidRPr="00873FEC">
        <w:rPr>
          <w:rFonts w:ascii="Verdana" w:hAnsi="Verdana"/>
          <w:sz w:val="20"/>
          <w:szCs w:val="20"/>
          <w:lang w:val="es-CR"/>
        </w:rPr>
        <w:t xml:space="preserve">. Por ello, dado que encuentran sustento en el marco fáctico, procede a examinar el alegato de los representantes. </w:t>
      </w:r>
    </w:p>
    <w:p w:rsidR="00332F58" w:rsidRPr="00873FEC" w:rsidRDefault="00332F58" w:rsidP="00126E97">
      <w:pPr>
        <w:spacing w:after="0" w:line="20" w:lineRule="atLeast"/>
        <w:ind w:right="-138"/>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La jurisprudencia de la Corte ha desarrollado un concepto amplio de la propiedad privada, comprendiendo el uso y goce de los “bienes”, definidos como cosas materiales apropiables, así como todo derecho que pueda formar parte del patrimonio de una persona. Dicho concepto comprende tanto los bienes muebles, como inmuebles, elementos corporales o incorporales y cualquier otro objeto inmaterial susceptible de valor</w:t>
      </w:r>
      <w:r w:rsidRPr="00873FEC">
        <w:rPr>
          <w:rStyle w:val="FootnoteReference"/>
          <w:rFonts w:ascii="Verdana" w:hAnsi="Verdana"/>
          <w:sz w:val="20"/>
          <w:lang w:val="es-CR" w:eastAsia="x-none"/>
        </w:rPr>
        <w:footnoteReference w:id="197"/>
      </w:r>
      <w:r w:rsidRPr="00873FEC">
        <w:rPr>
          <w:rFonts w:ascii="Verdana" w:hAnsi="Verdana"/>
          <w:sz w:val="20"/>
          <w:szCs w:val="20"/>
          <w:lang w:val="es-CR"/>
        </w:rPr>
        <w:t>. Asimismo, el Tribunal ha considerado que la destrucción de hogares puede constituir una violación al derecho a la propiedad de especial gravedad</w:t>
      </w:r>
      <w:r w:rsidRPr="00873FEC">
        <w:rPr>
          <w:rStyle w:val="FootnoteReference"/>
          <w:rFonts w:ascii="Verdana" w:hAnsi="Verdana"/>
          <w:sz w:val="20"/>
          <w:lang w:val="es-CR" w:eastAsia="x-none"/>
        </w:rPr>
        <w:footnoteReference w:id="198"/>
      </w:r>
      <w:r w:rsidRPr="00873FEC">
        <w:rPr>
          <w:rFonts w:ascii="Verdana" w:hAnsi="Verdana"/>
          <w:sz w:val="20"/>
          <w:szCs w:val="20"/>
          <w:lang w:val="es-CR"/>
        </w:rPr>
        <w:t>.</w:t>
      </w:r>
      <w:r w:rsidRPr="00873FEC">
        <w:rPr>
          <w:rFonts w:ascii="Verdana" w:hAnsi="Verdana"/>
          <w:bCs/>
          <w:sz w:val="20"/>
          <w:szCs w:val="20"/>
          <w:lang w:val="es-CR"/>
        </w:rPr>
        <w:t xml:space="preserve"> </w:t>
      </w:r>
    </w:p>
    <w:p w:rsidR="00332F58" w:rsidRPr="00873FEC" w:rsidRDefault="00332F58" w:rsidP="00126E97">
      <w:pPr>
        <w:pStyle w:val="ListParagraph"/>
        <w:spacing w:after="0" w:line="20" w:lineRule="atLeast"/>
        <w:rPr>
          <w:rFonts w:ascii="Verdana" w:hAnsi="Verdana" w:cs="Times New Roman"/>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cs="Times New Roman"/>
          <w:sz w:val="20"/>
          <w:szCs w:val="20"/>
          <w:lang w:val="es-CR"/>
        </w:rPr>
        <w:t xml:space="preserve">En el caso, debe señalarse que si bien el ejército ingresó a la Comunidad “Aurora 8 de Octubre”, la finca </w:t>
      </w:r>
      <w:proofErr w:type="spellStart"/>
      <w:r w:rsidR="00F5049E" w:rsidRPr="00873FEC">
        <w:rPr>
          <w:rFonts w:ascii="Verdana" w:hAnsi="Verdana" w:cs="Times New Roman"/>
          <w:sz w:val="20"/>
          <w:szCs w:val="20"/>
          <w:lang w:val="es-CR"/>
        </w:rPr>
        <w:t>Xamán</w:t>
      </w:r>
      <w:proofErr w:type="spellEnd"/>
      <w:r w:rsidR="00F5049E" w:rsidRPr="00873FEC">
        <w:rPr>
          <w:rFonts w:ascii="Verdana" w:hAnsi="Verdana" w:cs="Times New Roman"/>
          <w:sz w:val="20"/>
          <w:szCs w:val="20"/>
          <w:lang w:val="es-CR"/>
        </w:rPr>
        <w:t>, en que se asienta dicha C</w:t>
      </w:r>
      <w:r w:rsidRPr="00873FEC">
        <w:rPr>
          <w:rFonts w:ascii="Verdana" w:hAnsi="Verdana" w:cs="Times New Roman"/>
          <w:sz w:val="20"/>
          <w:szCs w:val="20"/>
          <w:lang w:val="es-CR"/>
        </w:rPr>
        <w:t>omunidad</w:t>
      </w:r>
      <w:r w:rsidR="00013983">
        <w:rPr>
          <w:rFonts w:ascii="Verdana" w:hAnsi="Verdana" w:cs="Times New Roman"/>
          <w:sz w:val="20"/>
          <w:szCs w:val="20"/>
          <w:lang w:val="es-CR"/>
        </w:rPr>
        <w:t>,</w:t>
      </w:r>
      <w:r w:rsidRPr="00873FEC">
        <w:rPr>
          <w:rFonts w:ascii="Verdana" w:hAnsi="Verdana" w:cs="Times New Roman"/>
          <w:sz w:val="20"/>
          <w:szCs w:val="20"/>
          <w:lang w:val="es-CR"/>
        </w:rPr>
        <w:t xml:space="preserve"> era propiedad de una Cooperativa</w:t>
      </w:r>
      <w:r w:rsidRPr="00873FEC">
        <w:rPr>
          <w:rStyle w:val="FootnoteReference"/>
          <w:rFonts w:ascii="Verdana" w:hAnsi="Verdana"/>
          <w:sz w:val="20"/>
          <w:lang w:val="es-CR" w:eastAsia="x-none"/>
        </w:rPr>
        <w:footnoteReference w:id="199"/>
      </w:r>
      <w:r w:rsidRPr="00873FEC">
        <w:rPr>
          <w:rFonts w:ascii="Verdana" w:hAnsi="Verdana" w:cs="Times New Roman"/>
          <w:sz w:val="20"/>
          <w:szCs w:val="20"/>
          <w:lang w:val="es-CR"/>
        </w:rPr>
        <w:t xml:space="preserve">, no de alguna o varias de las presuntas víctimas consideradas en forma individual. Por ello, el mero ingreso de los militares a la Comunidad, que es el hecho alegado por los representantes, no pudo lesionar la propiedad privada de ninguna de las personas indicadas como víctimas. De modo adicional, nótese que no consta que los militares ingresaren </w:t>
      </w:r>
      <w:r w:rsidR="00013983">
        <w:rPr>
          <w:rFonts w:ascii="Verdana" w:hAnsi="Verdana" w:cs="Times New Roman"/>
          <w:sz w:val="20"/>
          <w:szCs w:val="20"/>
          <w:lang w:val="es-CR"/>
        </w:rPr>
        <w:t xml:space="preserve">en </w:t>
      </w:r>
      <w:r w:rsidRPr="00873FEC">
        <w:rPr>
          <w:rFonts w:ascii="Verdana" w:hAnsi="Verdana" w:cs="Times New Roman"/>
          <w:sz w:val="20"/>
          <w:szCs w:val="20"/>
          <w:lang w:val="es-CR"/>
        </w:rPr>
        <w:t xml:space="preserve">terrenos o viviendas particulares, ni que produjeran daños a bienes. En consecuencia, la Corte determina que el Estado no es responsable </w:t>
      </w:r>
      <w:r w:rsidR="00013983">
        <w:rPr>
          <w:rFonts w:ascii="Verdana" w:hAnsi="Verdana" w:cs="Times New Roman"/>
          <w:sz w:val="20"/>
          <w:szCs w:val="20"/>
          <w:lang w:val="es-CR"/>
        </w:rPr>
        <w:t>por</w:t>
      </w:r>
      <w:r w:rsidRPr="00873FEC">
        <w:rPr>
          <w:rFonts w:ascii="Verdana" w:hAnsi="Verdana" w:cs="Times New Roman"/>
          <w:sz w:val="20"/>
          <w:szCs w:val="20"/>
          <w:lang w:val="es-CR"/>
        </w:rPr>
        <w:t xml:space="preserve"> la violación del artículo 21 de la Convención.</w:t>
      </w:r>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pStyle w:val="ListParagraph"/>
        <w:spacing w:after="0" w:line="20" w:lineRule="atLeast"/>
        <w:jc w:val="center"/>
        <w:outlineLvl w:val="0"/>
        <w:rPr>
          <w:rFonts w:ascii="Verdana" w:hAnsi="Verdana"/>
          <w:b/>
          <w:sz w:val="20"/>
          <w:szCs w:val="20"/>
          <w:lang w:val="es-CR"/>
        </w:rPr>
      </w:pPr>
      <w:bookmarkStart w:id="183" w:name="_Toc525201193"/>
      <w:r w:rsidRPr="00873FEC">
        <w:rPr>
          <w:rFonts w:ascii="Verdana" w:hAnsi="Verdana"/>
          <w:b/>
          <w:sz w:val="20"/>
          <w:szCs w:val="20"/>
          <w:lang w:val="es-CR"/>
        </w:rPr>
        <w:t>VII.5.</w:t>
      </w:r>
      <w:bookmarkEnd w:id="183"/>
    </w:p>
    <w:p w:rsidR="00332F58" w:rsidRPr="00873FEC" w:rsidRDefault="00332F58" w:rsidP="00126E97">
      <w:pPr>
        <w:pStyle w:val="ListParagraph"/>
        <w:spacing w:after="0" w:line="20" w:lineRule="atLeast"/>
        <w:jc w:val="center"/>
        <w:outlineLvl w:val="0"/>
        <w:rPr>
          <w:rFonts w:ascii="Verdana" w:hAnsi="Verdana"/>
          <w:b/>
          <w:sz w:val="20"/>
          <w:szCs w:val="20"/>
          <w:lang w:val="es-CR"/>
        </w:rPr>
      </w:pPr>
      <w:bookmarkStart w:id="184" w:name="_Toc525201194"/>
      <w:r w:rsidRPr="00873FEC">
        <w:rPr>
          <w:rFonts w:ascii="Verdana" w:hAnsi="Verdana"/>
          <w:b/>
          <w:sz w:val="20"/>
          <w:szCs w:val="20"/>
          <w:lang w:val="es-CR"/>
        </w:rPr>
        <w:t>ALEGADA VIOLACIÓN AL DERECHO A LA IGUALDAD ANTE LA LEY</w:t>
      </w:r>
      <w:r w:rsidRPr="00873FEC">
        <w:rPr>
          <w:rStyle w:val="FootnoteReference"/>
          <w:rFonts w:ascii="Verdana" w:hAnsi="Verdana"/>
          <w:sz w:val="20"/>
          <w:lang w:val="es-CR" w:eastAsia="x-none"/>
        </w:rPr>
        <w:footnoteReference w:id="200"/>
      </w:r>
      <w:bookmarkEnd w:id="184"/>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La Corte ya ha analizado argumentos relacionados con la alegada violación al derecho a la igualdad ante la ley, respecto de la actuación militar el 5 de octubre de 1995 (</w:t>
      </w:r>
      <w:r w:rsidRPr="00873FEC">
        <w:rPr>
          <w:rFonts w:ascii="Verdana" w:hAnsi="Verdana"/>
          <w:i/>
          <w:sz w:val="20"/>
          <w:szCs w:val="20"/>
          <w:lang w:val="es-CR"/>
        </w:rPr>
        <w:t>supra</w:t>
      </w:r>
      <w:r w:rsidRPr="00873FEC">
        <w:rPr>
          <w:rFonts w:ascii="Verdana" w:hAnsi="Verdana"/>
          <w:sz w:val="20"/>
          <w:szCs w:val="20"/>
          <w:lang w:val="es-CR"/>
        </w:rPr>
        <w:t xml:space="preserve"> párr. 105). Resta ahora considerar alegatos sobre ese derecho relacionados con la actuación de las autoridades judiciales. </w:t>
      </w:r>
    </w:p>
    <w:p w:rsidR="00332F58" w:rsidRPr="00873FEC" w:rsidRDefault="00332F58" w:rsidP="00126E97">
      <w:pPr>
        <w:pStyle w:val="Heading2"/>
        <w:spacing w:before="0" w:line="20" w:lineRule="atLeast"/>
        <w:ind w:left="284"/>
        <w:rPr>
          <w:rFonts w:ascii="Verdana" w:hAnsi="Verdana"/>
          <w:color w:val="auto"/>
          <w:sz w:val="20"/>
          <w:szCs w:val="20"/>
          <w:lang w:val="es-CR"/>
        </w:rPr>
      </w:pPr>
    </w:p>
    <w:p w:rsidR="00332F58" w:rsidRPr="00873FEC" w:rsidRDefault="00332F58" w:rsidP="00126E97">
      <w:pPr>
        <w:pStyle w:val="Heading2"/>
        <w:numPr>
          <w:ilvl w:val="0"/>
          <w:numId w:val="10"/>
        </w:numPr>
        <w:spacing w:before="0" w:line="20" w:lineRule="atLeast"/>
        <w:ind w:left="284"/>
        <w:jc w:val="both"/>
        <w:rPr>
          <w:rFonts w:ascii="Verdana" w:hAnsi="Verdana"/>
          <w:i/>
          <w:color w:val="auto"/>
          <w:sz w:val="20"/>
          <w:szCs w:val="20"/>
          <w:lang w:val="es-CR"/>
        </w:rPr>
      </w:pPr>
      <w:bookmarkStart w:id="185" w:name="_Toc525201195"/>
      <w:r w:rsidRPr="00873FEC">
        <w:rPr>
          <w:rFonts w:ascii="Verdana" w:hAnsi="Verdana"/>
          <w:i/>
          <w:color w:val="auto"/>
          <w:sz w:val="20"/>
          <w:szCs w:val="20"/>
          <w:lang w:val="es-CR"/>
        </w:rPr>
        <w:t>Alegatos de la Comisión y de las partes</w:t>
      </w:r>
      <w:bookmarkEnd w:id="185"/>
    </w:p>
    <w:p w:rsidR="00332F58" w:rsidRPr="00873FEC" w:rsidRDefault="00332F58" w:rsidP="00126E97">
      <w:pPr>
        <w:spacing w:after="0" w:line="20" w:lineRule="atLeast"/>
        <w:rPr>
          <w:rFonts w:ascii="Verdana" w:hAnsi="Verdana"/>
          <w:b/>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La </w:t>
      </w:r>
      <w:r w:rsidRPr="00873FEC">
        <w:rPr>
          <w:rFonts w:ascii="Verdana" w:hAnsi="Verdana"/>
          <w:b/>
          <w:i/>
          <w:sz w:val="20"/>
          <w:szCs w:val="20"/>
          <w:lang w:val="es-CR"/>
        </w:rPr>
        <w:t>Comisión</w:t>
      </w:r>
      <w:r w:rsidRPr="00873FEC">
        <w:rPr>
          <w:rFonts w:ascii="Verdana" w:hAnsi="Verdana"/>
          <w:sz w:val="20"/>
          <w:szCs w:val="20"/>
          <w:lang w:val="es-CR"/>
        </w:rPr>
        <w:t xml:space="preserve"> consideró que la respuesta de las autoridades en el manejo de la investigación y las reiteradas demoras reflejan una “</w:t>
      </w:r>
      <w:proofErr w:type="spellStart"/>
      <w:r w:rsidRPr="00873FEC">
        <w:rPr>
          <w:rFonts w:ascii="Verdana" w:hAnsi="Verdana"/>
          <w:sz w:val="20"/>
          <w:szCs w:val="20"/>
          <w:lang w:val="es-CR"/>
        </w:rPr>
        <w:t>despriorización</w:t>
      </w:r>
      <w:proofErr w:type="spellEnd"/>
      <w:r w:rsidRPr="00873FEC">
        <w:rPr>
          <w:rFonts w:ascii="Verdana" w:hAnsi="Verdana"/>
          <w:sz w:val="20"/>
          <w:szCs w:val="20"/>
          <w:lang w:val="es-CR"/>
        </w:rPr>
        <w:t>” de los casos de graves violaciones a los derechos humanos de dichas comunidades en la época. Encontró, por ende, que los hechos fueron una expresión de “discriminación racial” y</w:t>
      </w:r>
      <w:r w:rsidR="00552A1D">
        <w:rPr>
          <w:rFonts w:ascii="Verdana" w:hAnsi="Verdana"/>
          <w:sz w:val="20"/>
          <w:szCs w:val="20"/>
          <w:lang w:val="es-CR"/>
        </w:rPr>
        <w:t>,</w:t>
      </w:r>
      <w:r w:rsidRPr="00873FEC">
        <w:rPr>
          <w:rFonts w:ascii="Verdana" w:hAnsi="Verdana"/>
          <w:sz w:val="20"/>
          <w:szCs w:val="20"/>
          <w:lang w:val="es-CR"/>
        </w:rPr>
        <w:t xml:space="preserve"> en </w:t>
      </w:r>
      <w:r w:rsidRPr="00873FEC">
        <w:rPr>
          <w:rFonts w:ascii="Verdana" w:hAnsi="Verdana"/>
          <w:sz w:val="20"/>
          <w:szCs w:val="20"/>
          <w:lang w:val="es-CR"/>
        </w:rPr>
        <w:lastRenderedPageBreak/>
        <w:t>consecuencia</w:t>
      </w:r>
      <w:r w:rsidR="00552A1D">
        <w:rPr>
          <w:rFonts w:ascii="Verdana" w:hAnsi="Verdana"/>
          <w:sz w:val="20"/>
          <w:szCs w:val="20"/>
          <w:lang w:val="es-CR"/>
        </w:rPr>
        <w:t>,</w:t>
      </w:r>
      <w:r w:rsidRPr="00873FEC">
        <w:rPr>
          <w:rFonts w:ascii="Verdana" w:hAnsi="Verdana"/>
          <w:sz w:val="20"/>
          <w:szCs w:val="20"/>
          <w:lang w:val="es-CR"/>
        </w:rPr>
        <w:t xml:space="preserve"> una violación al artículo 24 de la Convención, en relación con el artículo 1.1 de la misma. </w:t>
      </w:r>
    </w:p>
    <w:p w:rsidR="00332F58" w:rsidRPr="00873FEC" w:rsidRDefault="00332F58" w:rsidP="00126E97">
      <w:pPr>
        <w:spacing w:after="0" w:line="20" w:lineRule="atLeast"/>
        <w:ind w:right="-138"/>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eastAsia="Times New Roman" w:hAnsi="Verdana" w:cs="Times New Roman"/>
          <w:bCs/>
          <w:color w:val="000000"/>
          <w:sz w:val="20"/>
          <w:szCs w:val="20"/>
          <w:lang w:val="es-CR"/>
        </w:rPr>
        <w:t xml:space="preserve">Los </w:t>
      </w:r>
      <w:r w:rsidRPr="00873FEC">
        <w:rPr>
          <w:rFonts w:ascii="Verdana" w:eastAsia="Times New Roman" w:hAnsi="Verdana" w:cs="Times New Roman"/>
          <w:b/>
          <w:bCs/>
          <w:i/>
          <w:color w:val="000000"/>
          <w:sz w:val="20"/>
          <w:szCs w:val="20"/>
          <w:lang w:val="es-CR"/>
        </w:rPr>
        <w:t>representantes</w:t>
      </w:r>
      <w:r w:rsidRPr="00873FEC">
        <w:rPr>
          <w:rFonts w:ascii="Verdana" w:eastAsia="Times New Roman" w:hAnsi="Verdana" w:cs="Times New Roman"/>
          <w:bCs/>
          <w:color w:val="000000"/>
          <w:sz w:val="20"/>
          <w:szCs w:val="20"/>
          <w:lang w:val="es-CR"/>
        </w:rPr>
        <w:t xml:space="preserve"> entendieron que se vulneró el derecho a la igual protección de la ley, a partir de las falencias y demoras de la investigación.</w:t>
      </w:r>
      <w:r w:rsidRPr="00873FEC">
        <w:rPr>
          <w:rFonts w:ascii="Verdana" w:hAnsi="Verdana"/>
          <w:sz w:val="20"/>
          <w:szCs w:val="20"/>
        </w:rPr>
        <w:t xml:space="preserve">Consideraron que la condición de pobreza y pobreza extrema que enfrentan muchas de las víctimas también es considerada una situación de discriminación para acceder a la justicia por los altos costos y el abandono de infraestructura del Estado en las poblaciones mayas. </w:t>
      </w:r>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El </w:t>
      </w:r>
      <w:r w:rsidRPr="00873FEC">
        <w:rPr>
          <w:rFonts w:ascii="Verdana" w:hAnsi="Verdana"/>
          <w:b/>
          <w:i/>
          <w:sz w:val="20"/>
          <w:szCs w:val="20"/>
          <w:lang w:val="es-CR"/>
        </w:rPr>
        <w:t>Estado</w:t>
      </w:r>
      <w:r w:rsidRPr="00873FEC">
        <w:rPr>
          <w:rFonts w:ascii="Verdana" w:hAnsi="Verdana"/>
          <w:sz w:val="20"/>
          <w:szCs w:val="20"/>
          <w:lang w:val="es-CR"/>
        </w:rPr>
        <w:t xml:space="preserve"> indicó que efectuó una investigación diligente que concluyó con la sanción de personas involucradas en los hechos </w:t>
      </w:r>
      <w:r w:rsidRPr="00873FEC">
        <w:rPr>
          <w:rFonts w:ascii="Verdana" w:eastAsia="Times New Roman" w:hAnsi="Verdana" w:cs="Times New Roman"/>
          <w:bCs/>
          <w:color w:val="000000"/>
          <w:sz w:val="20"/>
          <w:szCs w:val="20"/>
          <w:lang w:val="es-CR"/>
        </w:rPr>
        <w:t>y sus actuaciones no se enmarcaron en una discriminación ni de hecho ni de derecho.</w:t>
      </w:r>
      <w:r w:rsidRPr="00873FEC">
        <w:rPr>
          <w:rFonts w:ascii="Verdana" w:eastAsia="Times New Roman" w:hAnsi="Verdana" w:cs="Times New Roman"/>
          <w:b/>
          <w:bCs/>
          <w:color w:val="000000"/>
          <w:sz w:val="20"/>
          <w:szCs w:val="20"/>
          <w:lang w:val="es-CR"/>
        </w:rPr>
        <w:t xml:space="preserve"> </w:t>
      </w:r>
    </w:p>
    <w:p w:rsidR="00332F58" w:rsidRPr="00873FEC" w:rsidRDefault="00332F58" w:rsidP="00126E97">
      <w:pPr>
        <w:pStyle w:val="ListParagraph"/>
        <w:spacing w:after="0" w:line="20" w:lineRule="atLeast"/>
        <w:rPr>
          <w:rFonts w:ascii="Verdana" w:eastAsia="Times New Roman" w:hAnsi="Verdana" w:cs="Times New Roman"/>
          <w:color w:val="000000"/>
          <w:sz w:val="20"/>
          <w:szCs w:val="20"/>
          <w:lang w:val="es-CR"/>
        </w:rPr>
      </w:pPr>
    </w:p>
    <w:p w:rsidR="00332F58" w:rsidRPr="00873FEC" w:rsidRDefault="00332F58" w:rsidP="00126E97">
      <w:pPr>
        <w:pStyle w:val="Heading2"/>
        <w:numPr>
          <w:ilvl w:val="0"/>
          <w:numId w:val="10"/>
        </w:numPr>
        <w:spacing w:before="0" w:line="20" w:lineRule="atLeast"/>
        <w:ind w:left="644" w:hanging="360"/>
        <w:jc w:val="both"/>
        <w:rPr>
          <w:rFonts w:ascii="Verdana" w:hAnsi="Verdana"/>
          <w:i/>
          <w:color w:val="auto"/>
          <w:sz w:val="20"/>
          <w:szCs w:val="20"/>
          <w:lang w:val="es-CR"/>
        </w:rPr>
      </w:pPr>
      <w:bookmarkStart w:id="186" w:name="_Toc525201196"/>
      <w:r w:rsidRPr="00873FEC">
        <w:rPr>
          <w:rFonts w:ascii="Verdana" w:hAnsi="Verdana"/>
          <w:i/>
          <w:color w:val="auto"/>
          <w:sz w:val="20"/>
          <w:szCs w:val="20"/>
          <w:lang w:val="es-CR"/>
        </w:rPr>
        <w:t>Consideraciones de la Corte</w:t>
      </w:r>
      <w:bookmarkEnd w:id="186"/>
    </w:p>
    <w:p w:rsidR="00332F58" w:rsidRPr="00873FEC" w:rsidRDefault="00332F58" w:rsidP="00126E97">
      <w:pPr>
        <w:pStyle w:val="ListParagraph"/>
        <w:spacing w:after="0" w:line="20" w:lineRule="atLeast"/>
        <w:rPr>
          <w:rFonts w:ascii="Verdana" w:eastAsia="Times New Roman" w:hAnsi="Verdana" w:cs="Times New Roman"/>
          <w:color w:val="000000"/>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eastAsia="Times New Roman" w:hAnsi="Verdana" w:cs="Times New Roman"/>
          <w:bCs/>
          <w:color w:val="000000"/>
          <w:sz w:val="20"/>
          <w:szCs w:val="20"/>
          <w:lang w:val="es-CR"/>
        </w:rPr>
        <w:t xml:space="preserve">En primer lugar, la Corte nota que la Comisión y los representantes no especificaron las personas en perjuicio de quienes se habría violado el derecho a la igual protección de la ley. Sin perjuicio de ello, por sus argumentos, este Tribunal considera que se refieren a todas las personas consideradas presuntas víctimas.  </w:t>
      </w:r>
    </w:p>
    <w:p w:rsidR="00332F58" w:rsidRPr="00873FEC" w:rsidRDefault="00332F58" w:rsidP="00126E97">
      <w:pPr>
        <w:pStyle w:val="ListParagraph"/>
        <w:spacing w:after="0" w:line="20" w:lineRule="atLeast"/>
        <w:rPr>
          <w:rFonts w:ascii="Verdana" w:eastAsia="Times New Roman" w:hAnsi="Verdana" w:cs="Times New Roman"/>
          <w:color w:val="000000"/>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b/>
          <w:sz w:val="20"/>
          <w:szCs w:val="20"/>
          <w:lang w:val="es-CR"/>
        </w:rPr>
      </w:pPr>
      <w:r w:rsidRPr="00873FEC">
        <w:rPr>
          <w:rFonts w:ascii="Verdana" w:eastAsia="Times New Roman" w:hAnsi="Verdana" w:cs="Times New Roman"/>
          <w:bCs/>
          <w:color w:val="000000"/>
          <w:sz w:val="20"/>
          <w:szCs w:val="20"/>
          <w:lang w:val="es-CR"/>
        </w:rPr>
        <w:t>En cuanto a los procesos j</w:t>
      </w:r>
      <w:r w:rsidRPr="00873FEC">
        <w:rPr>
          <w:rFonts w:ascii="Verdana" w:eastAsia="Times New Roman" w:hAnsi="Verdana" w:cs="Times New Roman"/>
          <w:bCs/>
          <w:sz w:val="20"/>
          <w:szCs w:val="20"/>
          <w:lang w:val="es-CR"/>
        </w:rPr>
        <w:t>udiciales, la Corte ha</w:t>
      </w:r>
      <w:r w:rsidRPr="00873FEC">
        <w:rPr>
          <w:rFonts w:ascii="Verdana" w:eastAsia="Times New Roman" w:hAnsi="Verdana" w:cs="Times New Roman"/>
          <w:bCs/>
          <w:color w:val="000000"/>
          <w:sz w:val="20"/>
          <w:szCs w:val="20"/>
          <w:lang w:val="es-CR"/>
        </w:rPr>
        <w:t xml:space="preserve"> </w:t>
      </w:r>
      <w:r w:rsidRPr="00873FEC">
        <w:rPr>
          <w:rFonts w:ascii="Verdana" w:hAnsi="Verdana"/>
          <w:sz w:val="20"/>
          <w:szCs w:val="20"/>
          <w:lang w:val="es-CR"/>
        </w:rPr>
        <w:t xml:space="preserve">“establecido violaciones al artículo 24 de la Convención cuando se [ha] </w:t>
      </w:r>
      <w:proofErr w:type="gramStart"/>
      <w:r w:rsidRPr="00873FEC">
        <w:rPr>
          <w:rFonts w:ascii="Verdana" w:hAnsi="Verdana"/>
          <w:sz w:val="20"/>
          <w:szCs w:val="20"/>
          <w:lang w:val="es-CR"/>
        </w:rPr>
        <w:t>consta[</w:t>
      </w:r>
      <w:proofErr w:type="spellStart"/>
      <w:proofErr w:type="gramEnd"/>
      <w:r w:rsidRPr="00873FEC">
        <w:rPr>
          <w:rFonts w:ascii="Verdana" w:hAnsi="Verdana"/>
          <w:sz w:val="20"/>
          <w:szCs w:val="20"/>
          <w:lang w:val="es-CR"/>
        </w:rPr>
        <w:t>tado</w:t>
      </w:r>
      <w:proofErr w:type="spellEnd"/>
      <w:r w:rsidRPr="00873FEC">
        <w:rPr>
          <w:rFonts w:ascii="Verdana" w:hAnsi="Verdana"/>
          <w:sz w:val="20"/>
          <w:szCs w:val="20"/>
          <w:lang w:val="es-CR"/>
        </w:rPr>
        <w:t>] una vulneración al acceso a la justicia con base en criterios discriminatorios”</w:t>
      </w:r>
      <w:r w:rsidRPr="00873FEC">
        <w:rPr>
          <w:rStyle w:val="FootnoteReference"/>
          <w:rFonts w:ascii="Verdana" w:hAnsi="Verdana"/>
          <w:sz w:val="20"/>
          <w:lang w:val="es-CR" w:eastAsia="x-none"/>
        </w:rPr>
        <w:footnoteReference w:id="201"/>
      </w:r>
      <w:r w:rsidRPr="00873FEC">
        <w:rPr>
          <w:rFonts w:ascii="Verdana" w:hAnsi="Verdana"/>
          <w:sz w:val="20"/>
          <w:szCs w:val="20"/>
          <w:lang w:val="es-CR"/>
        </w:rPr>
        <w:t>. No obstante, entiende que para determinar dicha violación no bastaría una situación meramente contextual</w:t>
      </w:r>
      <w:r w:rsidRPr="00873FEC">
        <w:rPr>
          <w:rStyle w:val="FootnoteReference"/>
          <w:rFonts w:ascii="Verdana" w:hAnsi="Verdana"/>
          <w:sz w:val="20"/>
          <w:lang w:val="es-CR" w:eastAsia="x-none"/>
        </w:rPr>
        <w:footnoteReference w:id="202"/>
      </w:r>
      <w:r w:rsidRPr="00873FEC">
        <w:rPr>
          <w:rFonts w:ascii="Verdana" w:hAnsi="Verdana"/>
          <w:sz w:val="20"/>
          <w:szCs w:val="20"/>
          <w:lang w:val="es-CR"/>
        </w:rPr>
        <w:t>, sino que resulta necesario que se acrediten “hechos concretos de discriminación en el marco de las investigaciones que constituyeran obstáculos [</w:t>
      </w:r>
      <w:r w:rsidR="00552A1D">
        <w:rPr>
          <w:rFonts w:ascii="Verdana" w:hAnsi="Verdana"/>
          <w:sz w:val="20"/>
          <w:szCs w:val="20"/>
          <w:lang w:val="es-CR"/>
        </w:rPr>
        <w:t>a</w:t>
      </w:r>
      <w:r w:rsidRPr="00873FEC">
        <w:rPr>
          <w:rFonts w:ascii="Verdana" w:hAnsi="Verdana"/>
          <w:sz w:val="20"/>
          <w:szCs w:val="20"/>
          <w:lang w:val="es-CR"/>
        </w:rPr>
        <w:t>] acceder a la justicia, en razón [del carácter sobre el que se manifiesta la discriminación]</w:t>
      </w:r>
      <w:r w:rsidRPr="00873FEC">
        <w:rPr>
          <w:rStyle w:val="FootnoteReference"/>
          <w:rFonts w:ascii="Verdana" w:hAnsi="Verdana"/>
          <w:sz w:val="20"/>
          <w:lang w:val="es-CR" w:eastAsia="x-none"/>
        </w:rPr>
        <w:footnoteReference w:id="203"/>
      </w:r>
      <w:r w:rsidRPr="00873FEC">
        <w:rPr>
          <w:rFonts w:ascii="Verdana" w:hAnsi="Verdana"/>
          <w:sz w:val="20"/>
          <w:szCs w:val="20"/>
          <w:lang w:val="es-CR"/>
        </w:rPr>
        <w:t>. La Corte no observa tales hechos concretos en el caso. Además, destaca que el proceso judicial derivó en el esclarecimiento de lo acontecido y la determinación de responsabilidades. En ese marco, no resulta evidente, ni ha sido suficientemente fundamentada, la “</w:t>
      </w:r>
      <w:proofErr w:type="spellStart"/>
      <w:r w:rsidRPr="00873FEC">
        <w:rPr>
          <w:rFonts w:ascii="Verdana" w:hAnsi="Verdana"/>
          <w:sz w:val="20"/>
          <w:szCs w:val="20"/>
          <w:lang w:val="es-CR"/>
        </w:rPr>
        <w:t>despriorización</w:t>
      </w:r>
      <w:proofErr w:type="spellEnd"/>
      <w:r w:rsidRPr="00873FEC">
        <w:rPr>
          <w:rFonts w:ascii="Verdana" w:hAnsi="Verdana"/>
          <w:sz w:val="20"/>
          <w:szCs w:val="20"/>
          <w:lang w:val="es-CR"/>
        </w:rPr>
        <w:t>” referida por la Comisión; tampoco que la supuesta incidencia perjudicial en el caso, con relación a la actuación judicial, de la situación de pobreza señalada por los representantes.</w:t>
      </w:r>
    </w:p>
    <w:p w:rsidR="00332F58" w:rsidRPr="00873FEC" w:rsidRDefault="00332F58" w:rsidP="00126E97">
      <w:pPr>
        <w:pStyle w:val="ListParagraph"/>
        <w:spacing w:after="0" w:line="20" w:lineRule="atLeast"/>
        <w:rPr>
          <w:rFonts w:ascii="Verdana" w:hAnsi="Verdana"/>
          <w:sz w:val="20"/>
          <w:szCs w:val="20"/>
          <w:lang w:val="es-CR"/>
        </w:rPr>
      </w:pPr>
    </w:p>
    <w:p w:rsidR="00332F58" w:rsidRPr="00873FEC" w:rsidRDefault="00332F58" w:rsidP="00126E97">
      <w:pPr>
        <w:numPr>
          <w:ilvl w:val="0"/>
          <w:numId w:val="3"/>
        </w:numPr>
        <w:spacing w:after="0" w:line="20" w:lineRule="atLeast"/>
        <w:ind w:right="-138"/>
        <w:jc w:val="both"/>
        <w:rPr>
          <w:rFonts w:ascii="Verdana" w:hAnsi="Verdana"/>
          <w:sz w:val="20"/>
          <w:szCs w:val="20"/>
          <w:lang w:val="es-CR"/>
        </w:rPr>
      </w:pPr>
      <w:r w:rsidRPr="00873FEC">
        <w:rPr>
          <w:rFonts w:ascii="Verdana" w:hAnsi="Verdana"/>
          <w:sz w:val="20"/>
          <w:szCs w:val="20"/>
          <w:lang w:val="es-CR"/>
        </w:rPr>
        <w:t xml:space="preserve">Por lo expuesto, la Corte considera que Guatemala no violó el artículo 24 de la Convención Americana.  </w:t>
      </w:r>
    </w:p>
    <w:p w:rsidR="00D05F7B" w:rsidRDefault="00D05F7B" w:rsidP="00126E97">
      <w:pPr>
        <w:spacing w:line="20" w:lineRule="atLeast"/>
        <w:jc w:val="both"/>
        <w:rPr>
          <w:rFonts w:ascii="Verdana" w:hAnsi="Verdana"/>
          <w:sz w:val="20"/>
          <w:szCs w:val="20"/>
          <w:lang w:val="es-CR"/>
        </w:rPr>
      </w:pPr>
    </w:p>
    <w:p w:rsidR="00126E97" w:rsidRDefault="00126E97" w:rsidP="00126E97">
      <w:pPr>
        <w:spacing w:line="20" w:lineRule="atLeast"/>
        <w:jc w:val="both"/>
        <w:rPr>
          <w:rFonts w:ascii="Verdana" w:hAnsi="Verdana"/>
          <w:sz w:val="20"/>
          <w:szCs w:val="20"/>
          <w:lang w:val="es-CR"/>
        </w:rPr>
      </w:pPr>
    </w:p>
    <w:p w:rsidR="00126E97" w:rsidRDefault="00126E97" w:rsidP="00126E97">
      <w:pPr>
        <w:spacing w:line="20" w:lineRule="atLeast"/>
        <w:jc w:val="both"/>
        <w:rPr>
          <w:rFonts w:ascii="Verdana" w:hAnsi="Verdana"/>
          <w:sz w:val="20"/>
          <w:szCs w:val="20"/>
          <w:lang w:val="es-CR"/>
        </w:rPr>
      </w:pPr>
    </w:p>
    <w:p w:rsidR="00126E97" w:rsidRDefault="00126E97" w:rsidP="00126E97">
      <w:pPr>
        <w:spacing w:line="20" w:lineRule="atLeast"/>
        <w:jc w:val="both"/>
        <w:rPr>
          <w:rFonts w:ascii="Verdana" w:hAnsi="Verdana"/>
          <w:sz w:val="20"/>
          <w:szCs w:val="20"/>
          <w:lang w:val="es-CR"/>
        </w:rPr>
      </w:pPr>
    </w:p>
    <w:p w:rsidR="00126E97" w:rsidRPr="00873FEC" w:rsidRDefault="00126E97" w:rsidP="00126E97">
      <w:pPr>
        <w:spacing w:line="20" w:lineRule="atLeast"/>
        <w:jc w:val="both"/>
        <w:rPr>
          <w:rFonts w:ascii="Calibri" w:eastAsia="Calibri" w:hAnsi="Calibri" w:cs="Times"/>
          <w:szCs w:val="20"/>
          <w:lang w:eastAsia="es-CR"/>
        </w:rPr>
      </w:pPr>
    </w:p>
    <w:p w:rsidR="00D05F7B" w:rsidRPr="00873FEC" w:rsidRDefault="00D05F7B" w:rsidP="00126E97">
      <w:pPr>
        <w:spacing w:after="0" w:line="20" w:lineRule="atLeast"/>
        <w:ind w:left="720"/>
        <w:contextualSpacing/>
        <w:jc w:val="center"/>
        <w:outlineLvl w:val="0"/>
        <w:rPr>
          <w:rFonts w:ascii="Verdana" w:eastAsia="Calibri" w:hAnsi="Verdana" w:cs="Times"/>
          <w:b/>
          <w:sz w:val="20"/>
          <w:szCs w:val="20"/>
          <w:lang w:eastAsia="es-CR"/>
        </w:rPr>
      </w:pPr>
      <w:bookmarkStart w:id="187" w:name="_Toc520207611"/>
      <w:bookmarkStart w:id="188" w:name="_Toc525201197"/>
      <w:bookmarkEnd w:id="187"/>
      <w:r w:rsidRPr="00873FEC">
        <w:rPr>
          <w:rFonts w:ascii="Verdana" w:eastAsia="Calibri" w:hAnsi="Verdana" w:cs="Times"/>
          <w:b/>
          <w:sz w:val="20"/>
          <w:szCs w:val="20"/>
          <w:lang w:eastAsia="es-CR"/>
        </w:rPr>
        <w:lastRenderedPageBreak/>
        <w:t>VIII</w:t>
      </w:r>
      <w:bookmarkEnd w:id="188"/>
    </w:p>
    <w:p w:rsidR="00D05F7B" w:rsidRPr="00873FEC" w:rsidRDefault="00D05F7B" w:rsidP="00126E97">
      <w:pPr>
        <w:spacing w:after="0" w:line="20" w:lineRule="atLeast"/>
        <w:ind w:left="720"/>
        <w:contextualSpacing/>
        <w:jc w:val="center"/>
        <w:outlineLvl w:val="0"/>
        <w:rPr>
          <w:rFonts w:ascii="Verdana" w:eastAsia="Calibri" w:hAnsi="Verdana" w:cs="Times"/>
          <w:b/>
          <w:sz w:val="20"/>
          <w:szCs w:val="20"/>
          <w:lang w:eastAsia="es-CR"/>
        </w:rPr>
      </w:pPr>
      <w:bookmarkStart w:id="189" w:name="_Toc520207612"/>
      <w:bookmarkStart w:id="190" w:name="_Toc525201198"/>
      <w:bookmarkEnd w:id="189"/>
      <w:r w:rsidRPr="00873FEC">
        <w:rPr>
          <w:rFonts w:ascii="Verdana" w:eastAsia="Calibri" w:hAnsi="Verdana" w:cs="Times"/>
          <w:b/>
          <w:sz w:val="20"/>
          <w:szCs w:val="20"/>
          <w:lang w:eastAsia="es-CR"/>
        </w:rPr>
        <w:t>REPARACIONES</w:t>
      </w:r>
      <w:bookmarkEnd w:id="190"/>
    </w:p>
    <w:p w:rsidR="00D05F7B" w:rsidRPr="00873FEC" w:rsidRDefault="00D05F7B" w:rsidP="00126E97">
      <w:pPr>
        <w:spacing w:after="0" w:line="20" w:lineRule="atLeast"/>
        <w:ind w:left="720"/>
        <w:contextualSpacing/>
        <w:jc w:val="center"/>
        <w:outlineLvl w:val="0"/>
        <w:rPr>
          <w:rFonts w:ascii="Verdana" w:eastAsia="Calibri" w:hAnsi="Verdana" w:cs="Times"/>
          <w:b/>
          <w:sz w:val="20"/>
          <w:szCs w:val="20"/>
          <w:lang w:eastAsia="es-CR"/>
        </w:rPr>
      </w:pPr>
      <w:bookmarkStart w:id="191" w:name="_Toc520207613"/>
      <w:bookmarkStart w:id="192" w:name="_Toc520212033"/>
      <w:bookmarkStart w:id="193" w:name="_Toc521532512"/>
      <w:bookmarkStart w:id="194" w:name="_Toc525201199"/>
      <w:bookmarkEnd w:id="191"/>
      <w:bookmarkEnd w:id="192"/>
      <w:bookmarkEnd w:id="193"/>
      <w:r w:rsidRPr="00873FEC">
        <w:rPr>
          <w:rFonts w:ascii="Verdana" w:eastAsia="Calibri" w:hAnsi="Verdana" w:cs="Times"/>
          <w:b/>
          <w:sz w:val="20"/>
          <w:szCs w:val="20"/>
          <w:lang w:eastAsia="es-CR"/>
        </w:rPr>
        <w:t>(Aplicación del artículo 63.1 de la Convención Americana)</w:t>
      </w:r>
      <w:bookmarkEnd w:id="194"/>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 xml:space="preserve">Sobre </w:t>
      </w:r>
      <w:r w:rsidRPr="00873FEC">
        <w:rPr>
          <w:rFonts w:ascii="Verdana" w:eastAsia="Batang" w:hAnsi="Verdana" w:cs="Times"/>
          <w:bCs/>
          <w:sz w:val="20"/>
          <w:szCs w:val="20"/>
          <w:lang w:eastAsia="es-CR"/>
        </w:rPr>
        <w:t>la</w:t>
      </w:r>
      <w:r w:rsidRPr="00873FEC">
        <w:rPr>
          <w:rFonts w:ascii="Verdana" w:eastAsia="Batang" w:hAnsi="Verdana" w:cs="Times"/>
          <w:sz w:val="20"/>
          <w:szCs w:val="20"/>
          <w:lang w:eastAsia="es-CR"/>
        </w:rPr>
        <w:t xml:space="preserve"> base del artículo 63.1 de la Convención</w:t>
      </w:r>
      <w:r w:rsidRPr="00873FEC">
        <w:rPr>
          <w:rFonts w:ascii="Verdana" w:eastAsia="Batang" w:hAnsi="Verdana" w:cs="Times New Roman"/>
          <w:sz w:val="20"/>
          <w:szCs w:val="20"/>
          <w:vertAlign w:val="superscript"/>
          <w:lang w:eastAsia="x-none"/>
        </w:rPr>
        <w:footnoteReference w:id="204"/>
      </w:r>
      <w:r w:rsidRPr="00873FEC">
        <w:rPr>
          <w:rFonts w:ascii="Verdana" w:eastAsia="Batang" w:hAnsi="Verdana" w:cs="Times"/>
          <w:sz w:val="20"/>
          <w:szCs w:val="20"/>
          <w:lang w:eastAsia="es-CR"/>
        </w:rPr>
        <w:t>, la Corte ha indicado que toda violación de una obligación internacional que haya producido daño comporta el deber de repararlo adecuadamente y que esa disposición recoge una norma consuetudinaria que constituye uno de los principios fundamentales del Derecho Internacional contemporáneo sobre responsabilidad de un Estado</w:t>
      </w:r>
      <w:r w:rsidRPr="00873FEC">
        <w:rPr>
          <w:rFonts w:ascii="Verdana" w:eastAsia="Batang" w:hAnsi="Verdana" w:cs="Times New Roman"/>
          <w:sz w:val="20"/>
          <w:szCs w:val="20"/>
          <w:vertAlign w:val="superscript"/>
          <w:lang w:eastAsia="x-none"/>
        </w:rPr>
        <w:footnoteReference w:id="205"/>
      </w:r>
      <w:r w:rsidRPr="00873FEC">
        <w:rPr>
          <w:rFonts w:ascii="Verdana" w:eastAsia="Batang" w:hAnsi="Verdana" w:cs="Times"/>
          <w:sz w:val="20"/>
          <w:szCs w:val="20"/>
          <w:lang w:eastAsia="es-CR"/>
        </w:rPr>
        <w:t>.</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bCs/>
          <w:sz w:val="20"/>
          <w:szCs w:val="20"/>
          <w:lang w:eastAsia="es-CR"/>
        </w:rPr>
        <w:t xml:space="preserve">La </w:t>
      </w:r>
      <w:r w:rsidRPr="00873FEC">
        <w:rPr>
          <w:rFonts w:ascii="Verdana" w:eastAsia="Batang" w:hAnsi="Verdana" w:cs="Times"/>
          <w:sz w:val="20"/>
          <w:szCs w:val="20"/>
          <w:lang w:eastAsia="es-CR"/>
        </w:rPr>
        <w:t>reparación</w:t>
      </w:r>
      <w:r w:rsidRPr="00873FEC">
        <w:rPr>
          <w:rFonts w:ascii="Verdana" w:eastAsia="Batang" w:hAnsi="Verdana" w:cs="Times"/>
          <w:bCs/>
          <w:sz w:val="20"/>
          <w:szCs w:val="20"/>
          <w:lang w:eastAsia="es-CR"/>
        </w:rPr>
        <w:t xml:space="preserve"> del daño ocasionado por la infracción de una obligación internacional requiere, siempre que sea posible, la plena restitución (</w:t>
      </w:r>
      <w:proofErr w:type="spellStart"/>
      <w:r w:rsidRPr="00873FEC">
        <w:rPr>
          <w:rFonts w:ascii="Verdana" w:eastAsia="Batang" w:hAnsi="Verdana" w:cs="Times"/>
          <w:bCs/>
          <w:i/>
          <w:sz w:val="20"/>
          <w:szCs w:val="20"/>
          <w:lang w:eastAsia="es-CR"/>
        </w:rPr>
        <w:t>restitutio</w:t>
      </w:r>
      <w:proofErr w:type="spellEnd"/>
      <w:r w:rsidRPr="00873FEC">
        <w:rPr>
          <w:rFonts w:ascii="Verdana" w:eastAsia="Batang" w:hAnsi="Verdana" w:cs="Times"/>
          <w:bCs/>
          <w:i/>
          <w:sz w:val="20"/>
          <w:szCs w:val="20"/>
          <w:lang w:eastAsia="es-CR"/>
        </w:rPr>
        <w:t xml:space="preserve"> in </w:t>
      </w:r>
      <w:proofErr w:type="spellStart"/>
      <w:r w:rsidRPr="00873FEC">
        <w:rPr>
          <w:rFonts w:ascii="Verdana" w:eastAsia="Batang" w:hAnsi="Verdana" w:cs="Times"/>
          <w:bCs/>
          <w:i/>
          <w:sz w:val="20"/>
          <w:szCs w:val="20"/>
          <w:lang w:eastAsia="es-CR"/>
        </w:rPr>
        <w:t>integrum</w:t>
      </w:r>
      <w:proofErr w:type="spellEnd"/>
      <w:r w:rsidRPr="00873FEC">
        <w:rPr>
          <w:rFonts w:ascii="Verdana" w:eastAsia="Batang" w:hAnsi="Verdana" w:cs="Times"/>
          <w:bCs/>
          <w:sz w:val="20"/>
          <w:szCs w:val="20"/>
          <w:lang w:eastAsia="es-CR"/>
        </w:rPr>
        <w:t>), que consiste en el restablecimiento de la situación anterior. De no ser esto factible, el Tribunal determinará medidas para garantizar los derechos conculcados y reparar las consecuencias que las infracciones produjeron</w:t>
      </w:r>
      <w:r w:rsidRPr="00873FEC">
        <w:rPr>
          <w:rFonts w:ascii="Verdana" w:eastAsia="Batang" w:hAnsi="Verdana" w:cs="Times New Roman"/>
          <w:sz w:val="20"/>
          <w:szCs w:val="20"/>
          <w:vertAlign w:val="superscript"/>
          <w:lang w:eastAsia="x-none"/>
        </w:rPr>
        <w:footnoteReference w:id="206"/>
      </w:r>
      <w:r w:rsidRPr="00873FEC">
        <w:rPr>
          <w:rFonts w:ascii="Verdana" w:eastAsia="Batang" w:hAnsi="Verdana" w:cs="Times"/>
          <w:bCs/>
          <w:sz w:val="20"/>
          <w:szCs w:val="20"/>
          <w:lang w:eastAsia="es-CR"/>
        </w:rPr>
        <w:t xml:space="preserve">. </w:t>
      </w:r>
      <w:r w:rsidRPr="00873FEC">
        <w:rPr>
          <w:rFonts w:ascii="Verdana" w:eastAsia="Batang" w:hAnsi="Verdana" w:cs="Times"/>
          <w:sz w:val="20"/>
          <w:szCs w:val="20"/>
          <w:lang w:eastAsia="es-CR"/>
        </w:rPr>
        <w:t>Las reparaciones deben tener un nexo causal con los hechos del caso, las violaciones declaradas y los daños acreditados, así como con las medidas solicitadas para repararlos</w:t>
      </w:r>
      <w:r w:rsidRPr="00873FEC">
        <w:rPr>
          <w:rFonts w:ascii="Verdana" w:eastAsia="Batang" w:hAnsi="Verdana" w:cs="Times New Roman"/>
          <w:sz w:val="20"/>
          <w:szCs w:val="20"/>
          <w:vertAlign w:val="superscript"/>
          <w:lang w:eastAsia="x-none"/>
        </w:rPr>
        <w:footnoteReference w:id="207"/>
      </w:r>
      <w:r w:rsidRPr="00873FEC">
        <w:rPr>
          <w:rFonts w:ascii="Verdana" w:eastAsia="Batang" w:hAnsi="Verdana" w:cs="Times"/>
          <w:sz w:val="20"/>
          <w:szCs w:val="20"/>
          <w:lang w:eastAsia="es-CR"/>
        </w:rPr>
        <w:t xml:space="preserve">. </w:t>
      </w:r>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Tomando en cuenta las violaciones a la Convención declaradas, a la luz de los criterios fijados en su jurisprudencia en relación con la naturaleza y alcances de la obligación de reparar</w:t>
      </w:r>
      <w:r w:rsidRPr="00873FEC">
        <w:rPr>
          <w:rFonts w:ascii="Verdana" w:eastAsia="Calibri" w:hAnsi="Verdana" w:cs="Times New Roman"/>
          <w:sz w:val="20"/>
          <w:szCs w:val="20"/>
          <w:vertAlign w:val="superscript"/>
          <w:lang w:val="es-CR" w:eastAsia="x-none"/>
        </w:rPr>
        <w:footnoteReference w:id="208"/>
      </w:r>
      <w:r w:rsidRPr="00873FEC">
        <w:rPr>
          <w:rFonts w:ascii="Verdana" w:eastAsia="Batang" w:hAnsi="Verdana" w:cs="Times"/>
          <w:sz w:val="20"/>
          <w:szCs w:val="20"/>
          <w:lang w:eastAsia="es-CR"/>
        </w:rPr>
        <w:t>, la Corte analizará las pretensiones y argumentos respectivos de la Comisión y las partes. Al respecto, aunque la sentencia constituye por sí misma una forma de reparación</w:t>
      </w:r>
      <w:r w:rsidRPr="00873FEC">
        <w:rPr>
          <w:rFonts w:ascii="Verdana" w:eastAsia="Batang" w:hAnsi="Verdana" w:cs="Times New Roman"/>
          <w:sz w:val="20"/>
          <w:szCs w:val="20"/>
          <w:vertAlign w:val="superscript"/>
          <w:lang w:val="en-US" w:eastAsia="x-none"/>
        </w:rPr>
        <w:footnoteReference w:id="209"/>
      </w:r>
      <w:r w:rsidRPr="00873FEC">
        <w:rPr>
          <w:rFonts w:ascii="Verdana" w:eastAsia="Batang" w:hAnsi="Verdana" w:cs="Times"/>
          <w:sz w:val="20"/>
          <w:szCs w:val="20"/>
          <w:lang w:eastAsia="es-CR"/>
        </w:rPr>
        <w:t>, considerando los daños causados las víctimas, la Corte fijará otras medidas.</w:t>
      </w:r>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Antes de efectuar las precisiones correspondientes, la Corte advierte que e</w:t>
      </w:r>
      <w:r w:rsidRPr="00873FEC">
        <w:rPr>
          <w:rFonts w:ascii="Verdana" w:eastAsia="MS Mincho" w:hAnsi="Verdana" w:cs="Times"/>
          <w:sz w:val="20"/>
          <w:szCs w:val="20"/>
          <w:lang w:val="es-CR" w:eastAsia="es-CR"/>
        </w:rPr>
        <w:t xml:space="preserve">l </w:t>
      </w:r>
      <w:r w:rsidRPr="00873FEC">
        <w:rPr>
          <w:rFonts w:ascii="Verdana" w:eastAsia="MS Mincho" w:hAnsi="Verdana" w:cs="Times"/>
          <w:b/>
          <w:i/>
          <w:sz w:val="20"/>
          <w:szCs w:val="20"/>
          <w:lang w:val="es-CR" w:eastAsia="es-CR"/>
        </w:rPr>
        <w:t>Estado</w:t>
      </w:r>
      <w:r w:rsidRPr="00873FEC">
        <w:rPr>
          <w:rFonts w:ascii="Verdana" w:eastAsia="MS Mincho" w:hAnsi="Verdana" w:cs="Times"/>
          <w:sz w:val="20"/>
          <w:szCs w:val="20"/>
          <w:lang w:val="es-CR" w:eastAsia="es-CR"/>
        </w:rPr>
        <w:t xml:space="preserve"> señaló que cuenta con el Programa Nacional de Resarcimiento, creado mediante decreto gubernativo número 258-2003. Indicó que el PNR tiene, como un objetivo central, efectuar el resarcimiento individual y/o colectivo de las víctimas de violaciones a los derechos humanos en el marco del enfrentamiento armado interno. Guatemala, en sus alegatos finales escritos, solicitó a la Corte considerar los beneficios de resarcimiento económico y de vivienda otorgada por el Estado a la Comunidad, para lo cual adjuntó un documento del PNR en que consta un listado de quiénes han recibido algún tipo de beneficio. Los </w:t>
      </w:r>
      <w:r w:rsidRPr="00873FEC">
        <w:rPr>
          <w:rFonts w:ascii="Verdana" w:eastAsia="MS Mincho" w:hAnsi="Verdana" w:cs="Times"/>
          <w:b/>
          <w:i/>
          <w:sz w:val="20"/>
          <w:szCs w:val="20"/>
          <w:lang w:val="es-CR" w:eastAsia="es-CR"/>
        </w:rPr>
        <w:t>representantes</w:t>
      </w:r>
      <w:r w:rsidRPr="00873FEC">
        <w:rPr>
          <w:rFonts w:ascii="Verdana" w:eastAsia="MS Mincho" w:hAnsi="Verdana" w:cs="Times"/>
          <w:sz w:val="20"/>
          <w:szCs w:val="20"/>
          <w:lang w:val="es-CR" w:eastAsia="es-CR"/>
        </w:rPr>
        <w:t xml:space="preserve">, por su parte, negaron que por los hechos de la masacre las víctimas hubieran obtenido reparaciones provenientes del PNR. La </w:t>
      </w:r>
      <w:r w:rsidRPr="00873FEC">
        <w:rPr>
          <w:rFonts w:ascii="Verdana" w:eastAsia="MS Mincho" w:hAnsi="Verdana" w:cs="Times"/>
          <w:b/>
          <w:i/>
          <w:sz w:val="20"/>
          <w:szCs w:val="20"/>
          <w:lang w:val="es-CR" w:eastAsia="es-CR"/>
        </w:rPr>
        <w:t>Corte</w:t>
      </w:r>
      <w:r w:rsidRPr="00873FEC">
        <w:rPr>
          <w:rFonts w:ascii="Verdana" w:eastAsia="MS Mincho" w:hAnsi="Verdana" w:cs="Times"/>
          <w:sz w:val="20"/>
          <w:szCs w:val="20"/>
          <w:lang w:val="es-CR" w:eastAsia="es-CR"/>
        </w:rPr>
        <w:t xml:space="preserve"> valora las acciones emprendidas a través del PNR para reparar violaciones a </w:t>
      </w:r>
      <w:r w:rsidRPr="00873FEC">
        <w:rPr>
          <w:rFonts w:ascii="Verdana" w:eastAsia="MS Mincho" w:hAnsi="Verdana" w:cs="Times"/>
          <w:sz w:val="20"/>
          <w:szCs w:val="20"/>
          <w:lang w:val="es-CR" w:eastAsia="es-CR"/>
        </w:rPr>
        <w:lastRenderedPageBreak/>
        <w:t>derechos humanos perpetradas en el marco del conflicto armado interno</w:t>
      </w:r>
      <w:r w:rsidRPr="00873FEC">
        <w:rPr>
          <w:rFonts w:ascii="Verdana" w:eastAsia="MS Mincho" w:hAnsi="Verdana" w:cs="Times New Roman"/>
          <w:sz w:val="20"/>
          <w:szCs w:val="20"/>
          <w:vertAlign w:val="superscript"/>
          <w:lang w:val="en-US" w:eastAsia="es-CR"/>
        </w:rPr>
        <w:footnoteReference w:id="210"/>
      </w:r>
      <w:r w:rsidRPr="00873FEC">
        <w:rPr>
          <w:rFonts w:ascii="Verdana" w:eastAsia="MS Mincho" w:hAnsi="Verdana" w:cs="Times"/>
          <w:sz w:val="20"/>
          <w:szCs w:val="20"/>
          <w:lang w:val="es-CR" w:eastAsia="es-CR"/>
        </w:rPr>
        <w:t xml:space="preserve">. Sin perjuicio de ello, </w:t>
      </w:r>
      <w:r w:rsidR="0020708F" w:rsidRPr="00873FEC">
        <w:rPr>
          <w:rFonts w:ascii="Verdana" w:eastAsia="MS Mincho" w:hAnsi="Verdana" w:cs="Times"/>
          <w:sz w:val="20"/>
          <w:szCs w:val="20"/>
          <w:lang w:val="es-CR" w:eastAsia="es-CR"/>
        </w:rPr>
        <w:t>nota que el pedido estatal es extemporáneo y no puede considerarse</w:t>
      </w:r>
      <w:r w:rsidR="0020708F" w:rsidRPr="00873FEC">
        <w:rPr>
          <w:rStyle w:val="FootnoteReference"/>
          <w:rFonts w:ascii="Verdana" w:eastAsia="MS Mincho" w:hAnsi="Verdana"/>
          <w:sz w:val="20"/>
          <w:lang w:val="es-CR" w:eastAsia="es-CR"/>
        </w:rPr>
        <w:footnoteReference w:id="211"/>
      </w:r>
      <w:r w:rsidR="0020708F" w:rsidRPr="00873FEC">
        <w:rPr>
          <w:rFonts w:ascii="Verdana" w:eastAsia="MS Mincho" w:hAnsi="Verdana" w:cs="Times"/>
          <w:sz w:val="20"/>
          <w:szCs w:val="20"/>
          <w:lang w:val="es-CR" w:eastAsia="es-CR"/>
        </w:rPr>
        <w:t xml:space="preserve">, y </w:t>
      </w:r>
      <w:r w:rsidRPr="00873FEC">
        <w:rPr>
          <w:rFonts w:ascii="Verdana" w:eastAsia="Batang" w:hAnsi="Verdana" w:cs="Times"/>
          <w:sz w:val="20"/>
          <w:szCs w:val="20"/>
          <w:lang w:val="es-CR" w:eastAsia="es-CR"/>
        </w:rPr>
        <w:t xml:space="preserve">recuerda que corresponde </w:t>
      </w:r>
      <w:r w:rsidR="0020708F" w:rsidRPr="00873FEC">
        <w:rPr>
          <w:rFonts w:ascii="Verdana" w:eastAsia="Batang" w:hAnsi="Verdana" w:cs="Times"/>
          <w:sz w:val="20"/>
          <w:szCs w:val="20"/>
          <w:lang w:val="es-CR" w:eastAsia="es-CR"/>
        </w:rPr>
        <w:t xml:space="preserve">a este Tribunal </w:t>
      </w:r>
      <w:r w:rsidRPr="00873FEC">
        <w:rPr>
          <w:rFonts w:ascii="Verdana" w:eastAsia="Batang" w:hAnsi="Verdana" w:cs="Times"/>
          <w:sz w:val="20"/>
          <w:szCs w:val="20"/>
          <w:lang w:val="es-CR" w:eastAsia="es-CR"/>
        </w:rPr>
        <w:t>velar por que se reparen las consecuencias de las violaciones de los derechos humanos declaradas en la Sentencia</w:t>
      </w:r>
      <w:r w:rsidRPr="00873FEC">
        <w:rPr>
          <w:rFonts w:ascii="Verdana" w:eastAsia="Batang" w:hAnsi="Verdana" w:cs="Times New Roman"/>
          <w:sz w:val="20"/>
          <w:szCs w:val="20"/>
          <w:vertAlign w:val="superscript"/>
          <w:lang w:val="en-US" w:eastAsia="es-CR"/>
        </w:rPr>
        <w:footnoteReference w:id="212"/>
      </w:r>
      <w:r w:rsidRPr="00873FEC">
        <w:rPr>
          <w:rFonts w:ascii="Verdana" w:eastAsia="Batang" w:hAnsi="Verdana" w:cs="Times"/>
          <w:sz w:val="20"/>
          <w:szCs w:val="20"/>
          <w:lang w:val="es-CR" w:eastAsia="es-CR"/>
        </w:rPr>
        <w:t>.</w:t>
      </w:r>
      <w:r w:rsidR="0020708F" w:rsidRPr="00873FEC">
        <w:rPr>
          <w:rFonts w:ascii="Verdana" w:eastAsia="Batang" w:hAnsi="Verdana" w:cs="Times"/>
          <w:sz w:val="20"/>
          <w:szCs w:val="20"/>
          <w:lang w:val="es-CR" w:eastAsia="es-CR"/>
        </w:rPr>
        <w:t xml:space="preserve"> Por ello, procede a determinar las reparaciones conducentes.</w:t>
      </w:r>
      <w:r w:rsidRPr="00873FEC">
        <w:rPr>
          <w:rFonts w:ascii="Verdana" w:eastAsia="Batang" w:hAnsi="Verdana" w:cs="Times"/>
          <w:sz w:val="20"/>
          <w:szCs w:val="20"/>
          <w:lang w:val="es-CR" w:eastAsia="es-CR"/>
        </w:rPr>
        <w:t xml:space="preserve">  </w:t>
      </w:r>
    </w:p>
    <w:p w:rsidR="00D05F7B" w:rsidRPr="00873FEC" w:rsidRDefault="00D05F7B" w:rsidP="00126E97">
      <w:pPr>
        <w:tabs>
          <w:tab w:val="left" w:pos="567"/>
        </w:tabs>
        <w:spacing w:after="0" w:line="20" w:lineRule="atLeast"/>
        <w:jc w:val="both"/>
        <w:rPr>
          <w:rFonts w:ascii="Verdana" w:eastAsia="Batang" w:hAnsi="Verdana" w:cs="Times"/>
          <w:sz w:val="20"/>
          <w:szCs w:val="20"/>
          <w:lang w:eastAsia="es-CR"/>
        </w:rPr>
      </w:pPr>
    </w:p>
    <w:p w:rsidR="00D05F7B" w:rsidRPr="00873FEC" w:rsidRDefault="00D05F7B" w:rsidP="00126E97">
      <w:pPr>
        <w:keepNext/>
        <w:keepLines/>
        <w:numPr>
          <w:ilvl w:val="0"/>
          <w:numId w:val="12"/>
        </w:numPr>
        <w:spacing w:after="0" w:line="20" w:lineRule="atLeast"/>
        <w:ind w:left="284"/>
        <w:jc w:val="both"/>
        <w:outlineLvl w:val="1"/>
        <w:rPr>
          <w:rFonts w:ascii="Verdana" w:eastAsia="Cambria" w:hAnsi="Verdana" w:cs="Times"/>
          <w:b/>
          <w:i/>
          <w:sz w:val="20"/>
          <w:szCs w:val="20"/>
          <w:lang w:val="en-US" w:eastAsia="es-CR"/>
        </w:rPr>
      </w:pPr>
      <w:bookmarkStart w:id="195" w:name="_Toc495658694"/>
      <w:bookmarkStart w:id="196" w:name="_Toc476390738"/>
      <w:bookmarkStart w:id="197" w:name="_Toc514172662"/>
      <w:bookmarkStart w:id="198" w:name="_Toc520207614"/>
      <w:bookmarkStart w:id="199" w:name="_Toc521694828"/>
      <w:bookmarkStart w:id="200" w:name="_Toc525201200"/>
      <w:bookmarkEnd w:id="195"/>
      <w:bookmarkEnd w:id="196"/>
      <w:bookmarkEnd w:id="197"/>
      <w:bookmarkEnd w:id="198"/>
      <w:r w:rsidRPr="00873FEC">
        <w:rPr>
          <w:rFonts w:ascii="Verdana" w:eastAsia="Cambria" w:hAnsi="Verdana" w:cs="Times"/>
          <w:b/>
          <w:i/>
          <w:sz w:val="20"/>
          <w:szCs w:val="20"/>
          <w:lang w:val="en-US" w:eastAsia="es-CR"/>
        </w:rPr>
        <w:t xml:space="preserve">Parte </w:t>
      </w:r>
      <w:proofErr w:type="spellStart"/>
      <w:r w:rsidRPr="00873FEC">
        <w:rPr>
          <w:rFonts w:ascii="Verdana" w:eastAsia="Cambria" w:hAnsi="Verdana" w:cs="Times"/>
          <w:b/>
          <w:i/>
          <w:sz w:val="20"/>
          <w:szCs w:val="20"/>
          <w:lang w:val="en-US" w:eastAsia="es-CR"/>
        </w:rPr>
        <w:t>Lesionada</w:t>
      </w:r>
      <w:bookmarkEnd w:id="199"/>
      <w:bookmarkEnd w:id="200"/>
      <w:proofErr w:type="spellEnd"/>
    </w:p>
    <w:p w:rsidR="00D05F7B" w:rsidRPr="00873FEC" w:rsidRDefault="00D05F7B" w:rsidP="00126E97">
      <w:pPr>
        <w:spacing w:after="0" w:line="20" w:lineRule="atLeast"/>
        <w:jc w:val="both"/>
        <w:rPr>
          <w:rFonts w:ascii="Verdana" w:eastAsia="MS Mincho" w:hAnsi="Verdana" w:cs="Times"/>
          <w:sz w:val="20"/>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Se </w:t>
      </w:r>
      <w:r w:rsidRPr="00873FEC">
        <w:rPr>
          <w:rFonts w:ascii="Verdana" w:eastAsia="Batang" w:hAnsi="Verdana" w:cs="Times"/>
          <w:sz w:val="20"/>
          <w:szCs w:val="20"/>
          <w:lang w:eastAsia="es-CR"/>
        </w:rPr>
        <w:t>considera</w:t>
      </w:r>
      <w:r w:rsidRPr="00873FEC">
        <w:rPr>
          <w:rFonts w:ascii="Verdana" w:eastAsia="MS Mincho" w:hAnsi="Verdana" w:cs="Times"/>
          <w:sz w:val="20"/>
          <w:szCs w:val="20"/>
          <w:lang w:eastAsia="es-CR"/>
        </w:rPr>
        <w:t xml:space="preserve"> parte lesionada, en los términos del citado artículo 63.1, a las personas </w:t>
      </w:r>
      <w:r w:rsidRPr="00873FEC">
        <w:rPr>
          <w:rFonts w:ascii="Verdana" w:eastAsia="Batang" w:hAnsi="Verdana" w:cs="Times"/>
          <w:bCs/>
          <w:sz w:val="20"/>
          <w:szCs w:val="20"/>
          <w:lang w:eastAsia="es-CR"/>
        </w:rPr>
        <w:t>declaradas</w:t>
      </w:r>
      <w:r w:rsidRPr="00873FEC">
        <w:rPr>
          <w:rFonts w:ascii="Verdana" w:eastAsia="MS Mincho" w:hAnsi="Verdana" w:cs="Times"/>
          <w:sz w:val="20"/>
          <w:szCs w:val="20"/>
          <w:lang w:eastAsia="es-CR"/>
        </w:rPr>
        <w:t xml:space="preserve"> víctimas de la violación de algún derecho </w:t>
      </w:r>
      <w:r w:rsidR="00552A1D">
        <w:rPr>
          <w:rFonts w:ascii="Verdana" w:eastAsia="MS Mincho" w:hAnsi="Verdana" w:cs="Times"/>
          <w:sz w:val="20"/>
          <w:szCs w:val="20"/>
          <w:lang w:eastAsia="es-CR"/>
        </w:rPr>
        <w:t>de la Convención</w:t>
      </w:r>
      <w:r w:rsidRPr="00873FEC">
        <w:rPr>
          <w:rFonts w:ascii="Verdana" w:eastAsia="MS Mincho" w:hAnsi="Verdana" w:cs="Times"/>
          <w:sz w:val="20"/>
          <w:szCs w:val="20"/>
          <w:lang w:eastAsia="es-CR"/>
        </w:rPr>
        <w:t xml:space="preserve">. Por lo tanto, la Corte considera como “parte lesionada” a todas las personas que se indican en el Anexo B </w:t>
      </w:r>
      <w:r w:rsidR="00E372C2">
        <w:rPr>
          <w:rFonts w:ascii="Verdana" w:eastAsia="MS Mincho" w:hAnsi="Verdana" w:cs="Times"/>
          <w:sz w:val="20"/>
          <w:szCs w:val="20"/>
          <w:lang w:eastAsia="es-CR"/>
        </w:rPr>
        <w:t>de</w:t>
      </w:r>
      <w:r w:rsidRPr="00873FEC">
        <w:rPr>
          <w:rFonts w:ascii="Verdana" w:eastAsia="MS Mincho" w:hAnsi="Verdana" w:cs="Times"/>
          <w:sz w:val="20"/>
          <w:szCs w:val="20"/>
          <w:lang w:eastAsia="es-CR"/>
        </w:rPr>
        <w:t xml:space="preserve"> la presente Sentencia</w:t>
      </w:r>
      <w:r w:rsidRPr="00873FEC">
        <w:rPr>
          <w:rFonts w:ascii="Verdana" w:eastAsia="Verdana" w:hAnsi="Verdana" w:cs="Verdana"/>
          <w:sz w:val="20"/>
          <w:szCs w:val="20"/>
          <w:lang w:eastAsia="es-CR"/>
        </w:rPr>
        <w:t xml:space="preserve">, </w:t>
      </w:r>
      <w:r w:rsidRPr="00873FEC">
        <w:rPr>
          <w:rFonts w:ascii="Verdana" w:eastAsia="MS Mincho" w:hAnsi="Verdana" w:cs="Times"/>
          <w:sz w:val="20"/>
          <w:szCs w:val="20"/>
          <w:lang w:eastAsia="es-CR"/>
        </w:rPr>
        <w:t>quienes serán consideradas beneficiarias de las reparaciones que la Corte ordene.</w:t>
      </w:r>
      <w:bookmarkStart w:id="201" w:name="_Toc476390740"/>
      <w:bookmarkStart w:id="202" w:name="_Toc495658696"/>
      <w:bookmarkStart w:id="203" w:name="_Toc514172664"/>
      <w:bookmarkEnd w:id="201"/>
      <w:bookmarkEnd w:id="202"/>
      <w:bookmarkEnd w:id="203"/>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keepNext/>
        <w:keepLines/>
        <w:numPr>
          <w:ilvl w:val="0"/>
          <w:numId w:val="12"/>
        </w:numPr>
        <w:spacing w:after="0" w:line="20" w:lineRule="atLeast"/>
        <w:ind w:left="284"/>
        <w:jc w:val="both"/>
        <w:outlineLvl w:val="1"/>
        <w:rPr>
          <w:rFonts w:ascii="Verdana" w:eastAsia="Cambria" w:hAnsi="Verdana" w:cs="Times"/>
          <w:i/>
          <w:sz w:val="20"/>
          <w:szCs w:val="20"/>
          <w:lang w:val="es-CR" w:eastAsia="es-CR"/>
        </w:rPr>
      </w:pPr>
      <w:bookmarkStart w:id="204" w:name="_Toc520207616"/>
      <w:bookmarkStart w:id="205" w:name="_Toc521694829"/>
      <w:bookmarkStart w:id="206" w:name="_Toc525201201"/>
      <w:bookmarkEnd w:id="204"/>
      <w:r w:rsidRPr="00873FEC">
        <w:rPr>
          <w:rFonts w:ascii="Verdana" w:eastAsia="MS Mincho" w:hAnsi="Verdana" w:cs="Times"/>
          <w:b/>
          <w:i/>
          <w:sz w:val="20"/>
          <w:szCs w:val="20"/>
          <w:lang w:val="es-CR" w:eastAsia="es-CR"/>
        </w:rPr>
        <w:t>Obligación de investigar los hechos del caso y, en su caso, juzgar y sancionar a los responsables</w:t>
      </w:r>
      <w:bookmarkEnd w:id="205"/>
      <w:bookmarkEnd w:id="206"/>
      <w:r w:rsidRPr="00873FEC">
        <w:rPr>
          <w:rFonts w:ascii="Verdana" w:eastAsia="MS Mincho" w:hAnsi="Verdana" w:cs="Times"/>
          <w:b/>
          <w:i/>
          <w:sz w:val="20"/>
          <w:szCs w:val="20"/>
          <w:lang w:val="es-CR" w:eastAsia="es-CR"/>
        </w:rPr>
        <w:t xml:space="preserve"> </w:t>
      </w:r>
    </w:p>
    <w:p w:rsidR="00D05F7B" w:rsidRPr="00873FEC" w:rsidRDefault="00D05F7B" w:rsidP="00126E97">
      <w:pPr>
        <w:spacing w:after="0" w:line="20" w:lineRule="atLeast"/>
        <w:ind w:left="720"/>
        <w:contextualSpacing/>
        <w:rPr>
          <w:rFonts w:ascii="Calibri" w:eastAsia="MS Mincho" w:hAnsi="Calibri" w:cs="Times"/>
          <w:szCs w:val="20"/>
          <w:lang w:val="es-CR" w:eastAsia="es-CR"/>
        </w:rPr>
      </w:pPr>
    </w:p>
    <w:p w:rsidR="00D05F7B" w:rsidRPr="00873FEC" w:rsidRDefault="00D05F7B" w:rsidP="00126E97">
      <w:pPr>
        <w:numPr>
          <w:ilvl w:val="0"/>
          <w:numId w:val="3"/>
        </w:numPr>
        <w:spacing w:after="0" w:line="20" w:lineRule="atLeast"/>
        <w:ind w:right="-138"/>
        <w:jc w:val="both"/>
        <w:rPr>
          <w:rFonts w:ascii="Verdana" w:eastAsia="MS Mincho" w:hAnsi="Verdana" w:cs="Times"/>
          <w:b/>
          <w:sz w:val="20"/>
          <w:szCs w:val="20"/>
          <w:lang w:val="es-CR" w:eastAsia="es-CR"/>
        </w:rPr>
      </w:pPr>
      <w:r w:rsidRPr="00873FEC">
        <w:rPr>
          <w:rFonts w:ascii="Verdana" w:eastAsia="MS Mincho" w:hAnsi="Verdana" w:cs="Times"/>
          <w:sz w:val="20"/>
          <w:szCs w:val="20"/>
          <w:lang w:val="es-CR" w:eastAsia="es-CR"/>
        </w:rPr>
        <w:t>La</w:t>
      </w:r>
      <w:r w:rsidRPr="00873FEC">
        <w:rPr>
          <w:rFonts w:ascii="Verdana" w:eastAsia="MS Mincho" w:hAnsi="Verdana" w:cs="Times"/>
          <w:b/>
          <w:sz w:val="20"/>
          <w:szCs w:val="20"/>
          <w:lang w:val="es-CR" w:eastAsia="es-CR"/>
        </w:rPr>
        <w:t xml:space="preserve"> </w:t>
      </w:r>
      <w:r w:rsidRPr="00873FEC">
        <w:rPr>
          <w:rFonts w:ascii="Verdana" w:eastAsia="MS Mincho" w:hAnsi="Verdana" w:cs="Times"/>
          <w:b/>
          <w:i/>
          <w:sz w:val="20"/>
          <w:szCs w:val="20"/>
          <w:lang w:val="es-CR" w:eastAsia="es-CR"/>
        </w:rPr>
        <w:t>Comisión</w:t>
      </w:r>
      <w:r w:rsidRPr="00873FEC">
        <w:rPr>
          <w:rFonts w:ascii="Verdana" w:eastAsia="MS Mincho" w:hAnsi="Verdana" w:cs="Times"/>
          <w:b/>
          <w:sz w:val="20"/>
          <w:szCs w:val="20"/>
          <w:lang w:val="es-CR" w:eastAsia="es-CR"/>
        </w:rPr>
        <w:t xml:space="preserve"> </w:t>
      </w:r>
      <w:r w:rsidRPr="00873FEC">
        <w:rPr>
          <w:rFonts w:ascii="Verdana" w:eastAsia="MS Mincho" w:hAnsi="Verdana" w:cs="Times"/>
          <w:sz w:val="20"/>
          <w:szCs w:val="20"/>
          <w:lang w:val="es-CR" w:eastAsia="es-CR"/>
        </w:rPr>
        <w:t>no realizó alegatos específicos sobre esta medida.</w:t>
      </w:r>
    </w:p>
    <w:p w:rsidR="00D05F7B" w:rsidRPr="00873FEC" w:rsidRDefault="00D05F7B" w:rsidP="00126E97">
      <w:pPr>
        <w:spacing w:after="0" w:line="20" w:lineRule="atLeast"/>
        <w:ind w:right="-138"/>
        <w:jc w:val="both"/>
        <w:rPr>
          <w:rFonts w:ascii="Verdana" w:eastAsia="MS Mincho" w:hAnsi="Verdana" w:cs="Times"/>
          <w:b/>
          <w:sz w:val="20"/>
          <w:szCs w:val="20"/>
          <w:lang w:val="es-CR" w:eastAsia="es-CR"/>
        </w:rPr>
      </w:pPr>
    </w:p>
    <w:p w:rsidR="00D05F7B" w:rsidRPr="00873FEC" w:rsidRDefault="00D05F7B" w:rsidP="00126E97">
      <w:pPr>
        <w:numPr>
          <w:ilvl w:val="0"/>
          <w:numId w:val="3"/>
        </w:numPr>
        <w:spacing w:after="0" w:line="20" w:lineRule="atLeast"/>
        <w:ind w:right="-138"/>
        <w:jc w:val="both"/>
        <w:rPr>
          <w:rFonts w:ascii="Verdana" w:eastAsia="MS Mincho" w:hAnsi="Verdana" w:cs="Times"/>
          <w:b/>
          <w:sz w:val="20"/>
          <w:szCs w:val="20"/>
          <w:lang w:val="es-CR" w:eastAsia="es-CR"/>
        </w:rPr>
      </w:pPr>
      <w:r w:rsidRPr="00873FEC">
        <w:rPr>
          <w:rFonts w:ascii="Verdana" w:eastAsia="MS Mincho" w:hAnsi="Verdana" w:cs="Times"/>
          <w:sz w:val="20"/>
          <w:szCs w:val="20"/>
          <w:lang w:val="es-CR" w:eastAsia="es-CR"/>
        </w:rPr>
        <w:t xml:space="preserve">Los </w:t>
      </w:r>
      <w:r w:rsidRPr="00873FEC">
        <w:rPr>
          <w:rFonts w:ascii="Verdana" w:eastAsia="MS Mincho" w:hAnsi="Verdana" w:cs="Times"/>
          <w:b/>
          <w:i/>
          <w:sz w:val="20"/>
          <w:szCs w:val="20"/>
          <w:lang w:val="es-CR" w:eastAsia="es-CR"/>
        </w:rPr>
        <w:t>representantes</w:t>
      </w:r>
      <w:r w:rsidR="008E0A4C" w:rsidRPr="008E0A4C">
        <w:rPr>
          <w:rFonts w:ascii="Verdana" w:eastAsia="MS Mincho" w:hAnsi="Verdana" w:cs="Times"/>
          <w:i/>
          <w:sz w:val="20"/>
          <w:szCs w:val="20"/>
          <w:lang w:val="es-CR" w:eastAsia="es-CR"/>
        </w:rPr>
        <w:t>,</w:t>
      </w:r>
      <w:r w:rsidRPr="00873FEC">
        <w:rPr>
          <w:rFonts w:ascii="Verdana" w:eastAsia="MS Mincho" w:hAnsi="Verdana" w:cs="Times"/>
          <w:sz w:val="20"/>
          <w:szCs w:val="20"/>
          <w:lang w:val="es-CR" w:eastAsia="es-CR"/>
        </w:rPr>
        <w:t xml:space="preserve"> al referirse a su solicitud de que se ordene, como medida de reparación, el “fortalecimiento” de la Unidad de Derechos Humanos del Ministerio Público </w:t>
      </w:r>
      <w:r w:rsidRPr="00873FEC">
        <w:rPr>
          <w:rFonts w:ascii="Verdana" w:eastAsia="MS Mincho" w:hAnsi="Verdana" w:cs="Times"/>
          <w:i/>
          <w:sz w:val="20"/>
          <w:szCs w:val="20"/>
          <w:lang w:val="es-CR" w:eastAsia="es-CR"/>
        </w:rPr>
        <w:t>(infra</w:t>
      </w:r>
      <w:r w:rsidRPr="00873FEC">
        <w:rPr>
          <w:rFonts w:ascii="Verdana" w:eastAsia="MS Mincho" w:hAnsi="Verdana" w:cs="Times"/>
          <w:sz w:val="20"/>
          <w:szCs w:val="20"/>
          <w:lang w:val="es-CR" w:eastAsia="es-CR"/>
        </w:rPr>
        <w:t xml:space="preserve"> párr. </w:t>
      </w:r>
      <w:r w:rsidR="00F90CFC" w:rsidRPr="00873FEC">
        <w:rPr>
          <w:rFonts w:ascii="Verdana" w:eastAsia="MS Mincho" w:hAnsi="Verdana" w:cs="Times"/>
          <w:sz w:val="20"/>
          <w:szCs w:val="20"/>
          <w:lang w:val="es-CR" w:eastAsia="es-CR"/>
        </w:rPr>
        <w:t>17</w:t>
      </w:r>
      <w:r w:rsidR="001D1F47" w:rsidRPr="00873FEC">
        <w:rPr>
          <w:rFonts w:ascii="Verdana" w:eastAsia="MS Mincho" w:hAnsi="Verdana" w:cs="Times"/>
          <w:sz w:val="20"/>
          <w:szCs w:val="20"/>
          <w:lang w:val="es-CR" w:eastAsia="es-CR"/>
        </w:rPr>
        <w:t>3</w:t>
      </w:r>
      <w:r w:rsidRPr="00873FEC">
        <w:rPr>
          <w:rFonts w:ascii="Verdana" w:eastAsia="MS Mincho" w:hAnsi="Verdana" w:cs="Times"/>
          <w:sz w:val="20"/>
          <w:szCs w:val="20"/>
          <w:lang w:val="es-CR" w:eastAsia="es-CR"/>
        </w:rPr>
        <w:t xml:space="preserve">), agregaron el pedido de que se investigue el caso de la “Masacre </w:t>
      </w:r>
      <w:proofErr w:type="spellStart"/>
      <w:r w:rsidRPr="00873FEC">
        <w:rPr>
          <w:rFonts w:ascii="Verdana" w:eastAsia="MS Mincho" w:hAnsi="Verdana" w:cs="Times"/>
          <w:sz w:val="20"/>
          <w:szCs w:val="20"/>
          <w:lang w:val="es-CR" w:eastAsia="es-CR"/>
        </w:rPr>
        <w:t>Xamán</w:t>
      </w:r>
      <w:proofErr w:type="spellEnd"/>
      <w:r w:rsidRPr="00873FEC">
        <w:rPr>
          <w:rFonts w:ascii="Verdana" w:eastAsia="MS Mincho" w:hAnsi="Verdana" w:cs="Times"/>
          <w:sz w:val="20"/>
          <w:szCs w:val="20"/>
          <w:lang w:val="es-CR" w:eastAsia="es-CR"/>
        </w:rPr>
        <w:t>”.</w:t>
      </w:r>
      <w:r w:rsidRPr="00873FEC">
        <w:rPr>
          <w:rFonts w:ascii="Verdana" w:eastAsia="MS Mincho" w:hAnsi="Verdana" w:cs="Times"/>
          <w:b/>
          <w:sz w:val="20"/>
          <w:szCs w:val="20"/>
          <w:lang w:val="es-CR" w:eastAsia="es-CR"/>
        </w:rPr>
        <w:t xml:space="preserve"> </w:t>
      </w:r>
    </w:p>
    <w:p w:rsidR="00D05F7B" w:rsidRPr="00873FEC" w:rsidRDefault="00D05F7B" w:rsidP="00126E97">
      <w:pPr>
        <w:spacing w:after="0" w:line="20" w:lineRule="atLeast"/>
        <w:ind w:right="-138"/>
        <w:jc w:val="both"/>
        <w:rPr>
          <w:rFonts w:ascii="Verdana" w:eastAsia="MS Mincho" w:hAnsi="Verdana" w:cs="Times"/>
          <w:b/>
          <w:sz w:val="20"/>
          <w:szCs w:val="20"/>
          <w:lang w:val="es-CR" w:eastAsia="es-CR"/>
        </w:rPr>
      </w:pPr>
    </w:p>
    <w:p w:rsidR="00D05F7B" w:rsidRPr="00873FEC" w:rsidRDefault="00D05F7B" w:rsidP="00126E97">
      <w:pPr>
        <w:numPr>
          <w:ilvl w:val="0"/>
          <w:numId w:val="3"/>
        </w:numPr>
        <w:spacing w:after="0" w:line="20" w:lineRule="atLeast"/>
        <w:ind w:right="-138"/>
        <w:jc w:val="both"/>
        <w:rPr>
          <w:rFonts w:ascii="Verdana" w:eastAsia="MS Mincho" w:hAnsi="Verdana" w:cs="Times"/>
          <w:b/>
          <w:sz w:val="20"/>
          <w:szCs w:val="20"/>
          <w:lang w:val="es-CR" w:eastAsia="es-CR"/>
        </w:rPr>
      </w:pPr>
      <w:r w:rsidRPr="00873FEC">
        <w:rPr>
          <w:rFonts w:ascii="Verdana" w:eastAsia="MS Mincho" w:hAnsi="Verdana" w:cs="Times"/>
          <w:sz w:val="20"/>
          <w:szCs w:val="20"/>
          <w:lang w:val="es-CR" w:eastAsia="es-CR"/>
        </w:rPr>
        <w:t xml:space="preserve">El </w:t>
      </w:r>
      <w:r w:rsidRPr="00873FEC">
        <w:rPr>
          <w:rFonts w:ascii="Verdana" w:eastAsia="MS Mincho" w:hAnsi="Verdana" w:cs="Times"/>
          <w:b/>
          <w:i/>
          <w:sz w:val="20"/>
          <w:szCs w:val="20"/>
          <w:lang w:val="es-CR" w:eastAsia="es-CR"/>
        </w:rPr>
        <w:t>Estado</w:t>
      </w:r>
      <w:r w:rsidRPr="00873FEC">
        <w:rPr>
          <w:rFonts w:ascii="Verdana" w:eastAsia="MS Mincho" w:hAnsi="Verdana" w:cs="Times"/>
          <w:sz w:val="20"/>
          <w:szCs w:val="20"/>
          <w:lang w:val="es-CR" w:eastAsia="es-CR"/>
        </w:rPr>
        <w:t xml:space="preserve"> no hizo referencia específica respecto de la mencionada solicitud, pero entre sus alegatos sobre las violaciones a derechos decididas, consideró que había cumplido con </w:t>
      </w:r>
      <w:r w:rsidRPr="00873FEC">
        <w:rPr>
          <w:rFonts w:ascii="Verdana" w:eastAsia="Batang" w:hAnsi="Verdana" w:cs="Times"/>
          <w:sz w:val="20"/>
          <w:szCs w:val="20"/>
          <w:lang w:val="es-CR" w:eastAsia="es-CR"/>
        </w:rPr>
        <w:t xml:space="preserve">su “actuar diligente [debido a que] </w:t>
      </w:r>
      <w:r w:rsidRPr="00873FEC">
        <w:rPr>
          <w:rFonts w:ascii="Verdana" w:eastAsia="Calibri" w:hAnsi="Verdana" w:cs="Times New Roman"/>
          <w:sz w:val="20"/>
          <w:szCs w:val="20"/>
          <w:lang w:val="es-CR" w:eastAsia="es-CR"/>
        </w:rPr>
        <w:t>concluyó con la sentencia condenatoria</w:t>
      </w:r>
      <w:r w:rsidRPr="00873FEC">
        <w:rPr>
          <w:rFonts w:ascii="Verdana" w:eastAsia="Batang" w:hAnsi="Verdana" w:cs="Times"/>
          <w:sz w:val="20"/>
          <w:szCs w:val="20"/>
          <w:lang w:val="es-CR" w:eastAsia="es-CR"/>
        </w:rPr>
        <w:t xml:space="preserve"> </w:t>
      </w:r>
      <w:r w:rsidRPr="00873FEC">
        <w:rPr>
          <w:rFonts w:ascii="Verdana" w:eastAsia="Calibri" w:hAnsi="Verdana" w:cs="Times New Roman"/>
          <w:sz w:val="20"/>
          <w:szCs w:val="20"/>
          <w:lang w:val="es-CR" w:eastAsia="es-CR"/>
        </w:rPr>
        <w:t xml:space="preserve">a 14 miembros de las fuerzas de seguridad nacional y la orden de aprehensión en contra de 11 personas las cuales se encuentra[n] vigentes debido a que éstos están prófugos de la </w:t>
      </w:r>
      <w:r w:rsidRPr="00873FEC">
        <w:rPr>
          <w:rFonts w:ascii="Verdana" w:eastAsia="Batang" w:hAnsi="Verdana" w:cs="Times New Roman"/>
          <w:sz w:val="20"/>
          <w:szCs w:val="20"/>
          <w:lang w:val="es-CR" w:eastAsia="es-CR"/>
        </w:rPr>
        <w:t xml:space="preserve">justicia”. </w:t>
      </w:r>
      <w:r w:rsidRPr="00873FEC">
        <w:rPr>
          <w:rFonts w:ascii="Verdana" w:eastAsia="MS Mincho" w:hAnsi="Verdana" w:cs="Times"/>
          <w:sz w:val="20"/>
          <w:szCs w:val="20"/>
          <w:lang w:val="es-CR" w:eastAsia="es-CR"/>
        </w:rPr>
        <w:t xml:space="preserve">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bookmarkStart w:id="207" w:name="_Ref437872239"/>
      <w:bookmarkEnd w:id="207"/>
      <w:r w:rsidRPr="00873FEC">
        <w:rPr>
          <w:rFonts w:ascii="Verdana" w:eastAsia="MS Mincho" w:hAnsi="Verdana" w:cs="Times"/>
          <w:sz w:val="20"/>
          <w:szCs w:val="20"/>
          <w:lang w:val="es-CR" w:eastAsia="es-CR"/>
        </w:rPr>
        <w:t>L</w:t>
      </w:r>
      <w:r w:rsidRPr="00873FEC">
        <w:rPr>
          <w:rFonts w:ascii="Verdana" w:eastAsia="Batang" w:hAnsi="Verdana" w:cs="Times"/>
          <w:sz w:val="20"/>
          <w:szCs w:val="24"/>
          <w:lang w:val="es-CR" w:eastAsia="es-CR"/>
        </w:rPr>
        <w:t xml:space="preserve">a </w:t>
      </w:r>
      <w:r w:rsidRPr="00873FEC">
        <w:rPr>
          <w:rFonts w:ascii="Verdana" w:eastAsia="Batang" w:hAnsi="Verdana" w:cs="Times"/>
          <w:b/>
          <w:i/>
          <w:sz w:val="20"/>
          <w:szCs w:val="24"/>
          <w:lang w:val="es-CR" w:eastAsia="es-CR"/>
        </w:rPr>
        <w:t>Corte</w:t>
      </w:r>
      <w:r w:rsidRPr="00873FEC">
        <w:rPr>
          <w:rFonts w:ascii="Verdana" w:eastAsia="Batang" w:hAnsi="Verdana" w:cs="Times"/>
          <w:sz w:val="20"/>
          <w:szCs w:val="24"/>
          <w:lang w:val="es-CR" w:eastAsia="es-CR"/>
        </w:rPr>
        <w:t xml:space="preserve"> advierte que los representantes no han solicitado, en forma autónoma, la investigación de los hechos como medida de reparación. Han formulado su pedido como parte de otra medida requerida, </w:t>
      </w:r>
      <w:r w:rsidRPr="00873FEC">
        <w:rPr>
          <w:rFonts w:ascii="Verdana" w:eastAsia="MS Mincho" w:hAnsi="Verdana" w:cs="Times"/>
          <w:sz w:val="20"/>
          <w:szCs w:val="20"/>
          <w:lang w:val="es-CR" w:eastAsia="es-CR"/>
        </w:rPr>
        <w:t>el “fortalecimiento” de la Unidad de Derechos Humanos del Ministerio Público</w:t>
      </w:r>
      <w:r w:rsidRPr="00873FEC">
        <w:rPr>
          <w:rFonts w:ascii="Verdana" w:eastAsia="Batang" w:hAnsi="Verdana" w:cs="Times"/>
          <w:sz w:val="20"/>
          <w:szCs w:val="24"/>
          <w:lang w:val="es-CR" w:eastAsia="es-CR"/>
        </w:rPr>
        <w:t>. No obstante, este Tribunal considera adecuado separar ambos aspectos y abordar en forma independiente la investigación de los hechos. Al respecto, la Corte recuerda que</w:t>
      </w:r>
      <w:r w:rsidR="008E0A4C">
        <w:rPr>
          <w:rFonts w:ascii="Verdana" w:eastAsia="Batang" w:hAnsi="Verdana" w:cs="Times"/>
          <w:sz w:val="20"/>
          <w:szCs w:val="24"/>
          <w:lang w:val="es-CR" w:eastAsia="es-CR"/>
        </w:rPr>
        <w:t>,</w:t>
      </w:r>
      <w:r w:rsidRPr="00873FEC">
        <w:rPr>
          <w:rFonts w:ascii="Verdana" w:eastAsia="Batang" w:hAnsi="Verdana" w:cs="Times"/>
          <w:sz w:val="20"/>
          <w:szCs w:val="24"/>
          <w:lang w:val="es-CR" w:eastAsia="es-CR"/>
        </w:rPr>
        <w:t xml:space="preserve"> en relación con violaciones a derechos humanos como las determinadas en el presente caso, las autoridades estatales deben realizar una investigación seria, imparcial y efectiva por todos los medios legales disponibles y orientada a la determinación de la verdad y a la persecución, captura, enjuiciamiento y eventual castigo de los autores de los hechos, siendo esto especialmente relevante cuando están involucrados agentes estatales</w:t>
      </w:r>
      <w:r w:rsidRPr="00873FEC">
        <w:rPr>
          <w:rFonts w:ascii="Verdana" w:eastAsia="Batang" w:hAnsi="Verdana" w:cs="Times New Roman"/>
          <w:sz w:val="20"/>
          <w:szCs w:val="20"/>
          <w:vertAlign w:val="superscript"/>
          <w:lang w:val="es-CR" w:eastAsia="x-none"/>
        </w:rPr>
        <w:footnoteReference w:id="213"/>
      </w:r>
      <w:r w:rsidRPr="00873FEC">
        <w:rPr>
          <w:rFonts w:ascii="Verdana" w:eastAsia="Batang" w:hAnsi="Verdana" w:cs="Times"/>
          <w:sz w:val="20"/>
          <w:szCs w:val="24"/>
          <w:lang w:val="es-CR" w:eastAsia="es-CR"/>
        </w:rPr>
        <w:t xml:space="preserve">. </w:t>
      </w:r>
    </w:p>
    <w:p w:rsidR="00D05F7B" w:rsidRPr="00873FEC" w:rsidRDefault="00D05F7B" w:rsidP="00126E97">
      <w:pPr>
        <w:spacing w:after="0" w:line="20" w:lineRule="atLeast"/>
        <w:ind w:left="720"/>
        <w:contextualSpacing/>
        <w:rPr>
          <w:rFonts w:ascii="Calibri" w:eastAsia="Calibri" w:hAnsi="Calibri" w:cs="Times"/>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lastRenderedPageBreak/>
        <w:t>En el caso, se ha determinado que el Estado, a través de sus autoridades judiciales, condenó a 14 personas y entendió que respecto de otras 11 era necesario realizar acciones para determinar su posible responsabilidad penal. Guatemala señaló que existen órdenes de aprehensión vigentes respecto a las 11 personas referidas, quienes están “prófugas” (</w:t>
      </w:r>
      <w:r w:rsidRPr="00873FEC">
        <w:rPr>
          <w:rFonts w:ascii="Verdana" w:eastAsia="Batang" w:hAnsi="Verdana" w:cs="Times"/>
          <w:i/>
          <w:sz w:val="20"/>
          <w:szCs w:val="24"/>
          <w:lang w:val="es-CR" w:eastAsia="es-CR"/>
        </w:rPr>
        <w:t xml:space="preserve">supra </w:t>
      </w:r>
      <w:proofErr w:type="spellStart"/>
      <w:r w:rsidRPr="00873FEC">
        <w:rPr>
          <w:rFonts w:ascii="Verdana" w:eastAsia="Batang" w:hAnsi="Verdana" w:cs="Times"/>
          <w:sz w:val="20"/>
          <w:szCs w:val="24"/>
          <w:lang w:val="es-CR" w:eastAsia="es-CR"/>
        </w:rPr>
        <w:t>párr</w:t>
      </w:r>
      <w:r w:rsidR="008877A6" w:rsidRPr="00873FEC">
        <w:rPr>
          <w:rFonts w:ascii="Verdana" w:eastAsia="Batang" w:hAnsi="Verdana" w:cs="Times"/>
          <w:sz w:val="20"/>
          <w:szCs w:val="24"/>
          <w:lang w:val="es-CR" w:eastAsia="es-CR"/>
        </w:rPr>
        <w:t>s</w:t>
      </w:r>
      <w:proofErr w:type="spellEnd"/>
      <w:r w:rsidRPr="00873FEC">
        <w:rPr>
          <w:rFonts w:ascii="Verdana" w:eastAsia="Batang" w:hAnsi="Verdana" w:cs="Times"/>
          <w:sz w:val="20"/>
          <w:szCs w:val="24"/>
          <w:lang w:val="es-CR" w:eastAsia="es-CR"/>
        </w:rPr>
        <w:t xml:space="preserve">. </w:t>
      </w:r>
      <w:r w:rsidR="008877A6" w:rsidRPr="00873FEC">
        <w:rPr>
          <w:rFonts w:ascii="Verdana" w:eastAsia="Batang" w:hAnsi="Verdana" w:cs="Times"/>
          <w:sz w:val="20"/>
          <w:szCs w:val="24"/>
          <w:lang w:val="es-CR" w:eastAsia="es-CR"/>
        </w:rPr>
        <w:t>66 y 76</w:t>
      </w:r>
      <w:r w:rsidRPr="00873FEC">
        <w:rPr>
          <w:rFonts w:ascii="Verdana" w:eastAsia="Batang" w:hAnsi="Verdana" w:cs="Times"/>
          <w:sz w:val="20"/>
          <w:szCs w:val="24"/>
          <w:lang w:val="es-CR" w:eastAsia="es-CR"/>
        </w:rPr>
        <w:t>). Dado que en un periodo mayor a 18 años no constan acciones concretas para hacer efectiva la medida de aprehensión determinada por las propias autoridades estatales, este Tribunal determinó la responsabilidad del Estado (</w:t>
      </w:r>
      <w:r w:rsidRPr="00873FEC">
        <w:rPr>
          <w:rFonts w:ascii="Verdana" w:eastAsia="Batang" w:hAnsi="Verdana" w:cs="Times"/>
          <w:i/>
          <w:sz w:val="20"/>
          <w:szCs w:val="24"/>
          <w:lang w:val="es-CR" w:eastAsia="es-CR"/>
        </w:rPr>
        <w:t xml:space="preserve">supra </w:t>
      </w:r>
      <w:proofErr w:type="spellStart"/>
      <w:r w:rsidRPr="00873FEC">
        <w:rPr>
          <w:rFonts w:ascii="Verdana" w:eastAsia="Batang" w:hAnsi="Verdana" w:cs="Times"/>
          <w:sz w:val="20"/>
          <w:szCs w:val="24"/>
          <w:lang w:val="es-CR" w:eastAsia="es-CR"/>
        </w:rPr>
        <w:t>párr</w:t>
      </w:r>
      <w:r w:rsidR="008877A6" w:rsidRPr="00873FEC">
        <w:rPr>
          <w:rFonts w:ascii="Verdana" w:eastAsia="Batang" w:hAnsi="Verdana" w:cs="Times"/>
          <w:sz w:val="20"/>
          <w:szCs w:val="24"/>
          <w:lang w:val="es-CR" w:eastAsia="es-CR"/>
        </w:rPr>
        <w:t>s</w:t>
      </w:r>
      <w:proofErr w:type="spellEnd"/>
      <w:r w:rsidRPr="00873FEC">
        <w:rPr>
          <w:rFonts w:ascii="Verdana" w:eastAsia="Batang" w:hAnsi="Verdana" w:cs="Times"/>
          <w:sz w:val="20"/>
          <w:szCs w:val="24"/>
          <w:lang w:val="es-CR" w:eastAsia="es-CR"/>
        </w:rPr>
        <w:t>.</w:t>
      </w:r>
      <w:r w:rsidR="008877A6" w:rsidRPr="00873FEC">
        <w:rPr>
          <w:rFonts w:ascii="Verdana" w:eastAsia="Batang" w:hAnsi="Verdana" w:cs="Times"/>
          <w:sz w:val="20"/>
          <w:szCs w:val="24"/>
          <w:lang w:val="es-CR" w:eastAsia="es-CR"/>
        </w:rPr>
        <w:t xml:space="preserve"> 88 a 92 y</w:t>
      </w:r>
      <w:r w:rsidRPr="00873FEC">
        <w:rPr>
          <w:rFonts w:ascii="Verdana" w:eastAsia="Batang" w:hAnsi="Verdana" w:cs="Times"/>
          <w:sz w:val="20"/>
          <w:szCs w:val="24"/>
          <w:lang w:val="es-CR" w:eastAsia="es-CR"/>
        </w:rPr>
        <w:t xml:space="preserve"> 9</w:t>
      </w:r>
      <w:r w:rsidR="008877A6" w:rsidRPr="00873FEC">
        <w:rPr>
          <w:rFonts w:ascii="Verdana" w:eastAsia="Batang" w:hAnsi="Verdana" w:cs="Times"/>
          <w:sz w:val="20"/>
          <w:szCs w:val="24"/>
          <w:lang w:val="es-CR" w:eastAsia="es-CR"/>
        </w:rPr>
        <w:t>8</w:t>
      </w:r>
      <w:r w:rsidRPr="00873FEC">
        <w:rPr>
          <w:rFonts w:ascii="Verdana" w:eastAsia="Batang" w:hAnsi="Verdana" w:cs="Times"/>
          <w:sz w:val="20"/>
          <w:szCs w:val="24"/>
          <w:lang w:val="es-CR" w:eastAsia="es-CR"/>
        </w:rPr>
        <w:t xml:space="preserve">). Por ello, la Corte </w:t>
      </w:r>
      <w:r w:rsidRPr="00873FEC">
        <w:rPr>
          <w:rFonts w:ascii="Verdana" w:eastAsia="Times New Roman" w:hAnsi="Verdana" w:cs="Times"/>
          <w:sz w:val="20"/>
          <w:szCs w:val="24"/>
          <w:lang w:val="es-CR" w:eastAsia="es-CR"/>
        </w:rPr>
        <w:t xml:space="preserve">ordena al Estado que, de conformidad con el derecho interno, continué, en un plazo razonable, las acciones nacionales e internacionales pertinentes para concluir la investigación sobre los hechos ocurridos el 5 de octubre de 1995 en la finca </w:t>
      </w:r>
      <w:proofErr w:type="spellStart"/>
      <w:r w:rsidRPr="00873FEC">
        <w:rPr>
          <w:rFonts w:ascii="Verdana" w:eastAsia="Times New Roman" w:hAnsi="Verdana" w:cs="Times"/>
          <w:sz w:val="20"/>
          <w:szCs w:val="24"/>
          <w:lang w:val="es-CR" w:eastAsia="es-CR"/>
        </w:rPr>
        <w:t>Xamán</w:t>
      </w:r>
      <w:proofErr w:type="spellEnd"/>
      <w:r w:rsidRPr="00873FEC">
        <w:rPr>
          <w:rFonts w:ascii="Verdana" w:eastAsia="Times New Roman" w:hAnsi="Verdana" w:cs="Times"/>
          <w:sz w:val="20"/>
          <w:szCs w:val="24"/>
          <w:lang w:val="es-CR" w:eastAsia="es-CR"/>
        </w:rPr>
        <w:t>, respecto a las 11 personas que Guatemala señaló que están prófugas y que cuentan con órdenes de captura vigentes en su perjuicio, como también, de ser el caso, respecto de otros elementos</w:t>
      </w:r>
      <w:r w:rsidRPr="00873FEC">
        <w:rPr>
          <w:rFonts w:ascii="Verdana" w:eastAsia="Times New Roman" w:hAnsi="Verdana" w:cs="Times"/>
          <w:b/>
          <w:sz w:val="20"/>
          <w:szCs w:val="24"/>
          <w:lang w:val="es-CR" w:eastAsia="es-CR"/>
        </w:rPr>
        <w:t xml:space="preserve"> </w:t>
      </w:r>
      <w:r w:rsidRPr="00873FEC">
        <w:rPr>
          <w:rFonts w:ascii="Verdana" w:eastAsia="Times New Roman" w:hAnsi="Verdana" w:cs="Times"/>
          <w:sz w:val="20"/>
          <w:szCs w:val="24"/>
          <w:lang w:val="es-CR" w:eastAsia="es-CR"/>
        </w:rPr>
        <w:t xml:space="preserve">que resultaren pertinentes.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keepNext/>
        <w:keepLines/>
        <w:widowControl w:val="0"/>
        <w:numPr>
          <w:ilvl w:val="0"/>
          <w:numId w:val="12"/>
        </w:numPr>
        <w:spacing w:after="0" w:line="20" w:lineRule="atLeast"/>
        <w:ind w:left="284"/>
        <w:jc w:val="both"/>
        <w:outlineLvl w:val="1"/>
        <w:rPr>
          <w:rFonts w:ascii="Verdana" w:eastAsia="MS Mincho" w:hAnsi="Verdana" w:cs="Times"/>
          <w:b/>
          <w:i/>
          <w:sz w:val="20"/>
          <w:szCs w:val="20"/>
          <w:lang w:val="es-CR" w:eastAsia="es-CR"/>
        </w:rPr>
      </w:pPr>
      <w:bookmarkStart w:id="208" w:name="_Toc520207617"/>
      <w:bookmarkStart w:id="209" w:name="_Toc521694830"/>
      <w:bookmarkStart w:id="210" w:name="_Toc525201202"/>
      <w:bookmarkEnd w:id="208"/>
      <w:r w:rsidRPr="00873FEC">
        <w:rPr>
          <w:rFonts w:ascii="Verdana" w:eastAsia="MS Mincho" w:hAnsi="Verdana" w:cs="Times"/>
          <w:b/>
          <w:i/>
          <w:sz w:val="20"/>
          <w:szCs w:val="20"/>
          <w:lang w:val="es-CR" w:eastAsia="es-CR"/>
        </w:rPr>
        <w:t>Medidas de rehabilitación, satisfacción y garantías de no repetición</w:t>
      </w:r>
      <w:bookmarkEnd w:id="209"/>
      <w:bookmarkEnd w:id="210"/>
    </w:p>
    <w:p w:rsidR="00D05F7B" w:rsidRPr="00873FEC" w:rsidRDefault="00D05F7B" w:rsidP="00126E97">
      <w:pPr>
        <w:keepNext/>
        <w:keepLines/>
        <w:spacing w:after="0" w:line="20" w:lineRule="atLeast"/>
        <w:jc w:val="both"/>
        <w:outlineLvl w:val="2"/>
        <w:rPr>
          <w:rFonts w:ascii="Verdana" w:eastAsia="Cambria" w:hAnsi="Verdana" w:cs="Times"/>
          <w:i/>
          <w:sz w:val="20"/>
          <w:szCs w:val="24"/>
          <w:lang w:val="es-CR" w:eastAsia="es-CR"/>
        </w:rPr>
      </w:pPr>
      <w:bookmarkStart w:id="211" w:name="_Toc495658697"/>
      <w:bookmarkStart w:id="212" w:name="_Toc514172665"/>
      <w:bookmarkEnd w:id="211"/>
      <w:bookmarkEnd w:id="212"/>
    </w:p>
    <w:p w:rsidR="00D05F7B" w:rsidRPr="00873FEC" w:rsidRDefault="00D05F7B" w:rsidP="00126E97">
      <w:pPr>
        <w:keepNext/>
        <w:keepLines/>
        <w:spacing w:after="0" w:line="20" w:lineRule="atLeast"/>
        <w:ind w:left="567"/>
        <w:jc w:val="both"/>
        <w:outlineLvl w:val="2"/>
        <w:rPr>
          <w:rFonts w:ascii="Verdana" w:eastAsia="Cambria" w:hAnsi="Verdana" w:cs="Times"/>
          <w:i/>
          <w:sz w:val="20"/>
          <w:szCs w:val="24"/>
          <w:lang w:val="en-US" w:eastAsia="es-CR"/>
        </w:rPr>
      </w:pPr>
      <w:bookmarkStart w:id="213" w:name="_Toc520207619"/>
      <w:bookmarkStart w:id="214" w:name="_Toc521694831"/>
      <w:bookmarkStart w:id="215" w:name="_Toc525201203"/>
      <w:bookmarkEnd w:id="213"/>
      <w:r w:rsidRPr="00873FEC">
        <w:rPr>
          <w:rFonts w:ascii="Verdana" w:eastAsia="Cambria" w:hAnsi="Verdana" w:cs="Times"/>
          <w:i/>
          <w:sz w:val="20"/>
          <w:szCs w:val="24"/>
          <w:lang w:val="en-US" w:eastAsia="es-CR"/>
        </w:rPr>
        <w:t xml:space="preserve">C.1. </w:t>
      </w:r>
      <w:proofErr w:type="spellStart"/>
      <w:r w:rsidRPr="00873FEC">
        <w:rPr>
          <w:rFonts w:ascii="Verdana" w:eastAsia="Cambria" w:hAnsi="Verdana" w:cs="Times"/>
          <w:i/>
          <w:sz w:val="20"/>
          <w:szCs w:val="24"/>
          <w:u w:val="single"/>
          <w:lang w:val="en-US" w:eastAsia="es-CR"/>
        </w:rPr>
        <w:t>Medidas</w:t>
      </w:r>
      <w:proofErr w:type="spellEnd"/>
      <w:r w:rsidRPr="00873FEC">
        <w:rPr>
          <w:rFonts w:ascii="Verdana" w:eastAsia="Cambria" w:hAnsi="Verdana" w:cs="Times"/>
          <w:i/>
          <w:sz w:val="20"/>
          <w:szCs w:val="24"/>
          <w:u w:val="single"/>
          <w:lang w:val="en-US" w:eastAsia="es-CR"/>
        </w:rPr>
        <w:t xml:space="preserve"> de </w:t>
      </w:r>
      <w:proofErr w:type="spellStart"/>
      <w:r w:rsidRPr="00873FEC">
        <w:rPr>
          <w:rFonts w:ascii="Verdana" w:eastAsia="Cambria" w:hAnsi="Verdana" w:cs="Times"/>
          <w:i/>
          <w:sz w:val="20"/>
          <w:szCs w:val="24"/>
          <w:u w:val="single"/>
          <w:lang w:val="en-US" w:eastAsia="es-CR"/>
        </w:rPr>
        <w:t>rehabilitación</w:t>
      </w:r>
      <w:bookmarkEnd w:id="214"/>
      <w:bookmarkEnd w:id="215"/>
      <w:proofErr w:type="spellEnd"/>
      <w:r w:rsidRPr="00873FEC">
        <w:rPr>
          <w:rFonts w:ascii="Verdana" w:eastAsia="Cambria" w:hAnsi="Verdana" w:cs="Times"/>
          <w:i/>
          <w:sz w:val="20"/>
          <w:szCs w:val="24"/>
          <w:lang w:val="en-US" w:eastAsia="es-CR"/>
        </w:rPr>
        <w:t xml:space="preserve"> </w:t>
      </w:r>
    </w:p>
    <w:p w:rsidR="00D05F7B" w:rsidRPr="00873FEC" w:rsidRDefault="00D05F7B" w:rsidP="00126E97">
      <w:pPr>
        <w:spacing w:after="0" w:line="20" w:lineRule="atLeast"/>
        <w:jc w:val="both"/>
        <w:rPr>
          <w:rFonts w:ascii="Verdana" w:eastAsia="Batang" w:hAnsi="Verdana" w:cs="Times"/>
          <w:b/>
          <w:sz w:val="20"/>
          <w:szCs w:val="24"/>
          <w:lang w:val="en-US"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La </w:t>
      </w:r>
      <w:r w:rsidRPr="00873FEC">
        <w:rPr>
          <w:rFonts w:ascii="Verdana" w:eastAsia="MS Mincho" w:hAnsi="Verdana" w:cs="Times"/>
          <w:b/>
          <w:i/>
          <w:sz w:val="20"/>
          <w:szCs w:val="20"/>
          <w:lang w:eastAsia="es-CR"/>
        </w:rPr>
        <w:t>Comisión</w:t>
      </w:r>
      <w:r w:rsidRPr="00873FEC">
        <w:rPr>
          <w:rFonts w:ascii="Verdana" w:eastAsia="MS Mincho" w:hAnsi="Verdana" w:cs="Times"/>
          <w:sz w:val="20"/>
          <w:szCs w:val="20"/>
          <w:lang w:eastAsia="es-CR"/>
        </w:rPr>
        <w:t xml:space="preserve"> solicitó la implementación de un programa de atención en salud física y mental y/o psicosocial culturalmente adecuado a los sobrevivientes y familiares de las víctimas. Asimismo, indicó que en su contestación el Estado se refirió a servicios de salud en términos genéricos, sin poderse establecer cuál habría sido la atención específica para las víctimas de este caso.</w:t>
      </w:r>
    </w:p>
    <w:p w:rsidR="00D05F7B" w:rsidRPr="00873FEC" w:rsidRDefault="00D05F7B" w:rsidP="00126E97">
      <w:pPr>
        <w:spacing w:after="0" w:line="20" w:lineRule="atLeast"/>
        <w:ind w:right="-138"/>
        <w:jc w:val="both"/>
        <w:rPr>
          <w:rFonts w:ascii="Verdana" w:eastAsia="MS Mincho" w:hAnsi="Verdana" w:cs="Times"/>
          <w:sz w:val="20"/>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señaló que ya está dando cumplimiento a la medida de posibilitar la atención médica. Indicó que cuenta con 20 Unidades Notificadoras de Salud que prestan servicios básicos de salud en 20 aldeas y que, además, cuenta con un Centro de Atención Permanente (CAP), ubicado en el Barrio El Centro del Municipio de </w:t>
      </w:r>
      <w:proofErr w:type="spellStart"/>
      <w:r w:rsidRPr="00873FEC">
        <w:rPr>
          <w:rFonts w:ascii="Verdana" w:eastAsia="MS Mincho" w:hAnsi="Verdana" w:cs="Times"/>
          <w:sz w:val="20"/>
          <w:szCs w:val="20"/>
          <w:lang w:eastAsia="es-CR"/>
        </w:rPr>
        <w:t>Chisec</w:t>
      </w:r>
      <w:proofErr w:type="spellEnd"/>
      <w:r w:rsidRPr="00873FEC">
        <w:rPr>
          <w:rFonts w:ascii="Verdana" w:eastAsia="MS Mincho" w:hAnsi="Verdana" w:cs="Times"/>
          <w:sz w:val="20"/>
          <w:szCs w:val="20"/>
          <w:lang w:eastAsia="es-CR"/>
        </w:rPr>
        <w:t xml:space="preserve">, Departamento de Alta Verapaz. Afirmó que en el municipio de </w:t>
      </w:r>
      <w:proofErr w:type="spellStart"/>
      <w:r w:rsidRPr="00873FEC">
        <w:rPr>
          <w:rFonts w:ascii="Verdana" w:eastAsia="MS Mincho" w:hAnsi="Verdana" w:cs="Times"/>
          <w:sz w:val="20"/>
          <w:szCs w:val="20"/>
          <w:lang w:eastAsia="es-CR"/>
        </w:rPr>
        <w:t>Chisec</w:t>
      </w:r>
      <w:proofErr w:type="spellEnd"/>
      <w:r w:rsidRPr="00873FEC">
        <w:rPr>
          <w:rFonts w:ascii="Verdana" w:eastAsia="MS Mincho" w:hAnsi="Verdana" w:cs="Times"/>
          <w:sz w:val="20"/>
          <w:szCs w:val="20"/>
          <w:lang w:eastAsia="es-CR"/>
        </w:rPr>
        <w:t>, se contempla l</w:t>
      </w:r>
      <w:r w:rsidR="0040546C">
        <w:rPr>
          <w:rFonts w:ascii="Verdana" w:eastAsia="MS Mincho" w:hAnsi="Verdana" w:cs="Times"/>
          <w:sz w:val="20"/>
          <w:szCs w:val="20"/>
          <w:lang w:eastAsia="es-CR"/>
        </w:rPr>
        <w:t>a atención de acuerdo con la co</w:t>
      </w:r>
      <w:r w:rsidRPr="00873FEC">
        <w:rPr>
          <w:rFonts w:ascii="Verdana" w:eastAsia="MS Mincho" w:hAnsi="Verdana" w:cs="Times"/>
          <w:sz w:val="20"/>
          <w:szCs w:val="20"/>
          <w:lang w:eastAsia="es-CR"/>
        </w:rPr>
        <w:t xml:space="preserve">smovisión maya, pues la misma se realiza en idioma </w:t>
      </w:r>
      <w:proofErr w:type="spellStart"/>
      <w:r w:rsidRPr="00873FEC">
        <w:rPr>
          <w:rFonts w:ascii="Verdana" w:eastAsia="MS Mincho" w:hAnsi="Verdana" w:cs="Times"/>
          <w:sz w:val="20"/>
          <w:szCs w:val="20"/>
          <w:lang w:eastAsia="es-CR"/>
        </w:rPr>
        <w:t>Q´eqchi</w:t>
      </w:r>
      <w:proofErr w:type="spellEnd"/>
      <w:r w:rsidRPr="00873FEC">
        <w:rPr>
          <w:rFonts w:ascii="Verdana" w:eastAsia="MS Mincho" w:hAnsi="Verdana" w:cs="Times"/>
          <w:sz w:val="20"/>
          <w:szCs w:val="20"/>
          <w:lang w:eastAsia="es-CR"/>
        </w:rPr>
        <w:t xml:space="preserve">, respetando las culturas, costumbres y tradiciones respectivas. </w:t>
      </w:r>
    </w:p>
    <w:p w:rsidR="00D05F7B" w:rsidRPr="00873FEC" w:rsidRDefault="00D05F7B" w:rsidP="00126E97">
      <w:pPr>
        <w:spacing w:after="0" w:line="20" w:lineRule="atLeast"/>
        <w:ind w:left="720"/>
        <w:contextualSpacing/>
        <w:rPr>
          <w:rFonts w:ascii="Calibri" w:eastAsia="Calibri" w:hAnsi="Calibri" w:cs="Times"/>
          <w:spacing w:val="-2"/>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w:spacing w:val="-2"/>
          <w:sz w:val="20"/>
          <w:szCs w:val="24"/>
          <w:lang w:val="es-CR" w:eastAsia="es-CR"/>
        </w:rPr>
        <w:t xml:space="preserve">La </w:t>
      </w:r>
      <w:r w:rsidRPr="00873FEC">
        <w:rPr>
          <w:rFonts w:ascii="Verdana" w:eastAsia="Batang" w:hAnsi="Verdana" w:cs="Times"/>
          <w:b/>
          <w:i/>
          <w:spacing w:val="-2"/>
          <w:sz w:val="20"/>
          <w:szCs w:val="24"/>
          <w:lang w:val="es-CR" w:eastAsia="es-CR"/>
        </w:rPr>
        <w:t>Corte</w:t>
      </w:r>
      <w:r w:rsidRPr="00873FEC">
        <w:rPr>
          <w:rFonts w:ascii="Verdana" w:eastAsia="Batang" w:hAnsi="Verdana" w:cs="Times"/>
          <w:spacing w:val="-2"/>
          <w:sz w:val="20"/>
          <w:szCs w:val="24"/>
          <w:lang w:val="es-CR" w:eastAsia="es-CR"/>
        </w:rPr>
        <w:t xml:space="preserve"> valora la información presentada por el Estado, pero advierte que no cuenta con información que permita concluir que las políticas generales de atención en salud impliquen un mecanismo adecuado para las necesidades específicas de reparación respecto a las violaciones a derechos humanos establecidas en este caso. Por eso, este Tribunal estima preciso disponer que el Estado brinde atención adecuada a los padecimientos sufridos por las víctimas. Esta medida corresponde en beneficio de aquellas personas que vieron afectado su derecho a la integridad personal, nombradas en los Anexos B.3 y B.5 de la presente Sentencia. Por ello, como en otros casos</w:t>
      </w:r>
      <w:r w:rsidRPr="00873FEC">
        <w:rPr>
          <w:rFonts w:ascii="Verdana" w:eastAsia="Batang" w:hAnsi="Verdana" w:cs="Times New Roman"/>
          <w:sz w:val="20"/>
          <w:szCs w:val="20"/>
          <w:vertAlign w:val="superscript"/>
          <w:lang w:val="es-CR" w:eastAsia="x-none"/>
        </w:rPr>
        <w:footnoteReference w:id="214"/>
      </w:r>
      <w:r w:rsidRPr="00873FEC">
        <w:rPr>
          <w:rFonts w:ascii="Verdana" w:eastAsia="Batang" w:hAnsi="Verdana" w:cs="Times"/>
          <w:spacing w:val="-2"/>
          <w:sz w:val="20"/>
          <w:szCs w:val="24"/>
          <w:lang w:val="es-CR" w:eastAsia="es-CR"/>
        </w:rPr>
        <w:t xml:space="preserve">, ordena al Estado brindar </w:t>
      </w:r>
      <w:r w:rsidRPr="00873FEC">
        <w:rPr>
          <w:rFonts w:ascii="Verdana" w:eastAsia="Calibri" w:hAnsi="Verdana" w:cs="Verdana"/>
          <w:sz w:val="20"/>
          <w:szCs w:val="24"/>
          <w:lang w:val="es-CR" w:eastAsia="es-CR"/>
        </w:rPr>
        <w:t>gratuitamente</w:t>
      </w:r>
      <w:r w:rsidRPr="00873FEC">
        <w:rPr>
          <w:rFonts w:ascii="Verdana" w:eastAsia="Batang" w:hAnsi="Verdana" w:cs="Times"/>
          <w:spacing w:val="-2"/>
          <w:sz w:val="20"/>
          <w:szCs w:val="24"/>
          <w:lang w:val="es-CR" w:eastAsia="es-CR"/>
        </w:rPr>
        <w:t>, en forma inmediata y</w:t>
      </w:r>
      <w:r w:rsidRPr="00873FEC">
        <w:rPr>
          <w:rFonts w:ascii="Verdana" w:eastAsia="Batang" w:hAnsi="Verdana" w:cs="Times"/>
          <w:b/>
          <w:spacing w:val="-2"/>
          <w:sz w:val="20"/>
          <w:szCs w:val="24"/>
          <w:lang w:val="es-CR" w:eastAsia="es-CR"/>
        </w:rPr>
        <w:t xml:space="preserve"> </w:t>
      </w:r>
      <w:r w:rsidRPr="00873FEC">
        <w:rPr>
          <w:rFonts w:ascii="Verdana" w:eastAsia="Batang" w:hAnsi="Verdana" w:cs="Times"/>
          <w:spacing w:val="-2"/>
          <w:sz w:val="20"/>
          <w:szCs w:val="24"/>
          <w:lang w:val="es-CR" w:eastAsia="es-CR"/>
        </w:rPr>
        <w:t xml:space="preserve">prioritaria, sin cargo alguno, a través de sus instituciones especializadas, de forma </w:t>
      </w:r>
      <w:r w:rsidRPr="00873FEC">
        <w:rPr>
          <w:rFonts w:ascii="Verdana" w:eastAsia="Batang" w:hAnsi="Verdana" w:cs="Times"/>
          <w:sz w:val="20"/>
          <w:szCs w:val="24"/>
          <w:lang w:val="es-CR" w:eastAsia="es-CR"/>
        </w:rPr>
        <w:t>adecuada</w:t>
      </w:r>
      <w:r w:rsidRPr="00873FEC">
        <w:rPr>
          <w:rFonts w:ascii="Verdana" w:eastAsia="Batang" w:hAnsi="Verdana" w:cs="Times"/>
          <w:spacing w:val="-2"/>
          <w:sz w:val="20"/>
          <w:szCs w:val="24"/>
          <w:lang w:val="es-CR" w:eastAsia="es-CR"/>
        </w:rPr>
        <w:t xml:space="preserve"> y efectiva, tratamiento psicológico o psiquiátrico a las víctimas nombradas en los Anexos B.3 y B.5 de la presente Sentencia que así lo soliciten, </w:t>
      </w:r>
      <w:r w:rsidRPr="00873FEC">
        <w:rPr>
          <w:rFonts w:ascii="Verdana" w:eastAsia="Batang" w:hAnsi="Verdana" w:cs="Verdana-Italic"/>
          <w:spacing w:val="-2"/>
          <w:sz w:val="20"/>
          <w:szCs w:val="24"/>
          <w:lang w:val="es-CR" w:eastAsia="es-CR"/>
        </w:rPr>
        <w:t>previo consentimiento informado,</w:t>
      </w:r>
      <w:r w:rsidRPr="00873FEC">
        <w:rPr>
          <w:rFonts w:ascii="Verdana" w:eastAsia="Batang" w:hAnsi="Verdana" w:cs="Times"/>
          <w:spacing w:val="-2"/>
          <w:sz w:val="20"/>
          <w:szCs w:val="24"/>
          <w:lang w:val="es-CR" w:eastAsia="es-CR"/>
        </w:rPr>
        <w:t xml:space="preserve"> incluyendo el suministro gratuito de los medicamentos que eventualmente se requieran, tomando en consideración los padecimientos de cada una de las víctimas. </w:t>
      </w:r>
      <w:r w:rsidRPr="00873FEC">
        <w:rPr>
          <w:rFonts w:ascii="Verdana" w:hAnsi="Verdana" w:cs="Verdana"/>
          <w:sz w:val="20"/>
          <w:szCs w:val="20"/>
          <w:lang w:val="es-CR"/>
        </w:rPr>
        <w:t>Lo anterior implica que las víctimas deberán recibir un tratamiento diferenciado en relación con el trámite y procedimiento que debieran realizar para ser atendidos en instituciones públicas.</w:t>
      </w:r>
      <w:r w:rsidRPr="00873FEC">
        <w:rPr>
          <w:rFonts w:ascii="Verdana" w:eastAsia="Batang" w:hAnsi="Verdana" w:cs="Times"/>
          <w:b/>
          <w:sz w:val="20"/>
          <w:szCs w:val="24"/>
          <w:lang w:val="es-CR" w:eastAsia="es-CR"/>
        </w:rPr>
        <w:t xml:space="preserve"> </w:t>
      </w:r>
      <w:r w:rsidRPr="00873FEC">
        <w:rPr>
          <w:rFonts w:ascii="Verdana" w:eastAsia="Batang" w:hAnsi="Verdana" w:cs="Times"/>
          <w:spacing w:val="-2"/>
          <w:sz w:val="20"/>
          <w:szCs w:val="24"/>
          <w:lang w:val="es-CR" w:eastAsia="es-CR"/>
        </w:rPr>
        <w:t xml:space="preserve">Al proveer el tratamiento psicológico o psiquiátrico se debe considerar las circunstancias y necesidades particulares </w:t>
      </w:r>
      <w:r w:rsidRPr="00873FEC">
        <w:rPr>
          <w:rFonts w:ascii="Verdana" w:eastAsia="Batang" w:hAnsi="Verdana" w:cs="Times"/>
          <w:spacing w:val="-2"/>
          <w:sz w:val="20"/>
          <w:szCs w:val="24"/>
          <w:lang w:val="es-CR" w:eastAsia="es-CR"/>
        </w:rPr>
        <w:lastRenderedPageBreak/>
        <w:t xml:space="preserve">de cada una de las víctimas, </w:t>
      </w:r>
      <w:r w:rsidRPr="00873FEC">
        <w:rPr>
          <w:rFonts w:ascii="Verdana" w:hAnsi="Verdana" w:cs="Verdana"/>
          <w:color w:val="000000"/>
          <w:sz w:val="20"/>
          <w:szCs w:val="20"/>
          <w:lang w:val="es-CR" w:eastAsia="es-CR"/>
        </w:rPr>
        <w:t>de manera que se les brinden tratamientos colectivos, familiares e individuales, según lo que se acuerde con cada una de ellas y después de una evaluación individual.</w:t>
      </w:r>
      <w:r w:rsidRPr="00873FEC">
        <w:rPr>
          <w:rFonts w:ascii="Verdana" w:eastAsia="Batang" w:hAnsi="Verdana" w:cs="Times"/>
          <w:spacing w:val="-2"/>
          <w:sz w:val="20"/>
          <w:szCs w:val="24"/>
          <w:lang w:val="es-CR" w:eastAsia="es-CR"/>
        </w:rPr>
        <w:t xml:space="preserve"> </w:t>
      </w:r>
      <w:r w:rsidRPr="00873FEC">
        <w:rPr>
          <w:rFonts w:ascii="Verdana" w:hAnsi="Verdana" w:cs="Verdana"/>
          <w:sz w:val="20"/>
          <w:szCs w:val="20"/>
          <w:lang w:val="es-CR"/>
        </w:rPr>
        <w:t>Asimismo, los tratamientos psiquiátricos o psicológicos respectivos deberán ser brindados por el tiempo que sea necesario, en la medida de lo posible en los centros más cercanos a los lugares de residencia de las víctimas del presente caso y, en todo caso, en un lugar accesible para tales personas</w:t>
      </w:r>
      <w:r w:rsidRPr="00873FEC">
        <w:rPr>
          <w:rFonts w:ascii="Verdana" w:eastAsia="Batang" w:hAnsi="Verdana" w:cs="Times"/>
          <w:spacing w:val="-2"/>
          <w:sz w:val="20"/>
          <w:szCs w:val="24"/>
          <w:lang w:val="es-CR" w:eastAsia="es-CR"/>
        </w:rPr>
        <w:t xml:space="preserve">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w:spacing w:val="-2"/>
          <w:sz w:val="20"/>
          <w:szCs w:val="24"/>
          <w:lang w:val="es-CR" w:eastAsia="es-CR"/>
        </w:rPr>
        <w:t>Las víctimas que soliciten la medida de rehabilitación, disponen de un plazo de seis meses, contado a partir de la notificación de la presente Sentencia, para dar a conocer al Estado, por sí mismas o a través de sus representantes, su intención de recibir atención. Una vez recibida la notificación respectiva, el Estado deben comenzar a brindar el tratamiento de modo inmediato.</w:t>
      </w:r>
    </w:p>
    <w:p w:rsidR="00D05F7B" w:rsidRPr="00873FEC" w:rsidRDefault="00D05F7B" w:rsidP="00126E97">
      <w:pPr>
        <w:spacing w:after="0" w:line="20" w:lineRule="atLeast"/>
        <w:ind w:right="-138"/>
        <w:jc w:val="both"/>
        <w:rPr>
          <w:rFonts w:ascii="Verdana" w:eastAsia="Batang" w:hAnsi="Verdana" w:cs="Times"/>
          <w:b/>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En cuanto a la atención médica o de salud distinta al tratamiento psiquiátrico o psicológico, la Corte no considera necesario en este caso ordenar una medida específica al respecto y, en relación con ello, tiene en consideración la medida de establecer un Centro de Salud en la Comunidad, que se trata más adelante (</w:t>
      </w:r>
      <w:r w:rsidRPr="00873FEC">
        <w:rPr>
          <w:rFonts w:ascii="Verdana" w:eastAsia="Batang" w:hAnsi="Verdana" w:cs="Times"/>
          <w:i/>
          <w:sz w:val="20"/>
          <w:szCs w:val="24"/>
          <w:lang w:val="es-CR" w:eastAsia="es-CR"/>
        </w:rPr>
        <w:t xml:space="preserve">infra </w:t>
      </w:r>
      <w:proofErr w:type="spellStart"/>
      <w:r w:rsidRPr="00873FEC">
        <w:rPr>
          <w:rFonts w:ascii="Verdana" w:eastAsia="Batang" w:hAnsi="Verdana" w:cs="Times"/>
          <w:sz w:val="20"/>
          <w:szCs w:val="24"/>
          <w:lang w:val="es-CR" w:eastAsia="es-CR"/>
        </w:rPr>
        <w:t>párr</w:t>
      </w:r>
      <w:r w:rsidR="00F90CFC" w:rsidRPr="00873FEC">
        <w:rPr>
          <w:rFonts w:ascii="Verdana" w:eastAsia="Batang" w:hAnsi="Verdana" w:cs="Times"/>
          <w:sz w:val="20"/>
          <w:szCs w:val="24"/>
          <w:lang w:val="es-CR" w:eastAsia="es-CR"/>
        </w:rPr>
        <w:t>s</w:t>
      </w:r>
      <w:proofErr w:type="spellEnd"/>
      <w:r w:rsidRPr="00873FEC">
        <w:rPr>
          <w:rFonts w:ascii="Verdana" w:eastAsia="Batang" w:hAnsi="Verdana" w:cs="Times"/>
          <w:sz w:val="20"/>
          <w:szCs w:val="24"/>
          <w:lang w:val="es-CR" w:eastAsia="es-CR"/>
        </w:rPr>
        <w:t>. 16</w:t>
      </w:r>
      <w:r w:rsidR="001D1F47" w:rsidRPr="00873FEC">
        <w:rPr>
          <w:rFonts w:ascii="Verdana" w:eastAsia="Batang" w:hAnsi="Verdana" w:cs="Times"/>
          <w:sz w:val="20"/>
          <w:szCs w:val="24"/>
          <w:lang w:val="es-CR" w:eastAsia="es-CR"/>
        </w:rPr>
        <w:t>4</w:t>
      </w:r>
      <w:r w:rsidR="00F90CFC" w:rsidRPr="00873FEC">
        <w:rPr>
          <w:rFonts w:ascii="Verdana" w:eastAsia="Batang" w:hAnsi="Verdana" w:cs="Times"/>
          <w:sz w:val="20"/>
          <w:szCs w:val="24"/>
          <w:lang w:val="es-CR" w:eastAsia="es-CR"/>
        </w:rPr>
        <w:t xml:space="preserve"> a 16</w:t>
      </w:r>
      <w:r w:rsidR="001D1F47" w:rsidRPr="00873FEC">
        <w:rPr>
          <w:rFonts w:ascii="Verdana" w:eastAsia="Batang" w:hAnsi="Verdana" w:cs="Times"/>
          <w:sz w:val="20"/>
          <w:szCs w:val="24"/>
          <w:lang w:val="es-CR" w:eastAsia="es-CR"/>
        </w:rPr>
        <w:t>7</w:t>
      </w:r>
      <w:r w:rsidRPr="00873FEC">
        <w:rPr>
          <w:rFonts w:ascii="Verdana" w:eastAsia="Batang" w:hAnsi="Verdana" w:cs="Times"/>
          <w:sz w:val="20"/>
          <w:szCs w:val="24"/>
          <w:lang w:val="es-CR" w:eastAsia="es-CR"/>
        </w:rPr>
        <w:t>).</w:t>
      </w:r>
    </w:p>
    <w:p w:rsidR="00787F00" w:rsidRPr="00873FEC" w:rsidRDefault="00787F00" w:rsidP="00126E97">
      <w:pPr>
        <w:spacing w:after="0" w:line="20" w:lineRule="atLeast"/>
        <w:ind w:right="-138"/>
        <w:jc w:val="both"/>
        <w:rPr>
          <w:rFonts w:ascii="Verdana" w:eastAsia="Batang" w:hAnsi="Verdana" w:cs="Times"/>
          <w:b/>
          <w:sz w:val="20"/>
          <w:szCs w:val="24"/>
          <w:lang w:val="es-CR" w:eastAsia="es-CR"/>
        </w:rPr>
      </w:pPr>
    </w:p>
    <w:p w:rsidR="00787F00" w:rsidRPr="00873FEC" w:rsidRDefault="00787F00" w:rsidP="00126E97">
      <w:pPr>
        <w:keepNext/>
        <w:keepLines/>
        <w:spacing w:after="0" w:line="20" w:lineRule="atLeast"/>
        <w:ind w:left="567"/>
        <w:jc w:val="both"/>
        <w:outlineLvl w:val="2"/>
        <w:rPr>
          <w:rFonts w:ascii="Verdana" w:eastAsia="Cambria" w:hAnsi="Verdana" w:cs="Times"/>
          <w:i/>
          <w:sz w:val="20"/>
          <w:szCs w:val="24"/>
          <w:lang w:val="es-CR" w:eastAsia="es-CR"/>
        </w:rPr>
      </w:pPr>
      <w:bookmarkStart w:id="216" w:name="_Toc520207620"/>
      <w:bookmarkStart w:id="217" w:name="_Toc521694832"/>
      <w:bookmarkStart w:id="218" w:name="_Toc525201204"/>
      <w:bookmarkEnd w:id="216"/>
      <w:r w:rsidRPr="00873FEC">
        <w:rPr>
          <w:rFonts w:ascii="Verdana" w:eastAsia="Cambria" w:hAnsi="Verdana" w:cs="Times"/>
          <w:i/>
          <w:sz w:val="20"/>
          <w:szCs w:val="24"/>
          <w:lang w:val="es-CR" w:eastAsia="es-CR"/>
        </w:rPr>
        <w:t xml:space="preserve">C.2. </w:t>
      </w:r>
      <w:r w:rsidRPr="00873FEC">
        <w:rPr>
          <w:rFonts w:ascii="Verdana" w:eastAsia="Cambria" w:hAnsi="Verdana" w:cs="Times"/>
          <w:i/>
          <w:sz w:val="20"/>
          <w:szCs w:val="24"/>
          <w:u w:val="single"/>
          <w:lang w:val="es-CR" w:eastAsia="es-CR"/>
        </w:rPr>
        <w:t>Medidas de satisfacción</w:t>
      </w:r>
      <w:bookmarkEnd w:id="217"/>
      <w:bookmarkEnd w:id="218"/>
      <w:r w:rsidRPr="00873FEC">
        <w:rPr>
          <w:rFonts w:ascii="Verdana" w:eastAsia="Cambria" w:hAnsi="Verdana" w:cs="Times"/>
          <w:i/>
          <w:sz w:val="20"/>
          <w:szCs w:val="24"/>
          <w:u w:val="single"/>
          <w:lang w:val="es-CR" w:eastAsia="es-CR"/>
        </w:rPr>
        <w:t xml:space="preserve"> </w:t>
      </w:r>
    </w:p>
    <w:p w:rsidR="00787F00" w:rsidRPr="00873FEC" w:rsidRDefault="00787F00" w:rsidP="00126E97">
      <w:pPr>
        <w:spacing w:after="0" w:line="20" w:lineRule="atLeast"/>
        <w:jc w:val="both"/>
        <w:rPr>
          <w:rFonts w:ascii="Verdana" w:eastAsia="Batang" w:hAnsi="Verdana" w:cs="Times"/>
          <w:sz w:val="20"/>
          <w:szCs w:val="20"/>
          <w:lang w:val="es-CR" w:eastAsia="es-CR"/>
        </w:rPr>
      </w:pPr>
    </w:p>
    <w:p w:rsidR="00787F00" w:rsidRPr="00873FEC" w:rsidRDefault="00787F00" w:rsidP="00126E97">
      <w:pPr>
        <w:keepNext/>
        <w:keepLines/>
        <w:spacing w:after="0" w:line="20" w:lineRule="atLeast"/>
        <w:ind w:left="851"/>
        <w:jc w:val="both"/>
        <w:outlineLvl w:val="3"/>
        <w:rPr>
          <w:rFonts w:ascii="Verdana" w:eastAsia="Cambria" w:hAnsi="Verdana" w:cs="Times"/>
          <w:i/>
          <w:sz w:val="20"/>
          <w:szCs w:val="20"/>
          <w:lang w:eastAsia="es-CR"/>
        </w:rPr>
      </w:pPr>
      <w:bookmarkStart w:id="219" w:name="_Toc520207621"/>
      <w:bookmarkStart w:id="220" w:name="_Toc521694833"/>
      <w:bookmarkStart w:id="221" w:name="_Toc525201205"/>
      <w:bookmarkEnd w:id="219"/>
      <w:r w:rsidRPr="00873FEC">
        <w:rPr>
          <w:rFonts w:ascii="Verdana" w:eastAsia="Cambria" w:hAnsi="Verdana" w:cs="Times"/>
          <w:i/>
          <w:sz w:val="20"/>
          <w:szCs w:val="20"/>
          <w:lang w:eastAsia="es-CR"/>
        </w:rPr>
        <w:t>C.2.1. Publicación de la Sentencia</w:t>
      </w:r>
      <w:bookmarkEnd w:id="220"/>
      <w:bookmarkEnd w:id="221"/>
    </w:p>
    <w:p w:rsidR="00787F00" w:rsidRPr="00873FEC" w:rsidRDefault="00787F00" w:rsidP="00126E97">
      <w:pPr>
        <w:spacing w:after="0" w:line="20" w:lineRule="atLeast"/>
        <w:ind w:left="720"/>
        <w:contextualSpacing/>
        <w:rPr>
          <w:rFonts w:ascii="Calibri" w:eastAsia="Calibri" w:hAnsi="Calibri" w:cs="Times"/>
          <w:szCs w:val="20"/>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Calibri" w:hAnsi="Verdana" w:cs="Times"/>
          <w:sz w:val="20"/>
          <w:szCs w:val="20"/>
          <w:lang w:val="es-CR" w:eastAsia="es-CR"/>
        </w:rPr>
        <w:t>La Corte, como lo ha hecho en otros casos</w:t>
      </w:r>
      <w:r w:rsidRPr="00873FEC">
        <w:rPr>
          <w:rFonts w:ascii="Verdana" w:eastAsia="Calibri" w:hAnsi="Verdana" w:cs="Times New Roman"/>
          <w:sz w:val="20"/>
          <w:szCs w:val="20"/>
          <w:vertAlign w:val="superscript"/>
          <w:lang w:val="es-CR" w:eastAsia="x-none"/>
        </w:rPr>
        <w:footnoteReference w:id="215"/>
      </w:r>
      <w:r w:rsidRPr="00873FEC">
        <w:rPr>
          <w:rFonts w:ascii="Verdana" w:eastAsia="Calibri" w:hAnsi="Verdana" w:cs="Times"/>
          <w:sz w:val="20"/>
          <w:szCs w:val="20"/>
          <w:lang w:val="es-CR" w:eastAsia="es-CR"/>
        </w:rPr>
        <w:t xml:space="preserve">, estima pertinente ordenar al Estado que publique, en un plazo de seis meses, contado a partir de la notificación de la Sentencia: a) el resumen oficial de la presente Sentencia elaborado por la Corte, por una sola vez, en el Diario Oficial y en otro diario de circulación nacional, con un tamaño de letra legible y adecuado, y b) la presente Sentencia en su integridad, disponible, por un período de al menos un </w:t>
      </w:r>
      <w:proofErr w:type="spellStart"/>
      <w:r w:rsidRPr="00873FEC">
        <w:rPr>
          <w:rFonts w:ascii="Verdana" w:eastAsia="Calibri" w:hAnsi="Verdana" w:cs="Times"/>
          <w:sz w:val="20"/>
          <w:szCs w:val="20"/>
          <w:lang w:val="es-CR" w:eastAsia="es-CR"/>
        </w:rPr>
        <w:t>año</w:t>
      </w:r>
      <w:proofErr w:type="spellEnd"/>
      <w:r w:rsidRPr="00873FEC">
        <w:rPr>
          <w:rFonts w:ascii="Verdana" w:eastAsia="Calibri" w:hAnsi="Verdana" w:cs="Times"/>
          <w:sz w:val="20"/>
          <w:szCs w:val="20"/>
          <w:lang w:val="es-CR" w:eastAsia="es-CR"/>
        </w:rPr>
        <w:t xml:space="preserve">, en un sitio </w:t>
      </w:r>
      <w:r w:rsidRPr="00873FEC">
        <w:rPr>
          <w:rFonts w:ascii="Verdana" w:eastAsia="Calibri" w:hAnsi="Verdana" w:cs="Times"/>
          <w:i/>
          <w:iCs/>
          <w:sz w:val="20"/>
          <w:szCs w:val="20"/>
          <w:lang w:val="es-CR" w:eastAsia="es-CR"/>
        </w:rPr>
        <w:t xml:space="preserve">web </w:t>
      </w:r>
      <w:r w:rsidRPr="00873FEC">
        <w:rPr>
          <w:rFonts w:ascii="Verdana" w:eastAsia="Calibri" w:hAnsi="Verdana" w:cs="Times"/>
          <w:sz w:val="20"/>
          <w:szCs w:val="20"/>
          <w:lang w:val="es-CR" w:eastAsia="es-CR"/>
        </w:rPr>
        <w:t xml:space="preserve">oficial del Estado, de manera accesible al </w:t>
      </w:r>
      <w:proofErr w:type="spellStart"/>
      <w:r w:rsidRPr="00873FEC">
        <w:rPr>
          <w:rFonts w:ascii="Verdana" w:eastAsia="Calibri" w:hAnsi="Verdana" w:cs="Times"/>
          <w:sz w:val="20"/>
          <w:szCs w:val="20"/>
          <w:lang w:val="es-CR" w:eastAsia="es-CR"/>
        </w:rPr>
        <w:t>público</w:t>
      </w:r>
      <w:proofErr w:type="spellEnd"/>
      <w:r w:rsidRPr="00873FEC">
        <w:rPr>
          <w:rFonts w:ascii="Verdana" w:eastAsia="Calibri" w:hAnsi="Verdana" w:cs="Times"/>
          <w:sz w:val="20"/>
          <w:szCs w:val="20"/>
          <w:lang w:val="es-CR" w:eastAsia="es-CR"/>
        </w:rPr>
        <w:t xml:space="preserve"> y desde la </w:t>
      </w:r>
      <w:proofErr w:type="spellStart"/>
      <w:r w:rsidRPr="00873FEC">
        <w:rPr>
          <w:rFonts w:ascii="Verdana" w:eastAsia="Calibri" w:hAnsi="Verdana" w:cs="Times"/>
          <w:sz w:val="20"/>
          <w:szCs w:val="20"/>
          <w:lang w:val="es-CR" w:eastAsia="es-CR"/>
        </w:rPr>
        <w:t>página</w:t>
      </w:r>
      <w:proofErr w:type="spellEnd"/>
      <w:r w:rsidRPr="00873FEC">
        <w:rPr>
          <w:rFonts w:ascii="Verdana" w:eastAsia="Calibri" w:hAnsi="Verdana" w:cs="Times"/>
          <w:sz w:val="20"/>
          <w:szCs w:val="20"/>
          <w:lang w:val="es-CR" w:eastAsia="es-CR"/>
        </w:rPr>
        <w:t xml:space="preserve"> de inicio del sitio </w:t>
      </w:r>
      <w:r w:rsidRPr="00873FEC">
        <w:rPr>
          <w:rFonts w:ascii="Verdana" w:eastAsia="Calibri" w:hAnsi="Verdana" w:cs="Times"/>
          <w:i/>
          <w:iCs/>
          <w:sz w:val="20"/>
          <w:szCs w:val="20"/>
          <w:lang w:val="es-CR" w:eastAsia="es-CR"/>
        </w:rPr>
        <w:t>web</w:t>
      </w:r>
      <w:r w:rsidRPr="00873FEC">
        <w:rPr>
          <w:rFonts w:ascii="Verdana" w:eastAsia="Calibri" w:hAnsi="Verdana" w:cs="Times"/>
          <w:sz w:val="20"/>
          <w:szCs w:val="20"/>
          <w:lang w:val="es-CR" w:eastAsia="es-CR"/>
        </w:rPr>
        <w:t xml:space="preserve">. El Estado </w:t>
      </w:r>
      <w:proofErr w:type="spellStart"/>
      <w:r w:rsidRPr="00873FEC">
        <w:rPr>
          <w:rFonts w:ascii="Verdana" w:eastAsia="Calibri" w:hAnsi="Verdana" w:cs="Times"/>
          <w:sz w:val="20"/>
          <w:szCs w:val="20"/>
          <w:lang w:val="es-CR" w:eastAsia="es-CR"/>
        </w:rPr>
        <w:t>debera</w:t>
      </w:r>
      <w:proofErr w:type="spellEnd"/>
      <w:r w:rsidRPr="00873FEC">
        <w:rPr>
          <w:rFonts w:ascii="Verdana" w:eastAsia="Calibri" w:hAnsi="Verdana" w:cs="Times"/>
          <w:sz w:val="20"/>
          <w:szCs w:val="20"/>
          <w:lang w:val="es-CR" w:eastAsia="es-CR"/>
        </w:rPr>
        <w:t xml:space="preserve">́ informar de forma inmediata a este Tribunal una vez que proceda a realizar cada una de las publicaciones dispuestas, independientemente del plazo de un </w:t>
      </w:r>
      <w:proofErr w:type="spellStart"/>
      <w:r w:rsidRPr="00873FEC">
        <w:rPr>
          <w:rFonts w:ascii="Verdana" w:eastAsia="Calibri" w:hAnsi="Verdana" w:cs="Times"/>
          <w:sz w:val="20"/>
          <w:szCs w:val="20"/>
          <w:lang w:val="es-CR" w:eastAsia="es-CR"/>
        </w:rPr>
        <w:t>año</w:t>
      </w:r>
      <w:proofErr w:type="spellEnd"/>
      <w:r w:rsidRPr="00873FEC">
        <w:rPr>
          <w:rFonts w:ascii="Verdana" w:eastAsia="Calibri" w:hAnsi="Verdana" w:cs="Times"/>
          <w:sz w:val="20"/>
          <w:szCs w:val="20"/>
          <w:lang w:val="es-CR" w:eastAsia="es-CR"/>
        </w:rPr>
        <w:t xml:space="preserve"> para presentar su primer informe dispuesto en el punto resolutivo 15 de la presente Sentencia. </w:t>
      </w:r>
    </w:p>
    <w:p w:rsidR="00787F00" w:rsidRPr="00873FEC" w:rsidRDefault="00787F00" w:rsidP="00126E97">
      <w:pPr>
        <w:spacing w:after="0" w:line="20" w:lineRule="atLeast"/>
        <w:ind w:right="-138"/>
        <w:jc w:val="both"/>
        <w:rPr>
          <w:rFonts w:ascii="Verdana" w:eastAsia="Calibri" w:hAnsi="Verdana" w:cs="Times"/>
          <w:sz w:val="20"/>
          <w:szCs w:val="20"/>
          <w:lang w:val="es-CR" w:eastAsia="es-CR"/>
        </w:rPr>
      </w:pPr>
    </w:p>
    <w:p w:rsidR="00787F00" w:rsidRPr="00873FEC" w:rsidRDefault="00787F00" w:rsidP="00126E97">
      <w:pPr>
        <w:keepNext/>
        <w:keepLines/>
        <w:spacing w:after="0" w:line="20" w:lineRule="atLeast"/>
        <w:ind w:left="851"/>
        <w:jc w:val="both"/>
        <w:outlineLvl w:val="3"/>
        <w:rPr>
          <w:rFonts w:ascii="Cambria" w:eastAsia="Calibri" w:hAnsi="Cambria" w:cs="Times"/>
          <w:b/>
          <w:i/>
          <w:color w:val="4F81BD"/>
          <w:sz w:val="20"/>
          <w:szCs w:val="20"/>
          <w:lang w:val="es-CR" w:eastAsia="es-CR"/>
        </w:rPr>
      </w:pPr>
      <w:bookmarkStart w:id="222" w:name="_Toc520207622"/>
      <w:bookmarkStart w:id="223" w:name="_Toc521694834"/>
      <w:bookmarkStart w:id="224" w:name="_Toc525201206"/>
      <w:bookmarkEnd w:id="222"/>
      <w:r w:rsidRPr="00873FEC">
        <w:rPr>
          <w:rFonts w:ascii="Verdana" w:eastAsia="MS Mincho" w:hAnsi="Verdana" w:cs="Times"/>
          <w:i/>
          <w:color w:val="000000"/>
          <w:sz w:val="20"/>
          <w:szCs w:val="20"/>
          <w:lang w:eastAsia="es-CR"/>
        </w:rPr>
        <w:t>C.2.2. Acto público de reconocimiento de responsabilidad</w:t>
      </w:r>
      <w:bookmarkEnd w:id="223"/>
      <w:bookmarkEnd w:id="224"/>
    </w:p>
    <w:p w:rsidR="00787F00" w:rsidRPr="00873FEC" w:rsidRDefault="00787F00" w:rsidP="00126E97">
      <w:pPr>
        <w:tabs>
          <w:tab w:val="left" w:pos="3801"/>
        </w:tabs>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ab/>
      </w: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eastAsia="es-CR"/>
        </w:rPr>
        <w:t xml:space="preserve">La </w:t>
      </w:r>
      <w:r w:rsidRPr="00873FEC">
        <w:rPr>
          <w:rFonts w:ascii="Verdana" w:eastAsia="Batang" w:hAnsi="Verdana" w:cs="Times"/>
          <w:b/>
          <w:i/>
          <w:sz w:val="20"/>
          <w:szCs w:val="24"/>
          <w:lang w:eastAsia="es-CR"/>
        </w:rPr>
        <w:t>Comisión</w:t>
      </w:r>
      <w:r w:rsidRPr="00873FEC">
        <w:rPr>
          <w:rFonts w:ascii="Verdana" w:eastAsia="Batang" w:hAnsi="Verdana" w:cs="Times"/>
          <w:sz w:val="20"/>
          <w:szCs w:val="24"/>
          <w:lang w:eastAsia="es-CR"/>
        </w:rPr>
        <w:t xml:space="preserve"> entendió adecuado que se tomen “medidas de satisfacción para la recuperación de la memoria de las víctimas y para el reconocimiento público de la responsabilidad estatal por los hechos”. </w:t>
      </w:r>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eastAsia="es-CR"/>
        </w:rPr>
        <w:t xml:space="preserve">Los </w:t>
      </w:r>
      <w:r w:rsidRPr="00873FEC">
        <w:rPr>
          <w:rFonts w:ascii="Verdana" w:eastAsia="Batang" w:hAnsi="Verdana" w:cs="Times"/>
          <w:b/>
          <w:i/>
          <w:sz w:val="20"/>
          <w:szCs w:val="24"/>
          <w:lang w:eastAsia="es-CR"/>
        </w:rPr>
        <w:t>representantes</w:t>
      </w:r>
      <w:r w:rsidRPr="00873FEC">
        <w:rPr>
          <w:rFonts w:ascii="Verdana" w:eastAsia="Batang" w:hAnsi="Verdana" w:cs="Times"/>
          <w:sz w:val="20"/>
          <w:szCs w:val="24"/>
          <w:lang w:eastAsia="es-CR"/>
        </w:rPr>
        <w:t xml:space="preserve"> solicitaron que el Presidente de la República pidiera perdón a las víctimas y que se efectúe un reconocimiento internacional de la comisión de las graves violaciones de derechos humanos cometidas por el Estado. </w:t>
      </w:r>
    </w:p>
    <w:p w:rsidR="00787F00" w:rsidRPr="00873FEC" w:rsidRDefault="00787F00" w:rsidP="00126E97">
      <w:pPr>
        <w:spacing w:after="0" w:line="20" w:lineRule="atLeast"/>
        <w:ind w:left="720"/>
        <w:contextualSpacing/>
        <w:rPr>
          <w:rFonts w:ascii="Calibri" w:eastAsia="Calibri" w:hAnsi="Calibri" w:cs="Times"/>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4"/>
          <w:lang w:val="es-CR" w:eastAsia="es-CR"/>
        </w:rPr>
        <w:t xml:space="preserve">El </w:t>
      </w:r>
      <w:r w:rsidRPr="00873FEC">
        <w:rPr>
          <w:rFonts w:ascii="Verdana" w:eastAsia="Batang" w:hAnsi="Verdana" w:cs="Times"/>
          <w:b/>
          <w:i/>
          <w:sz w:val="20"/>
          <w:szCs w:val="24"/>
          <w:lang w:val="es-CR" w:eastAsia="es-CR"/>
        </w:rPr>
        <w:t>Estado</w:t>
      </w:r>
      <w:r w:rsidRPr="00873FEC">
        <w:rPr>
          <w:rFonts w:ascii="Verdana" w:eastAsia="Batang" w:hAnsi="Verdana" w:cs="Times"/>
          <w:sz w:val="20"/>
          <w:szCs w:val="24"/>
          <w:lang w:val="es-CR" w:eastAsia="es-CR"/>
        </w:rPr>
        <w:t xml:space="preserve"> señaló que está anuente a realizar un acto público de reconocimiento de responsabilidad, únicamente por los hechos por los cuales la Corte atribuya responsabilidad. </w:t>
      </w:r>
    </w:p>
    <w:p w:rsidR="00787F00" w:rsidRPr="00873FEC" w:rsidRDefault="00787F00" w:rsidP="00126E97">
      <w:pPr>
        <w:spacing w:after="0" w:line="20" w:lineRule="atLeast"/>
        <w:ind w:left="720"/>
        <w:contextualSpacing/>
        <w:rPr>
          <w:rFonts w:ascii="Verdana" w:eastAsia="Calibri" w:hAnsi="Verdana" w:cs="Verdana"/>
          <w:sz w:val="20"/>
          <w:szCs w:val="20"/>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Verdana"/>
          <w:sz w:val="20"/>
          <w:szCs w:val="20"/>
          <w:lang w:val="es-CR" w:eastAsia="es-CR"/>
        </w:rPr>
        <w:t xml:space="preserve">La </w:t>
      </w:r>
      <w:r w:rsidRPr="00873FEC">
        <w:rPr>
          <w:rFonts w:ascii="Verdana" w:eastAsia="Batang" w:hAnsi="Verdana" w:cs="Verdana"/>
          <w:b/>
          <w:i/>
          <w:sz w:val="20"/>
          <w:szCs w:val="20"/>
          <w:lang w:val="es-CR" w:eastAsia="es-CR"/>
        </w:rPr>
        <w:t>Corte</w:t>
      </w:r>
      <w:r w:rsidRPr="00873FEC">
        <w:rPr>
          <w:rFonts w:ascii="Verdana" w:eastAsia="Batang" w:hAnsi="Verdana" w:cs="Verdana"/>
          <w:sz w:val="20"/>
          <w:szCs w:val="20"/>
          <w:lang w:val="es-CR" w:eastAsia="es-CR"/>
        </w:rPr>
        <w:t xml:space="preserve"> valora que el Estado, a través de sus más altas autoridades y, de modo inmediato posterior al acaecimiento de la masacre, haya manifestado un </w:t>
      </w:r>
      <w:r w:rsidRPr="00873FEC">
        <w:rPr>
          <w:rFonts w:ascii="Verdana" w:eastAsia="Batang" w:hAnsi="Verdana" w:cs="Verdana"/>
          <w:sz w:val="20"/>
          <w:szCs w:val="20"/>
          <w:lang w:val="es-CR" w:eastAsia="es-CR"/>
        </w:rPr>
        <w:lastRenderedPageBreak/>
        <w:t xml:space="preserve">“reconocimiento institucional” de lo sucedido, y llevado a cabo acciones judiciales al respecto. Sin perjuicio de ello, Guatemala no ha efectuado un reconocimiento de responsabilidad internacional por las violaciones declaradas en esta Sentencia. </w:t>
      </w:r>
    </w:p>
    <w:p w:rsidR="00787F00" w:rsidRPr="00873FEC" w:rsidRDefault="00787F00" w:rsidP="00126E97">
      <w:pPr>
        <w:spacing w:after="0" w:line="20" w:lineRule="atLeast"/>
        <w:ind w:left="720"/>
        <w:contextualSpacing/>
        <w:rPr>
          <w:rFonts w:ascii="Calibri" w:eastAsia="Calibri" w:hAnsi="Calibri" w:cs="Verdana"/>
          <w:sz w:val="20"/>
          <w:szCs w:val="20"/>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Verdana"/>
          <w:sz w:val="20"/>
          <w:szCs w:val="20"/>
          <w:lang w:val="es-CR" w:eastAsia="es-CR"/>
        </w:rPr>
        <w:t>Teniendo en cuenta lo anterior, así como la anuencia del Estado respecto de la medida solicitada,</w:t>
      </w:r>
      <w:r w:rsidRPr="00873FEC">
        <w:rPr>
          <w:rFonts w:ascii="Verdana" w:eastAsia="Batang" w:hAnsi="Verdana" w:cs="Verdana"/>
          <w:sz w:val="20"/>
          <w:szCs w:val="24"/>
          <w:lang w:val="es-CR" w:eastAsia="es-CR"/>
        </w:rPr>
        <w:t xml:space="preserve"> tal como lo ha hecho en otros casos</w:t>
      </w:r>
      <w:r w:rsidRPr="00873FEC">
        <w:rPr>
          <w:rFonts w:ascii="Verdana" w:eastAsia="Batang" w:hAnsi="Verdana" w:cs="Verdana"/>
          <w:sz w:val="20"/>
          <w:szCs w:val="20"/>
          <w:vertAlign w:val="superscript"/>
          <w:lang w:val="es-CR" w:eastAsia="x-none"/>
        </w:rPr>
        <w:footnoteReference w:id="216"/>
      </w:r>
      <w:r w:rsidRPr="00873FEC">
        <w:rPr>
          <w:rFonts w:ascii="Verdana" w:eastAsia="Batang" w:hAnsi="Verdana" w:cs="Verdana"/>
          <w:sz w:val="20"/>
          <w:szCs w:val="24"/>
          <w:lang w:val="es-CR" w:eastAsia="es-CR"/>
        </w:rPr>
        <w:t>, la Corte</w:t>
      </w:r>
      <w:r w:rsidRPr="00873FEC">
        <w:rPr>
          <w:rFonts w:ascii="Verdana" w:eastAsia="Batang" w:hAnsi="Verdana" w:cs="Times"/>
          <w:sz w:val="20"/>
          <w:szCs w:val="24"/>
          <w:lang w:val="es-CR" w:eastAsia="es-CR"/>
        </w:rPr>
        <w:t xml:space="preserve"> estima necesario, para reparar el daño causado a las víctimas, ordenar al Estado, dentro del plazo de un año contado a partir de la notificación de la presente Sentencia, realizar un acto público de reconocimiento de responsabilidad, en el cual se haga referencia a los hechos del caso y a la responsabilidad estatal declarada en los términos de esta Sentencia. El acto deberá realizarse en</w:t>
      </w:r>
      <w:r w:rsidRPr="00873FEC">
        <w:rPr>
          <w:rFonts w:ascii="Verdana" w:eastAsia="Batang" w:hAnsi="Verdana" w:cs="Calibri"/>
          <w:sz w:val="20"/>
          <w:szCs w:val="24"/>
          <w:lang w:val="es-CR" w:eastAsia="es-CR"/>
        </w:rPr>
        <w:t xml:space="preserve"> </w:t>
      </w:r>
      <w:r w:rsidRPr="00873FEC">
        <w:rPr>
          <w:rFonts w:ascii="Verdana" w:eastAsia="Batang" w:hAnsi="Verdana" w:cs="Times"/>
          <w:sz w:val="20"/>
          <w:szCs w:val="24"/>
          <w:lang w:val="es-CR" w:eastAsia="es-CR"/>
        </w:rPr>
        <w:t>idioma español. Asimismo, si fuera necesario para su comprensión por alguna o varias de las víctimas, el Estado  deberá acordar con las víctimas o sus representantes que el acto sea realizado también en otras lenguas. El acto, en el momento de su realización, deberá</w:t>
      </w:r>
      <w:r w:rsidRPr="00873FEC">
        <w:rPr>
          <w:rFonts w:ascii="Verdana" w:eastAsia="Batang" w:hAnsi="Verdana" w:cs="Times"/>
          <w:i/>
          <w:sz w:val="20"/>
          <w:szCs w:val="24"/>
          <w:lang w:val="es-CR" w:eastAsia="es-CR"/>
        </w:rPr>
        <w:t xml:space="preserve"> </w:t>
      </w:r>
      <w:r w:rsidRPr="00873FEC">
        <w:rPr>
          <w:rFonts w:ascii="Verdana" w:eastAsia="Batang" w:hAnsi="Verdana" w:cs="Times"/>
          <w:sz w:val="20"/>
          <w:szCs w:val="24"/>
          <w:lang w:val="es-CR" w:eastAsia="es-CR"/>
        </w:rPr>
        <w:t>ser transmitido a través de medios de comunicación televisivos y/o radiales. E</w:t>
      </w:r>
      <w:r w:rsidR="003001C0" w:rsidRPr="00873FEC">
        <w:rPr>
          <w:rFonts w:ascii="Verdana" w:eastAsia="Batang" w:hAnsi="Verdana" w:cs="Times"/>
          <w:sz w:val="20"/>
          <w:szCs w:val="24"/>
          <w:lang w:val="es-CR" w:eastAsia="es-CR"/>
        </w:rPr>
        <w:t>l</w:t>
      </w:r>
      <w:r w:rsidRPr="00873FEC">
        <w:rPr>
          <w:rFonts w:ascii="Verdana" w:eastAsia="Batang" w:hAnsi="Verdana" w:cs="Times"/>
          <w:sz w:val="20"/>
          <w:szCs w:val="24"/>
          <w:lang w:val="es-CR" w:eastAsia="es-CR"/>
        </w:rPr>
        <w:t xml:space="preserve"> acto deberá realizarse en una ceremonia pública, en presencia de altos funcionarios estatales y las víctimas. La realización, el lugar y las particularidades de dicha ceremonia pública </w:t>
      </w:r>
      <w:r w:rsidRPr="00873FEC">
        <w:rPr>
          <w:rFonts w:ascii="Verdana" w:eastAsia="Batang" w:hAnsi="Verdana" w:cs="Verdana"/>
          <w:sz w:val="20"/>
          <w:szCs w:val="24"/>
          <w:lang w:val="es-CR" w:eastAsia="es-CR"/>
        </w:rPr>
        <w:t xml:space="preserve">deberán acordarse con las víctimas y sus representantes. El Estado </w:t>
      </w:r>
      <w:r w:rsidRPr="00873FEC">
        <w:rPr>
          <w:rFonts w:ascii="Verdana" w:eastAsia="Batang" w:hAnsi="Verdana" w:cs="Times"/>
          <w:sz w:val="20"/>
          <w:szCs w:val="24"/>
          <w:lang w:val="es-CR" w:eastAsia="es-CR"/>
        </w:rPr>
        <w:t xml:space="preserve">deberá garantizar y sufragar los gastos de transporte necesarios, para que las víctimas que se encuentran en Guatemala puedan asistir al acto de reconocimiento. </w:t>
      </w:r>
    </w:p>
    <w:p w:rsidR="00787F00" w:rsidRPr="00873FEC" w:rsidRDefault="00787F00" w:rsidP="00126E97">
      <w:pPr>
        <w:spacing w:after="0" w:line="20" w:lineRule="atLeast"/>
        <w:ind w:left="720"/>
        <w:contextualSpacing/>
        <w:rPr>
          <w:rFonts w:ascii="Calibri" w:eastAsia="MS Mincho" w:hAnsi="Calibri" w:cs="Times"/>
          <w:szCs w:val="20"/>
          <w:lang w:eastAsia="es-CR"/>
        </w:rPr>
      </w:pPr>
    </w:p>
    <w:p w:rsidR="00787F00" w:rsidRPr="00873FEC" w:rsidRDefault="00787F00" w:rsidP="00126E97">
      <w:pPr>
        <w:keepNext/>
        <w:keepLines/>
        <w:spacing w:after="0" w:line="20" w:lineRule="atLeast"/>
        <w:ind w:left="851"/>
        <w:jc w:val="both"/>
        <w:outlineLvl w:val="3"/>
        <w:rPr>
          <w:rFonts w:ascii="Verdana" w:eastAsia="Cambria" w:hAnsi="Verdana" w:cs="Times"/>
          <w:i/>
          <w:sz w:val="20"/>
          <w:szCs w:val="20"/>
          <w:lang w:eastAsia="es-CR"/>
        </w:rPr>
      </w:pPr>
      <w:bookmarkStart w:id="225" w:name="_Toc520207623"/>
      <w:bookmarkStart w:id="226" w:name="_Toc521694835"/>
      <w:bookmarkStart w:id="227" w:name="_Toc525201207"/>
      <w:bookmarkEnd w:id="225"/>
      <w:r w:rsidRPr="00873FEC">
        <w:rPr>
          <w:rFonts w:ascii="Verdana" w:eastAsia="Cambria" w:hAnsi="Verdana" w:cs="Times"/>
          <w:i/>
          <w:sz w:val="20"/>
          <w:szCs w:val="20"/>
          <w:lang w:eastAsia="es-CR"/>
        </w:rPr>
        <w:t>C.</w:t>
      </w:r>
      <w:r w:rsidR="00E35130" w:rsidRPr="00873FEC">
        <w:rPr>
          <w:rFonts w:ascii="Verdana" w:eastAsia="Cambria" w:hAnsi="Verdana" w:cs="Times"/>
          <w:i/>
          <w:sz w:val="20"/>
          <w:szCs w:val="20"/>
          <w:lang w:eastAsia="es-CR"/>
        </w:rPr>
        <w:t>2</w:t>
      </w:r>
      <w:r w:rsidRPr="00873FEC">
        <w:rPr>
          <w:rFonts w:ascii="Verdana" w:eastAsia="Cambria" w:hAnsi="Verdana" w:cs="Times"/>
          <w:i/>
          <w:sz w:val="20"/>
          <w:szCs w:val="20"/>
          <w:lang w:eastAsia="es-CR"/>
        </w:rPr>
        <w:t>.3. Centro de Salud</w:t>
      </w:r>
      <w:bookmarkEnd w:id="226"/>
      <w:bookmarkEnd w:id="227"/>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Los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solicitaron a la Corte que ordenara al Estado la construcci</w:t>
      </w:r>
      <w:r w:rsidR="00F5049E" w:rsidRPr="00873FEC">
        <w:rPr>
          <w:rFonts w:ascii="Verdana" w:eastAsia="MS Mincho" w:hAnsi="Verdana" w:cs="Times"/>
          <w:sz w:val="20"/>
          <w:szCs w:val="20"/>
          <w:lang w:eastAsia="es-CR"/>
        </w:rPr>
        <w:t>ón de un Centro de Salud en la C</w:t>
      </w:r>
      <w:r w:rsidRPr="00873FEC">
        <w:rPr>
          <w:rFonts w:ascii="Verdana" w:eastAsia="MS Mincho" w:hAnsi="Verdana" w:cs="Times"/>
          <w:sz w:val="20"/>
          <w:szCs w:val="20"/>
          <w:lang w:eastAsia="es-CR"/>
        </w:rPr>
        <w:t>omunidad con integración de la cosmovisión maya, con capacidad, equipo y mantenimiento para cubrir todas las nec</w:t>
      </w:r>
      <w:r w:rsidR="00F5049E" w:rsidRPr="00873FEC">
        <w:rPr>
          <w:rFonts w:ascii="Verdana" w:eastAsia="MS Mincho" w:hAnsi="Verdana" w:cs="Times"/>
          <w:sz w:val="20"/>
          <w:szCs w:val="20"/>
          <w:lang w:eastAsia="es-CR"/>
        </w:rPr>
        <w:t>esidades de los miembros de la C</w:t>
      </w:r>
      <w:r w:rsidRPr="00873FEC">
        <w:rPr>
          <w:rFonts w:ascii="Verdana" w:eastAsia="MS Mincho" w:hAnsi="Verdana" w:cs="Times"/>
          <w:sz w:val="20"/>
          <w:szCs w:val="20"/>
          <w:lang w:eastAsia="es-CR"/>
        </w:rPr>
        <w:t>omunidad.</w:t>
      </w:r>
      <w:r w:rsidRPr="00873FEC">
        <w:rPr>
          <w:rFonts w:ascii="Verdana" w:eastAsia="MS Mincho" w:hAnsi="Verdana" w:cs="Times"/>
          <w:sz w:val="16"/>
          <w:szCs w:val="16"/>
          <w:lang w:eastAsia="es-CR"/>
        </w:rPr>
        <w:t xml:space="preserve"> </w:t>
      </w:r>
    </w:p>
    <w:p w:rsidR="00787F00" w:rsidRPr="00873FEC" w:rsidRDefault="00787F00" w:rsidP="00126E97">
      <w:pPr>
        <w:spacing w:after="0" w:line="20" w:lineRule="atLeast"/>
        <w:jc w:val="both"/>
        <w:rPr>
          <w:rFonts w:ascii="Verdana" w:eastAsia="MS Mincho" w:hAnsi="Verdana" w:cs="Times"/>
          <w:sz w:val="20"/>
          <w:szCs w:val="20"/>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no realizó una diferenciación entre la medida de rehabilitación solicitada por la Comisión </w:t>
      </w:r>
      <w:r w:rsidR="003001C0" w:rsidRPr="00873FEC">
        <w:rPr>
          <w:rFonts w:ascii="Verdana" w:eastAsia="MS Mincho" w:hAnsi="Verdana" w:cs="Times"/>
          <w:sz w:val="20"/>
          <w:szCs w:val="20"/>
          <w:lang w:eastAsia="es-CR"/>
        </w:rPr>
        <w:t>(</w:t>
      </w:r>
      <w:r w:rsidR="003001C0" w:rsidRPr="00873FEC">
        <w:rPr>
          <w:rFonts w:ascii="Verdana" w:eastAsia="MS Mincho" w:hAnsi="Verdana" w:cs="Times"/>
          <w:i/>
          <w:sz w:val="20"/>
          <w:szCs w:val="20"/>
          <w:lang w:eastAsia="es-CR"/>
        </w:rPr>
        <w:t>supra</w:t>
      </w:r>
      <w:r w:rsidR="003001C0" w:rsidRPr="00873FEC">
        <w:rPr>
          <w:rFonts w:ascii="Verdana" w:eastAsia="MS Mincho" w:hAnsi="Verdana" w:cs="Times"/>
          <w:sz w:val="20"/>
          <w:szCs w:val="20"/>
          <w:lang w:eastAsia="es-CR"/>
        </w:rPr>
        <w:t xml:space="preserve"> párr. 15</w:t>
      </w:r>
      <w:r w:rsidR="001D1F47" w:rsidRPr="00873FEC">
        <w:rPr>
          <w:rFonts w:ascii="Verdana" w:eastAsia="MS Mincho" w:hAnsi="Verdana" w:cs="Times"/>
          <w:sz w:val="20"/>
          <w:szCs w:val="20"/>
          <w:lang w:eastAsia="es-CR"/>
        </w:rPr>
        <w:t>3</w:t>
      </w:r>
      <w:r w:rsidR="003001C0" w:rsidRPr="00873FEC">
        <w:rPr>
          <w:rFonts w:ascii="Verdana" w:eastAsia="MS Mincho" w:hAnsi="Verdana" w:cs="Times"/>
          <w:sz w:val="20"/>
          <w:szCs w:val="20"/>
          <w:lang w:eastAsia="es-CR"/>
        </w:rPr>
        <w:t xml:space="preserve">) </w:t>
      </w:r>
      <w:r w:rsidRPr="00873FEC">
        <w:rPr>
          <w:rFonts w:ascii="Verdana" w:eastAsia="MS Mincho" w:hAnsi="Verdana" w:cs="Times"/>
          <w:sz w:val="20"/>
          <w:szCs w:val="20"/>
          <w:lang w:eastAsia="es-CR"/>
        </w:rPr>
        <w:t>y la presente medida de satisfacción solicitada por los representantes. En este sentido, la Corte tiene en consideración los argumentos estatales sobre atención en salud resumidos con anterioridad. (</w:t>
      </w:r>
      <w:r w:rsidRPr="00873FEC">
        <w:rPr>
          <w:rFonts w:ascii="Verdana" w:eastAsia="MS Mincho" w:hAnsi="Verdana" w:cs="Times"/>
          <w:i/>
          <w:sz w:val="20"/>
          <w:szCs w:val="20"/>
          <w:lang w:eastAsia="es-CR"/>
        </w:rPr>
        <w:t>supra</w:t>
      </w:r>
      <w:r w:rsidRPr="00873FEC">
        <w:rPr>
          <w:rFonts w:ascii="Verdana" w:eastAsia="MS Mincho" w:hAnsi="Verdana" w:cs="Times"/>
          <w:sz w:val="20"/>
          <w:szCs w:val="20"/>
          <w:lang w:eastAsia="es-CR"/>
        </w:rPr>
        <w:t xml:space="preserve"> párr. 15</w:t>
      </w:r>
      <w:r w:rsidR="001D1F47" w:rsidRPr="00873FEC">
        <w:rPr>
          <w:rFonts w:ascii="Verdana" w:eastAsia="MS Mincho" w:hAnsi="Verdana" w:cs="Times"/>
          <w:sz w:val="20"/>
          <w:szCs w:val="20"/>
          <w:lang w:eastAsia="es-CR"/>
        </w:rPr>
        <w:t>4</w:t>
      </w:r>
      <w:r w:rsidRPr="00873FEC">
        <w:rPr>
          <w:rFonts w:ascii="Verdana" w:eastAsia="MS Mincho" w:hAnsi="Verdana" w:cs="Times"/>
          <w:sz w:val="20"/>
          <w:szCs w:val="20"/>
          <w:lang w:eastAsia="es-CR"/>
        </w:rPr>
        <w:t>).</w:t>
      </w:r>
      <w:r w:rsidRPr="00873FEC">
        <w:rPr>
          <w:rFonts w:ascii="Verdana" w:eastAsia="MS Mincho" w:hAnsi="Verdana" w:cs="Times"/>
          <w:b/>
          <w:sz w:val="16"/>
          <w:szCs w:val="16"/>
          <w:lang w:eastAsia="es-CR"/>
        </w:rPr>
        <w:t xml:space="preserve"> </w:t>
      </w:r>
      <w:r w:rsidRPr="00873FEC">
        <w:rPr>
          <w:rFonts w:ascii="Verdana" w:eastAsia="Batang" w:hAnsi="Verdana" w:cs="Times"/>
          <w:sz w:val="20"/>
          <w:szCs w:val="20"/>
          <w:lang w:eastAsia="es-CR"/>
        </w:rPr>
        <w:t xml:space="preserve"> </w:t>
      </w:r>
    </w:p>
    <w:p w:rsidR="00787F00" w:rsidRPr="00873FEC" w:rsidRDefault="00787F00" w:rsidP="00126E97">
      <w:pPr>
        <w:spacing w:after="0" w:line="20" w:lineRule="atLeast"/>
        <w:ind w:left="720"/>
        <w:contextualSpacing/>
        <w:rPr>
          <w:rFonts w:ascii="Calibri" w:eastAsia="Calibri" w:hAnsi="Calibri" w:cs="Times"/>
          <w:b/>
          <w:spacing w:val="-2"/>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pacing w:val="-2"/>
          <w:sz w:val="20"/>
          <w:szCs w:val="24"/>
          <w:lang w:eastAsia="es-CR"/>
        </w:rPr>
        <w:t xml:space="preserve">La </w:t>
      </w:r>
      <w:r w:rsidRPr="00873FEC">
        <w:rPr>
          <w:rFonts w:ascii="Verdana" w:eastAsia="Batang" w:hAnsi="Verdana" w:cs="Times"/>
          <w:b/>
          <w:i/>
          <w:spacing w:val="-2"/>
          <w:sz w:val="20"/>
          <w:szCs w:val="24"/>
          <w:lang w:eastAsia="es-CR"/>
        </w:rPr>
        <w:t>Corte</w:t>
      </w:r>
      <w:r w:rsidRPr="00873FEC">
        <w:rPr>
          <w:rFonts w:ascii="Verdana" w:eastAsia="Batang" w:hAnsi="Verdana" w:cs="Times"/>
          <w:spacing w:val="-2"/>
          <w:sz w:val="20"/>
          <w:szCs w:val="24"/>
          <w:lang w:eastAsia="es-CR"/>
        </w:rPr>
        <w:t xml:space="preserve"> considera que, en la victimización del grupo fue determinante su vulnerabilidad social y económica, razón por la cual, como parte de las medidas de reparación, resulta no solo procedente sino necesario, disponer medidas que, al menos, garanticen condiciones de ciudadanía real, con acceso a la salud y comunicación.</w:t>
      </w:r>
    </w:p>
    <w:p w:rsidR="00787F00" w:rsidRPr="00873FEC" w:rsidRDefault="00787F00" w:rsidP="00126E97">
      <w:pPr>
        <w:spacing w:after="0" w:line="20" w:lineRule="atLeast"/>
        <w:ind w:left="720"/>
        <w:contextualSpacing/>
        <w:rPr>
          <w:rFonts w:ascii="Calibri" w:eastAsia="Calibri" w:hAnsi="Calibri" w:cs="Times"/>
          <w:i/>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Por ello, esta Corte ordena, como medida de satisfacción, el establecimiento, en el plazo de un dos años de un Centro de Salud ubicado en la Comunidad “Aurora 8 de Octubre”, en el cual las víctimas y, en general, los miembros de la Comunidad, tengan acceso a servicios básicos de salud. La atención </w:t>
      </w:r>
      <w:r w:rsidRPr="00873FEC">
        <w:rPr>
          <w:rFonts w:ascii="Verdana" w:eastAsia="Batang" w:hAnsi="Verdana" w:cs="Times"/>
          <w:spacing w:val="-2"/>
          <w:sz w:val="20"/>
          <w:szCs w:val="24"/>
          <w:lang w:val="es-CR" w:eastAsia="es-CR"/>
        </w:rPr>
        <w:t>médica</w:t>
      </w:r>
      <w:r w:rsidRPr="00873FEC">
        <w:rPr>
          <w:rFonts w:ascii="Verdana" w:eastAsia="Batang" w:hAnsi="Verdana" w:cs="Times"/>
          <w:sz w:val="20"/>
          <w:szCs w:val="24"/>
          <w:lang w:val="es-CR" w:eastAsia="es-CR"/>
        </w:rPr>
        <w:t xml:space="preserve"> que se brinde deberá ser impartida respetando las </w:t>
      </w:r>
      <w:r w:rsidRPr="00873FEC">
        <w:rPr>
          <w:rFonts w:ascii="Verdana" w:eastAsia="Calibri" w:hAnsi="Verdana" w:cs="Verdana"/>
          <w:sz w:val="20"/>
          <w:szCs w:val="24"/>
          <w:lang w:val="es-CR" w:eastAsia="es-CR"/>
        </w:rPr>
        <w:t>prácticas</w:t>
      </w:r>
      <w:r w:rsidRPr="00873FEC">
        <w:rPr>
          <w:rFonts w:ascii="Verdana" w:eastAsia="Batang" w:hAnsi="Verdana" w:cs="Times"/>
          <w:sz w:val="20"/>
          <w:szCs w:val="24"/>
          <w:lang w:val="es-CR" w:eastAsia="es-CR"/>
        </w:rPr>
        <w:t xml:space="preserve"> y el uso de medicinas tradicionales. Asimismo, la medida debe cumplirse considerando que, en el mismo sentido que ya fue indicado en otra Sentencia respecto de Guatemala, los</w:t>
      </w:r>
      <w:r w:rsidRPr="00873FEC">
        <w:rPr>
          <w:rFonts w:ascii="Verdana" w:eastAsia="Batang" w:hAnsi="Verdana" w:cs="Times"/>
          <w:spacing w:val="-2"/>
          <w:sz w:val="20"/>
          <w:szCs w:val="24"/>
          <w:lang w:val="es-CR" w:eastAsia="es-CR"/>
        </w:rPr>
        <w:t xml:space="preserve"> programas de salud en pueblos indígenas y tribales deben</w:t>
      </w:r>
      <w:r w:rsidRPr="00873FEC">
        <w:rPr>
          <w:rFonts w:ascii="Verdana" w:eastAsia="Batang" w:hAnsi="Verdana" w:cs="Times"/>
          <w:sz w:val="20"/>
          <w:szCs w:val="24"/>
          <w:lang w:val="es-PE" w:eastAsia="es-CR"/>
        </w:rPr>
        <w:t xml:space="preserve"> basarse en la comunidad y ser complementarios de las prácticas curativas tradicionales y comprenderlas</w:t>
      </w:r>
      <w:r w:rsidRPr="00873FEC">
        <w:rPr>
          <w:rFonts w:ascii="Verdana" w:eastAsia="Batang" w:hAnsi="Verdana" w:cs="Times New Roman"/>
          <w:sz w:val="20"/>
          <w:szCs w:val="20"/>
          <w:vertAlign w:val="superscript"/>
          <w:lang w:val="es-CR" w:eastAsia="x-none"/>
        </w:rPr>
        <w:footnoteReference w:id="217"/>
      </w:r>
      <w:r w:rsidRPr="00873FEC">
        <w:rPr>
          <w:rFonts w:ascii="Verdana" w:eastAsia="Batang" w:hAnsi="Verdana" w:cs="Times"/>
          <w:sz w:val="20"/>
          <w:szCs w:val="24"/>
          <w:lang w:val="es-PE" w:eastAsia="es-CR"/>
        </w:rPr>
        <w:t>.</w:t>
      </w:r>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keepNext/>
        <w:keepLines/>
        <w:spacing w:after="0" w:line="20" w:lineRule="atLeast"/>
        <w:ind w:left="851"/>
        <w:jc w:val="both"/>
        <w:outlineLvl w:val="3"/>
        <w:rPr>
          <w:rFonts w:ascii="Verdana" w:eastAsia="Cambria" w:hAnsi="Verdana" w:cs="Times"/>
          <w:i/>
          <w:sz w:val="20"/>
          <w:szCs w:val="20"/>
          <w:lang w:eastAsia="es-CR"/>
        </w:rPr>
      </w:pPr>
      <w:bookmarkStart w:id="228" w:name="_Toc520207624"/>
      <w:bookmarkStart w:id="229" w:name="_Toc521694836"/>
      <w:bookmarkStart w:id="230" w:name="_Toc525201208"/>
      <w:bookmarkEnd w:id="228"/>
      <w:r w:rsidRPr="00873FEC">
        <w:rPr>
          <w:rFonts w:ascii="Verdana" w:eastAsia="Cambria" w:hAnsi="Verdana" w:cs="Times"/>
          <w:i/>
          <w:sz w:val="20"/>
          <w:szCs w:val="20"/>
          <w:lang w:eastAsia="es-CR"/>
        </w:rPr>
        <w:t>C.</w:t>
      </w:r>
      <w:r w:rsidR="00E35130" w:rsidRPr="00873FEC">
        <w:rPr>
          <w:rFonts w:ascii="Verdana" w:eastAsia="Cambria" w:hAnsi="Verdana" w:cs="Times"/>
          <w:i/>
          <w:sz w:val="20"/>
          <w:szCs w:val="20"/>
          <w:lang w:eastAsia="es-CR"/>
        </w:rPr>
        <w:t>2</w:t>
      </w:r>
      <w:r w:rsidRPr="00873FEC">
        <w:rPr>
          <w:rFonts w:ascii="Verdana" w:eastAsia="Cambria" w:hAnsi="Verdana" w:cs="Times"/>
          <w:i/>
          <w:sz w:val="20"/>
          <w:szCs w:val="20"/>
          <w:lang w:eastAsia="es-CR"/>
        </w:rPr>
        <w:t>.4. Ampliación y asfalto de una carretera</w:t>
      </w:r>
      <w:bookmarkEnd w:id="229"/>
      <w:bookmarkEnd w:id="230"/>
      <w:r w:rsidRPr="00873FEC">
        <w:rPr>
          <w:rFonts w:ascii="Verdana" w:eastAsia="Cambria" w:hAnsi="Verdana" w:cs="Times"/>
          <w:i/>
          <w:sz w:val="20"/>
          <w:szCs w:val="20"/>
          <w:lang w:eastAsia="es-CR"/>
        </w:rPr>
        <w:t xml:space="preserve"> </w:t>
      </w:r>
    </w:p>
    <w:p w:rsidR="00787F00" w:rsidRPr="00873FEC" w:rsidRDefault="00787F00" w:rsidP="00126E97">
      <w:pPr>
        <w:spacing w:after="0" w:line="20" w:lineRule="atLeast"/>
        <w:ind w:left="720"/>
        <w:contextualSpacing/>
        <w:rPr>
          <w:rFonts w:ascii="Calibri" w:eastAsia="Calibri" w:hAnsi="Calibri" w:cs="Times"/>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Los </w:t>
      </w:r>
      <w:r w:rsidRPr="00873FEC">
        <w:rPr>
          <w:rFonts w:ascii="Verdana" w:eastAsia="Batang" w:hAnsi="Verdana" w:cs="Times"/>
          <w:b/>
          <w:i/>
          <w:sz w:val="20"/>
          <w:szCs w:val="24"/>
          <w:lang w:val="es-CR" w:eastAsia="es-CR"/>
        </w:rPr>
        <w:t xml:space="preserve">representantes </w:t>
      </w:r>
      <w:r w:rsidRPr="00873FEC">
        <w:rPr>
          <w:rFonts w:ascii="Verdana" w:eastAsia="Batang" w:hAnsi="Verdana" w:cs="Times"/>
          <w:sz w:val="20"/>
          <w:szCs w:val="24"/>
          <w:lang w:val="es-CR" w:eastAsia="es-CR"/>
        </w:rPr>
        <w:t xml:space="preserve">solicitaron “la ampliación y asfalto de la carretera que se dirige de la autopista denominada Franja Transversal del Norte hacia el interior de la Comunidad […] que suma […] 5 km de asfalto”. </w:t>
      </w:r>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3001C0" w:rsidRPr="00873FEC" w:rsidRDefault="003001C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La </w:t>
      </w:r>
      <w:r w:rsidRPr="00873FEC">
        <w:rPr>
          <w:rFonts w:ascii="Verdana" w:eastAsia="Batang" w:hAnsi="Verdana" w:cs="Times"/>
          <w:b/>
          <w:i/>
          <w:sz w:val="20"/>
          <w:szCs w:val="24"/>
          <w:lang w:val="es-CR" w:eastAsia="es-CR"/>
        </w:rPr>
        <w:t>Comisión</w:t>
      </w:r>
      <w:r w:rsidRPr="00873FEC">
        <w:rPr>
          <w:rFonts w:ascii="Verdana" w:eastAsia="Batang" w:hAnsi="Verdana" w:cs="Times"/>
          <w:sz w:val="20"/>
          <w:szCs w:val="24"/>
          <w:lang w:val="es-CR" w:eastAsia="es-CR"/>
        </w:rPr>
        <w:t xml:space="preserve"> señaló que el Estado reconoció que dicha medida no había sido implementada y se limitó a “tomar nota de dicho planteamiento”. </w:t>
      </w:r>
    </w:p>
    <w:p w:rsidR="003001C0" w:rsidRPr="00873FEC" w:rsidRDefault="003001C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El </w:t>
      </w:r>
      <w:r w:rsidRPr="00873FEC">
        <w:rPr>
          <w:rFonts w:ascii="Verdana" w:eastAsia="Batang" w:hAnsi="Verdana" w:cs="Times"/>
          <w:b/>
          <w:i/>
          <w:sz w:val="20"/>
          <w:szCs w:val="24"/>
          <w:lang w:val="es-CR" w:eastAsia="es-CR"/>
        </w:rPr>
        <w:t>Estado</w:t>
      </w:r>
      <w:r w:rsidRPr="00873FEC">
        <w:rPr>
          <w:rFonts w:ascii="Verdana" w:eastAsia="Batang" w:hAnsi="Verdana" w:cs="Times"/>
          <w:sz w:val="20"/>
          <w:szCs w:val="24"/>
          <w:lang w:val="es-CR" w:eastAsia="es-CR"/>
        </w:rPr>
        <w:t xml:space="preserve"> indicó que tomaba nota del planteamiento a efecto de poder incluirlo en la programación de obras de la Dirección General de Caminos.</w:t>
      </w:r>
    </w:p>
    <w:p w:rsidR="00787F00" w:rsidRPr="00873FEC" w:rsidRDefault="00787F00" w:rsidP="00126E97">
      <w:pPr>
        <w:spacing w:after="0" w:line="20" w:lineRule="atLeast"/>
        <w:ind w:left="720"/>
        <w:contextualSpacing/>
        <w:rPr>
          <w:rFonts w:ascii="Calibri" w:eastAsia="MS Mincho" w:hAnsi="Calibri" w:cs="Times"/>
          <w:szCs w:val="20"/>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La </w:t>
      </w:r>
      <w:r w:rsidRPr="00873FEC">
        <w:rPr>
          <w:rFonts w:ascii="Verdana" w:eastAsia="MS Mincho" w:hAnsi="Verdana" w:cs="Times"/>
          <w:b/>
          <w:i/>
          <w:sz w:val="20"/>
          <w:szCs w:val="20"/>
          <w:lang w:eastAsia="es-CR"/>
        </w:rPr>
        <w:t>Corte</w:t>
      </w:r>
      <w:r w:rsidRPr="00873FEC">
        <w:rPr>
          <w:rFonts w:ascii="Verdana" w:eastAsia="MS Mincho" w:hAnsi="Verdana" w:cs="Times"/>
          <w:sz w:val="20"/>
          <w:szCs w:val="20"/>
          <w:lang w:eastAsia="es-CR"/>
        </w:rPr>
        <w:t xml:space="preserve"> valora que el Estado haya indicado que puede programar la realización de la obra y, teniendo en cuenta las consideraciones ya expresadas sobre la vulnerabilidad del grupo de personas victimizadas (</w:t>
      </w:r>
      <w:r w:rsidRPr="00873FEC">
        <w:rPr>
          <w:rFonts w:ascii="Verdana" w:eastAsia="MS Mincho" w:hAnsi="Verdana" w:cs="Times"/>
          <w:i/>
          <w:sz w:val="20"/>
          <w:szCs w:val="20"/>
          <w:lang w:eastAsia="es-CR"/>
        </w:rPr>
        <w:t>supra</w:t>
      </w:r>
      <w:r w:rsidRPr="00873FEC">
        <w:rPr>
          <w:rFonts w:ascii="Verdana" w:eastAsia="MS Mincho" w:hAnsi="Verdana" w:cs="Times"/>
          <w:sz w:val="20"/>
          <w:szCs w:val="20"/>
          <w:lang w:eastAsia="es-CR"/>
        </w:rPr>
        <w:t xml:space="preserve"> párr. 16</w:t>
      </w:r>
      <w:r w:rsidR="001D1F47" w:rsidRPr="00873FEC">
        <w:rPr>
          <w:rFonts w:ascii="Verdana" w:eastAsia="MS Mincho" w:hAnsi="Verdana" w:cs="Times"/>
          <w:sz w:val="20"/>
          <w:szCs w:val="20"/>
          <w:lang w:eastAsia="es-CR"/>
        </w:rPr>
        <w:t>6</w:t>
      </w:r>
      <w:r w:rsidRPr="00873FEC">
        <w:rPr>
          <w:rFonts w:ascii="Verdana" w:eastAsia="MS Mincho" w:hAnsi="Verdana" w:cs="Times"/>
          <w:sz w:val="20"/>
          <w:szCs w:val="20"/>
          <w:lang w:eastAsia="es-CR"/>
        </w:rPr>
        <w:t xml:space="preserve">), determina, como medida de satisfacción, ordenar a Guatemala que, en el plazo de dos años, </w:t>
      </w:r>
      <w:r w:rsidRPr="00873FEC">
        <w:rPr>
          <w:rFonts w:ascii="Verdana" w:eastAsia="Batang" w:hAnsi="Verdana" w:cs="Times"/>
          <w:sz w:val="20"/>
          <w:szCs w:val="24"/>
          <w:lang w:val="es-CR" w:eastAsia="es-CR"/>
        </w:rPr>
        <w:t xml:space="preserve">amplíe y asfalte la carretera que se dirige de la autopista denominada Franja Transversal del Norte hacia el interior de la Comunidad </w:t>
      </w:r>
      <w:r w:rsidR="00F5049E" w:rsidRPr="00873FEC">
        <w:rPr>
          <w:rFonts w:ascii="Verdana" w:eastAsia="Batang" w:hAnsi="Verdana" w:cs="Times"/>
          <w:sz w:val="20"/>
          <w:szCs w:val="24"/>
          <w:lang w:val="es-CR" w:eastAsia="es-CR"/>
        </w:rPr>
        <w:t>“</w:t>
      </w:r>
      <w:r w:rsidRPr="00873FEC">
        <w:rPr>
          <w:rFonts w:ascii="Verdana" w:eastAsia="Batang" w:hAnsi="Verdana" w:cs="Times"/>
          <w:sz w:val="20"/>
          <w:szCs w:val="24"/>
          <w:lang w:val="es-CR" w:eastAsia="es-CR"/>
        </w:rPr>
        <w:t>Aurora 8 de octubre</w:t>
      </w:r>
      <w:r w:rsidR="00F5049E" w:rsidRPr="00873FEC">
        <w:rPr>
          <w:rFonts w:ascii="Verdana" w:eastAsia="Batang" w:hAnsi="Verdana" w:cs="Times"/>
          <w:sz w:val="20"/>
          <w:szCs w:val="24"/>
          <w:lang w:val="es-CR" w:eastAsia="es-CR"/>
        </w:rPr>
        <w:t>”</w:t>
      </w:r>
      <w:r w:rsidRPr="00873FEC">
        <w:rPr>
          <w:rFonts w:ascii="Verdana" w:eastAsia="Batang" w:hAnsi="Verdana" w:cs="Times"/>
          <w:sz w:val="20"/>
          <w:szCs w:val="24"/>
          <w:lang w:val="es-CR" w:eastAsia="es-CR"/>
        </w:rPr>
        <w:t>.</w:t>
      </w:r>
    </w:p>
    <w:p w:rsidR="00787F00" w:rsidRPr="00873FEC" w:rsidRDefault="00787F00" w:rsidP="00126E97">
      <w:pPr>
        <w:spacing w:after="0" w:line="20" w:lineRule="atLeast"/>
        <w:ind w:left="720"/>
        <w:contextualSpacing/>
        <w:rPr>
          <w:rFonts w:ascii="Calibri" w:eastAsia="MS Mincho" w:hAnsi="Calibri" w:cs="Times"/>
          <w:szCs w:val="20"/>
          <w:lang w:val="es-CR" w:eastAsia="es-CR"/>
        </w:rPr>
      </w:pPr>
    </w:p>
    <w:p w:rsidR="00787F00" w:rsidRPr="00873FEC" w:rsidRDefault="00E35130" w:rsidP="00126E97">
      <w:pPr>
        <w:keepNext/>
        <w:keepLines/>
        <w:spacing w:after="0" w:line="20" w:lineRule="atLeast"/>
        <w:ind w:left="851"/>
        <w:jc w:val="both"/>
        <w:outlineLvl w:val="3"/>
        <w:rPr>
          <w:rFonts w:ascii="Verdana" w:eastAsia="Cambria" w:hAnsi="Verdana" w:cs="Times"/>
          <w:i/>
          <w:sz w:val="20"/>
          <w:szCs w:val="20"/>
          <w:lang w:eastAsia="es-CR"/>
        </w:rPr>
      </w:pPr>
      <w:bookmarkStart w:id="231" w:name="_Toc520207625"/>
      <w:bookmarkStart w:id="232" w:name="_Toc521694837"/>
      <w:bookmarkStart w:id="233" w:name="_Toc525201209"/>
      <w:bookmarkEnd w:id="231"/>
      <w:r w:rsidRPr="00873FEC">
        <w:rPr>
          <w:rFonts w:ascii="Verdana" w:eastAsia="Cambria" w:hAnsi="Verdana" w:cs="Times"/>
          <w:i/>
          <w:sz w:val="20"/>
          <w:szCs w:val="20"/>
          <w:lang w:val="es-CR" w:eastAsia="es-CR"/>
        </w:rPr>
        <w:t>C</w:t>
      </w:r>
      <w:r w:rsidR="00787F00" w:rsidRPr="00873FEC">
        <w:rPr>
          <w:rFonts w:ascii="Verdana" w:eastAsia="Cambria" w:hAnsi="Verdana" w:cs="Times"/>
          <w:i/>
          <w:sz w:val="20"/>
          <w:szCs w:val="20"/>
          <w:lang w:val="es-CR" w:eastAsia="es-CR"/>
        </w:rPr>
        <w:t>.</w:t>
      </w:r>
      <w:r w:rsidRPr="00873FEC">
        <w:rPr>
          <w:rFonts w:ascii="Verdana" w:eastAsia="Cambria" w:hAnsi="Verdana" w:cs="Times"/>
          <w:i/>
          <w:sz w:val="20"/>
          <w:szCs w:val="20"/>
          <w:lang w:val="es-CR" w:eastAsia="es-CR"/>
        </w:rPr>
        <w:t>2</w:t>
      </w:r>
      <w:r w:rsidR="00787F00" w:rsidRPr="00873FEC">
        <w:rPr>
          <w:rFonts w:ascii="Verdana" w:eastAsia="Cambria" w:hAnsi="Verdana" w:cs="Times"/>
          <w:i/>
          <w:sz w:val="20"/>
          <w:szCs w:val="20"/>
          <w:lang w:val="es-CR" w:eastAsia="es-CR"/>
        </w:rPr>
        <w:t>.5. Visita de la Corte</w:t>
      </w:r>
      <w:bookmarkEnd w:id="232"/>
      <w:bookmarkEnd w:id="233"/>
      <w:r w:rsidR="00787F00" w:rsidRPr="00873FEC">
        <w:rPr>
          <w:rFonts w:ascii="Verdana" w:eastAsia="Cambria" w:hAnsi="Verdana" w:cs="Times"/>
          <w:i/>
          <w:sz w:val="20"/>
          <w:szCs w:val="20"/>
          <w:lang w:eastAsia="es-CR"/>
        </w:rPr>
        <w:t xml:space="preserve"> </w:t>
      </w:r>
    </w:p>
    <w:p w:rsidR="00787F00" w:rsidRPr="00873FEC" w:rsidRDefault="00787F00" w:rsidP="00126E97">
      <w:pPr>
        <w:spacing w:after="0" w:line="20" w:lineRule="atLeast"/>
        <w:ind w:left="720"/>
        <w:contextualSpacing/>
        <w:rPr>
          <w:rFonts w:ascii="Calibri" w:eastAsia="MS Mincho" w:hAnsi="Calibri" w:cs="Times"/>
          <w:szCs w:val="20"/>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La</w:t>
      </w:r>
      <w:r w:rsidRPr="00873FEC">
        <w:rPr>
          <w:rFonts w:ascii="Verdana" w:eastAsia="MS Mincho" w:hAnsi="Verdana" w:cs="Verdana"/>
          <w:sz w:val="20"/>
          <w:szCs w:val="20"/>
          <w:lang w:eastAsia="es-CR"/>
        </w:rPr>
        <w:t xml:space="preserve"> </w:t>
      </w:r>
      <w:r w:rsidRPr="00873FEC">
        <w:rPr>
          <w:rFonts w:ascii="Verdana" w:eastAsia="MS Mincho" w:hAnsi="Verdana" w:cs="Times"/>
          <w:sz w:val="20"/>
          <w:szCs w:val="20"/>
          <w:lang w:eastAsia="es-CR"/>
        </w:rPr>
        <w:t>Corte</w:t>
      </w:r>
      <w:r w:rsidRPr="00873FEC">
        <w:rPr>
          <w:rFonts w:ascii="Verdana" w:eastAsia="MS Mincho" w:hAnsi="Verdana" w:cs="Verdana"/>
          <w:sz w:val="20"/>
          <w:szCs w:val="20"/>
          <w:lang w:eastAsia="es-CR"/>
        </w:rPr>
        <w:t xml:space="preserve"> considera pertinente hacer notar que, con anuencia del Estado y en consenso con las partes, con posterioridad a que haya transcurrido el plazo de un año para que el Estado presente su primer informe (</w:t>
      </w:r>
      <w:r w:rsidRPr="00873FEC">
        <w:rPr>
          <w:rFonts w:ascii="Verdana" w:eastAsia="MS Mincho" w:hAnsi="Verdana" w:cs="Verdana"/>
          <w:i/>
          <w:sz w:val="20"/>
          <w:szCs w:val="20"/>
          <w:lang w:eastAsia="es-CR"/>
        </w:rPr>
        <w:t xml:space="preserve">infra </w:t>
      </w:r>
      <w:r w:rsidRPr="00873FEC">
        <w:rPr>
          <w:rFonts w:ascii="Verdana" w:eastAsia="MS Mincho" w:hAnsi="Verdana" w:cs="Verdana"/>
          <w:sz w:val="20"/>
          <w:szCs w:val="20"/>
          <w:lang w:eastAsia="es-CR"/>
        </w:rPr>
        <w:t>punto resolutivo 15), podrá evaluar la realización de una visita al Estado, incluyendo a la Comunidad, a efectos de evaluar el avance en las medidas ya ordenadas así como, en lo que fuera procedente, de otras medidas dispuestas en la presente Sentencia</w:t>
      </w:r>
      <w:r w:rsidRPr="00873FEC">
        <w:rPr>
          <w:rFonts w:ascii="Verdana" w:eastAsia="MS Mincho" w:hAnsi="Verdana" w:cs="Times New Roman"/>
          <w:sz w:val="20"/>
          <w:szCs w:val="20"/>
          <w:vertAlign w:val="superscript"/>
          <w:lang w:eastAsia="es-CR"/>
        </w:rPr>
        <w:footnoteReference w:id="218"/>
      </w:r>
      <w:r w:rsidRPr="00873FEC">
        <w:rPr>
          <w:rFonts w:ascii="Verdana" w:eastAsia="MS Mincho" w:hAnsi="Verdana" w:cs="Verdana"/>
          <w:sz w:val="20"/>
          <w:szCs w:val="20"/>
          <w:lang w:eastAsia="es-CR"/>
        </w:rPr>
        <w:t>.</w:t>
      </w:r>
      <w:r w:rsidRPr="00873FEC">
        <w:rPr>
          <w:rFonts w:ascii="Verdana" w:eastAsia="MS Mincho" w:hAnsi="Verdana" w:cs="Verdana"/>
          <w:b/>
          <w:sz w:val="20"/>
          <w:szCs w:val="20"/>
          <w:lang w:eastAsia="es-CR"/>
        </w:rPr>
        <w:t xml:space="preserve"> </w:t>
      </w:r>
    </w:p>
    <w:p w:rsidR="00787F00" w:rsidRPr="00873FEC" w:rsidRDefault="00787F00" w:rsidP="00126E97">
      <w:pPr>
        <w:tabs>
          <w:tab w:val="left" w:pos="1665"/>
        </w:tabs>
        <w:spacing w:after="0" w:line="20" w:lineRule="atLeast"/>
        <w:ind w:left="720"/>
        <w:contextualSpacing/>
        <w:rPr>
          <w:rFonts w:ascii="Calibri" w:eastAsia="MS Mincho" w:hAnsi="Calibri" w:cs="Times"/>
          <w:szCs w:val="20"/>
          <w:lang w:eastAsia="es-CR"/>
        </w:rPr>
      </w:pPr>
      <w:bookmarkStart w:id="234" w:name="_Toc495658699"/>
      <w:bookmarkStart w:id="235" w:name="_Toc514172667"/>
      <w:bookmarkStart w:id="236" w:name="_Toc520207626"/>
      <w:bookmarkEnd w:id="234"/>
      <w:bookmarkEnd w:id="235"/>
      <w:bookmarkEnd w:id="236"/>
    </w:p>
    <w:p w:rsidR="00787F00" w:rsidRPr="00873FEC" w:rsidRDefault="00787F00" w:rsidP="00126E97">
      <w:pPr>
        <w:keepNext/>
        <w:keepLines/>
        <w:numPr>
          <w:ilvl w:val="0"/>
          <w:numId w:val="12"/>
        </w:numPr>
        <w:spacing w:after="0" w:line="20" w:lineRule="atLeast"/>
        <w:ind w:left="284"/>
        <w:jc w:val="both"/>
        <w:outlineLvl w:val="1"/>
        <w:rPr>
          <w:rFonts w:ascii="Verdana" w:eastAsia="Cambria" w:hAnsi="Verdana" w:cs="Times"/>
          <w:b/>
          <w:i/>
          <w:sz w:val="20"/>
          <w:szCs w:val="20"/>
          <w:lang w:eastAsia="es-CR"/>
        </w:rPr>
      </w:pPr>
      <w:bookmarkStart w:id="237" w:name="_Toc520207627"/>
      <w:bookmarkStart w:id="238" w:name="_Toc521694838"/>
      <w:bookmarkStart w:id="239" w:name="_Toc525201210"/>
      <w:bookmarkEnd w:id="237"/>
      <w:r w:rsidRPr="00873FEC">
        <w:rPr>
          <w:rFonts w:ascii="Verdana" w:eastAsia="Cambria" w:hAnsi="Verdana" w:cs="Times"/>
          <w:b/>
          <w:i/>
          <w:sz w:val="20"/>
          <w:szCs w:val="20"/>
          <w:lang w:eastAsia="es-CR"/>
        </w:rPr>
        <w:t>Otras medidas solicitadas</w:t>
      </w:r>
      <w:bookmarkEnd w:id="238"/>
      <w:bookmarkEnd w:id="239"/>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La </w:t>
      </w:r>
      <w:r w:rsidRPr="00873FEC">
        <w:rPr>
          <w:rFonts w:ascii="Verdana" w:eastAsia="MS Mincho" w:hAnsi="Verdana" w:cs="Verdana"/>
          <w:b/>
          <w:i/>
          <w:sz w:val="20"/>
          <w:szCs w:val="20"/>
          <w:lang w:eastAsia="es-CR"/>
        </w:rPr>
        <w:t>Comisión</w:t>
      </w:r>
      <w:r w:rsidRPr="00873FEC">
        <w:rPr>
          <w:rFonts w:ascii="Verdana" w:eastAsia="MS Mincho" w:hAnsi="Verdana" w:cs="Times"/>
          <w:sz w:val="20"/>
          <w:szCs w:val="20"/>
          <w:lang w:eastAsia="es-CR"/>
        </w:rPr>
        <w:t xml:space="preserve"> solicitó la creación de programas permanentes de derechos humanos y derecho internacional humanitario en las escuelas de formación de las Fuerzas Armadas, como una medida de no repetición</w:t>
      </w:r>
      <w:r w:rsidRPr="00873FEC">
        <w:rPr>
          <w:rFonts w:ascii="Verdana" w:eastAsia="Batang" w:hAnsi="Verdana" w:cs="Times"/>
          <w:sz w:val="20"/>
          <w:szCs w:val="20"/>
          <w:lang w:eastAsia="es-CR"/>
        </w:rPr>
        <w:t xml:space="preserve">. </w:t>
      </w:r>
      <w:r w:rsidRPr="00873FEC">
        <w:rPr>
          <w:rFonts w:ascii="Verdana" w:eastAsia="MS Mincho" w:hAnsi="Verdana" w:cs="Times"/>
          <w:iCs/>
          <w:sz w:val="20"/>
          <w:szCs w:val="20"/>
          <w:lang w:eastAsia="es-CR"/>
        </w:rPr>
        <w:t>Los</w:t>
      </w:r>
      <w:r w:rsidRPr="00873FEC">
        <w:rPr>
          <w:rFonts w:ascii="Verdana" w:eastAsia="MS Mincho" w:hAnsi="Verdana" w:cs="Times"/>
          <w:i/>
          <w:sz w:val="20"/>
          <w:szCs w:val="20"/>
          <w:lang w:eastAsia="es-CR"/>
        </w:rPr>
        <w:t xml:space="preserve">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adhirieron a esa petición.</w:t>
      </w:r>
      <w:r w:rsidRPr="00873FEC">
        <w:rPr>
          <w:rFonts w:ascii="Verdana" w:eastAsia="MS Mincho" w:hAnsi="Verdana" w:cs="Times"/>
          <w:sz w:val="16"/>
          <w:szCs w:val="16"/>
          <w:lang w:eastAsia="es-CR"/>
        </w:rPr>
        <w:t xml:space="preserve"> </w:t>
      </w:r>
      <w:r w:rsidRPr="00873FEC">
        <w:rPr>
          <w:rFonts w:ascii="Verdana" w:eastAsia="Batang" w:hAnsi="Verdana" w:cs="Times"/>
          <w:sz w:val="20"/>
          <w:szCs w:val="24"/>
          <w:lang w:val="es-CR" w:eastAsia="es-CR"/>
        </w:rPr>
        <w:t xml:space="preserve">Además, </w:t>
      </w:r>
      <w:r w:rsidR="001F330C" w:rsidRPr="00873FEC">
        <w:rPr>
          <w:rFonts w:ascii="Verdana" w:eastAsia="Batang" w:hAnsi="Verdana" w:cs="Times"/>
          <w:sz w:val="20"/>
          <w:szCs w:val="24"/>
          <w:lang w:val="es-CR" w:eastAsia="es-CR"/>
        </w:rPr>
        <w:t xml:space="preserve">la </w:t>
      </w:r>
      <w:r w:rsidR="001F330C" w:rsidRPr="00873FEC">
        <w:rPr>
          <w:rFonts w:ascii="Verdana" w:eastAsia="Batang" w:hAnsi="Verdana" w:cs="Times"/>
          <w:b/>
          <w:i/>
          <w:sz w:val="20"/>
          <w:szCs w:val="24"/>
          <w:lang w:val="es-CR" w:eastAsia="es-CR"/>
        </w:rPr>
        <w:t xml:space="preserve">Comisión </w:t>
      </w:r>
      <w:r w:rsidRPr="00873FEC">
        <w:rPr>
          <w:rFonts w:ascii="Verdana" w:eastAsia="MS Mincho" w:hAnsi="Verdana" w:cs="Times"/>
          <w:sz w:val="20"/>
          <w:szCs w:val="20"/>
          <w:lang w:eastAsia="es-CR"/>
        </w:rPr>
        <w:t>requirió el fortalecimiento de la capacidad institucional para investigar las graves violaciones de derechos humanos ocurridas durante el conflicto armado</w:t>
      </w:r>
      <w:r w:rsidRPr="00873FEC">
        <w:rPr>
          <w:rFonts w:ascii="Verdana" w:eastAsia="Batang" w:hAnsi="Verdana" w:cs="Times"/>
          <w:sz w:val="20"/>
          <w:szCs w:val="20"/>
          <w:lang w:eastAsia="es-CR"/>
        </w:rPr>
        <w:t xml:space="preserve">. Asimismo, pidió la adopción de mecanismos eficaces para enfrentar las amenazas y hostigamientos sufridos por los operadores jurídicos, víctimas y testigos en el marco de estas investigaciones. </w:t>
      </w:r>
      <w:r w:rsidRPr="00873FEC">
        <w:rPr>
          <w:rFonts w:ascii="Verdana" w:eastAsia="MS Mincho" w:hAnsi="Verdana" w:cs="Times"/>
          <w:iCs/>
          <w:sz w:val="20"/>
          <w:szCs w:val="20"/>
          <w:lang w:eastAsia="es-CR"/>
        </w:rPr>
        <w:t>Los</w:t>
      </w:r>
      <w:r w:rsidRPr="00873FEC">
        <w:rPr>
          <w:rFonts w:ascii="Verdana" w:eastAsia="MS Mincho" w:hAnsi="Verdana" w:cs="Times"/>
          <w:i/>
          <w:sz w:val="20"/>
          <w:szCs w:val="20"/>
          <w:lang w:eastAsia="es-CR"/>
        </w:rPr>
        <w:t xml:space="preserve">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reclamaron que la </w:t>
      </w:r>
      <w:r w:rsidRPr="00873FEC">
        <w:rPr>
          <w:rFonts w:ascii="Verdana" w:eastAsia="MS Mincho" w:hAnsi="Verdana" w:cs="Times"/>
          <w:sz w:val="20"/>
          <w:szCs w:val="20"/>
          <w:lang w:eastAsia="es-CR"/>
        </w:rPr>
        <w:lastRenderedPageBreak/>
        <w:t xml:space="preserve">Unidad de Derechos Humanos del Ministerio Público sea fortalecida por medio de la integración de al menos cinco personas más de las que hay en la actualidad. </w:t>
      </w:r>
    </w:p>
    <w:p w:rsidR="00787F00" w:rsidRPr="00873FEC" w:rsidRDefault="00787F00" w:rsidP="00126E97">
      <w:pPr>
        <w:spacing w:after="0" w:line="20" w:lineRule="atLeast"/>
        <w:ind w:right="-138"/>
        <w:jc w:val="both"/>
        <w:rPr>
          <w:rFonts w:ascii="Verdana" w:eastAsia="Batang" w:hAnsi="Verdana" w:cs="Times"/>
          <w:sz w:val="20"/>
          <w:szCs w:val="24"/>
          <w:lang w:val="es-CR"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adujo que, por medio del Ministerio de Defensa Nacional, ya está cumpliendo con programas de formación por medio de la integración de materias en Derechos Humanos, Derecho Internacional Humanitario, uso de la fuerza y armas de fuego, contando desde el 2015 con el apoyo del Comité Internacional de la Cruz Roja para la instrucción del personal militar en el tema del uso de la fuerza y principios humanitarios</w:t>
      </w:r>
      <w:r w:rsidRPr="00873FEC">
        <w:rPr>
          <w:rFonts w:ascii="Verdana" w:eastAsia="MS Mincho" w:hAnsi="Verdana" w:cs="Times New Roman"/>
          <w:sz w:val="20"/>
          <w:szCs w:val="20"/>
          <w:vertAlign w:val="superscript"/>
          <w:lang w:eastAsia="x-none"/>
        </w:rPr>
        <w:footnoteReference w:id="219"/>
      </w:r>
      <w:r w:rsidR="001F330C" w:rsidRPr="00873FEC">
        <w:rPr>
          <w:rFonts w:ascii="Verdana" w:eastAsia="MS Mincho" w:hAnsi="Verdana" w:cs="Times"/>
          <w:sz w:val="20"/>
          <w:szCs w:val="20"/>
          <w:lang w:eastAsia="es-CR"/>
        </w:rPr>
        <w:t>.</w:t>
      </w:r>
      <w:r w:rsidRPr="00873FEC">
        <w:rPr>
          <w:rFonts w:ascii="Verdana" w:eastAsia="MS Mincho" w:hAnsi="Verdana" w:cs="Times"/>
          <w:sz w:val="20"/>
          <w:szCs w:val="20"/>
          <w:lang w:eastAsia="es-CR"/>
        </w:rPr>
        <w:t xml:space="preserve"> </w:t>
      </w:r>
      <w:r w:rsidRPr="00873FEC">
        <w:rPr>
          <w:rFonts w:ascii="Verdana" w:eastAsia="Batang" w:hAnsi="Verdana" w:cs="Times"/>
          <w:sz w:val="20"/>
          <w:szCs w:val="24"/>
          <w:lang w:val="es-CR" w:eastAsia="es-CR"/>
        </w:rPr>
        <w:t xml:space="preserve">Por otra parte, en cuanto al fortalecimiento de capacidades institucionales, </w:t>
      </w:r>
      <w:r w:rsidRPr="00873FEC">
        <w:rPr>
          <w:rFonts w:ascii="Verdana" w:eastAsia="MS Mincho" w:hAnsi="Verdana" w:cs="Times"/>
          <w:sz w:val="20"/>
          <w:szCs w:val="20"/>
          <w:lang w:eastAsia="es-CR"/>
        </w:rPr>
        <w:t xml:space="preserve">señaló que </w:t>
      </w:r>
      <w:r w:rsidRPr="00873FEC">
        <w:rPr>
          <w:rFonts w:ascii="Verdana" w:eastAsia="Calibri" w:hAnsi="Verdana" w:cs="Cambria"/>
          <w:sz w:val="20"/>
          <w:szCs w:val="20"/>
          <w:lang w:val="es-CR" w:eastAsia="es-CR"/>
        </w:rPr>
        <w:t>se ha generado un mecanismo de coordinación entre el Ministerio Público y COPREDEH, sin interferir en las competencias y autonomía de cada una de las instituciones, que permitirá que se preste especial atención a las investigaciones derivadas de los casos con sentencias ante la Corte. Asimismo, informó que el Ministerio Público tiene programada la apertura de una “Agencia Fiscal” dentro de la Unidad de Casos Especiales del Conflicto Armado Interno</w:t>
      </w:r>
      <w:r w:rsidRPr="00873FEC">
        <w:rPr>
          <w:rFonts w:ascii="Verdana" w:eastAsia="Calibri" w:hAnsi="Verdana" w:cs="Cambria"/>
          <w:sz w:val="20"/>
          <w:szCs w:val="20"/>
          <w:vertAlign w:val="superscript"/>
          <w:lang w:val="es-CR" w:eastAsia="x-none"/>
        </w:rPr>
        <w:footnoteReference w:id="220"/>
      </w:r>
      <w:r w:rsidRPr="00873FEC">
        <w:rPr>
          <w:rFonts w:ascii="Verdana" w:eastAsia="Calibri" w:hAnsi="Verdana" w:cs="Cambria"/>
          <w:sz w:val="20"/>
          <w:szCs w:val="20"/>
          <w:lang w:val="es-CR" w:eastAsia="es-CR"/>
        </w:rPr>
        <w:t xml:space="preserve">. </w:t>
      </w:r>
      <w:r w:rsidRPr="00873FEC">
        <w:rPr>
          <w:rFonts w:ascii="Verdana" w:eastAsia="Batang" w:hAnsi="Verdana" w:cs="Times"/>
          <w:sz w:val="20"/>
          <w:szCs w:val="20"/>
          <w:lang w:eastAsia="es-CR"/>
        </w:rPr>
        <w:t>A</w:t>
      </w:r>
      <w:r w:rsidRPr="00873FEC">
        <w:rPr>
          <w:rFonts w:ascii="Verdana" w:eastAsia="MS Mincho" w:hAnsi="Verdana" w:cs="Times"/>
          <w:sz w:val="20"/>
          <w:szCs w:val="20"/>
          <w:lang w:eastAsia="es-CR"/>
        </w:rPr>
        <w:t>dujo, además, que cuenta con una Ley denominada “Ley para la protección de sujetos procesales y personas vinculadas a la administración de justicia penal”, la cual señaló que cuenta con su propio reglamento</w:t>
      </w:r>
      <w:r w:rsidRPr="00873FEC">
        <w:rPr>
          <w:rFonts w:ascii="Verdana" w:eastAsia="MS Mincho" w:hAnsi="Verdana" w:cs="Times New Roman"/>
          <w:sz w:val="20"/>
          <w:szCs w:val="20"/>
          <w:vertAlign w:val="superscript"/>
          <w:lang w:eastAsia="x-none"/>
        </w:rPr>
        <w:footnoteReference w:id="221"/>
      </w:r>
      <w:r w:rsidRPr="00873FEC">
        <w:rPr>
          <w:rFonts w:ascii="Verdana" w:eastAsia="MS Mincho" w:hAnsi="Verdana" w:cs="Times"/>
          <w:sz w:val="20"/>
          <w:szCs w:val="20"/>
          <w:lang w:eastAsia="es-CR"/>
        </w:rPr>
        <w:t xml:space="preserve">. </w:t>
      </w:r>
    </w:p>
    <w:p w:rsidR="00787F00" w:rsidRPr="00873FEC" w:rsidRDefault="00787F00" w:rsidP="00126E97">
      <w:pPr>
        <w:spacing w:after="0" w:line="20" w:lineRule="atLeast"/>
        <w:ind w:left="720"/>
        <w:contextualSpacing/>
        <w:rPr>
          <w:rFonts w:ascii="Calibri" w:eastAsia="Calibri" w:hAnsi="Calibri" w:cs="Times"/>
          <w:szCs w:val="20"/>
          <w:lang w:eastAsia="es-CR"/>
        </w:rPr>
      </w:pPr>
    </w:p>
    <w:p w:rsidR="00787F00" w:rsidRPr="00873FEC" w:rsidRDefault="00787F00"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 xml:space="preserve">La </w:t>
      </w:r>
      <w:r w:rsidRPr="00873FEC">
        <w:rPr>
          <w:rFonts w:ascii="Verdana" w:eastAsia="Batang" w:hAnsi="Verdana" w:cs="Times"/>
          <w:b/>
          <w:i/>
          <w:sz w:val="20"/>
          <w:szCs w:val="20"/>
          <w:lang w:eastAsia="es-CR"/>
        </w:rPr>
        <w:t>Corte</w:t>
      </w:r>
      <w:r w:rsidRPr="00873FEC">
        <w:rPr>
          <w:rFonts w:ascii="Verdana" w:eastAsia="Batang" w:hAnsi="Verdana" w:cs="Times"/>
          <w:sz w:val="20"/>
          <w:szCs w:val="20"/>
          <w:lang w:eastAsia="es-CR"/>
        </w:rPr>
        <w:t xml:space="preserve"> observa que el Estado remitió documentación relativa a las iniciativas realizadas con el fin de formar a sus fuerzas armadas en temas de Derechos Humanos y </w:t>
      </w:r>
      <w:r w:rsidRPr="00873FEC">
        <w:rPr>
          <w:rFonts w:ascii="Verdana" w:eastAsia="Batang" w:hAnsi="Verdana" w:cs="Times"/>
          <w:sz w:val="20"/>
          <w:szCs w:val="20"/>
          <w:lang w:eastAsia="es-CR"/>
        </w:rPr>
        <w:lastRenderedPageBreak/>
        <w:t>Derecho Internacional Humanitario</w:t>
      </w:r>
      <w:r w:rsidRPr="00873FEC">
        <w:rPr>
          <w:rFonts w:ascii="Verdana" w:eastAsia="Batang" w:hAnsi="Verdana" w:cs="Times New Roman"/>
          <w:sz w:val="20"/>
          <w:szCs w:val="20"/>
          <w:vertAlign w:val="superscript"/>
          <w:lang w:eastAsia="x-none"/>
        </w:rPr>
        <w:footnoteReference w:id="222"/>
      </w:r>
      <w:r w:rsidRPr="00873FEC">
        <w:rPr>
          <w:rFonts w:ascii="Verdana" w:eastAsia="Batang" w:hAnsi="Verdana" w:cs="Times"/>
          <w:sz w:val="20"/>
          <w:szCs w:val="20"/>
          <w:lang w:eastAsia="es-CR"/>
        </w:rPr>
        <w:t>. Además, el Tribunal ya ha ordenado la capacitación en derechos humanos de fuerzas militares en otro caso</w:t>
      </w:r>
      <w:r w:rsidRPr="00873FEC">
        <w:rPr>
          <w:rFonts w:ascii="Verdana" w:eastAsia="Batang" w:hAnsi="Verdana" w:cs="Times New Roman"/>
          <w:bCs/>
          <w:sz w:val="20"/>
          <w:szCs w:val="20"/>
          <w:vertAlign w:val="superscript"/>
          <w:lang w:eastAsia="x-none"/>
        </w:rPr>
        <w:footnoteReference w:id="223"/>
      </w:r>
      <w:r w:rsidRPr="00873FEC">
        <w:rPr>
          <w:rFonts w:ascii="Verdana" w:eastAsia="Batang" w:hAnsi="Verdana" w:cs="Times"/>
          <w:sz w:val="20"/>
          <w:szCs w:val="20"/>
          <w:lang w:val="es-CR" w:eastAsia="es-CR"/>
        </w:rPr>
        <w:t xml:space="preserve">. Por ello, la Corte entiende que no es necesario, en este caso, ordenar la medida requerida. </w:t>
      </w:r>
      <w:r w:rsidRPr="00873FEC">
        <w:rPr>
          <w:rFonts w:ascii="Verdana" w:eastAsia="Batang" w:hAnsi="Verdana" w:cs="Times"/>
          <w:sz w:val="20"/>
          <w:szCs w:val="24"/>
          <w:lang w:val="es-CR" w:eastAsia="es-CR"/>
        </w:rPr>
        <w:t xml:space="preserve">Por otra parte, este Tribunal </w:t>
      </w:r>
      <w:r w:rsidRPr="00873FEC">
        <w:rPr>
          <w:rFonts w:ascii="Verdana" w:eastAsia="Batang" w:hAnsi="Verdana" w:cs="Verdana"/>
          <w:sz w:val="20"/>
          <w:szCs w:val="20"/>
          <w:lang w:val="es-CR" w:eastAsia="es-CR"/>
        </w:rPr>
        <w:t>advierte que en el presente caso los órganos judiciales internos llegaron a la determinación de lo sucedido y condenaron a personas responsables. La Corte ha declarado violaciones, en el presente caso, en relación con la falta de adopción de acciones para la aprehensión de personas que el Estado señaló que se encuentran prófugas. No obstante, nota que las medidas solicitadas por la Comisión y los representantes tendientes al fortalecimiento institucional resultan generales, sin que se evidencie su vínculo con la capacidad estatal para efectuar acciones en relación a la ejecución de órdenes de aprehensión. Por ello,</w:t>
      </w:r>
      <w:r w:rsidRPr="00873FEC">
        <w:rPr>
          <w:rFonts w:ascii="Verdana" w:eastAsia="Batang" w:hAnsi="Verdana" w:cs="Verdana"/>
          <w:b/>
          <w:sz w:val="20"/>
          <w:szCs w:val="20"/>
          <w:lang w:val="es-CR" w:eastAsia="es-CR"/>
        </w:rPr>
        <w:t xml:space="preserve"> </w:t>
      </w:r>
      <w:r w:rsidRPr="00873FEC">
        <w:rPr>
          <w:rFonts w:ascii="Verdana" w:eastAsia="Batang" w:hAnsi="Verdana" w:cs="Verdana"/>
          <w:sz w:val="20"/>
          <w:szCs w:val="20"/>
          <w:lang w:val="es-CR" w:eastAsia="es-CR"/>
        </w:rPr>
        <w:t xml:space="preserve">no encuentra que las violaciones a derechos humanos determinadas, se relacionen con las medidas requeridas. Por ende, considera que no procede ordenar las medidas tendientes al fortalecimiento institucional solicitadas por la Comisión y los representantes. </w:t>
      </w:r>
    </w:p>
    <w:p w:rsidR="00787F00" w:rsidRPr="00873FEC" w:rsidRDefault="00787F00" w:rsidP="00126E97">
      <w:pPr>
        <w:spacing w:after="0" w:line="20" w:lineRule="atLeast"/>
        <w:jc w:val="both"/>
        <w:rPr>
          <w:rFonts w:ascii="Verdana" w:eastAsia="Batang" w:hAnsi="Verdana" w:cs="Times"/>
          <w:sz w:val="20"/>
          <w:szCs w:val="24"/>
          <w:lang w:val="es-CR" w:eastAsia="es-CR"/>
        </w:rPr>
      </w:pPr>
    </w:p>
    <w:p w:rsidR="00D05F7B" w:rsidRPr="00873FEC" w:rsidRDefault="00E35130" w:rsidP="00126E97">
      <w:pPr>
        <w:pStyle w:val="Heading2"/>
        <w:numPr>
          <w:ilvl w:val="0"/>
          <w:numId w:val="12"/>
        </w:numPr>
        <w:spacing w:before="0" w:line="20" w:lineRule="atLeast"/>
        <w:ind w:left="284"/>
        <w:jc w:val="both"/>
        <w:rPr>
          <w:rFonts w:ascii="Verdana" w:eastAsia="Batang" w:hAnsi="Verdana" w:cs="Times"/>
          <w:color w:val="auto"/>
          <w:sz w:val="20"/>
          <w:szCs w:val="24"/>
          <w:lang w:val="es-CR" w:eastAsia="es-CR"/>
        </w:rPr>
      </w:pPr>
      <w:bookmarkStart w:id="240" w:name="_Toc525201211"/>
      <w:r w:rsidRPr="00873FEC">
        <w:rPr>
          <w:rFonts w:ascii="Verdana" w:eastAsia="Batang" w:hAnsi="Verdana" w:cs="Times"/>
          <w:i/>
          <w:color w:val="auto"/>
          <w:sz w:val="20"/>
          <w:szCs w:val="24"/>
          <w:lang w:val="es-CR" w:eastAsia="es-CR"/>
        </w:rPr>
        <w:t>Indemnizaciones compensatorias</w:t>
      </w:r>
      <w:r w:rsidRPr="00873FEC">
        <w:rPr>
          <w:rStyle w:val="FootnoteReference"/>
          <w:rFonts w:ascii="Verdana" w:eastAsia="Batang" w:hAnsi="Verdana"/>
          <w:b w:val="0"/>
          <w:color w:val="auto"/>
          <w:sz w:val="20"/>
          <w:lang w:val="es-CR" w:eastAsia="es-CR"/>
        </w:rPr>
        <w:footnoteReference w:id="224"/>
      </w:r>
      <w:bookmarkEnd w:id="240"/>
    </w:p>
    <w:p w:rsidR="00D05F7B" w:rsidRPr="00873FEC" w:rsidRDefault="00D05F7B" w:rsidP="00126E97">
      <w:pPr>
        <w:spacing w:after="0" w:line="20" w:lineRule="atLeast"/>
        <w:ind w:left="720" w:firstLine="708"/>
        <w:contextualSpacing/>
        <w:rPr>
          <w:rFonts w:ascii="Calibri" w:eastAsia="MS Mincho" w:hAnsi="Calibri" w:cs="Times"/>
          <w:szCs w:val="20"/>
          <w:lang w:eastAsia="es-CR"/>
        </w:rPr>
      </w:pPr>
      <w:bookmarkStart w:id="241" w:name="_Toc514172668"/>
      <w:bookmarkStart w:id="242" w:name="_Toc520207629"/>
      <w:bookmarkEnd w:id="241"/>
      <w:bookmarkEnd w:id="242"/>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La </w:t>
      </w:r>
      <w:r w:rsidRPr="00873FEC">
        <w:rPr>
          <w:rFonts w:ascii="Verdana" w:eastAsia="MS Mincho" w:hAnsi="Verdana" w:cs="Verdana"/>
          <w:b/>
          <w:i/>
          <w:sz w:val="20"/>
          <w:szCs w:val="20"/>
          <w:lang w:eastAsia="es-CR"/>
        </w:rPr>
        <w:t>Comisión</w:t>
      </w:r>
      <w:r w:rsidRPr="00873FEC">
        <w:rPr>
          <w:rFonts w:ascii="Verdana" w:eastAsia="MS Mincho" w:hAnsi="Verdana" w:cs="Times"/>
          <w:sz w:val="20"/>
          <w:szCs w:val="20"/>
          <w:lang w:eastAsia="es-CR"/>
        </w:rPr>
        <w:t xml:space="preserve"> entendió que debía </w:t>
      </w:r>
      <w:proofErr w:type="spellStart"/>
      <w:r w:rsidRPr="00873FEC">
        <w:rPr>
          <w:rFonts w:ascii="Verdana" w:eastAsia="MS Mincho" w:hAnsi="Verdana" w:cs="Times"/>
          <w:sz w:val="20"/>
          <w:szCs w:val="20"/>
          <w:lang w:eastAsia="es-CR"/>
        </w:rPr>
        <w:t>reparararse</w:t>
      </w:r>
      <w:proofErr w:type="spellEnd"/>
      <w:r w:rsidRPr="00873FEC">
        <w:rPr>
          <w:rFonts w:ascii="Verdana" w:eastAsia="MS Mincho" w:hAnsi="Verdana" w:cs="Times"/>
          <w:sz w:val="20"/>
          <w:szCs w:val="20"/>
          <w:lang w:eastAsia="es-CR"/>
        </w:rPr>
        <w:t xml:space="preserve"> “integralmente” a las víctimas, incluyendo una “justa compensación”. </w:t>
      </w:r>
      <w:r w:rsidRPr="00873FEC">
        <w:rPr>
          <w:rFonts w:ascii="Verdana" w:eastAsia="MS Mincho" w:hAnsi="Verdana" w:cs="Times"/>
          <w:iCs/>
          <w:sz w:val="20"/>
          <w:szCs w:val="20"/>
          <w:lang w:eastAsia="es-CR"/>
        </w:rPr>
        <w:t>Los</w:t>
      </w:r>
      <w:r w:rsidRPr="00873FEC">
        <w:rPr>
          <w:rFonts w:ascii="Verdana" w:eastAsia="MS Mincho" w:hAnsi="Verdana" w:cs="Times"/>
          <w:i/>
          <w:sz w:val="20"/>
          <w:szCs w:val="20"/>
          <w:lang w:eastAsia="es-CR"/>
        </w:rPr>
        <w:t xml:space="preserve">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solicitaron a la Corte, en términos generales, que las víctimas “sean reparadas de una forma integral […] a través de la [r]</w:t>
      </w:r>
      <w:proofErr w:type="spellStart"/>
      <w:r w:rsidRPr="00873FEC">
        <w:rPr>
          <w:rFonts w:ascii="Verdana" w:eastAsia="MS Mincho" w:hAnsi="Verdana" w:cs="Times"/>
          <w:sz w:val="20"/>
          <w:szCs w:val="20"/>
          <w:lang w:eastAsia="es-CR"/>
        </w:rPr>
        <w:t>eparación</w:t>
      </w:r>
      <w:proofErr w:type="spellEnd"/>
      <w:r w:rsidRPr="00873FEC">
        <w:rPr>
          <w:rFonts w:ascii="Verdana" w:eastAsia="MS Mincho" w:hAnsi="Verdana" w:cs="Times"/>
          <w:sz w:val="20"/>
          <w:szCs w:val="20"/>
          <w:lang w:eastAsia="es-CR"/>
        </w:rPr>
        <w:t xml:space="preserve"> </w:t>
      </w:r>
      <w:proofErr w:type="gramStart"/>
      <w:r w:rsidRPr="00873FEC">
        <w:rPr>
          <w:rFonts w:ascii="Verdana" w:eastAsia="MS Mincho" w:hAnsi="Verdana" w:cs="Times"/>
          <w:sz w:val="20"/>
          <w:szCs w:val="20"/>
          <w:lang w:eastAsia="es-CR"/>
        </w:rPr>
        <w:t>de[</w:t>
      </w:r>
      <w:proofErr w:type="gramEnd"/>
      <w:r w:rsidRPr="00873FEC">
        <w:rPr>
          <w:rFonts w:ascii="Verdana" w:eastAsia="MS Mincho" w:hAnsi="Verdana" w:cs="Times"/>
          <w:sz w:val="20"/>
          <w:szCs w:val="20"/>
          <w:lang w:eastAsia="es-CR"/>
        </w:rPr>
        <w:t>l l]</w:t>
      </w:r>
      <w:proofErr w:type="spellStart"/>
      <w:r w:rsidRPr="00873FEC">
        <w:rPr>
          <w:rFonts w:ascii="Verdana" w:eastAsia="MS Mincho" w:hAnsi="Verdana" w:cs="Times"/>
          <w:sz w:val="20"/>
          <w:szCs w:val="20"/>
          <w:lang w:eastAsia="es-CR"/>
        </w:rPr>
        <w:t>ucro</w:t>
      </w:r>
      <w:proofErr w:type="spellEnd"/>
      <w:r w:rsidRPr="00873FEC">
        <w:rPr>
          <w:rFonts w:ascii="Verdana" w:eastAsia="MS Mincho" w:hAnsi="Verdana" w:cs="Times"/>
          <w:sz w:val="20"/>
          <w:szCs w:val="20"/>
          <w:lang w:eastAsia="es-CR"/>
        </w:rPr>
        <w:t xml:space="preserve"> [c]</w:t>
      </w:r>
      <w:proofErr w:type="spellStart"/>
      <w:r w:rsidRPr="00873FEC">
        <w:rPr>
          <w:rFonts w:ascii="Verdana" w:eastAsia="MS Mincho" w:hAnsi="Verdana" w:cs="Times"/>
          <w:sz w:val="20"/>
          <w:szCs w:val="20"/>
          <w:lang w:eastAsia="es-CR"/>
        </w:rPr>
        <w:t>esante</w:t>
      </w:r>
      <w:proofErr w:type="spellEnd"/>
      <w:r w:rsidRPr="00873FEC">
        <w:rPr>
          <w:rFonts w:ascii="Verdana" w:eastAsia="MS Mincho" w:hAnsi="Verdana" w:cs="Times"/>
          <w:sz w:val="20"/>
          <w:szCs w:val="20"/>
          <w:lang w:eastAsia="es-CR"/>
        </w:rPr>
        <w:t>, [del d]año [e]</w:t>
      </w:r>
      <w:proofErr w:type="spellStart"/>
      <w:r w:rsidRPr="00873FEC">
        <w:rPr>
          <w:rFonts w:ascii="Verdana" w:eastAsia="MS Mincho" w:hAnsi="Verdana" w:cs="Times"/>
          <w:sz w:val="20"/>
          <w:szCs w:val="20"/>
          <w:lang w:eastAsia="es-CR"/>
        </w:rPr>
        <w:t>mergente</w:t>
      </w:r>
      <w:proofErr w:type="spellEnd"/>
      <w:r w:rsidRPr="00873FEC">
        <w:rPr>
          <w:rFonts w:ascii="Verdana" w:eastAsia="MS Mincho" w:hAnsi="Verdana" w:cs="Times"/>
          <w:sz w:val="20"/>
          <w:szCs w:val="20"/>
          <w:lang w:eastAsia="es-CR"/>
        </w:rPr>
        <w:t xml:space="preserve"> y [del d]año [m]oral”, para lo cual remitieron a un anexo documental que presentaron, en el que plasmaron un cálculo de los mencionados aspectos</w:t>
      </w:r>
      <w:r w:rsidRPr="00873FEC">
        <w:rPr>
          <w:rFonts w:ascii="Verdana" w:eastAsia="MS Mincho" w:hAnsi="Verdana" w:cs="Times New Roman"/>
          <w:sz w:val="20"/>
          <w:szCs w:val="20"/>
          <w:vertAlign w:val="superscript"/>
          <w:lang w:eastAsia="x-none"/>
        </w:rPr>
        <w:footnoteReference w:id="225"/>
      </w:r>
      <w:r w:rsidRPr="00873FEC">
        <w:rPr>
          <w:rFonts w:ascii="Verdana" w:eastAsia="MS Mincho" w:hAnsi="Verdana" w:cs="Times"/>
          <w:sz w:val="20"/>
          <w:szCs w:val="20"/>
          <w:lang w:eastAsia="es-CR"/>
        </w:rPr>
        <w:t xml:space="preserve">. 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advirtió que el daño material solo debe ser compensado hay la prueba necesaria, excluyendo daños meramente eventuales. A continuación la </w:t>
      </w:r>
      <w:r w:rsidRPr="00873FEC">
        <w:rPr>
          <w:rFonts w:ascii="Verdana" w:eastAsia="MS Mincho" w:hAnsi="Verdana" w:cs="Times"/>
          <w:b/>
          <w:i/>
          <w:sz w:val="20"/>
          <w:szCs w:val="20"/>
          <w:lang w:eastAsia="es-CR"/>
        </w:rPr>
        <w:t>Corte</w:t>
      </w:r>
      <w:r w:rsidRPr="00873FEC">
        <w:rPr>
          <w:rFonts w:ascii="Verdana" w:eastAsia="MS Mincho" w:hAnsi="Verdana" w:cs="Times"/>
          <w:sz w:val="20"/>
          <w:szCs w:val="20"/>
          <w:lang w:eastAsia="es-CR"/>
        </w:rPr>
        <w:t xml:space="preserve"> examina las solicitudes y argumentos pertinentes. </w:t>
      </w:r>
    </w:p>
    <w:p w:rsidR="00D05F7B" w:rsidRPr="00873FEC" w:rsidRDefault="00D05F7B" w:rsidP="00126E97">
      <w:pPr>
        <w:spacing w:after="0" w:line="20" w:lineRule="atLeast"/>
        <w:ind w:right="-138"/>
        <w:jc w:val="both"/>
        <w:rPr>
          <w:rFonts w:ascii="Verdana" w:eastAsia="MS Mincho" w:hAnsi="Verdana" w:cs="Times"/>
          <w:sz w:val="20"/>
          <w:szCs w:val="20"/>
          <w:lang w:eastAsia="es-CR"/>
        </w:rPr>
      </w:pPr>
    </w:p>
    <w:p w:rsidR="00D05F7B" w:rsidRPr="00873FEC" w:rsidRDefault="00E35130" w:rsidP="00126E97">
      <w:pPr>
        <w:keepNext/>
        <w:keepLines/>
        <w:spacing w:after="0" w:line="20" w:lineRule="atLeast"/>
        <w:ind w:left="567"/>
        <w:jc w:val="both"/>
        <w:outlineLvl w:val="2"/>
        <w:rPr>
          <w:rFonts w:ascii="Verdana" w:eastAsia="Cambria" w:hAnsi="Verdana" w:cs="Times"/>
          <w:i/>
          <w:sz w:val="20"/>
          <w:szCs w:val="24"/>
          <w:lang w:val="en-US" w:eastAsia="es-CR"/>
        </w:rPr>
      </w:pPr>
      <w:bookmarkStart w:id="243" w:name="_Toc520207630"/>
      <w:bookmarkStart w:id="244" w:name="_Toc521694840"/>
      <w:bookmarkStart w:id="245" w:name="_Toc525201212"/>
      <w:bookmarkEnd w:id="243"/>
      <w:r w:rsidRPr="00873FEC">
        <w:rPr>
          <w:rFonts w:ascii="Verdana" w:eastAsia="Cambria" w:hAnsi="Verdana" w:cs="Times"/>
          <w:i/>
          <w:sz w:val="20"/>
          <w:szCs w:val="24"/>
          <w:lang w:val="en-US" w:eastAsia="es-CR"/>
        </w:rPr>
        <w:t>E</w:t>
      </w:r>
      <w:r w:rsidR="00D05F7B" w:rsidRPr="00873FEC">
        <w:rPr>
          <w:rFonts w:ascii="Verdana" w:eastAsia="Cambria" w:hAnsi="Verdana" w:cs="Times"/>
          <w:i/>
          <w:sz w:val="20"/>
          <w:szCs w:val="24"/>
          <w:lang w:val="en-US" w:eastAsia="es-CR"/>
        </w:rPr>
        <w:t xml:space="preserve">.1. </w:t>
      </w:r>
      <w:proofErr w:type="spellStart"/>
      <w:r w:rsidR="00D05F7B" w:rsidRPr="00873FEC">
        <w:rPr>
          <w:rFonts w:ascii="Verdana" w:eastAsia="Cambria" w:hAnsi="Verdana" w:cs="Times"/>
          <w:i/>
          <w:sz w:val="20"/>
          <w:szCs w:val="24"/>
          <w:u w:val="single"/>
          <w:lang w:val="en-US" w:eastAsia="es-CR"/>
        </w:rPr>
        <w:t>Daño</w:t>
      </w:r>
      <w:proofErr w:type="spellEnd"/>
      <w:r w:rsidR="00D05F7B" w:rsidRPr="00873FEC">
        <w:rPr>
          <w:rFonts w:ascii="Verdana" w:eastAsia="Cambria" w:hAnsi="Verdana" w:cs="Times"/>
          <w:i/>
          <w:sz w:val="20"/>
          <w:szCs w:val="24"/>
          <w:u w:val="single"/>
          <w:lang w:val="en-US" w:eastAsia="es-CR"/>
        </w:rPr>
        <w:t xml:space="preserve"> material</w:t>
      </w:r>
      <w:bookmarkEnd w:id="244"/>
      <w:bookmarkEnd w:id="245"/>
      <w:r w:rsidR="00D05F7B" w:rsidRPr="00873FEC">
        <w:rPr>
          <w:rFonts w:ascii="Verdana" w:eastAsia="Cambria" w:hAnsi="Verdana" w:cs="Times"/>
          <w:i/>
          <w:sz w:val="20"/>
          <w:szCs w:val="24"/>
          <w:lang w:val="en-US" w:eastAsia="es-CR"/>
        </w:rPr>
        <w:t xml:space="preserve">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Verdana"/>
          <w:bCs/>
          <w:iCs/>
          <w:sz w:val="20"/>
          <w:szCs w:val="20"/>
          <w:lang w:eastAsia="es-CR"/>
        </w:rPr>
        <w:t>La Corte</w:t>
      </w:r>
      <w:r w:rsidRPr="00873FEC">
        <w:rPr>
          <w:rFonts w:ascii="Verdana" w:eastAsia="Batang" w:hAnsi="Verdana" w:cs="Verdana"/>
          <w:bCs/>
          <w:i/>
          <w:iCs/>
          <w:sz w:val="20"/>
          <w:szCs w:val="20"/>
          <w:lang w:eastAsia="es-CR"/>
        </w:rPr>
        <w:t xml:space="preserve"> </w:t>
      </w:r>
      <w:r w:rsidRPr="00873FEC">
        <w:rPr>
          <w:rFonts w:ascii="Verdana" w:eastAsia="Batang" w:hAnsi="Verdana" w:cs="Verdana"/>
          <w:bCs/>
          <w:iCs/>
          <w:sz w:val="20"/>
          <w:szCs w:val="20"/>
          <w:lang w:eastAsia="es-CR"/>
        </w:rPr>
        <w:t xml:space="preserve">ha desarrollado en su jurisprudencia el concepto de daño material y ha establecido que éste supone “la pérdida o detrimento de los ingresos de las víctimas, los </w:t>
      </w:r>
      <w:r w:rsidRPr="00873FEC">
        <w:rPr>
          <w:rFonts w:ascii="Verdana" w:eastAsia="Batang" w:hAnsi="Verdana" w:cs="Verdana"/>
          <w:bCs/>
          <w:iCs/>
          <w:sz w:val="20"/>
          <w:szCs w:val="20"/>
          <w:lang w:eastAsia="es-CR"/>
        </w:rPr>
        <w:lastRenderedPageBreak/>
        <w:t>gastos efectuados con motivo de los hechos y las consecuencias de carácter pecuniario que tengan un nexo causal con los hechos del caso”</w:t>
      </w:r>
      <w:r w:rsidRPr="00873FEC">
        <w:rPr>
          <w:rFonts w:ascii="Verdana" w:eastAsia="MS Mincho" w:hAnsi="Verdana" w:cs="Times New Roman"/>
          <w:bCs/>
          <w:sz w:val="20"/>
          <w:szCs w:val="20"/>
          <w:vertAlign w:val="superscript"/>
          <w:lang w:eastAsia="x-none"/>
        </w:rPr>
        <w:footnoteReference w:id="226"/>
      </w:r>
      <w:r w:rsidRPr="00873FEC">
        <w:rPr>
          <w:rFonts w:ascii="Verdana" w:eastAsia="Batang" w:hAnsi="Verdana" w:cs="Verdana"/>
          <w:bCs/>
          <w:iCs/>
          <w:sz w:val="20"/>
          <w:szCs w:val="20"/>
          <w:lang w:eastAsia="es-CR"/>
        </w:rPr>
        <w:t>.</w:t>
      </w:r>
    </w:p>
    <w:p w:rsidR="00D05F7B" w:rsidRPr="00873FEC" w:rsidRDefault="00D05F7B" w:rsidP="00126E97">
      <w:pPr>
        <w:spacing w:after="0" w:line="20" w:lineRule="atLeast"/>
        <w:ind w:right="-138"/>
        <w:jc w:val="both"/>
        <w:rPr>
          <w:rFonts w:ascii="Verdana" w:eastAsia="Batang" w:hAnsi="Verdana" w:cs="Verdana"/>
          <w:sz w:val="20"/>
          <w:szCs w:val="20"/>
          <w:lang w:eastAsia="es-CR"/>
        </w:rPr>
      </w:pPr>
    </w:p>
    <w:p w:rsidR="00D05F7B" w:rsidRPr="00873FEC" w:rsidRDefault="00E35130" w:rsidP="00126E97">
      <w:pPr>
        <w:keepNext/>
        <w:keepLines/>
        <w:spacing w:after="0" w:line="20" w:lineRule="atLeast"/>
        <w:ind w:left="851"/>
        <w:jc w:val="both"/>
        <w:outlineLvl w:val="3"/>
        <w:rPr>
          <w:rFonts w:ascii="Verdana" w:eastAsia="Cambria" w:hAnsi="Verdana" w:cs="Times"/>
          <w:i/>
          <w:sz w:val="20"/>
          <w:szCs w:val="20"/>
          <w:lang w:eastAsia="es-CR"/>
        </w:rPr>
      </w:pPr>
      <w:bookmarkStart w:id="246" w:name="_Toc520207631"/>
      <w:bookmarkStart w:id="247" w:name="_Toc521694841"/>
      <w:bookmarkStart w:id="248" w:name="_Toc525201213"/>
      <w:bookmarkEnd w:id="246"/>
      <w:r w:rsidRPr="00873FEC">
        <w:rPr>
          <w:rFonts w:ascii="Verdana" w:eastAsia="Cambria" w:hAnsi="Verdana" w:cs="Times"/>
          <w:i/>
          <w:sz w:val="20"/>
          <w:szCs w:val="20"/>
          <w:lang w:eastAsia="es-CR"/>
        </w:rPr>
        <w:t>E</w:t>
      </w:r>
      <w:r w:rsidR="00D05F7B" w:rsidRPr="00873FEC">
        <w:rPr>
          <w:rFonts w:ascii="Verdana" w:eastAsia="Cambria" w:hAnsi="Verdana" w:cs="Times"/>
          <w:i/>
          <w:sz w:val="20"/>
          <w:szCs w:val="20"/>
          <w:lang w:eastAsia="es-CR"/>
        </w:rPr>
        <w:t>.1.1. Daño Emergente</w:t>
      </w:r>
      <w:bookmarkEnd w:id="247"/>
      <w:bookmarkEnd w:id="248"/>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Los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indicaron que estimaban una compensación de Q 300,000.00, lo que equivale a US$ 40,136.78 por daño emergente para cada persona, sin especificar motivos.</w:t>
      </w:r>
      <w:r w:rsidRPr="00873FEC">
        <w:rPr>
          <w:rFonts w:ascii="Verdana" w:eastAsia="MS Mincho" w:hAnsi="Verdana" w:cs="Times"/>
          <w:sz w:val="16"/>
          <w:szCs w:val="16"/>
          <w:lang w:eastAsia="es-CR"/>
        </w:rPr>
        <w:t xml:space="preserve"> </w:t>
      </w:r>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iCs/>
          <w:sz w:val="20"/>
          <w:szCs w:val="20"/>
          <w:lang w:eastAsia="es-CR"/>
        </w:rPr>
        <w:t xml:space="preserve">La </w:t>
      </w:r>
      <w:r w:rsidRPr="00873FEC">
        <w:rPr>
          <w:rFonts w:ascii="Verdana" w:eastAsia="MS Mincho" w:hAnsi="Verdana" w:cs="Times"/>
          <w:b/>
          <w:i/>
          <w:iCs/>
          <w:sz w:val="20"/>
          <w:szCs w:val="20"/>
          <w:lang w:eastAsia="es-CR"/>
        </w:rPr>
        <w:t>Corte</w:t>
      </w:r>
      <w:r w:rsidRPr="00873FEC">
        <w:rPr>
          <w:rFonts w:ascii="Verdana" w:eastAsia="MS Mincho" w:hAnsi="Verdana" w:cs="Times"/>
          <w:iCs/>
          <w:sz w:val="20"/>
          <w:szCs w:val="20"/>
          <w:lang w:eastAsia="es-CR"/>
        </w:rPr>
        <w:t xml:space="preserve"> nota que los representantes no explicaron los fundamentos por los cuales solicitan como indemnización para cada víctima el monto mencionado. En razón de ello, este Tribunal no dispondrá la compensación del daño emergente.</w:t>
      </w:r>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E35130" w:rsidP="00126E97">
      <w:pPr>
        <w:keepNext/>
        <w:keepLines/>
        <w:spacing w:after="0" w:line="20" w:lineRule="atLeast"/>
        <w:ind w:left="851"/>
        <w:jc w:val="both"/>
        <w:outlineLvl w:val="3"/>
        <w:rPr>
          <w:rFonts w:ascii="Verdana" w:eastAsia="Cambria" w:hAnsi="Verdana" w:cs="Times"/>
          <w:i/>
          <w:sz w:val="20"/>
          <w:szCs w:val="20"/>
          <w:lang w:eastAsia="es-CR"/>
        </w:rPr>
      </w:pPr>
      <w:bookmarkStart w:id="249" w:name="_Toc520207632"/>
      <w:bookmarkStart w:id="250" w:name="_Toc521694842"/>
      <w:bookmarkStart w:id="251" w:name="_Toc525201214"/>
      <w:bookmarkEnd w:id="249"/>
      <w:r w:rsidRPr="00873FEC">
        <w:rPr>
          <w:rFonts w:ascii="Verdana" w:eastAsia="Cambria" w:hAnsi="Verdana" w:cs="Times"/>
          <w:i/>
          <w:sz w:val="20"/>
          <w:szCs w:val="20"/>
          <w:lang w:eastAsia="es-CR"/>
        </w:rPr>
        <w:t>E</w:t>
      </w:r>
      <w:r w:rsidR="00D05F7B" w:rsidRPr="00873FEC">
        <w:rPr>
          <w:rFonts w:ascii="Verdana" w:eastAsia="Cambria" w:hAnsi="Verdana" w:cs="Times"/>
          <w:i/>
          <w:sz w:val="20"/>
          <w:szCs w:val="20"/>
          <w:lang w:eastAsia="es-CR"/>
        </w:rPr>
        <w:t>.1.2. Lucro Cesante</w:t>
      </w:r>
      <w:bookmarkEnd w:id="250"/>
      <w:bookmarkEnd w:id="251"/>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iCs/>
          <w:sz w:val="20"/>
          <w:szCs w:val="20"/>
          <w:lang w:eastAsia="es-CR"/>
        </w:rPr>
        <w:t>Los</w:t>
      </w:r>
      <w:r w:rsidRPr="00873FEC">
        <w:rPr>
          <w:rFonts w:ascii="Verdana" w:eastAsia="MS Mincho" w:hAnsi="Verdana" w:cs="Times"/>
          <w:i/>
          <w:sz w:val="20"/>
          <w:szCs w:val="20"/>
          <w:lang w:eastAsia="es-CR"/>
        </w:rPr>
        <w:t xml:space="preserve">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expresaron que utilizaron como criterio para el cálculo del lucro cesante pautas establecidas por la Corte en el caso </w:t>
      </w:r>
      <w:r w:rsidRPr="00873FEC">
        <w:rPr>
          <w:rFonts w:ascii="Verdana" w:eastAsia="MS Mincho" w:hAnsi="Verdana" w:cs="Times"/>
          <w:i/>
          <w:sz w:val="20"/>
          <w:szCs w:val="20"/>
          <w:lang w:eastAsia="es-CR"/>
        </w:rPr>
        <w:t>Villagrán Morales y Otros Vs. Guatemala</w:t>
      </w:r>
      <w:r w:rsidRPr="00873FEC">
        <w:rPr>
          <w:rFonts w:ascii="Verdana" w:eastAsia="MS Mincho" w:hAnsi="Verdana" w:cs="Times New Roman"/>
          <w:sz w:val="20"/>
          <w:szCs w:val="20"/>
          <w:vertAlign w:val="superscript"/>
          <w:lang w:eastAsia="x-none"/>
        </w:rPr>
        <w:footnoteReference w:id="227"/>
      </w:r>
      <w:r w:rsidRPr="00873FEC">
        <w:rPr>
          <w:rFonts w:ascii="Verdana" w:eastAsia="MS Mincho" w:hAnsi="Verdana" w:cs="Times"/>
          <w:sz w:val="20"/>
          <w:szCs w:val="20"/>
          <w:lang w:eastAsia="es-CR"/>
        </w:rPr>
        <w:t>. Manifestaron que tomaron como referencia el salario mínimo anual en el campo, durante los últimos seis meses, haciendo el cómputo del plazo a partir del momento en que ocurrió la masacre para quienes eran mayores de edad, y a partir del momento de la mayoría de edad para quienes eran niños o niña, para tomar en cuenta posteriormente las vacaciones, aguinaldo, “bono 14” e indemnización anual durante el periodo. Con base en lo anterior, realizaron los cálculos correspondientes agrupando los montos según el grupo de víctimas.</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i/>
          <w:sz w:val="20"/>
          <w:szCs w:val="20"/>
          <w:lang w:eastAsia="es-CR"/>
        </w:rPr>
        <w:t xml:space="preserve">Personas fallecidas.- </w:t>
      </w:r>
      <w:r w:rsidRPr="00873FEC">
        <w:rPr>
          <w:rFonts w:ascii="Verdana" w:eastAsia="MS Mincho" w:hAnsi="Verdana" w:cs="Times"/>
          <w:sz w:val="20"/>
          <w:szCs w:val="20"/>
          <w:lang w:eastAsia="es-CR"/>
        </w:rPr>
        <w:t>Utilizando la fórmula antes descrita solicitaron un monto por concepto de lucro cesante respecto de cada una de 10 víctimas fallecidas</w:t>
      </w:r>
      <w:r w:rsidRPr="00873FEC">
        <w:rPr>
          <w:rFonts w:ascii="Verdana" w:eastAsia="MS Mincho" w:hAnsi="Verdana" w:cs="Times New Roman"/>
          <w:sz w:val="20"/>
          <w:szCs w:val="20"/>
          <w:vertAlign w:val="superscript"/>
          <w:lang w:eastAsia="x-none"/>
        </w:rPr>
        <w:footnoteReference w:id="228"/>
      </w:r>
      <w:r w:rsidRPr="00873FEC">
        <w:rPr>
          <w:rFonts w:ascii="Verdana" w:eastAsia="MS Mincho" w:hAnsi="Verdana" w:cs="Times"/>
          <w:sz w:val="20"/>
          <w:szCs w:val="20"/>
          <w:lang w:eastAsia="es-CR"/>
        </w:rPr>
        <w:t xml:space="preserve">, indicando que la sumatoria de cada monto da un total de Q 55,133,009.76, lo cual corresponde a </w:t>
      </w:r>
      <w:r w:rsidRPr="00873FEC">
        <w:rPr>
          <w:rFonts w:ascii="Verdana" w:eastAsia="Batang" w:hAnsi="Verdana" w:cs="Calibri"/>
          <w:sz w:val="20"/>
          <w:szCs w:val="20"/>
          <w:lang w:val="es-CR" w:eastAsia="es-CR"/>
        </w:rPr>
        <w:t>US$</w:t>
      </w:r>
      <w:r w:rsidRPr="00873FEC" w:rsidDel="00134CE0">
        <w:rPr>
          <w:rFonts w:ascii="Verdana" w:eastAsia="Batang" w:hAnsi="Verdana" w:cs="Calibri"/>
          <w:sz w:val="20"/>
          <w:szCs w:val="20"/>
          <w:lang w:val="es-CR" w:eastAsia="es-CR"/>
        </w:rPr>
        <w:t xml:space="preserve"> </w:t>
      </w:r>
      <w:r w:rsidRPr="00873FEC">
        <w:rPr>
          <w:rFonts w:ascii="Verdana" w:eastAsia="MS Mincho" w:hAnsi="Verdana" w:cs="Times"/>
          <w:sz w:val="20"/>
          <w:szCs w:val="20"/>
          <w:lang w:eastAsia="es-CR"/>
        </w:rPr>
        <w:t>7,376,206.07. Consideraron que a ese total corresponde adicionar Q 531,273.81</w:t>
      </w:r>
      <w:r w:rsidRPr="00873FEC">
        <w:rPr>
          <w:rFonts w:ascii="Verdana" w:eastAsia="MS Mincho" w:hAnsi="Verdana" w:cs="Times New Roman"/>
          <w:sz w:val="20"/>
          <w:szCs w:val="20"/>
          <w:vertAlign w:val="superscript"/>
          <w:lang w:eastAsia="x-none"/>
        </w:rPr>
        <w:footnoteReference w:id="229"/>
      </w:r>
      <w:r w:rsidRPr="00873FEC">
        <w:rPr>
          <w:rFonts w:ascii="Verdana" w:eastAsia="MS Mincho" w:hAnsi="Verdana" w:cs="Times"/>
          <w:sz w:val="20"/>
          <w:szCs w:val="20"/>
          <w:lang w:eastAsia="es-CR"/>
        </w:rPr>
        <w:t>, lo cual corresponde a US$ 71,078.74, por intereses por el retraso en el cumplimiento de las reparaciones. Por tanto, solicitaron un total de US$ 7</w:t>
      </w:r>
      <w:proofErr w:type="gramStart"/>
      <w:r w:rsidRPr="00873FEC">
        <w:rPr>
          <w:rFonts w:ascii="Verdana" w:eastAsia="MS Mincho" w:hAnsi="Verdana" w:cs="Times"/>
          <w:sz w:val="20"/>
          <w:szCs w:val="20"/>
          <w:lang w:eastAsia="es-CR"/>
        </w:rPr>
        <w:t>,447,284.81</w:t>
      </w:r>
      <w:proofErr w:type="gramEnd"/>
      <w:r w:rsidRPr="00873FEC">
        <w:rPr>
          <w:rFonts w:ascii="Verdana" w:eastAsia="MS Mincho" w:hAnsi="Verdana" w:cs="Times"/>
          <w:sz w:val="20"/>
          <w:szCs w:val="20"/>
          <w:lang w:eastAsia="es-CR"/>
        </w:rPr>
        <w:t>.</w:t>
      </w:r>
    </w:p>
    <w:p w:rsidR="00D05F7B" w:rsidRPr="00873FEC" w:rsidRDefault="00D05F7B" w:rsidP="00126E97">
      <w:pPr>
        <w:spacing w:after="0" w:line="20" w:lineRule="atLeast"/>
        <w:ind w:left="720"/>
        <w:contextualSpacing/>
        <w:rPr>
          <w:rFonts w:ascii="Calibri" w:eastAsia="MS Mincho" w:hAnsi="Calibri" w:cs="Times"/>
          <w:i/>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i/>
          <w:sz w:val="20"/>
          <w:szCs w:val="20"/>
          <w:lang w:eastAsia="es-CR"/>
        </w:rPr>
        <w:t xml:space="preserve">Personas heridas. </w:t>
      </w:r>
      <w:r w:rsidRPr="00873FEC">
        <w:rPr>
          <w:rFonts w:ascii="Verdana" w:eastAsia="MS Mincho" w:hAnsi="Verdana" w:cs="Times"/>
          <w:sz w:val="20"/>
          <w:szCs w:val="20"/>
          <w:lang w:eastAsia="es-CR"/>
        </w:rPr>
        <w:t>Los representantes solicitaron un monto por “lucro cesante” para cada una de 26 personas heridas</w:t>
      </w:r>
      <w:r w:rsidRPr="00873FEC">
        <w:rPr>
          <w:rFonts w:ascii="Verdana" w:eastAsia="MS Mincho" w:hAnsi="Verdana" w:cs="Times New Roman"/>
          <w:sz w:val="20"/>
          <w:szCs w:val="20"/>
          <w:vertAlign w:val="superscript"/>
          <w:lang w:eastAsia="x-none"/>
        </w:rPr>
        <w:footnoteReference w:id="230"/>
      </w:r>
      <w:r w:rsidRPr="00873FEC">
        <w:rPr>
          <w:rFonts w:ascii="Verdana" w:eastAsia="MS Mincho" w:hAnsi="Verdana" w:cs="Times"/>
          <w:sz w:val="20"/>
          <w:szCs w:val="20"/>
          <w:lang w:eastAsia="es-CR"/>
        </w:rPr>
        <w:t xml:space="preserve"> e indicaron un total, correspondiente a la suma </w:t>
      </w:r>
      <w:r w:rsidRPr="00873FEC">
        <w:rPr>
          <w:rFonts w:ascii="Verdana" w:eastAsia="MS Mincho" w:hAnsi="Verdana" w:cs="Times"/>
          <w:sz w:val="20"/>
          <w:szCs w:val="20"/>
          <w:lang w:eastAsia="es-CR"/>
        </w:rPr>
        <w:lastRenderedPageBreak/>
        <w:t>de cada uno de tales montos, de Q 4</w:t>
      </w:r>
      <w:proofErr w:type="gramStart"/>
      <w:r w:rsidRPr="00873FEC">
        <w:rPr>
          <w:rFonts w:ascii="Verdana" w:eastAsia="MS Mincho" w:hAnsi="Verdana" w:cs="Times"/>
          <w:sz w:val="20"/>
          <w:szCs w:val="20"/>
          <w:lang w:eastAsia="es-CR"/>
        </w:rPr>
        <w:t>,513,407.60</w:t>
      </w:r>
      <w:proofErr w:type="gramEnd"/>
      <w:r w:rsidRPr="00873FEC">
        <w:rPr>
          <w:rFonts w:ascii="Verdana" w:eastAsia="MS Mincho" w:hAnsi="Verdana" w:cs="Times"/>
          <w:sz w:val="20"/>
          <w:szCs w:val="20"/>
          <w:lang w:eastAsia="es-CR"/>
        </w:rPr>
        <w:t>, equivalente a US$ 603,845.58</w:t>
      </w:r>
      <w:r w:rsidRPr="00873FEC">
        <w:rPr>
          <w:rFonts w:ascii="Verdana" w:eastAsia="MS Mincho" w:hAnsi="Verdana" w:cs="Times New Roman"/>
          <w:sz w:val="20"/>
          <w:szCs w:val="20"/>
          <w:vertAlign w:val="superscript"/>
          <w:lang w:eastAsia="x-none"/>
        </w:rPr>
        <w:footnoteReference w:id="231"/>
      </w:r>
      <w:r w:rsidRPr="00873FEC">
        <w:rPr>
          <w:rFonts w:ascii="Verdana" w:eastAsia="MS Mincho" w:hAnsi="Verdana" w:cs="Times"/>
          <w:sz w:val="20"/>
          <w:szCs w:val="20"/>
          <w:lang w:eastAsia="es-CR"/>
        </w:rPr>
        <w:t>. Expresaron que corresponde incluir intereses a favor de cada una de las 26 personas referidas, bajo el mismo principio utilizado respecto de víctimas fallecidas. Por ese concepto solicitaron, en total, una suma equivalente a US$ 625,994.64</w:t>
      </w:r>
      <w:r w:rsidRPr="00873FEC">
        <w:rPr>
          <w:rFonts w:ascii="Verdana" w:eastAsia="MS Mincho" w:hAnsi="Verdana" w:cs="Times New Roman"/>
          <w:sz w:val="20"/>
          <w:szCs w:val="20"/>
          <w:vertAlign w:val="superscript"/>
          <w:lang w:eastAsia="x-none"/>
        </w:rPr>
        <w:footnoteReference w:id="232"/>
      </w:r>
      <w:r w:rsidRPr="00873FEC">
        <w:rPr>
          <w:rFonts w:ascii="Verdana" w:eastAsia="MS Mincho" w:hAnsi="Verdana" w:cs="Times"/>
          <w:sz w:val="20"/>
          <w:szCs w:val="20"/>
          <w:lang w:eastAsia="es-CR"/>
        </w:rPr>
        <w:t>. Por ende, requirieron un total de US$ 1</w:t>
      </w:r>
      <w:proofErr w:type="gramStart"/>
      <w:r w:rsidRPr="00873FEC">
        <w:rPr>
          <w:rFonts w:ascii="Verdana" w:eastAsia="MS Mincho" w:hAnsi="Verdana" w:cs="Times"/>
          <w:sz w:val="20"/>
          <w:szCs w:val="20"/>
          <w:lang w:eastAsia="es-CR"/>
        </w:rPr>
        <w:t>,229,840.22</w:t>
      </w:r>
      <w:proofErr w:type="gramEnd"/>
      <w:r w:rsidRPr="00873FEC">
        <w:rPr>
          <w:rFonts w:ascii="Verdana" w:eastAsia="MS Mincho" w:hAnsi="Verdana" w:cs="Times"/>
          <w:sz w:val="20"/>
          <w:szCs w:val="20"/>
          <w:lang w:eastAsia="es-CR"/>
        </w:rPr>
        <w:t>.</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Los representantes efectuaron una solicitud particular respecto de Gerardo Maldonado </w:t>
      </w:r>
      <w:r w:rsidR="00D2259F">
        <w:rPr>
          <w:rFonts w:ascii="Verdana" w:eastAsia="MS Mincho" w:hAnsi="Verdana" w:cs="Times"/>
          <w:sz w:val="20"/>
          <w:szCs w:val="20"/>
          <w:lang w:eastAsia="es-CR"/>
        </w:rPr>
        <w:t>Sales,</w:t>
      </w:r>
      <w:r w:rsidRPr="00873FEC">
        <w:rPr>
          <w:rFonts w:ascii="Verdana" w:eastAsia="MS Mincho" w:hAnsi="Verdana" w:cs="Times"/>
          <w:sz w:val="20"/>
          <w:szCs w:val="20"/>
          <w:lang w:eastAsia="es-CR"/>
        </w:rPr>
        <w:t xml:space="preserve"> señalando que “[e]n el momento de la masacre tenía dos años [y] murió luego de nueve años […] cuando tenía [11] años de edad”. En este sentido, utilizando la misma fórmula antes aludida, solicitaron un monto de Quetzales que, en total, equivale a USD $ 295,419.80</w:t>
      </w:r>
      <w:r w:rsidRPr="00873FEC">
        <w:rPr>
          <w:rFonts w:ascii="Verdana" w:eastAsia="MS Mincho" w:hAnsi="Verdana" w:cs="Times New Roman"/>
          <w:sz w:val="20"/>
          <w:szCs w:val="20"/>
          <w:vertAlign w:val="superscript"/>
          <w:lang w:eastAsia="x-none"/>
        </w:rPr>
        <w:footnoteReference w:id="233"/>
      </w:r>
      <w:r w:rsidRPr="00873FEC">
        <w:rPr>
          <w:rFonts w:ascii="Verdana" w:eastAsia="MS Mincho" w:hAnsi="Verdana" w:cs="Times"/>
          <w:sz w:val="20"/>
          <w:szCs w:val="20"/>
          <w:lang w:eastAsia="es-CR"/>
        </w:rPr>
        <w:t xml:space="preserve">.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b/>
          <w:sz w:val="16"/>
          <w:szCs w:val="16"/>
          <w:lang w:eastAsia="es-CR"/>
        </w:rPr>
      </w:pPr>
      <w:r w:rsidRPr="00873FEC">
        <w:rPr>
          <w:rFonts w:ascii="Verdana" w:eastAsia="Batang" w:hAnsi="Verdana" w:cs="Times"/>
          <w:sz w:val="20"/>
          <w:szCs w:val="24"/>
          <w:lang w:val="es-CR" w:eastAsia="es-CR"/>
        </w:rPr>
        <w:t xml:space="preserve">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alegó que el lucro cesante debe ser incluido únicamente en la medida que sea probado y siguiendo los parámetros establecidos de la jurisprudencia, tales como: la expectativa de vida en el país al momento de los hechos, las circunstancias del caso, el salario mínimo y la pérdida de una chance cierta. Manifestó también que “viene afrontando serias dificultades financieras y presupuestarias, las cuales han tendido a agravarse en los últimos años, situación que ha mermado el cumplimiento oportuno de sus compromisos económicos derivados de diversos instrumentos internacionales”.</w:t>
      </w:r>
    </w:p>
    <w:p w:rsidR="00D05F7B" w:rsidRPr="00873FEC" w:rsidRDefault="00D05F7B" w:rsidP="00126E97">
      <w:pPr>
        <w:tabs>
          <w:tab w:val="left" w:pos="0"/>
        </w:tabs>
        <w:spacing w:after="0" w:line="20" w:lineRule="atLeast"/>
        <w:ind w:right="-90"/>
        <w:jc w:val="both"/>
        <w:rPr>
          <w:rFonts w:ascii="Verdana" w:eastAsia="MS Mincho" w:hAnsi="Verdana" w:cs="Times New Roman"/>
          <w:b/>
          <w:sz w:val="16"/>
          <w:szCs w:val="16"/>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 xml:space="preserve">La </w:t>
      </w:r>
      <w:r w:rsidRPr="00873FEC">
        <w:rPr>
          <w:rFonts w:ascii="Verdana" w:eastAsia="Batang" w:hAnsi="Verdana" w:cs="Times"/>
          <w:b/>
          <w:i/>
          <w:sz w:val="20"/>
          <w:szCs w:val="24"/>
          <w:lang w:val="es-CR" w:eastAsia="es-CR"/>
        </w:rPr>
        <w:t>Corte</w:t>
      </w:r>
      <w:r w:rsidRPr="00873FEC">
        <w:rPr>
          <w:rFonts w:ascii="Verdana" w:eastAsia="Batang" w:hAnsi="Verdana" w:cs="Times"/>
          <w:sz w:val="20"/>
          <w:szCs w:val="24"/>
          <w:lang w:val="es-CR" w:eastAsia="es-CR"/>
        </w:rPr>
        <w:t xml:space="preserve"> nota que los representantes realizaron un cálculo del lucro cesante. No obstante, no tomaron en cuenta todos los elementos requeridos por la jurisprudencia de este Tribunal para la realización de los mismos. En este sentido observa, tal como lo ha señalado con anterioridad</w:t>
      </w:r>
      <w:r w:rsidRPr="00873FEC">
        <w:rPr>
          <w:rFonts w:ascii="Verdana" w:eastAsia="Batang" w:hAnsi="Verdana" w:cs="Times New Roman"/>
          <w:sz w:val="20"/>
          <w:szCs w:val="20"/>
          <w:vertAlign w:val="superscript"/>
          <w:lang w:val="es-CR" w:eastAsia="x-none"/>
        </w:rPr>
        <w:footnoteReference w:id="234"/>
      </w:r>
      <w:r w:rsidRPr="00873FEC">
        <w:rPr>
          <w:rFonts w:ascii="Verdana" w:eastAsia="Batang" w:hAnsi="Verdana" w:cs="Times"/>
          <w:sz w:val="20"/>
          <w:szCs w:val="24"/>
          <w:lang w:val="es-CR" w:eastAsia="es-CR"/>
        </w:rPr>
        <w:t xml:space="preserve">, que al cálculo del lucro cesante se le debe restar el 25% correspondiente a los gastos personales en los que pudo haber incurrido la víctima durante los años de vida con posterioridad a los hechos. El mencionado elemento no fue considerado por los representantes al momento de efectuar los cálculos. Asimismo, no se realiza una distinción en cuanto a las personas que sobrevivieron, sobre sus particularidades laborales o personales, así como tampoco el impacto individualizado que las heridas pudieron generar en las vidas laborales de las víctimas, razones por las cuales no resultan procedentes los montos solicitados por los representantes. </w:t>
      </w:r>
    </w:p>
    <w:p w:rsidR="00D05F7B" w:rsidRPr="00873FEC" w:rsidRDefault="00D05F7B" w:rsidP="00126E97">
      <w:pPr>
        <w:spacing w:after="0" w:line="20" w:lineRule="atLeast"/>
        <w:ind w:left="720"/>
        <w:rPr>
          <w:rFonts w:ascii="Verdana" w:eastAsia="MS Mincho" w:hAnsi="Verdana" w:cs="Verdana"/>
          <w:b/>
          <w:sz w:val="20"/>
          <w:szCs w:val="20"/>
          <w:lang w:val="es-CR" w:eastAsia="es-CR"/>
        </w:rPr>
      </w:pPr>
    </w:p>
    <w:p w:rsidR="00D05F7B" w:rsidRPr="00873FEC" w:rsidRDefault="00D05F7B" w:rsidP="00126E97">
      <w:pPr>
        <w:numPr>
          <w:ilvl w:val="0"/>
          <w:numId w:val="3"/>
        </w:numPr>
        <w:tabs>
          <w:tab w:val="left" w:pos="0"/>
        </w:tabs>
        <w:spacing w:after="0" w:line="20" w:lineRule="atLeast"/>
        <w:ind w:right="-90"/>
        <w:jc w:val="both"/>
        <w:rPr>
          <w:rFonts w:ascii="Verdana" w:eastAsia="MS Mincho" w:hAnsi="Verdana" w:cs="Times New Roman"/>
          <w:sz w:val="20"/>
          <w:szCs w:val="20"/>
          <w:lang w:val="es-CR" w:eastAsia="es-CR"/>
        </w:rPr>
      </w:pPr>
      <w:bookmarkStart w:id="252" w:name="_Toc495658701"/>
      <w:bookmarkStart w:id="253" w:name="_Toc476390741"/>
      <w:bookmarkStart w:id="254" w:name="_Toc514172669"/>
      <w:bookmarkEnd w:id="252"/>
      <w:bookmarkEnd w:id="253"/>
      <w:bookmarkEnd w:id="254"/>
      <w:r w:rsidRPr="00873FEC">
        <w:rPr>
          <w:rFonts w:ascii="Verdana" w:eastAsia="MS Mincho" w:hAnsi="Verdana" w:cs="Times New Roman"/>
          <w:sz w:val="20"/>
          <w:szCs w:val="20"/>
          <w:lang w:val="es-CR" w:eastAsia="es-CR"/>
        </w:rPr>
        <w:t xml:space="preserve">Por tanto, tomando en cuenta lo anterior y las particularidades del caso y para la adecuada reparación integral de las víctimas, esta Corte ordena, en equidad: a) por cada una de las 11 personas fallecidas respecto de quienes se determinó violado el derecho a la vida, que se nombraran en los Anexos B.2 y B.4 de la presente Sentencia, teniendo en cuenta las diferencias de edad al momento de su muerte, el pago de las siguientes cantidades: 1.-Abel Ramírez Pérez: US$ 67,000 (sesenta y siete mil dólares de los Estados Unidos de América); 2.-Andrés Miguel Mateo: US$ 15,000 (quince mil dólares de los Estados Unidos de América); 3.-Hilaria </w:t>
      </w:r>
      <w:proofErr w:type="spellStart"/>
      <w:r w:rsidRPr="00873FEC">
        <w:rPr>
          <w:rFonts w:ascii="Verdana" w:eastAsia="MS Mincho" w:hAnsi="Verdana" w:cs="Times New Roman"/>
          <w:sz w:val="20"/>
          <w:szCs w:val="20"/>
          <w:lang w:val="es-CR" w:eastAsia="es-CR"/>
        </w:rPr>
        <w:t>Morente</w:t>
      </w:r>
      <w:proofErr w:type="spellEnd"/>
      <w:r w:rsidRPr="00873FEC">
        <w:rPr>
          <w:rFonts w:ascii="Verdana" w:eastAsia="MS Mincho" w:hAnsi="Verdana" w:cs="Times New Roman"/>
          <w:sz w:val="20"/>
          <w:szCs w:val="20"/>
          <w:lang w:val="es-CR" w:eastAsia="es-CR"/>
        </w:rPr>
        <w:t xml:space="preserve"> de la Cruz: US$ 15,000 (quince mil dólares de los Estados Unidos de América); 4.-Juana Jacinto Felipe: US$ </w:t>
      </w:r>
      <w:r w:rsidRPr="00873FEC">
        <w:rPr>
          <w:rFonts w:ascii="Verdana" w:eastAsia="MS Mincho" w:hAnsi="Verdana" w:cs="Times New Roman"/>
          <w:sz w:val="20"/>
          <w:szCs w:val="20"/>
          <w:lang w:val="es-CR" w:eastAsia="es-CR"/>
        </w:rPr>
        <w:lastRenderedPageBreak/>
        <w:t xml:space="preserve">39,000 (treinta y nueve mil dólares de los Estados Unidos de América); 5.-Manuela Mateo Antonio: US$ 92,000 (noventa y dos mil dólares de los Estados Unidos de América); 6.-Pablo </w:t>
      </w:r>
      <w:proofErr w:type="spellStart"/>
      <w:r w:rsidRPr="00873FEC">
        <w:rPr>
          <w:rFonts w:ascii="Verdana" w:eastAsia="MS Mincho" w:hAnsi="Verdana" w:cs="Times New Roman"/>
          <w:sz w:val="20"/>
          <w:szCs w:val="20"/>
          <w:lang w:val="es-CR" w:eastAsia="es-CR"/>
        </w:rPr>
        <w:t>Coc</w:t>
      </w:r>
      <w:proofErr w:type="spellEnd"/>
      <w:r w:rsidRPr="00873FEC">
        <w:rPr>
          <w:rFonts w:ascii="Verdana" w:eastAsia="MS Mincho" w:hAnsi="Verdana" w:cs="Times New Roman"/>
          <w:sz w:val="20"/>
          <w:szCs w:val="20"/>
          <w:lang w:val="es-CR" w:eastAsia="es-CR"/>
        </w:rPr>
        <w:t xml:space="preserve"> </w:t>
      </w:r>
      <w:proofErr w:type="spellStart"/>
      <w:r w:rsidRPr="00873FEC">
        <w:rPr>
          <w:rFonts w:ascii="Verdana" w:eastAsia="MS Mincho" w:hAnsi="Verdana" w:cs="Times New Roman"/>
          <w:sz w:val="20"/>
          <w:szCs w:val="20"/>
          <w:lang w:val="es-CR" w:eastAsia="es-CR"/>
        </w:rPr>
        <w:t>Coc</w:t>
      </w:r>
      <w:proofErr w:type="spellEnd"/>
      <w:r w:rsidRPr="00873FEC">
        <w:rPr>
          <w:rFonts w:ascii="Verdana" w:eastAsia="MS Mincho" w:hAnsi="Verdana" w:cs="Times New Roman"/>
          <w:sz w:val="20"/>
          <w:szCs w:val="20"/>
          <w:lang w:val="es-CR" w:eastAsia="es-CR"/>
        </w:rPr>
        <w:t xml:space="preserve">: US$ 24,000 (veinticuatro mil dólares de los Estados Unidos de América); 7.-Pedro Diego Andrés: US$ 42,000 (cuarenta y dos mil dólares de los Estados Unidos de América); 8.-Pedro Medina Sánchez: US$ 22,000 (veintidós mil dólares de los Estados Unidos de América); 9.-Carlos Fernando </w:t>
      </w:r>
      <w:proofErr w:type="spellStart"/>
      <w:r w:rsidRPr="00873FEC">
        <w:rPr>
          <w:rFonts w:ascii="Verdana" w:eastAsia="MS Mincho" w:hAnsi="Verdana" w:cs="Times New Roman"/>
          <w:sz w:val="20"/>
          <w:szCs w:val="20"/>
          <w:lang w:val="es-CR" w:eastAsia="es-CR"/>
        </w:rPr>
        <w:t>Chop</w:t>
      </w:r>
      <w:proofErr w:type="spellEnd"/>
      <w:r w:rsidR="00FA5CA1">
        <w:rPr>
          <w:rFonts w:ascii="Verdana" w:eastAsia="MS Mincho" w:hAnsi="Verdana" w:cs="Times New Roman"/>
          <w:sz w:val="20"/>
          <w:szCs w:val="20"/>
          <w:lang w:val="es-CR" w:eastAsia="es-CR"/>
        </w:rPr>
        <w:t xml:space="preserve"> Chic</w:t>
      </w:r>
      <w:r w:rsidRPr="00873FEC">
        <w:rPr>
          <w:rFonts w:ascii="Verdana" w:eastAsia="MS Mincho" w:hAnsi="Verdana" w:cs="Times New Roman"/>
          <w:sz w:val="20"/>
          <w:szCs w:val="20"/>
          <w:lang w:val="es-CR" w:eastAsia="es-CR"/>
        </w:rPr>
        <w:t xml:space="preserve">: US$ 92,000 (noventa y dos mil dólares de los Estados Unidos de América); 10.-Santiago </w:t>
      </w:r>
      <w:proofErr w:type="spellStart"/>
      <w:r w:rsidRPr="00873FEC">
        <w:rPr>
          <w:rFonts w:ascii="Verdana" w:eastAsia="MS Mincho" w:hAnsi="Verdana" w:cs="Times New Roman"/>
          <w:sz w:val="20"/>
          <w:szCs w:val="20"/>
          <w:lang w:val="es-CR" w:eastAsia="es-CR"/>
        </w:rPr>
        <w:t>Coc</w:t>
      </w:r>
      <w:proofErr w:type="spellEnd"/>
      <w:r w:rsidRPr="00873FEC">
        <w:rPr>
          <w:rFonts w:ascii="Verdana" w:eastAsia="MS Mincho" w:hAnsi="Verdana" w:cs="Times New Roman"/>
          <w:sz w:val="20"/>
          <w:szCs w:val="20"/>
          <w:lang w:val="es-CR" w:eastAsia="es-CR"/>
        </w:rPr>
        <w:t xml:space="preserve">: US$ 100,000 (cien mil dólares de los Estados Unidos de América), y 11.-Maurilia </w:t>
      </w:r>
      <w:proofErr w:type="spellStart"/>
      <w:r w:rsidRPr="00873FEC">
        <w:rPr>
          <w:rFonts w:ascii="Verdana" w:eastAsia="MS Mincho" w:hAnsi="Verdana" w:cs="Times New Roman"/>
          <w:sz w:val="20"/>
          <w:szCs w:val="20"/>
          <w:lang w:val="es-CR" w:eastAsia="es-CR"/>
        </w:rPr>
        <w:t>Coc</w:t>
      </w:r>
      <w:proofErr w:type="spellEnd"/>
      <w:r w:rsidRPr="00873FEC">
        <w:rPr>
          <w:rFonts w:ascii="Verdana" w:eastAsia="MS Mincho" w:hAnsi="Verdana" w:cs="Times New Roman"/>
          <w:sz w:val="20"/>
          <w:szCs w:val="20"/>
          <w:lang w:val="es-CR" w:eastAsia="es-CR"/>
        </w:rPr>
        <w:t xml:space="preserve"> Max: US$ 108,000 (ciento ocho mil dólares de los Estados Unidos de América); b) para</w:t>
      </w:r>
      <w:r w:rsidRPr="00873FEC">
        <w:rPr>
          <w:rFonts w:ascii="Verdana" w:eastAsia="MS Mincho" w:hAnsi="Verdana" w:cs="Times New Roman"/>
          <w:sz w:val="20"/>
          <w:szCs w:val="20"/>
          <w:lang w:eastAsia="es-CR"/>
        </w:rPr>
        <w:t xml:space="preserve"> cada una de las 29 personas heridas respecto de quienes se determinó violado el derecho a la integridad personal por heridas sufridas, que se nombran en el Anexo B.3 </w:t>
      </w:r>
      <w:r w:rsidR="00E372C2">
        <w:rPr>
          <w:rFonts w:ascii="Verdana" w:eastAsia="MS Mincho" w:hAnsi="Verdana" w:cs="Times New Roman"/>
          <w:sz w:val="20"/>
          <w:szCs w:val="20"/>
          <w:lang w:eastAsia="es-CR"/>
        </w:rPr>
        <w:t>de</w:t>
      </w:r>
      <w:r w:rsidRPr="00873FEC">
        <w:rPr>
          <w:rFonts w:ascii="Verdana" w:eastAsia="MS Mincho" w:hAnsi="Verdana" w:cs="Times New Roman"/>
          <w:sz w:val="20"/>
          <w:szCs w:val="20"/>
          <w:lang w:eastAsia="es-CR"/>
        </w:rPr>
        <w:t xml:space="preserve"> la presente Sentencia, </w:t>
      </w:r>
      <w:r w:rsidRPr="00873FEC">
        <w:rPr>
          <w:rFonts w:ascii="Verdana" w:eastAsia="MS Mincho" w:hAnsi="Verdana" w:cs="Times New Roman"/>
          <w:sz w:val="20"/>
          <w:szCs w:val="20"/>
          <w:lang w:val="es-CR" w:eastAsia="es-CR"/>
        </w:rPr>
        <w:t>USD $7,000</w:t>
      </w:r>
      <w:r w:rsidRPr="00873FEC">
        <w:rPr>
          <w:rFonts w:ascii="Verdana" w:eastAsia="MS Mincho" w:hAnsi="Verdana" w:cs="Verdana"/>
          <w:sz w:val="20"/>
          <w:szCs w:val="20"/>
          <w:lang w:val="es-CR" w:eastAsia="es-CR"/>
        </w:rPr>
        <w:t xml:space="preserve">.00 (siete mil dólares </w:t>
      </w:r>
      <w:r w:rsidRPr="00873FEC">
        <w:rPr>
          <w:rFonts w:ascii="Verdana" w:eastAsia="MS Mincho" w:hAnsi="Verdana" w:cs="Times New Roman"/>
          <w:sz w:val="20"/>
          <w:szCs w:val="20"/>
          <w:lang w:eastAsia="es-CR"/>
        </w:rPr>
        <w:t>de los Estados Unidos de América).</w:t>
      </w:r>
      <w:r w:rsidRPr="00873FEC">
        <w:rPr>
          <w:rFonts w:ascii="Verdana" w:eastAsia="MS Mincho" w:hAnsi="Verdana" w:cs="Times New Roman"/>
          <w:sz w:val="20"/>
          <w:szCs w:val="20"/>
          <w:lang w:val="es-CR" w:eastAsia="es-CR"/>
        </w:rPr>
        <w:t xml:space="preserve"> </w:t>
      </w:r>
      <w:r w:rsidRPr="00873FEC">
        <w:rPr>
          <w:rFonts w:ascii="Verdana" w:hAnsi="Verdana" w:cs="Verdana"/>
          <w:sz w:val="20"/>
          <w:szCs w:val="20"/>
          <w:lang w:val="es-CR"/>
        </w:rPr>
        <w:t>Los montos dispuestos a favor de las personas indicadas que estuvieren fallecidas al momento de emitirse la presente Sentencia, deben ser pagados a sus familiares, en el plazo establecido en el párrafo 19</w:t>
      </w:r>
      <w:r w:rsidR="00214820" w:rsidRPr="00873FEC">
        <w:rPr>
          <w:rFonts w:ascii="Verdana" w:hAnsi="Verdana" w:cs="Verdana"/>
          <w:sz w:val="20"/>
          <w:szCs w:val="20"/>
          <w:lang w:val="es-CR"/>
        </w:rPr>
        <w:t>6</w:t>
      </w:r>
      <w:r w:rsidRPr="00873FEC">
        <w:rPr>
          <w:rFonts w:ascii="Verdana" w:hAnsi="Verdana" w:cs="Verdana"/>
          <w:sz w:val="20"/>
          <w:szCs w:val="20"/>
          <w:lang w:val="es-CR"/>
        </w:rPr>
        <w:t xml:space="preserve"> de la presente Sentencia, de acuerdo con los siguientes criterios:</w:t>
      </w:r>
    </w:p>
    <w:p w:rsidR="00D05F7B" w:rsidRPr="00873FEC" w:rsidRDefault="00D05F7B" w:rsidP="00126E97">
      <w:pPr>
        <w:autoSpaceDE w:val="0"/>
        <w:autoSpaceDN w:val="0"/>
        <w:adjustRightInd w:val="0"/>
        <w:spacing w:after="0" w:line="20" w:lineRule="atLeast"/>
        <w:ind w:left="284"/>
        <w:jc w:val="both"/>
        <w:rPr>
          <w:rFonts w:ascii="Verdana" w:hAnsi="Verdana" w:cs="Verdana"/>
          <w:sz w:val="20"/>
          <w:szCs w:val="20"/>
          <w:lang w:val="es-CR"/>
        </w:rPr>
      </w:pPr>
      <w:r w:rsidRPr="00873FEC">
        <w:rPr>
          <w:rFonts w:ascii="Verdana" w:hAnsi="Verdana" w:cs="Verdana"/>
          <w:sz w:val="20"/>
          <w:szCs w:val="20"/>
          <w:lang w:val="es-CR"/>
        </w:rPr>
        <w:t>a) el cincuenta por ciento (50%) de la indemnización correspondiente a cada víctima se repartirá, por partes iguales, entre los hijos de ésta. Si uno o varios de los hijos hubieren fallecido ya, la parte que le o les corresponda acrecerá a las de los demás hijos de la misma víctima;</w:t>
      </w:r>
    </w:p>
    <w:p w:rsidR="00D05F7B" w:rsidRPr="00873FEC" w:rsidRDefault="00D05F7B" w:rsidP="00126E97">
      <w:pPr>
        <w:autoSpaceDE w:val="0"/>
        <w:autoSpaceDN w:val="0"/>
        <w:adjustRightInd w:val="0"/>
        <w:spacing w:after="0" w:line="20" w:lineRule="atLeast"/>
        <w:ind w:left="284"/>
        <w:jc w:val="both"/>
        <w:rPr>
          <w:rFonts w:ascii="Verdana" w:hAnsi="Verdana" w:cs="Verdana"/>
          <w:sz w:val="20"/>
          <w:szCs w:val="20"/>
          <w:lang w:val="es-CR"/>
        </w:rPr>
      </w:pPr>
      <w:r w:rsidRPr="00873FEC">
        <w:rPr>
          <w:rFonts w:ascii="Verdana" w:hAnsi="Verdana" w:cs="Verdana"/>
          <w:sz w:val="20"/>
          <w:szCs w:val="20"/>
          <w:lang w:val="es-CR"/>
        </w:rPr>
        <w:t>b) el otro cincuenta por ciento (50%) de la indemnización deberá ser entregado a quien fuera cónyuge, compañero o compañera permanente de la víctima, al momento de la muerte de ésta, según corresponda;</w:t>
      </w:r>
    </w:p>
    <w:p w:rsidR="00D05F7B" w:rsidRPr="00873FEC" w:rsidRDefault="00D05F7B" w:rsidP="00126E97">
      <w:pPr>
        <w:autoSpaceDE w:val="0"/>
        <w:autoSpaceDN w:val="0"/>
        <w:adjustRightInd w:val="0"/>
        <w:spacing w:after="0" w:line="20" w:lineRule="atLeast"/>
        <w:ind w:left="284"/>
        <w:jc w:val="both"/>
        <w:rPr>
          <w:rFonts w:ascii="Verdana" w:hAnsi="Verdana" w:cs="Verdana"/>
          <w:sz w:val="20"/>
          <w:szCs w:val="20"/>
          <w:lang w:val="es-CR"/>
        </w:rPr>
      </w:pPr>
      <w:r w:rsidRPr="00873FEC">
        <w:rPr>
          <w:rFonts w:ascii="Verdana" w:hAnsi="Verdana" w:cs="Verdana"/>
          <w:sz w:val="20"/>
          <w:szCs w:val="20"/>
          <w:lang w:val="es-CR"/>
        </w:rPr>
        <w:t xml:space="preserve">c) en el evento de que la víctima no tuviese hijos o cónyuge, compañero o compañera permanente, lo que hubiere correspondido a los familiares ubicados en esa categoría acrecerá a la parte que le corresponda a la otra categoría; </w:t>
      </w:r>
    </w:p>
    <w:p w:rsidR="00D05F7B" w:rsidRPr="00873FEC" w:rsidRDefault="00D05F7B" w:rsidP="00126E97">
      <w:pPr>
        <w:autoSpaceDE w:val="0"/>
        <w:autoSpaceDN w:val="0"/>
        <w:adjustRightInd w:val="0"/>
        <w:spacing w:after="0" w:line="20" w:lineRule="atLeast"/>
        <w:ind w:left="284"/>
        <w:jc w:val="both"/>
        <w:rPr>
          <w:rFonts w:ascii="Verdana" w:hAnsi="Verdana" w:cs="Verdana"/>
          <w:sz w:val="20"/>
          <w:szCs w:val="20"/>
          <w:lang w:val="es-CR"/>
        </w:rPr>
      </w:pPr>
      <w:r w:rsidRPr="00873FEC">
        <w:rPr>
          <w:rFonts w:ascii="Verdana" w:hAnsi="Verdana" w:cs="Verdana"/>
          <w:sz w:val="20"/>
          <w:szCs w:val="20"/>
          <w:lang w:val="es-CR"/>
        </w:rPr>
        <w:t>d) en el caso de que la víctima no tuviere hijos ni cónyuge ni compañero o compañera permanente, la indemnización del daño material será entregado a sus padres o, en su defecto, a sus hermanos en partes iguales, y</w:t>
      </w:r>
    </w:p>
    <w:p w:rsidR="00D05F7B" w:rsidRPr="00873FEC" w:rsidRDefault="00D05F7B" w:rsidP="00126E97">
      <w:pPr>
        <w:autoSpaceDE w:val="0"/>
        <w:autoSpaceDN w:val="0"/>
        <w:adjustRightInd w:val="0"/>
        <w:spacing w:after="0" w:line="20" w:lineRule="atLeast"/>
        <w:ind w:left="284"/>
        <w:jc w:val="both"/>
        <w:rPr>
          <w:rFonts w:ascii="Verdana" w:eastAsia="Batang" w:hAnsi="Verdana" w:cs="Times"/>
          <w:sz w:val="20"/>
          <w:szCs w:val="20"/>
          <w:lang w:eastAsia="es-CR"/>
        </w:rPr>
      </w:pPr>
      <w:r w:rsidRPr="00873FEC">
        <w:rPr>
          <w:rFonts w:ascii="Verdana" w:hAnsi="Verdana" w:cs="Verdana"/>
          <w:sz w:val="20"/>
          <w:szCs w:val="20"/>
          <w:lang w:val="es-CR"/>
        </w:rPr>
        <w:t>e) en el evento de que la víctima no hubiera tenido ni hijos, ni cónyuge, compañera o compañero, ni padres, ni hermanos, la indemnización deberá ser pagada a los herederos de acuerdo con el derecho sucesorio interno.</w:t>
      </w:r>
    </w:p>
    <w:p w:rsidR="00D05F7B" w:rsidRPr="00873FEC" w:rsidRDefault="00D05F7B" w:rsidP="00126E97">
      <w:pPr>
        <w:tabs>
          <w:tab w:val="left" w:pos="6340"/>
        </w:tabs>
        <w:spacing w:after="0" w:line="20" w:lineRule="atLeast"/>
        <w:jc w:val="both"/>
        <w:rPr>
          <w:rFonts w:ascii="Verdana" w:eastAsia="Calibri" w:hAnsi="Verdana" w:cs="Verdana"/>
          <w:color w:val="000000"/>
          <w:sz w:val="20"/>
          <w:szCs w:val="20"/>
          <w:lang w:eastAsia="es-CR"/>
        </w:rPr>
      </w:pPr>
    </w:p>
    <w:p w:rsidR="00D05F7B" w:rsidRPr="00873FEC" w:rsidRDefault="00E35130" w:rsidP="00126E97">
      <w:pPr>
        <w:keepNext/>
        <w:keepLines/>
        <w:spacing w:after="0" w:line="20" w:lineRule="atLeast"/>
        <w:ind w:left="567"/>
        <w:jc w:val="both"/>
        <w:outlineLvl w:val="2"/>
        <w:rPr>
          <w:rFonts w:ascii="Verdana" w:eastAsia="Cambria" w:hAnsi="Verdana" w:cs="Times"/>
          <w:i/>
          <w:sz w:val="20"/>
          <w:szCs w:val="24"/>
          <w:lang w:val="en-US" w:eastAsia="es-CR"/>
        </w:rPr>
      </w:pPr>
      <w:bookmarkStart w:id="255" w:name="_Toc520207633"/>
      <w:bookmarkStart w:id="256" w:name="_Toc521694843"/>
      <w:bookmarkStart w:id="257" w:name="_Toc525201215"/>
      <w:bookmarkEnd w:id="255"/>
      <w:r w:rsidRPr="00873FEC">
        <w:rPr>
          <w:rFonts w:ascii="Verdana" w:eastAsia="Cambria" w:hAnsi="Verdana" w:cs="Times"/>
          <w:i/>
          <w:sz w:val="20"/>
          <w:szCs w:val="24"/>
          <w:lang w:val="en-US" w:eastAsia="es-CR"/>
        </w:rPr>
        <w:t>E</w:t>
      </w:r>
      <w:r w:rsidR="00D05F7B" w:rsidRPr="00873FEC">
        <w:rPr>
          <w:rFonts w:ascii="Verdana" w:eastAsia="Cambria" w:hAnsi="Verdana" w:cs="Times"/>
          <w:i/>
          <w:sz w:val="20"/>
          <w:szCs w:val="24"/>
          <w:lang w:val="en-US" w:eastAsia="es-CR"/>
        </w:rPr>
        <w:t xml:space="preserve">.2. </w:t>
      </w:r>
      <w:proofErr w:type="spellStart"/>
      <w:r w:rsidR="00D05F7B" w:rsidRPr="00873FEC">
        <w:rPr>
          <w:rFonts w:ascii="Verdana" w:eastAsia="Cambria" w:hAnsi="Verdana" w:cs="Times"/>
          <w:i/>
          <w:sz w:val="20"/>
          <w:szCs w:val="24"/>
          <w:u w:val="single"/>
          <w:lang w:val="en-US" w:eastAsia="es-CR"/>
        </w:rPr>
        <w:t>Daño</w:t>
      </w:r>
      <w:proofErr w:type="spellEnd"/>
      <w:r w:rsidR="00D05F7B" w:rsidRPr="00873FEC">
        <w:rPr>
          <w:rFonts w:ascii="Verdana" w:eastAsia="Cambria" w:hAnsi="Verdana" w:cs="Times"/>
          <w:i/>
          <w:sz w:val="20"/>
          <w:szCs w:val="24"/>
          <w:u w:val="single"/>
          <w:lang w:val="en-US" w:eastAsia="es-CR"/>
        </w:rPr>
        <w:t xml:space="preserve"> </w:t>
      </w:r>
      <w:proofErr w:type="spellStart"/>
      <w:r w:rsidR="00D05F7B" w:rsidRPr="00873FEC">
        <w:rPr>
          <w:rFonts w:ascii="Verdana" w:eastAsia="Cambria" w:hAnsi="Verdana" w:cs="Times"/>
          <w:i/>
          <w:sz w:val="20"/>
          <w:szCs w:val="24"/>
          <w:u w:val="single"/>
          <w:lang w:val="en-US" w:eastAsia="es-CR"/>
        </w:rPr>
        <w:t>inmaterial</w:t>
      </w:r>
      <w:bookmarkEnd w:id="256"/>
      <w:bookmarkEnd w:id="257"/>
      <w:proofErr w:type="spellEnd"/>
      <w:r w:rsidR="00D05F7B" w:rsidRPr="00873FEC">
        <w:rPr>
          <w:rFonts w:ascii="Verdana" w:eastAsia="Cambria" w:hAnsi="Verdana" w:cs="Times"/>
          <w:i/>
          <w:sz w:val="20"/>
          <w:szCs w:val="24"/>
          <w:lang w:val="en-US" w:eastAsia="es-CR"/>
        </w:rPr>
        <w:t xml:space="preserve">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iCs/>
          <w:sz w:val="20"/>
          <w:szCs w:val="20"/>
          <w:lang w:eastAsia="es-CR"/>
        </w:rPr>
        <w:t>Las</w:t>
      </w:r>
      <w:r w:rsidRPr="00873FEC">
        <w:rPr>
          <w:rFonts w:ascii="Verdana" w:eastAsia="MS Mincho" w:hAnsi="Verdana" w:cs="Times"/>
          <w:i/>
          <w:sz w:val="20"/>
          <w:szCs w:val="20"/>
          <w:lang w:eastAsia="es-CR"/>
        </w:rPr>
        <w:t xml:space="preserve">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solicitaron a la Corte una compensación de Q 500,000.00, lo que equivale a USD $66,894.64 por persona por daño moral, sin distinguir entre las personas fallecidas y heridas, y sin explicar las razones que dan base al monto solicitado. </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Times"/>
          <w:b/>
          <w:i/>
          <w:sz w:val="20"/>
          <w:szCs w:val="20"/>
          <w:lang w:eastAsia="es-CR"/>
        </w:rPr>
        <w:t>Estado</w:t>
      </w:r>
      <w:r w:rsidRPr="00873FEC">
        <w:rPr>
          <w:rFonts w:ascii="Verdana" w:eastAsia="MS Mincho" w:hAnsi="Verdana" w:cs="Times"/>
          <w:sz w:val="20"/>
          <w:szCs w:val="20"/>
          <w:lang w:eastAsia="es-CR"/>
        </w:rPr>
        <w:t xml:space="preserve"> argumentó que en caso de que se encontrase responsabilidad internacional del Estado, la Corte deberá tomar en cuenta estos aspectos con base en las pruebas que constan dentro del proceso internacional para determinar si corresponde un pago por daño inmaterial a favor de las víctimas del caso.</w:t>
      </w:r>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 xml:space="preserve">La </w:t>
      </w:r>
      <w:r w:rsidRPr="00873FEC">
        <w:rPr>
          <w:rFonts w:ascii="Verdana" w:eastAsia="Batang" w:hAnsi="Verdana" w:cs="Times"/>
          <w:b/>
          <w:i/>
          <w:sz w:val="20"/>
          <w:szCs w:val="20"/>
          <w:lang w:eastAsia="es-CR"/>
        </w:rPr>
        <w:t>Corte</w:t>
      </w:r>
      <w:r w:rsidRPr="00873FEC">
        <w:rPr>
          <w:rFonts w:ascii="Verdana" w:eastAsia="Batang" w:hAnsi="Verdana" w:cs="Times"/>
          <w:sz w:val="20"/>
          <w:szCs w:val="20"/>
          <w:lang w:eastAsia="es-CR"/>
        </w:rPr>
        <w:t xml:space="preserve"> ha establecido que el daño inmaterial puede comprender tanto los sufrimientos y las aflicciones causados por la violación como el menoscabo de valores muy significativos para las personas y alteraciones, de carácter no pecuniario, en las condiciones de existencia de las víctimas</w:t>
      </w:r>
      <w:r w:rsidRPr="00873FEC">
        <w:rPr>
          <w:rFonts w:ascii="Verdana" w:eastAsia="Batang" w:hAnsi="Verdana" w:cs="Times New Roman"/>
          <w:sz w:val="20"/>
          <w:szCs w:val="20"/>
          <w:vertAlign w:val="superscript"/>
          <w:lang w:val="es-CR" w:eastAsia="x-none"/>
        </w:rPr>
        <w:footnoteReference w:id="235"/>
      </w:r>
      <w:r w:rsidRPr="00873FEC">
        <w:rPr>
          <w:rFonts w:ascii="Verdana" w:eastAsia="Batang" w:hAnsi="Verdana" w:cs="Times"/>
          <w:sz w:val="20"/>
          <w:szCs w:val="20"/>
          <w:lang w:val="es-CR" w:eastAsia="es-CR"/>
        </w:rPr>
        <w:t xml:space="preserve">. </w:t>
      </w:r>
      <w:r w:rsidRPr="00873FEC">
        <w:rPr>
          <w:rFonts w:ascii="Verdana" w:eastAsia="Batang" w:hAnsi="Verdana" w:cs="Times"/>
          <w:sz w:val="20"/>
          <w:szCs w:val="20"/>
          <w:lang w:eastAsia="es-CR"/>
        </w:rPr>
        <w:t xml:space="preserve">Por otra parte, dado que no es posible asignar al daño inmaterial un equivalente monetario preciso, sólo puede ser objeto de </w:t>
      </w:r>
      <w:r w:rsidRPr="00873FEC">
        <w:rPr>
          <w:rFonts w:ascii="Verdana" w:eastAsia="Batang" w:hAnsi="Verdana" w:cs="Times"/>
          <w:sz w:val="20"/>
          <w:szCs w:val="20"/>
          <w:lang w:eastAsia="es-CR"/>
        </w:rPr>
        <w:lastRenderedPageBreak/>
        <w:t>compensación, para los fines de la reparación integral a la víctima, mediante el pago de una cantidad de dinero o la entrega de bienes o servicios apreciables en dinero, que el Tribunal determine en aplicación razonable del arbitrio judicial y en términos de equidad</w:t>
      </w:r>
      <w:r w:rsidRPr="00873FEC">
        <w:rPr>
          <w:rFonts w:ascii="Verdana" w:eastAsia="Calibri" w:hAnsi="Verdana" w:cs="Times New Roman"/>
          <w:sz w:val="20"/>
          <w:szCs w:val="20"/>
          <w:vertAlign w:val="superscript"/>
          <w:lang w:val="es-CR" w:eastAsia="x-none"/>
        </w:rPr>
        <w:footnoteReference w:id="236"/>
      </w:r>
      <w:r w:rsidRPr="00873FEC">
        <w:rPr>
          <w:rFonts w:ascii="Verdana" w:eastAsia="Batang" w:hAnsi="Verdana" w:cs="Times"/>
          <w:sz w:val="20"/>
          <w:szCs w:val="20"/>
          <w:lang w:eastAsia="es-CR"/>
        </w:rPr>
        <w:t>.</w:t>
      </w:r>
      <w:r w:rsidRPr="00873FEC">
        <w:rPr>
          <w:rFonts w:ascii="Verdana" w:eastAsia="Batang" w:hAnsi="Verdana" w:cs="Verdana"/>
          <w:sz w:val="20"/>
          <w:szCs w:val="20"/>
          <w:lang w:val="es-CR" w:eastAsia="es-CR"/>
        </w:rPr>
        <w:t xml:space="preserve"> </w:t>
      </w:r>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b/>
          <w:sz w:val="20"/>
          <w:szCs w:val="24"/>
          <w:lang w:val="es-CR" w:eastAsia="es-CR"/>
        </w:rPr>
      </w:pPr>
      <w:r w:rsidRPr="00873FEC">
        <w:rPr>
          <w:rFonts w:ascii="Verdana" w:eastAsia="Batang" w:hAnsi="Verdana" w:cs="Times"/>
          <w:sz w:val="20"/>
          <w:szCs w:val="20"/>
          <w:lang w:eastAsia="es-CR"/>
        </w:rPr>
        <w:t>En el presente caso, la Corte nota que no se dieron argumentos ni prueba que fundamenten el monto solicitado por los representantes</w:t>
      </w:r>
      <w:r w:rsidRPr="00873FEC">
        <w:rPr>
          <w:rFonts w:ascii="Verdana" w:eastAsia="Batang" w:hAnsi="Verdana" w:cs="Times"/>
          <w:bCs/>
          <w:sz w:val="20"/>
          <w:szCs w:val="20"/>
          <w:lang w:eastAsia="es-CR"/>
        </w:rPr>
        <w:t xml:space="preserve">. </w:t>
      </w:r>
      <w:r w:rsidRPr="00873FEC">
        <w:rPr>
          <w:rFonts w:ascii="Verdana" w:eastAsia="Batang" w:hAnsi="Verdana" w:cs="Times"/>
          <w:sz w:val="20"/>
          <w:szCs w:val="20"/>
          <w:lang w:eastAsia="es-CR"/>
        </w:rPr>
        <w:t>No obstante, en atención a los criterios establecidos en la jurisprudencia de este Tribunal, las circunstancias del presente caso, la entidad, carácter y gravedad de las violaciones cometidas, así como los sufrimientos ocasionados a las víctimas</w:t>
      </w:r>
      <w:r w:rsidRPr="00873FEC">
        <w:rPr>
          <w:rFonts w:ascii="Verdana" w:eastAsia="Batang" w:hAnsi="Verdana" w:cs="Times New Roman"/>
          <w:sz w:val="20"/>
          <w:szCs w:val="20"/>
          <w:vertAlign w:val="superscript"/>
          <w:lang w:eastAsia="x-none"/>
        </w:rPr>
        <w:footnoteReference w:id="237"/>
      </w:r>
      <w:r w:rsidRPr="00873FEC">
        <w:rPr>
          <w:rFonts w:ascii="Verdana" w:eastAsia="Batang" w:hAnsi="Verdana" w:cs="Times"/>
          <w:sz w:val="20"/>
          <w:szCs w:val="20"/>
          <w:lang w:eastAsia="es-CR"/>
        </w:rPr>
        <w:t xml:space="preserve">, la Corte estima pertinente fijar, en equidad: </w:t>
      </w:r>
    </w:p>
    <w:p w:rsidR="00D05F7B" w:rsidRPr="00873FEC" w:rsidRDefault="00D05F7B" w:rsidP="00126E97">
      <w:pPr>
        <w:spacing w:after="0" w:line="20" w:lineRule="atLeast"/>
        <w:ind w:left="284" w:right="-138"/>
        <w:jc w:val="both"/>
        <w:rPr>
          <w:rFonts w:ascii="Verdana" w:eastAsia="Batang" w:hAnsi="Verdana" w:cs="Times"/>
          <w:sz w:val="20"/>
          <w:szCs w:val="24"/>
          <w:lang w:eastAsia="es-CR"/>
        </w:rPr>
      </w:pPr>
      <w:r w:rsidRPr="00873FEC">
        <w:rPr>
          <w:rFonts w:ascii="Verdana" w:eastAsia="Batang" w:hAnsi="Verdana" w:cs="Times"/>
          <w:sz w:val="20"/>
          <w:szCs w:val="20"/>
          <w:lang w:eastAsia="es-CR"/>
        </w:rPr>
        <w:t>a) respecto de cada una de las ocho víctimas fallecidas cuyo derecho a la vida se declaró violado,</w:t>
      </w:r>
      <w:r w:rsidRPr="00873FEC">
        <w:rPr>
          <w:rFonts w:ascii="Verdana" w:eastAsia="Batang" w:hAnsi="Verdana" w:cs="Times"/>
          <w:sz w:val="20"/>
          <w:szCs w:val="24"/>
          <w:lang w:val="es-CR" w:eastAsia="es-CR"/>
        </w:rPr>
        <w:t xml:space="preserve"> que se nombraran en el Anexo B.2</w:t>
      </w:r>
      <w:r w:rsidRPr="00873FEC">
        <w:rPr>
          <w:rFonts w:ascii="Verdana" w:eastAsia="Batang" w:hAnsi="Verdana" w:cs="Times"/>
          <w:b/>
          <w:sz w:val="20"/>
          <w:szCs w:val="24"/>
          <w:lang w:val="es-CR" w:eastAsia="es-CR"/>
        </w:rPr>
        <w:t xml:space="preserve"> </w:t>
      </w:r>
      <w:r w:rsidRPr="00873FEC">
        <w:rPr>
          <w:rFonts w:ascii="Verdana" w:eastAsia="Batang" w:hAnsi="Verdana" w:cs="Times"/>
          <w:sz w:val="20"/>
          <w:szCs w:val="24"/>
          <w:lang w:val="es-CR" w:eastAsia="es-CR"/>
        </w:rPr>
        <w:t>de la presente Sentencia,</w:t>
      </w:r>
      <w:r w:rsidRPr="00873FEC">
        <w:rPr>
          <w:rFonts w:ascii="Verdana" w:eastAsia="Batang" w:hAnsi="Verdana" w:cs="Times"/>
          <w:sz w:val="20"/>
          <w:szCs w:val="20"/>
          <w:lang w:eastAsia="es-CR"/>
        </w:rPr>
        <w:t xml:space="preserve"> US$ 80,000.00 (ochenta mil dólares </w:t>
      </w:r>
      <w:r w:rsidRPr="00873FEC">
        <w:rPr>
          <w:rFonts w:ascii="Verdana" w:eastAsia="MS Mincho" w:hAnsi="Verdana" w:cs="Times"/>
          <w:sz w:val="20"/>
          <w:szCs w:val="20"/>
          <w:lang w:eastAsia="es-CR"/>
        </w:rPr>
        <w:t>de los Estados Unidos de América);</w:t>
      </w:r>
      <w:r w:rsidRPr="00873FEC">
        <w:rPr>
          <w:rFonts w:ascii="Verdana" w:eastAsia="Batang" w:hAnsi="Verdana" w:cs="Times"/>
          <w:sz w:val="20"/>
          <w:szCs w:val="24"/>
          <w:lang w:eastAsia="es-CR"/>
        </w:rPr>
        <w:t xml:space="preserve"> </w:t>
      </w:r>
    </w:p>
    <w:p w:rsidR="00D05F7B" w:rsidRPr="00873FEC" w:rsidRDefault="00D05F7B" w:rsidP="00126E97">
      <w:pPr>
        <w:spacing w:after="0" w:line="20" w:lineRule="atLeast"/>
        <w:ind w:left="284" w:right="-138"/>
        <w:jc w:val="both"/>
        <w:rPr>
          <w:rFonts w:ascii="Verdana" w:eastAsia="Batang" w:hAnsi="Verdana" w:cs="Times"/>
          <w:sz w:val="20"/>
          <w:szCs w:val="24"/>
          <w:lang w:eastAsia="es-CR"/>
        </w:rPr>
      </w:pPr>
      <w:r w:rsidRPr="00873FEC">
        <w:rPr>
          <w:rFonts w:ascii="Verdana" w:eastAsia="Batang" w:hAnsi="Verdana" w:cs="Times"/>
          <w:sz w:val="20"/>
          <w:szCs w:val="24"/>
          <w:lang w:eastAsia="es-CR"/>
        </w:rPr>
        <w:t xml:space="preserve">b) respecto de cada una de las tres víctimas fallecidas siendo niña o niño cuyo derecho a la vida se declaró violado, que se nombran en el Anexo B.4 de la presente Sentencia, US$ 90,000.00 (noventa mil dólares de los Estados Unidos de América); </w:t>
      </w:r>
    </w:p>
    <w:p w:rsidR="00D05F7B" w:rsidRPr="00873FEC" w:rsidRDefault="00D05F7B" w:rsidP="00126E97">
      <w:pPr>
        <w:spacing w:after="0" w:line="20" w:lineRule="atLeast"/>
        <w:ind w:left="284" w:right="-138"/>
        <w:jc w:val="both"/>
        <w:rPr>
          <w:rFonts w:ascii="Verdana" w:eastAsia="MS Mincho" w:hAnsi="Verdana" w:cs="Times"/>
          <w:sz w:val="20"/>
          <w:szCs w:val="20"/>
          <w:lang w:eastAsia="es-CR"/>
        </w:rPr>
      </w:pPr>
      <w:r w:rsidRPr="00873FEC">
        <w:rPr>
          <w:rFonts w:ascii="Verdana" w:eastAsia="Batang" w:hAnsi="Verdana" w:cs="Times"/>
          <w:sz w:val="20"/>
          <w:szCs w:val="24"/>
          <w:lang w:eastAsia="es-CR"/>
        </w:rPr>
        <w:t xml:space="preserve">c) </w:t>
      </w:r>
      <w:r w:rsidRPr="00873FEC">
        <w:rPr>
          <w:rFonts w:ascii="Verdana" w:eastAsia="MS Mincho" w:hAnsi="Verdana" w:cs="Times"/>
          <w:sz w:val="20"/>
          <w:szCs w:val="20"/>
          <w:lang w:eastAsia="es-CR"/>
        </w:rPr>
        <w:t>respecto de cada una de las 29 víctimas heridas, cuyo derecho a la integridad personal se declaró violado,</w:t>
      </w:r>
      <w:r w:rsidRPr="00873FEC">
        <w:rPr>
          <w:rFonts w:ascii="Verdana" w:eastAsia="Batang" w:hAnsi="Verdana" w:cs="Times"/>
          <w:sz w:val="20"/>
          <w:szCs w:val="24"/>
          <w:lang w:eastAsia="es-CR"/>
        </w:rPr>
        <w:t xml:space="preserve"> que se nombran en el Anexo B.3 de la presente Sentencia,</w:t>
      </w:r>
      <w:r w:rsidRPr="00873FEC">
        <w:rPr>
          <w:rFonts w:ascii="Verdana" w:eastAsia="MS Mincho" w:hAnsi="Verdana" w:cs="Times"/>
          <w:sz w:val="20"/>
          <w:szCs w:val="20"/>
          <w:lang w:eastAsia="es-CR"/>
        </w:rPr>
        <w:t xml:space="preserve"> </w:t>
      </w:r>
      <w:r w:rsidRPr="00873FEC">
        <w:rPr>
          <w:rFonts w:ascii="Verdana" w:eastAsia="Batang" w:hAnsi="Verdana" w:cs="Times"/>
          <w:sz w:val="20"/>
          <w:szCs w:val="20"/>
          <w:lang w:eastAsia="es-CR"/>
        </w:rPr>
        <w:t xml:space="preserve">USD $20,000.00 (veinte mil dólares </w:t>
      </w:r>
      <w:r w:rsidRPr="00873FEC">
        <w:rPr>
          <w:rFonts w:ascii="Verdana" w:eastAsia="MS Mincho" w:hAnsi="Verdana" w:cs="Times"/>
          <w:sz w:val="20"/>
          <w:szCs w:val="20"/>
          <w:lang w:eastAsia="es-CR"/>
        </w:rPr>
        <w:t xml:space="preserve">de los Estados Unidos de América); </w:t>
      </w:r>
    </w:p>
    <w:p w:rsidR="00D05F7B" w:rsidRPr="00873FEC" w:rsidRDefault="00D05F7B" w:rsidP="00126E97">
      <w:pPr>
        <w:spacing w:after="0" w:line="20" w:lineRule="atLeast"/>
        <w:ind w:left="284" w:right="-138"/>
        <w:jc w:val="both"/>
        <w:rPr>
          <w:rFonts w:ascii="Verdana" w:eastAsia="MS Mincho" w:hAnsi="Verdana" w:cs="Times"/>
          <w:sz w:val="20"/>
          <w:szCs w:val="20"/>
          <w:lang w:eastAsia="es-CR"/>
        </w:rPr>
      </w:pPr>
      <w:r w:rsidRPr="00873FEC">
        <w:rPr>
          <w:rFonts w:ascii="Verdana" w:eastAsia="MS Mincho" w:hAnsi="Verdana" w:cs="Times"/>
          <w:sz w:val="20"/>
          <w:szCs w:val="20"/>
          <w:lang w:eastAsia="es-CR"/>
        </w:rPr>
        <w:t xml:space="preserve">d) respecto de cada una de las personas familiares de 10 víctimas fallecidas indicadas en los puntos a) y b) que se nombran en el Anexo B.5 de la presente Sentencia, </w:t>
      </w:r>
      <w:r w:rsidRPr="00873FEC">
        <w:rPr>
          <w:rFonts w:ascii="Verdana" w:eastAsia="Batang" w:hAnsi="Verdana" w:cs="Times"/>
          <w:sz w:val="20"/>
          <w:szCs w:val="20"/>
          <w:lang w:eastAsia="es-CR"/>
        </w:rPr>
        <w:t xml:space="preserve">USD $10,000.00 (diez mil dólares </w:t>
      </w:r>
      <w:r w:rsidRPr="00873FEC">
        <w:rPr>
          <w:rFonts w:ascii="Verdana" w:eastAsia="MS Mincho" w:hAnsi="Verdana" w:cs="Times"/>
          <w:sz w:val="20"/>
          <w:szCs w:val="20"/>
          <w:lang w:eastAsia="es-CR"/>
        </w:rPr>
        <w:t>de los Estados Unidos de América)</w:t>
      </w:r>
      <w:r w:rsidRPr="00873FEC">
        <w:rPr>
          <w:rFonts w:ascii="Verdana" w:eastAsia="MS Mincho" w:hAnsi="Verdana" w:cs="Times New Roman"/>
          <w:sz w:val="20"/>
          <w:szCs w:val="20"/>
          <w:vertAlign w:val="superscript"/>
          <w:lang w:eastAsia="es-CR"/>
        </w:rPr>
        <w:footnoteReference w:id="238"/>
      </w:r>
      <w:r w:rsidRPr="00873FEC">
        <w:rPr>
          <w:rFonts w:ascii="Verdana" w:eastAsia="MS Mincho" w:hAnsi="Verdana" w:cs="Times"/>
          <w:sz w:val="20"/>
          <w:szCs w:val="20"/>
          <w:lang w:eastAsia="es-CR"/>
        </w:rPr>
        <w:t xml:space="preserve">, y </w:t>
      </w:r>
    </w:p>
    <w:p w:rsidR="002212CF" w:rsidRPr="00873FEC" w:rsidRDefault="00D05F7B" w:rsidP="00126E97">
      <w:pPr>
        <w:spacing w:after="0" w:line="20" w:lineRule="atLeast"/>
        <w:ind w:left="284" w:right="-138"/>
        <w:jc w:val="both"/>
        <w:rPr>
          <w:rFonts w:ascii="Verdana" w:eastAsia="MS Mincho" w:hAnsi="Verdana" w:cs="Times"/>
          <w:sz w:val="20"/>
          <w:szCs w:val="20"/>
          <w:lang w:eastAsia="es-CR"/>
        </w:rPr>
      </w:pPr>
      <w:r w:rsidRPr="00873FEC">
        <w:rPr>
          <w:rFonts w:ascii="Verdana" w:eastAsia="MS Mincho" w:hAnsi="Verdana" w:cs="Times"/>
          <w:sz w:val="20"/>
          <w:szCs w:val="20"/>
          <w:lang w:eastAsia="es-CR"/>
        </w:rPr>
        <w:t xml:space="preserve">e) respecto a cada una de las personas que solo vieron vulnerados sus derechos a las garantías judiciales y protección judicial, </w:t>
      </w:r>
      <w:r w:rsidRPr="00873FEC">
        <w:rPr>
          <w:rFonts w:ascii="Verdana" w:eastAsia="Batang" w:hAnsi="Verdana" w:cs="Times"/>
          <w:sz w:val="20"/>
          <w:szCs w:val="20"/>
          <w:lang w:eastAsia="es-CR"/>
        </w:rPr>
        <w:t xml:space="preserve">USD $5,000.00 (cinco mil dólares </w:t>
      </w:r>
      <w:r w:rsidRPr="00873FEC">
        <w:rPr>
          <w:rFonts w:ascii="Verdana" w:eastAsia="MS Mincho" w:hAnsi="Verdana" w:cs="Times"/>
          <w:sz w:val="20"/>
          <w:szCs w:val="20"/>
          <w:lang w:eastAsia="es-CR"/>
        </w:rPr>
        <w:t xml:space="preserve">de los Estados Unidos de América). Las personas comprendidas en este último grupo son las siguientes: </w:t>
      </w:r>
      <w:r w:rsidR="002212CF" w:rsidRPr="00873FEC">
        <w:rPr>
          <w:rFonts w:ascii="Verdana" w:eastAsia="MS Mincho" w:hAnsi="Verdana" w:cs="Times"/>
          <w:sz w:val="20"/>
          <w:szCs w:val="20"/>
          <w:lang w:eastAsia="es-CR"/>
        </w:rPr>
        <w:t>1.-Manuela Pop</w:t>
      </w:r>
      <w:r w:rsidR="00FA5CA1">
        <w:rPr>
          <w:rFonts w:ascii="Verdana" w:eastAsia="MS Mincho" w:hAnsi="Verdana" w:cs="Times"/>
          <w:sz w:val="20"/>
          <w:szCs w:val="20"/>
          <w:lang w:eastAsia="es-CR"/>
        </w:rPr>
        <w:t xml:space="preserve"> </w:t>
      </w:r>
      <w:proofErr w:type="spellStart"/>
      <w:r w:rsidR="00FA5CA1">
        <w:rPr>
          <w:rFonts w:ascii="Verdana" w:eastAsia="MS Mincho" w:hAnsi="Verdana" w:cs="Times"/>
          <w:sz w:val="20"/>
          <w:szCs w:val="20"/>
          <w:lang w:eastAsia="es-CR"/>
        </w:rPr>
        <w:t>Choc</w:t>
      </w:r>
      <w:proofErr w:type="spellEnd"/>
      <w:r w:rsidR="002212CF" w:rsidRPr="00873FEC">
        <w:rPr>
          <w:rFonts w:ascii="Verdana" w:eastAsia="MS Mincho" w:hAnsi="Verdana" w:cs="Times"/>
          <w:sz w:val="20"/>
          <w:szCs w:val="20"/>
          <w:lang w:eastAsia="es-CR"/>
        </w:rPr>
        <w:t xml:space="preserve">; 2.-Francisco </w:t>
      </w:r>
      <w:proofErr w:type="spellStart"/>
      <w:r w:rsidR="002212CF" w:rsidRPr="00873FEC">
        <w:rPr>
          <w:rFonts w:ascii="Verdana" w:eastAsia="MS Mincho" w:hAnsi="Verdana" w:cs="Times"/>
          <w:sz w:val="20"/>
          <w:szCs w:val="20"/>
          <w:lang w:eastAsia="es-CR"/>
        </w:rPr>
        <w:t>Quip</w:t>
      </w:r>
      <w:proofErr w:type="spellEnd"/>
      <w:r w:rsidR="002212CF" w:rsidRPr="00873FEC">
        <w:rPr>
          <w:rFonts w:ascii="Verdana" w:eastAsia="MS Mincho" w:hAnsi="Verdana" w:cs="Times"/>
          <w:sz w:val="20"/>
          <w:szCs w:val="20"/>
          <w:lang w:eastAsia="es-CR"/>
        </w:rPr>
        <w:t xml:space="preserve"> </w:t>
      </w:r>
      <w:proofErr w:type="spellStart"/>
      <w:r w:rsidR="002212CF" w:rsidRPr="00873FEC">
        <w:rPr>
          <w:rFonts w:ascii="Verdana" w:eastAsia="MS Mincho" w:hAnsi="Verdana" w:cs="Times"/>
          <w:sz w:val="20"/>
          <w:szCs w:val="20"/>
          <w:lang w:eastAsia="es-CR"/>
        </w:rPr>
        <w:t>Choc</w:t>
      </w:r>
      <w:proofErr w:type="spellEnd"/>
      <w:r w:rsidR="002212CF" w:rsidRPr="00873FEC">
        <w:rPr>
          <w:rFonts w:ascii="Verdana" w:eastAsia="MS Mincho" w:hAnsi="Verdana" w:cs="Times"/>
          <w:sz w:val="20"/>
          <w:szCs w:val="20"/>
          <w:lang w:eastAsia="es-CR"/>
        </w:rPr>
        <w:t xml:space="preserve">; 3.-Petrona </w:t>
      </w:r>
      <w:proofErr w:type="spellStart"/>
      <w:r w:rsidR="002212CF" w:rsidRPr="00873FEC">
        <w:rPr>
          <w:rFonts w:ascii="Verdana" w:eastAsia="MS Mincho" w:hAnsi="Verdana" w:cs="Times"/>
          <w:sz w:val="20"/>
          <w:szCs w:val="20"/>
          <w:lang w:eastAsia="es-CR"/>
        </w:rPr>
        <w:t>Quip</w:t>
      </w:r>
      <w:proofErr w:type="spellEnd"/>
      <w:r w:rsidR="002212CF" w:rsidRPr="00873FEC">
        <w:rPr>
          <w:rFonts w:ascii="Verdana" w:eastAsia="MS Mincho" w:hAnsi="Verdana" w:cs="Times"/>
          <w:sz w:val="20"/>
          <w:szCs w:val="20"/>
          <w:lang w:eastAsia="es-CR"/>
        </w:rPr>
        <w:t xml:space="preserve"> Pop; 4.-Margarita </w:t>
      </w:r>
      <w:proofErr w:type="spellStart"/>
      <w:r w:rsidR="002212CF" w:rsidRPr="00873FEC">
        <w:rPr>
          <w:rFonts w:ascii="Verdana" w:eastAsia="MS Mincho" w:hAnsi="Verdana" w:cs="Times"/>
          <w:sz w:val="20"/>
          <w:szCs w:val="20"/>
          <w:lang w:eastAsia="es-CR"/>
        </w:rPr>
        <w:t>Quip</w:t>
      </w:r>
      <w:proofErr w:type="spellEnd"/>
      <w:r w:rsidR="002212CF" w:rsidRPr="00873FEC">
        <w:rPr>
          <w:rFonts w:ascii="Verdana" w:eastAsia="MS Mincho" w:hAnsi="Verdana" w:cs="Times"/>
          <w:sz w:val="20"/>
          <w:szCs w:val="20"/>
          <w:lang w:eastAsia="es-CR"/>
        </w:rPr>
        <w:t xml:space="preserve"> Pop; 5.-Martín </w:t>
      </w:r>
      <w:proofErr w:type="spellStart"/>
      <w:r w:rsidR="002212CF" w:rsidRPr="00873FEC">
        <w:rPr>
          <w:rFonts w:ascii="Verdana" w:eastAsia="MS Mincho" w:hAnsi="Verdana" w:cs="Times"/>
          <w:sz w:val="20"/>
          <w:szCs w:val="20"/>
          <w:lang w:eastAsia="es-CR"/>
        </w:rPr>
        <w:t>Maquín</w:t>
      </w:r>
      <w:proofErr w:type="spellEnd"/>
      <w:r w:rsidR="002212CF" w:rsidRPr="00873FEC">
        <w:rPr>
          <w:rFonts w:ascii="Verdana" w:eastAsia="MS Mincho" w:hAnsi="Verdana" w:cs="Times"/>
          <w:sz w:val="20"/>
          <w:szCs w:val="20"/>
          <w:lang w:eastAsia="es-CR"/>
        </w:rPr>
        <w:t xml:space="preserve"> </w:t>
      </w:r>
      <w:proofErr w:type="spellStart"/>
      <w:r w:rsidR="002212CF" w:rsidRPr="00873FEC">
        <w:rPr>
          <w:rFonts w:ascii="Verdana" w:eastAsia="MS Mincho" w:hAnsi="Verdana" w:cs="Times"/>
          <w:sz w:val="20"/>
          <w:szCs w:val="20"/>
          <w:lang w:eastAsia="es-CR"/>
        </w:rPr>
        <w:t>Quip</w:t>
      </w:r>
      <w:proofErr w:type="spellEnd"/>
      <w:r w:rsidR="002212CF" w:rsidRPr="00873FEC">
        <w:rPr>
          <w:rFonts w:ascii="Verdana" w:eastAsia="MS Mincho" w:hAnsi="Verdana" w:cs="Times"/>
          <w:sz w:val="20"/>
          <w:szCs w:val="20"/>
          <w:lang w:eastAsia="es-CR"/>
        </w:rPr>
        <w:t xml:space="preserve"> Pop; 6.-Dominga </w:t>
      </w:r>
      <w:proofErr w:type="spellStart"/>
      <w:r w:rsidR="002212CF" w:rsidRPr="00873FEC">
        <w:rPr>
          <w:rFonts w:ascii="Verdana" w:eastAsia="MS Mincho" w:hAnsi="Verdana" w:cs="Times"/>
          <w:sz w:val="20"/>
          <w:szCs w:val="20"/>
          <w:lang w:eastAsia="es-CR"/>
        </w:rPr>
        <w:t>Maquín</w:t>
      </w:r>
      <w:proofErr w:type="spellEnd"/>
      <w:r w:rsidR="002212CF" w:rsidRPr="00873FEC">
        <w:rPr>
          <w:rFonts w:ascii="Verdana" w:eastAsia="MS Mincho" w:hAnsi="Verdana" w:cs="Times"/>
          <w:sz w:val="20"/>
          <w:szCs w:val="20"/>
          <w:lang w:eastAsia="es-CR"/>
        </w:rPr>
        <w:t xml:space="preserve"> Pop; 7.-Santiago </w:t>
      </w:r>
      <w:proofErr w:type="spellStart"/>
      <w:r w:rsidR="002212CF" w:rsidRPr="00873FEC">
        <w:rPr>
          <w:rFonts w:ascii="Verdana" w:eastAsia="MS Mincho" w:hAnsi="Verdana" w:cs="Times"/>
          <w:sz w:val="20"/>
          <w:szCs w:val="20"/>
          <w:lang w:eastAsia="es-CR"/>
        </w:rPr>
        <w:t>Quip</w:t>
      </w:r>
      <w:proofErr w:type="spellEnd"/>
      <w:r w:rsidR="002212CF" w:rsidRPr="00873FEC">
        <w:rPr>
          <w:rFonts w:ascii="Verdana" w:eastAsia="MS Mincho" w:hAnsi="Verdana" w:cs="Times"/>
          <w:sz w:val="20"/>
          <w:szCs w:val="20"/>
          <w:lang w:eastAsia="es-CR"/>
        </w:rPr>
        <w:t xml:space="preserve"> Pop; 8.-José Morales Ortiz; 9.-Cruz Maldonado Silvestre; 10. </w:t>
      </w:r>
      <w:proofErr w:type="spellStart"/>
      <w:r w:rsidR="002212CF" w:rsidRPr="00873FEC">
        <w:rPr>
          <w:rFonts w:ascii="Verdana" w:eastAsia="MS Mincho" w:hAnsi="Verdana" w:cs="Times"/>
          <w:sz w:val="20"/>
          <w:szCs w:val="20"/>
          <w:lang w:eastAsia="es-CR"/>
        </w:rPr>
        <w:t>Martalia</w:t>
      </w:r>
      <w:proofErr w:type="spellEnd"/>
      <w:r w:rsidR="002212CF" w:rsidRPr="00873FEC">
        <w:rPr>
          <w:rFonts w:ascii="Verdana" w:eastAsia="MS Mincho" w:hAnsi="Verdana" w:cs="Times"/>
          <w:sz w:val="20"/>
          <w:szCs w:val="20"/>
          <w:lang w:eastAsia="es-CR"/>
        </w:rPr>
        <w:t xml:space="preserve"> Hernández Maldonado; 11.-Andrés Hernández Maldonado, 12.-Florencia Hernández Maldonado.</w:t>
      </w:r>
    </w:p>
    <w:p w:rsidR="00D05F7B" w:rsidRPr="00873FEC" w:rsidRDefault="00D05F7B" w:rsidP="00126E97">
      <w:pPr>
        <w:spacing w:after="0" w:line="20" w:lineRule="atLeast"/>
        <w:ind w:right="-138"/>
        <w:jc w:val="both"/>
        <w:rPr>
          <w:rFonts w:ascii="Verdana" w:eastAsia="Batang" w:hAnsi="Verdana" w:cs="Times"/>
          <w:b/>
          <w:sz w:val="20"/>
          <w:szCs w:val="24"/>
          <w:lang w:val="es-CR" w:eastAsia="es-CR"/>
        </w:rPr>
      </w:pPr>
      <w:r w:rsidRPr="00873FEC">
        <w:rPr>
          <w:rFonts w:ascii="Verdana" w:hAnsi="Verdana" w:cs="Verdana"/>
          <w:sz w:val="20"/>
          <w:szCs w:val="20"/>
          <w:lang w:val="es-CR"/>
        </w:rPr>
        <w:t>Los montos dispuestos a favor de aquellas personas antes referidas que se encuentren fallecidas al momento de emitirse la presente Sentencia, deben ser pagados a sus familiares, en el plazo establecido en el párrafo 19</w:t>
      </w:r>
      <w:r w:rsidR="00214820" w:rsidRPr="00873FEC">
        <w:rPr>
          <w:rFonts w:ascii="Verdana" w:hAnsi="Verdana" w:cs="Verdana"/>
          <w:sz w:val="20"/>
          <w:szCs w:val="20"/>
          <w:lang w:val="es-CR"/>
        </w:rPr>
        <w:t>6</w:t>
      </w:r>
      <w:r w:rsidRPr="00873FEC">
        <w:rPr>
          <w:rFonts w:ascii="Verdana" w:hAnsi="Verdana" w:cs="Verdana"/>
          <w:sz w:val="20"/>
          <w:szCs w:val="20"/>
          <w:lang w:val="es-CR"/>
        </w:rPr>
        <w:t xml:space="preserve"> de la Sentencia, de acuerdo con los criterios desarrollados en el párrafo 18</w:t>
      </w:r>
      <w:r w:rsidR="00214820" w:rsidRPr="00873FEC">
        <w:rPr>
          <w:rFonts w:ascii="Verdana" w:hAnsi="Verdana" w:cs="Verdana"/>
          <w:sz w:val="20"/>
          <w:szCs w:val="20"/>
          <w:lang w:val="es-CR"/>
        </w:rPr>
        <w:t>6</w:t>
      </w:r>
      <w:r w:rsidRPr="00873FEC">
        <w:rPr>
          <w:rFonts w:ascii="Verdana" w:hAnsi="Verdana" w:cs="Verdana"/>
          <w:sz w:val="20"/>
          <w:szCs w:val="20"/>
          <w:lang w:val="es-CR"/>
        </w:rPr>
        <w:t xml:space="preserve"> de la presente Sentencia</w:t>
      </w:r>
      <w:r w:rsidR="003D0120" w:rsidRPr="00873FEC">
        <w:rPr>
          <w:rStyle w:val="FootnoteReference"/>
          <w:rFonts w:ascii="Verdana" w:hAnsi="Verdana"/>
          <w:sz w:val="20"/>
          <w:lang w:val="es-CR"/>
        </w:rPr>
        <w:footnoteReference w:id="239"/>
      </w:r>
      <w:r w:rsidRPr="00873FEC">
        <w:rPr>
          <w:rFonts w:ascii="Verdana" w:hAnsi="Verdana" w:cs="Verdana"/>
          <w:sz w:val="20"/>
          <w:szCs w:val="20"/>
          <w:lang w:val="es-CR"/>
        </w:rPr>
        <w:t>.</w:t>
      </w:r>
    </w:p>
    <w:p w:rsidR="00D05F7B" w:rsidRDefault="00D05F7B" w:rsidP="00126E97">
      <w:pPr>
        <w:spacing w:after="0" w:line="20" w:lineRule="atLeast"/>
        <w:ind w:left="720" w:firstLine="708"/>
        <w:contextualSpacing/>
        <w:rPr>
          <w:rFonts w:ascii="Calibri" w:eastAsia="MS Mincho" w:hAnsi="Calibri" w:cs="Times"/>
          <w:szCs w:val="20"/>
          <w:lang w:eastAsia="es-CR"/>
        </w:rPr>
      </w:pPr>
    </w:p>
    <w:p w:rsidR="007E5A4B" w:rsidRDefault="007E5A4B" w:rsidP="00126E97">
      <w:pPr>
        <w:spacing w:after="0" w:line="20" w:lineRule="atLeast"/>
        <w:ind w:left="720" w:firstLine="708"/>
        <w:contextualSpacing/>
        <w:rPr>
          <w:rFonts w:ascii="Calibri" w:eastAsia="MS Mincho" w:hAnsi="Calibri" w:cs="Times"/>
          <w:szCs w:val="20"/>
          <w:lang w:eastAsia="es-CR"/>
        </w:rPr>
      </w:pPr>
    </w:p>
    <w:p w:rsidR="007E5A4B" w:rsidRDefault="007E5A4B" w:rsidP="00126E97">
      <w:pPr>
        <w:spacing w:after="0" w:line="20" w:lineRule="atLeast"/>
        <w:ind w:left="720" w:firstLine="708"/>
        <w:contextualSpacing/>
        <w:rPr>
          <w:rFonts w:ascii="Calibri" w:eastAsia="MS Mincho" w:hAnsi="Calibri" w:cs="Times"/>
          <w:szCs w:val="20"/>
          <w:lang w:eastAsia="es-CR"/>
        </w:rPr>
      </w:pPr>
    </w:p>
    <w:p w:rsidR="007E5A4B" w:rsidRDefault="007E5A4B" w:rsidP="00126E97">
      <w:pPr>
        <w:spacing w:after="0" w:line="20" w:lineRule="atLeast"/>
        <w:ind w:left="720" w:firstLine="708"/>
        <w:contextualSpacing/>
        <w:rPr>
          <w:rFonts w:ascii="Calibri" w:eastAsia="MS Mincho" w:hAnsi="Calibri" w:cs="Times"/>
          <w:szCs w:val="20"/>
          <w:lang w:eastAsia="es-CR"/>
        </w:rPr>
      </w:pPr>
    </w:p>
    <w:p w:rsidR="007E5A4B" w:rsidRDefault="007E5A4B" w:rsidP="00126E97">
      <w:pPr>
        <w:spacing w:after="0" w:line="20" w:lineRule="atLeast"/>
        <w:ind w:left="720" w:firstLine="708"/>
        <w:contextualSpacing/>
        <w:rPr>
          <w:rFonts w:ascii="Calibri" w:eastAsia="MS Mincho" w:hAnsi="Calibri" w:cs="Times"/>
          <w:szCs w:val="20"/>
          <w:lang w:eastAsia="es-CR"/>
        </w:rPr>
      </w:pPr>
    </w:p>
    <w:p w:rsidR="007E5A4B" w:rsidRDefault="007E5A4B" w:rsidP="00126E97">
      <w:pPr>
        <w:spacing w:after="0" w:line="20" w:lineRule="atLeast"/>
        <w:ind w:left="720" w:firstLine="708"/>
        <w:contextualSpacing/>
        <w:rPr>
          <w:rFonts w:ascii="Calibri" w:eastAsia="MS Mincho" w:hAnsi="Calibri" w:cs="Times"/>
          <w:szCs w:val="20"/>
          <w:lang w:eastAsia="es-CR"/>
        </w:rPr>
      </w:pPr>
    </w:p>
    <w:p w:rsidR="007E5A4B" w:rsidRPr="00873FEC" w:rsidRDefault="007E5A4B" w:rsidP="00126E97">
      <w:pPr>
        <w:spacing w:after="0" w:line="20" w:lineRule="atLeast"/>
        <w:ind w:left="720" w:firstLine="708"/>
        <w:contextualSpacing/>
        <w:rPr>
          <w:rFonts w:ascii="Calibri" w:eastAsia="MS Mincho" w:hAnsi="Calibri" w:cs="Times"/>
          <w:szCs w:val="20"/>
          <w:lang w:eastAsia="es-CR"/>
        </w:rPr>
      </w:pPr>
    </w:p>
    <w:p w:rsidR="00D05F7B" w:rsidRPr="00873FEC" w:rsidRDefault="00D05F7B" w:rsidP="00126E97">
      <w:pPr>
        <w:keepNext/>
        <w:keepLines/>
        <w:numPr>
          <w:ilvl w:val="0"/>
          <w:numId w:val="12"/>
        </w:numPr>
        <w:spacing w:after="0" w:line="20" w:lineRule="atLeast"/>
        <w:ind w:left="284"/>
        <w:jc w:val="both"/>
        <w:outlineLvl w:val="1"/>
        <w:rPr>
          <w:rFonts w:ascii="Verdana" w:eastAsia="Cambria" w:hAnsi="Verdana" w:cs="Times"/>
          <w:b/>
          <w:i/>
          <w:sz w:val="20"/>
          <w:szCs w:val="20"/>
          <w:lang w:eastAsia="es-CR"/>
        </w:rPr>
      </w:pPr>
      <w:r w:rsidRPr="00873FEC">
        <w:rPr>
          <w:rFonts w:ascii="Verdana" w:eastAsia="Cambria" w:hAnsi="Verdana" w:cs="Times"/>
          <w:b/>
          <w:i/>
          <w:sz w:val="20"/>
          <w:szCs w:val="20"/>
          <w:lang w:val="es-CR" w:eastAsia="es-CR"/>
        </w:rPr>
        <w:t xml:space="preserve"> </w:t>
      </w:r>
      <w:bookmarkStart w:id="258" w:name="_Toc520207634"/>
      <w:bookmarkStart w:id="259" w:name="_Toc521694844"/>
      <w:bookmarkStart w:id="260" w:name="_Toc525201216"/>
      <w:bookmarkEnd w:id="258"/>
      <w:r w:rsidRPr="00873FEC">
        <w:rPr>
          <w:rFonts w:ascii="Verdana" w:eastAsia="Cambria" w:hAnsi="Verdana" w:cs="Times"/>
          <w:b/>
          <w:i/>
          <w:sz w:val="20"/>
          <w:szCs w:val="20"/>
          <w:lang w:val="en-US" w:eastAsia="es-CR"/>
        </w:rPr>
        <w:t xml:space="preserve">Costas y </w:t>
      </w:r>
      <w:proofErr w:type="spellStart"/>
      <w:r w:rsidRPr="00873FEC">
        <w:rPr>
          <w:rFonts w:ascii="Verdana" w:eastAsia="Cambria" w:hAnsi="Verdana" w:cs="Times"/>
          <w:b/>
          <w:i/>
          <w:sz w:val="20"/>
          <w:szCs w:val="20"/>
          <w:lang w:val="en-US" w:eastAsia="es-CR"/>
        </w:rPr>
        <w:t>Gastos</w:t>
      </w:r>
      <w:bookmarkEnd w:id="259"/>
      <w:bookmarkEnd w:id="260"/>
      <w:proofErr w:type="spellEnd"/>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Los </w:t>
      </w:r>
      <w:r w:rsidRPr="00873FEC">
        <w:rPr>
          <w:rFonts w:ascii="Verdana" w:eastAsia="MS Mincho" w:hAnsi="Verdana" w:cs="Times"/>
          <w:b/>
          <w:i/>
          <w:sz w:val="20"/>
          <w:szCs w:val="20"/>
          <w:lang w:eastAsia="es-CR"/>
        </w:rPr>
        <w:t>representantes</w:t>
      </w:r>
      <w:r w:rsidRPr="00873FEC">
        <w:rPr>
          <w:rFonts w:ascii="Verdana" w:eastAsia="MS Mincho" w:hAnsi="Verdana" w:cs="Times"/>
          <w:sz w:val="20"/>
          <w:szCs w:val="20"/>
          <w:lang w:eastAsia="es-CR"/>
        </w:rPr>
        <w:t xml:space="preserve"> </w:t>
      </w:r>
      <w:r w:rsidRPr="00873FEC">
        <w:rPr>
          <w:rFonts w:ascii="Verdana" w:eastAsia="Batang" w:hAnsi="Verdana" w:cs="Times"/>
          <w:sz w:val="20"/>
          <w:szCs w:val="20"/>
          <w:lang w:eastAsia="es-CR"/>
        </w:rPr>
        <w:t>s</w:t>
      </w:r>
      <w:r w:rsidRPr="00873FEC">
        <w:rPr>
          <w:rFonts w:ascii="Verdana" w:eastAsia="Verdana" w:hAnsi="Verdana" w:cs="Verdana"/>
          <w:sz w:val="20"/>
          <w:szCs w:val="20"/>
          <w:lang w:eastAsia="es-CR"/>
        </w:rPr>
        <w:t>olicitaron en su escrito de solicitudes y argumentos un monto de Q1</w:t>
      </w:r>
      <w:proofErr w:type="gramStart"/>
      <w:r w:rsidRPr="00873FEC">
        <w:rPr>
          <w:rFonts w:ascii="Verdana" w:eastAsia="Verdana" w:hAnsi="Verdana" w:cs="Verdana"/>
          <w:sz w:val="20"/>
          <w:szCs w:val="20"/>
          <w:lang w:eastAsia="es-CR"/>
        </w:rPr>
        <w:t>,500,000.00</w:t>
      </w:r>
      <w:proofErr w:type="gramEnd"/>
      <w:r w:rsidRPr="00873FEC">
        <w:rPr>
          <w:rFonts w:ascii="Verdana" w:eastAsia="Verdana" w:hAnsi="Verdana" w:cs="Verdana"/>
          <w:sz w:val="20"/>
          <w:szCs w:val="20"/>
          <w:lang w:eastAsia="es-CR"/>
        </w:rPr>
        <w:t>. Después señalaron, en sus alegatos finales escritos, un monto de USD $136,425.65 refiriendo gastos realizados “a través de los años” que “no todos […] pueden ser documentados”.</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Times"/>
          <w:b/>
          <w:i/>
          <w:sz w:val="20"/>
          <w:szCs w:val="20"/>
          <w:lang w:eastAsia="es-CR"/>
        </w:rPr>
        <w:t xml:space="preserve">Estado </w:t>
      </w:r>
      <w:r w:rsidRPr="00873FEC">
        <w:rPr>
          <w:rFonts w:ascii="Verdana" w:eastAsia="MS Mincho" w:hAnsi="Verdana" w:cs="Times"/>
          <w:sz w:val="20"/>
          <w:szCs w:val="20"/>
          <w:lang w:eastAsia="es-CR"/>
        </w:rPr>
        <w:t xml:space="preserve">solicitó a la Corte que en concepto de reintegro de costas y gastos, únicamente se otorgue aquellos que sean debidamente comprobados ante la Corte.  </w:t>
      </w:r>
    </w:p>
    <w:p w:rsidR="00D05F7B" w:rsidRPr="00873FEC" w:rsidRDefault="00D05F7B" w:rsidP="00126E97">
      <w:pPr>
        <w:spacing w:after="0" w:line="20" w:lineRule="atLeast"/>
        <w:ind w:left="720"/>
        <w:contextualSpacing/>
        <w:rPr>
          <w:rFonts w:ascii="Calibri" w:eastAsia="Calibri" w:hAnsi="Calibri" w:cs="Verdana"/>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Verdana"/>
          <w:bCs/>
          <w:iCs/>
          <w:sz w:val="20"/>
          <w:szCs w:val="20"/>
          <w:lang w:eastAsia="es-CR"/>
        </w:rPr>
        <w:t xml:space="preserve">La </w:t>
      </w:r>
      <w:r w:rsidRPr="00873FEC">
        <w:rPr>
          <w:rFonts w:ascii="Verdana" w:eastAsia="Batang" w:hAnsi="Verdana" w:cs="Verdana"/>
          <w:b/>
          <w:bCs/>
          <w:i/>
          <w:iCs/>
          <w:sz w:val="20"/>
          <w:szCs w:val="20"/>
          <w:lang w:eastAsia="es-CR"/>
        </w:rPr>
        <w:t>Corte</w:t>
      </w:r>
      <w:r w:rsidRPr="00873FEC">
        <w:rPr>
          <w:rFonts w:ascii="Verdana" w:eastAsia="Batang" w:hAnsi="Verdana" w:cs="Verdana"/>
          <w:bCs/>
          <w:iCs/>
          <w:sz w:val="20"/>
          <w:szCs w:val="20"/>
          <w:lang w:eastAsia="es-CR"/>
        </w:rPr>
        <w:t xml:space="preserve"> reitera que, conforme a su jurisprudencia</w:t>
      </w:r>
      <w:r w:rsidRPr="00873FEC">
        <w:rPr>
          <w:rFonts w:ascii="Verdana" w:eastAsia="Batang" w:hAnsi="Verdana" w:cs="Verdana"/>
          <w:bCs/>
          <w:iCs/>
          <w:sz w:val="20"/>
          <w:szCs w:val="20"/>
          <w:vertAlign w:val="superscript"/>
          <w:lang w:eastAsia="x-none"/>
        </w:rPr>
        <w:footnoteReference w:id="240"/>
      </w:r>
      <w:r w:rsidRPr="00873FEC">
        <w:rPr>
          <w:rFonts w:ascii="Verdana" w:eastAsia="Batang" w:hAnsi="Verdana" w:cs="Verdana"/>
          <w:bCs/>
          <w:iCs/>
          <w:sz w:val="20"/>
          <w:szCs w:val="20"/>
          <w:lang w:eastAsia="es-CR"/>
        </w:rPr>
        <w:t xml:space="preserve">, las costas y gastos hacen parte del concepto de reparación, toda vez que la actividad desplegada por las víctimas con el fin de obtener justicia, tanto a nivel nacional como internacional, implica erogaciones que deben ser compensadas cuando la responsabilidad internacional del Estado es declarada mediante una sentencia condenatoria. En cuanto al reembolso de las costas y gastos, corresponde al Tribunal apreciar prudentemente su alcance, el cual comprende los gastos generados ante las autoridades de la jurisdicción interna, así como los generados en el curso del proceso ante el sistema interamericano, teniendo en cuenta las circunstancias del caso concreto y la naturaleza de la jurisdicción internacional de protección de derechos humanos. Esta apreciación puede ser realizada con base en el principio de equidad y tomando en cuenta los gastos señalados por las partes, siempre que su </w:t>
      </w:r>
      <w:r w:rsidRPr="00873FEC">
        <w:rPr>
          <w:rFonts w:ascii="Verdana" w:eastAsia="Batang" w:hAnsi="Verdana" w:cs="Verdana"/>
          <w:bCs/>
          <w:i/>
          <w:iCs/>
          <w:sz w:val="20"/>
          <w:szCs w:val="20"/>
          <w:lang w:eastAsia="es-CR"/>
        </w:rPr>
        <w:t xml:space="preserve">quantum </w:t>
      </w:r>
      <w:r w:rsidRPr="00873FEC">
        <w:rPr>
          <w:rFonts w:ascii="Verdana" w:eastAsia="Batang" w:hAnsi="Verdana" w:cs="Verdana"/>
          <w:bCs/>
          <w:iCs/>
          <w:sz w:val="20"/>
          <w:szCs w:val="20"/>
          <w:lang w:eastAsia="es-CR"/>
        </w:rPr>
        <w:t>sea razonable</w:t>
      </w:r>
      <w:r w:rsidRPr="00873FEC">
        <w:rPr>
          <w:rFonts w:ascii="Verdana" w:eastAsia="Batang" w:hAnsi="Verdana" w:cs="Verdana"/>
          <w:bCs/>
          <w:iCs/>
          <w:sz w:val="20"/>
          <w:szCs w:val="20"/>
          <w:vertAlign w:val="superscript"/>
          <w:lang w:eastAsia="x-none"/>
        </w:rPr>
        <w:footnoteReference w:id="241"/>
      </w:r>
      <w:r w:rsidRPr="00873FEC">
        <w:rPr>
          <w:rFonts w:ascii="Verdana" w:eastAsia="Batang" w:hAnsi="Verdana" w:cs="Verdana"/>
          <w:bCs/>
          <w:iCs/>
          <w:sz w:val="20"/>
          <w:szCs w:val="20"/>
          <w:lang w:eastAsia="es-CR"/>
        </w:rPr>
        <w:t>.</w:t>
      </w:r>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Este Tribunal ha señalado que “las pretensiones de las víctimas o sus representantes en materia de costas y gastos, y las pruebas que las sustentan, deben presentarse a la Corte en el primer momento procesal que se les concede, esto es, en el escrito de solicitudes y argumentos, sin perjuicio de que tales pretensiones se actualicen en un momento posterior, conforme a las nuevas costas y gastos en que se haya incurrido con ocasión del procedimiento ante esta Corte”</w:t>
      </w:r>
      <w:r w:rsidRPr="00873FEC">
        <w:rPr>
          <w:rFonts w:ascii="Verdana" w:eastAsia="MS Mincho" w:hAnsi="Verdana" w:cs="Times New Roman"/>
          <w:sz w:val="20"/>
          <w:szCs w:val="20"/>
          <w:vertAlign w:val="superscript"/>
          <w:lang w:eastAsia="x-none"/>
        </w:rPr>
        <w:footnoteReference w:id="242"/>
      </w:r>
      <w:r w:rsidRPr="00873FEC">
        <w:rPr>
          <w:rFonts w:ascii="Verdana" w:eastAsia="MS Mincho" w:hAnsi="Verdana" w:cs="Times"/>
          <w:sz w:val="20"/>
          <w:szCs w:val="20"/>
          <w:lang w:eastAsia="es-CR"/>
        </w:rPr>
        <w:t>. Asimismo, la Corte reitera que no es suficiente la remisión de documentos probatorios, sino que se requiere que las partes hagan una argumentación que relacione la prueba con el hecho que se considera representado, y que, al tratarse de alegados desembolsos económicos, se establezcan con claridad los rubros y la justificación de los mismos</w:t>
      </w:r>
      <w:r w:rsidRPr="00873FEC">
        <w:rPr>
          <w:rFonts w:ascii="Verdana" w:eastAsia="MS Mincho" w:hAnsi="Verdana" w:cs="Times New Roman"/>
          <w:sz w:val="20"/>
          <w:szCs w:val="20"/>
          <w:vertAlign w:val="superscript"/>
          <w:lang w:eastAsia="x-none"/>
        </w:rPr>
        <w:footnoteReference w:id="243"/>
      </w:r>
      <w:r w:rsidRPr="00873FEC">
        <w:rPr>
          <w:rFonts w:ascii="Verdana" w:eastAsia="MS Mincho" w:hAnsi="Verdana" w:cs="Times"/>
          <w:sz w:val="20"/>
          <w:szCs w:val="20"/>
          <w:lang w:eastAsia="es-CR"/>
        </w:rPr>
        <w:t>.</w:t>
      </w:r>
    </w:p>
    <w:p w:rsidR="00D05F7B" w:rsidRPr="00873FEC" w:rsidRDefault="00D05F7B" w:rsidP="00126E97">
      <w:pPr>
        <w:spacing w:after="0" w:line="20" w:lineRule="atLeast"/>
        <w:ind w:left="720"/>
        <w:contextualSpacing/>
        <w:rPr>
          <w:rFonts w:ascii="Calibri" w:eastAsia="Calibri"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eastAsia="es-CR"/>
        </w:rPr>
        <w:t xml:space="preserve">La Corte nota que </w:t>
      </w:r>
      <w:r w:rsidRPr="00873FEC">
        <w:rPr>
          <w:rFonts w:ascii="Verdana" w:eastAsia="MS Mincho" w:hAnsi="Verdana" w:cs="Arial"/>
          <w:sz w:val="20"/>
          <w:szCs w:val="20"/>
          <w:lang w:eastAsia="es-CR"/>
        </w:rPr>
        <w:t>no fueron aportados comprobantes de los gastos derivados de la búsqueda de justicia a nivel interno y a nivel internacional por las violaciones s</w:t>
      </w:r>
      <w:r w:rsidR="00F5049E" w:rsidRPr="00873FEC">
        <w:rPr>
          <w:rFonts w:ascii="Verdana" w:eastAsia="MS Mincho" w:hAnsi="Verdana" w:cs="Arial"/>
          <w:sz w:val="20"/>
          <w:szCs w:val="20"/>
          <w:lang w:eastAsia="es-CR"/>
        </w:rPr>
        <w:t>ufridos por los miembros de la C</w:t>
      </w:r>
      <w:r w:rsidRPr="00873FEC">
        <w:rPr>
          <w:rFonts w:ascii="Verdana" w:eastAsia="MS Mincho" w:hAnsi="Verdana" w:cs="Arial"/>
          <w:sz w:val="20"/>
          <w:szCs w:val="20"/>
          <w:lang w:eastAsia="es-CR"/>
        </w:rPr>
        <w:t>omunidad, más allá de una declaración jurada ante notario</w:t>
      </w:r>
      <w:r w:rsidRPr="00873FEC">
        <w:rPr>
          <w:rFonts w:ascii="Verdana" w:eastAsia="MS Mincho" w:hAnsi="Verdana" w:cs="Arial"/>
          <w:sz w:val="20"/>
          <w:szCs w:val="20"/>
          <w:vertAlign w:val="superscript"/>
          <w:lang w:eastAsia="x-none"/>
        </w:rPr>
        <w:footnoteReference w:id="244"/>
      </w:r>
      <w:r w:rsidRPr="00873FEC">
        <w:rPr>
          <w:rFonts w:ascii="Verdana" w:eastAsia="MS Mincho" w:hAnsi="Verdana" w:cs="Arial"/>
          <w:sz w:val="20"/>
          <w:szCs w:val="20"/>
          <w:lang w:eastAsia="es-CR"/>
        </w:rPr>
        <w:t xml:space="preserve"> que no resulta suficiente para comprobar los montos solicitados dado que no se aportan comprobantes de ninguna naturaleza y que, además, refiere a gastos que habrían sido efectuados tanto antes de la presentación del escrito de solicitudes y argumentos como con posterioridad. Sin perjuicio de ello, la Corte considera que es de presumir que el </w:t>
      </w:r>
      <w:r w:rsidRPr="00873FEC">
        <w:rPr>
          <w:rFonts w:ascii="Verdana" w:eastAsia="MS Mincho" w:hAnsi="Verdana" w:cs="Arial"/>
          <w:sz w:val="20"/>
          <w:szCs w:val="20"/>
          <w:lang w:eastAsia="es-CR"/>
        </w:rPr>
        <w:lastRenderedPageBreak/>
        <w:t xml:space="preserve">GAM incurrió en gastos para la búsqueda de justicia a nivel interno y ante el sistema interamericano. </w:t>
      </w:r>
      <w:bookmarkStart w:id="261" w:name="_Ref455680884"/>
      <w:bookmarkEnd w:id="261"/>
      <w:r w:rsidRPr="00873FEC">
        <w:rPr>
          <w:rFonts w:ascii="Verdana" w:eastAsia="MS Mincho" w:hAnsi="Verdana" w:cs="Times"/>
          <w:sz w:val="20"/>
          <w:szCs w:val="20"/>
          <w:lang w:eastAsia="es-CR"/>
        </w:rPr>
        <w:t xml:space="preserve">En consecuencia, la Corte decide fijar </w:t>
      </w:r>
      <w:r w:rsidRPr="00873FEC">
        <w:rPr>
          <w:rFonts w:ascii="Verdana" w:eastAsia="MS Mincho" w:hAnsi="Verdana" w:cs="Verdana"/>
          <w:sz w:val="20"/>
          <w:szCs w:val="20"/>
          <w:lang w:eastAsia="es-CR"/>
        </w:rPr>
        <w:t xml:space="preserve">el pago de un monto total </w:t>
      </w:r>
      <w:r w:rsidRPr="00873FEC">
        <w:rPr>
          <w:rFonts w:ascii="Verdana" w:eastAsia="MS Mincho" w:hAnsi="Verdana" w:cs="Verdana"/>
          <w:sz w:val="20"/>
          <w:szCs w:val="20"/>
          <w:lang w:val="es-CR" w:eastAsia="es-CR"/>
        </w:rPr>
        <w:t xml:space="preserve">de </w:t>
      </w:r>
      <w:r w:rsidRPr="00873FEC">
        <w:rPr>
          <w:rFonts w:ascii="Verdana" w:eastAsia="Batang" w:hAnsi="Verdana" w:cs="Times"/>
          <w:sz w:val="20"/>
          <w:szCs w:val="20"/>
          <w:lang w:val="es-CR" w:eastAsia="es-CR"/>
        </w:rPr>
        <w:t xml:space="preserve">US$ </w:t>
      </w:r>
      <w:r w:rsidRPr="00873FEC">
        <w:rPr>
          <w:rFonts w:ascii="Verdana" w:eastAsia="Batang" w:hAnsi="Verdana" w:cs="Verdana"/>
          <w:sz w:val="20"/>
          <w:szCs w:val="20"/>
          <w:lang w:val="es-CR" w:eastAsia="es-CR"/>
        </w:rPr>
        <w:t>30.000,00 (treinta mil dólares de los Estados Unidos de América)</w:t>
      </w:r>
      <w:r w:rsidRPr="00873FEC">
        <w:rPr>
          <w:rFonts w:ascii="Verdana" w:eastAsia="MS Mincho" w:hAnsi="Verdana" w:cs="Verdana"/>
          <w:sz w:val="20"/>
          <w:szCs w:val="20"/>
          <w:lang w:val="es-CR" w:eastAsia="es-CR"/>
        </w:rPr>
        <w:t xml:space="preserve"> por</w:t>
      </w:r>
      <w:r w:rsidRPr="00873FEC">
        <w:rPr>
          <w:rFonts w:ascii="Verdana" w:eastAsia="MS Mincho" w:hAnsi="Verdana" w:cs="Times"/>
          <w:bCs/>
          <w:sz w:val="20"/>
          <w:szCs w:val="20"/>
          <w:lang w:val="es-CR" w:eastAsia="es-CR"/>
        </w:rPr>
        <w:t xml:space="preserve"> concepto de costas y gastos. </w:t>
      </w:r>
      <w:r w:rsidRPr="00873FEC">
        <w:rPr>
          <w:rFonts w:ascii="Verdana" w:eastAsia="MS Mincho" w:hAnsi="Verdana" w:cs="Verdana"/>
          <w:sz w:val="20"/>
          <w:szCs w:val="20"/>
          <w:lang w:val="es-CR" w:eastAsia="es-CR"/>
        </w:rPr>
        <w:t xml:space="preserve">Dicha cantidad será entregada al </w:t>
      </w:r>
      <w:r w:rsidRPr="00873FEC">
        <w:rPr>
          <w:rFonts w:ascii="Verdana" w:eastAsia="Batang" w:hAnsi="Verdana" w:cs="Times"/>
          <w:sz w:val="20"/>
          <w:szCs w:val="20"/>
          <w:lang w:val="es-CR" w:eastAsia="es-CR"/>
        </w:rPr>
        <w:t>Grupo Apoyo Mutuo</w:t>
      </w:r>
      <w:r w:rsidRPr="00873FEC">
        <w:rPr>
          <w:rFonts w:ascii="Verdana" w:eastAsia="MS Mincho" w:hAnsi="Verdana" w:cs="Verdana"/>
          <w:sz w:val="20"/>
          <w:szCs w:val="20"/>
          <w:lang w:val="es-CR" w:eastAsia="es-CR"/>
        </w:rPr>
        <w:t xml:space="preserve">. </w:t>
      </w:r>
      <w:r w:rsidRPr="00873FEC">
        <w:rPr>
          <w:rFonts w:ascii="Verdana" w:eastAsia="Batang" w:hAnsi="Verdana" w:cs="Times"/>
          <w:sz w:val="20"/>
          <w:szCs w:val="20"/>
          <w:lang w:val="es-CR" w:eastAsia="es-CR"/>
        </w:rPr>
        <w:t>En el</w:t>
      </w:r>
      <w:r w:rsidRPr="00873FEC">
        <w:rPr>
          <w:rFonts w:ascii="Verdana" w:eastAsia="Batang" w:hAnsi="Verdana" w:cs="Times"/>
          <w:sz w:val="20"/>
          <w:szCs w:val="20"/>
          <w:lang w:eastAsia="es-CR"/>
        </w:rPr>
        <w:t xml:space="preserve"> procedimiento de supervisión de cumplimiento de la presente Sentencia, el Tribunal podrá disponer el reembolso por parte del Estado a las víctimas o sus representantes de los gastos razonables debidamente comprobados en dicha etapa procesal</w:t>
      </w:r>
      <w:r w:rsidRPr="00873FEC">
        <w:rPr>
          <w:rFonts w:ascii="Verdana" w:eastAsia="Calibri" w:hAnsi="Verdana" w:cs="Times New Roman"/>
          <w:sz w:val="20"/>
          <w:szCs w:val="20"/>
          <w:vertAlign w:val="superscript"/>
          <w:lang w:val="es-CR" w:eastAsia="x-none"/>
        </w:rPr>
        <w:footnoteReference w:id="245"/>
      </w:r>
      <w:r w:rsidRPr="00873FEC">
        <w:rPr>
          <w:rFonts w:ascii="Verdana" w:eastAsia="Batang" w:hAnsi="Verdana" w:cs="Times"/>
          <w:sz w:val="20"/>
          <w:szCs w:val="20"/>
          <w:lang w:eastAsia="es-CR"/>
        </w:rPr>
        <w:t>.</w:t>
      </w:r>
      <w:r w:rsidRPr="00873FEC">
        <w:rPr>
          <w:rFonts w:ascii="Verdana" w:eastAsia="Batang" w:hAnsi="Verdana" w:cs="Verdana"/>
          <w:sz w:val="20"/>
          <w:szCs w:val="20"/>
          <w:lang w:val="es-CR" w:eastAsia="es-CR"/>
        </w:rPr>
        <w:t xml:space="preserve"> </w:t>
      </w:r>
    </w:p>
    <w:p w:rsidR="00D05F7B" w:rsidRPr="00873FEC" w:rsidRDefault="00D05F7B" w:rsidP="00126E97">
      <w:pPr>
        <w:spacing w:after="0" w:line="20" w:lineRule="atLeast"/>
        <w:ind w:right="-138"/>
        <w:jc w:val="both"/>
        <w:rPr>
          <w:rFonts w:ascii="Verdana" w:eastAsia="Batang" w:hAnsi="Verdana" w:cs="Verdana"/>
          <w:sz w:val="20"/>
          <w:szCs w:val="20"/>
          <w:lang w:val="es-CR" w:eastAsia="es-CR"/>
        </w:rPr>
      </w:pPr>
    </w:p>
    <w:p w:rsidR="00D05F7B" w:rsidRPr="00873FEC" w:rsidRDefault="00D05F7B" w:rsidP="00126E97">
      <w:pPr>
        <w:keepNext/>
        <w:keepLines/>
        <w:numPr>
          <w:ilvl w:val="0"/>
          <w:numId w:val="12"/>
        </w:numPr>
        <w:spacing w:after="0" w:line="20" w:lineRule="atLeast"/>
        <w:ind w:left="284"/>
        <w:jc w:val="both"/>
        <w:outlineLvl w:val="1"/>
        <w:rPr>
          <w:rFonts w:ascii="Verdana" w:eastAsia="Cambria" w:hAnsi="Verdana" w:cs="Times"/>
          <w:b/>
          <w:i/>
          <w:sz w:val="20"/>
          <w:szCs w:val="20"/>
          <w:lang w:val="es-CR" w:eastAsia="es-CR"/>
        </w:rPr>
      </w:pPr>
      <w:bookmarkStart w:id="262" w:name="_Toc495658706"/>
      <w:bookmarkStart w:id="263" w:name="_Toc476390748"/>
      <w:bookmarkStart w:id="264" w:name="_Toc514172674"/>
      <w:bookmarkEnd w:id="262"/>
      <w:bookmarkEnd w:id="263"/>
      <w:bookmarkEnd w:id="264"/>
      <w:r w:rsidRPr="00873FEC">
        <w:rPr>
          <w:rFonts w:ascii="Verdana" w:eastAsia="Cambria" w:hAnsi="Verdana" w:cs="Times"/>
          <w:b/>
          <w:i/>
          <w:sz w:val="20"/>
          <w:szCs w:val="20"/>
          <w:lang w:val="es-CR" w:eastAsia="es-CR"/>
        </w:rPr>
        <w:t xml:space="preserve"> </w:t>
      </w:r>
      <w:bookmarkStart w:id="265" w:name="_Toc520207635"/>
      <w:bookmarkStart w:id="266" w:name="_Toc521694845"/>
      <w:bookmarkStart w:id="267" w:name="_Toc525201217"/>
      <w:bookmarkEnd w:id="265"/>
      <w:r w:rsidRPr="00873FEC">
        <w:rPr>
          <w:rFonts w:ascii="Verdana" w:eastAsia="Cambria" w:hAnsi="Verdana" w:cs="Times"/>
          <w:b/>
          <w:i/>
          <w:sz w:val="20"/>
          <w:szCs w:val="20"/>
          <w:lang w:val="es-CR" w:eastAsia="es-CR"/>
        </w:rPr>
        <w:t>Modalidad de cumplimiento de los pagos ordenados</w:t>
      </w:r>
      <w:bookmarkEnd w:id="266"/>
      <w:bookmarkEnd w:id="267"/>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 xml:space="preserve">El </w:t>
      </w:r>
      <w:r w:rsidRPr="00873FEC">
        <w:rPr>
          <w:rFonts w:ascii="Verdana" w:eastAsia="MS Mincho" w:hAnsi="Verdana" w:cs="Verdana"/>
          <w:sz w:val="20"/>
          <w:szCs w:val="20"/>
          <w:lang w:eastAsia="es-CR"/>
        </w:rPr>
        <w:t>Estado</w:t>
      </w:r>
      <w:r w:rsidRPr="00873FEC">
        <w:rPr>
          <w:rFonts w:ascii="Verdana" w:eastAsia="MS Mincho" w:hAnsi="Verdana" w:cs="Times"/>
          <w:sz w:val="20"/>
          <w:szCs w:val="20"/>
          <w:lang w:eastAsia="es-CR"/>
        </w:rPr>
        <w:t xml:space="preserve"> deberá efectuar el pago de las indemnizaciones por concepto de daño material e </w:t>
      </w:r>
      <w:r w:rsidRPr="00873FEC">
        <w:rPr>
          <w:rFonts w:ascii="Verdana" w:eastAsia="MS Mincho" w:hAnsi="Verdana" w:cs="Verdana"/>
          <w:sz w:val="20"/>
          <w:szCs w:val="20"/>
          <w:lang w:eastAsia="es-CR"/>
        </w:rPr>
        <w:t>inmaterial</w:t>
      </w:r>
      <w:r w:rsidRPr="00873FEC">
        <w:rPr>
          <w:rFonts w:ascii="Verdana" w:eastAsia="MS Mincho" w:hAnsi="Verdana" w:cs="Times"/>
          <w:sz w:val="20"/>
          <w:szCs w:val="20"/>
          <w:lang w:eastAsia="es-CR"/>
        </w:rPr>
        <w:t xml:space="preserve"> y el reintegro de costas y gastos establecidos en la presente Sentencia directamente a las personas indicadas en la misma, dentro del plazo de un año, contado a partir de la notificación del presente Fallo, </w:t>
      </w:r>
      <w:r w:rsidRPr="00873FEC">
        <w:rPr>
          <w:rFonts w:ascii="Verdana" w:eastAsia="Batang" w:hAnsi="Verdana" w:cs="Times"/>
          <w:sz w:val="20"/>
          <w:szCs w:val="20"/>
          <w:lang w:eastAsia="es-CR"/>
        </w:rPr>
        <w:t>sin perjuicio de que pueda adelantar el pago completo en un plazo menor, en los términos de los siguientes párrafos</w:t>
      </w:r>
      <w:r w:rsidRPr="00873FEC">
        <w:rPr>
          <w:rFonts w:ascii="Verdana" w:eastAsia="MS Mincho" w:hAnsi="Verdana" w:cs="Times"/>
          <w:sz w:val="20"/>
          <w:szCs w:val="20"/>
          <w:lang w:eastAsia="es-CR"/>
        </w:rPr>
        <w:t>.</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4"/>
          <w:lang w:val="es-CR" w:eastAsia="es-CR"/>
        </w:rPr>
        <w:t>En caso de que las personas beneficiarias que estén vivas al momento de emitirse la presente Sentencia fallezcan antes de que el Estado efectúe el pago correspondiente, éste se efectuará directamente a sus derechohabientes, conforme al derecho interno aplicable.</w:t>
      </w:r>
    </w:p>
    <w:p w:rsidR="00D05F7B" w:rsidRPr="00873FEC" w:rsidRDefault="00D05F7B" w:rsidP="00126E97">
      <w:pPr>
        <w:spacing w:after="0" w:line="20" w:lineRule="atLeast"/>
        <w:ind w:right="-138"/>
        <w:jc w:val="both"/>
        <w:rPr>
          <w:rFonts w:ascii="Verdana" w:eastAsia="Batang" w:hAnsi="Verdana" w:cs="Times"/>
          <w:sz w:val="20"/>
          <w:szCs w:val="24"/>
          <w:lang w:val="es-CR"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Batang" w:hAnsi="Verdana" w:cs="Times"/>
          <w:sz w:val="20"/>
          <w:szCs w:val="20"/>
          <w:lang w:val="es-CR" w:eastAsia="es-CR"/>
        </w:rPr>
        <w:t xml:space="preserve">El Estado deberá cumplir con las obligaciones monetarias mediante el pago en dólares de los Estados Unidos de América o su equivalente en moneda nacional, utilizando para el cálculo respectivo el tipo de </w:t>
      </w:r>
      <w:r w:rsidRPr="00873FEC">
        <w:rPr>
          <w:rFonts w:ascii="Verdana" w:eastAsia="Batang" w:hAnsi="Verdana" w:cs="Times"/>
          <w:spacing w:val="-2"/>
          <w:sz w:val="20"/>
          <w:szCs w:val="20"/>
          <w:lang w:val="es-CR" w:eastAsia="es-CR"/>
        </w:rPr>
        <w:t>cambio</w:t>
      </w:r>
      <w:r w:rsidRPr="00873FEC">
        <w:rPr>
          <w:rFonts w:ascii="Verdana" w:eastAsia="Batang" w:hAnsi="Verdana" w:cs="Times"/>
          <w:sz w:val="20"/>
          <w:szCs w:val="20"/>
          <w:lang w:val="es-CR" w:eastAsia="es-CR"/>
        </w:rPr>
        <w:t xml:space="preserve"> que se encuentre vigente en la bolsa de Nueva York, de Estados Unidos de América, el día anterior al pago</w:t>
      </w:r>
      <w:r w:rsidRPr="00873FEC">
        <w:rPr>
          <w:rFonts w:ascii="Verdana" w:eastAsia="Batang" w:hAnsi="Verdana" w:cs="Times"/>
          <w:sz w:val="20"/>
          <w:szCs w:val="20"/>
          <w:lang w:eastAsia="es-CR"/>
        </w:rPr>
        <w:t>.</w:t>
      </w:r>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287A5A"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Si por causas atribuibles a la</w:t>
      </w:r>
      <w:r w:rsidR="00D05F7B" w:rsidRPr="00873FEC">
        <w:rPr>
          <w:rFonts w:ascii="Verdana" w:eastAsia="MS Mincho" w:hAnsi="Verdana" w:cs="Times"/>
          <w:sz w:val="20"/>
          <w:szCs w:val="20"/>
          <w:lang w:eastAsia="es-CR"/>
        </w:rPr>
        <w:t>s</w:t>
      </w:r>
      <w:r w:rsidRPr="00873FEC">
        <w:rPr>
          <w:rFonts w:ascii="Verdana" w:eastAsia="MS Mincho" w:hAnsi="Verdana" w:cs="Times"/>
          <w:sz w:val="20"/>
          <w:szCs w:val="20"/>
          <w:lang w:eastAsia="es-CR"/>
        </w:rPr>
        <w:t xml:space="preserve"> personas</w:t>
      </w:r>
      <w:r w:rsidR="00D05F7B" w:rsidRPr="00873FEC">
        <w:rPr>
          <w:rFonts w:ascii="Verdana" w:eastAsia="MS Mincho" w:hAnsi="Verdana" w:cs="Times"/>
          <w:sz w:val="20"/>
          <w:szCs w:val="20"/>
          <w:lang w:eastAsia="es-CR"/>
        </w:rPr>
        <w:t xml:space="preserve"> beneficiari</w:t>
      </w:r>
      <w:r w:rsidRPr="00873FEC">
        <w:rPr>
          <w:rFonts w:ascii="Verdana" w:eastAsia="MS Mincho" w:hAnsi="Verdana" w:cs="Times"/>
          <w:sz w:val="20"/>
          <w:szCs w:val="20"/>
          <w:lang w:eastAsia="es-CR"/>
        </w:rPr>
        <w:t>a</w:t>
      </w:r>
      <w:r w:rsidR="00D05F7B" w:rsidRPr="00873FEC">
        <w:rPr>
          <w:rFonts w:ascii="Verdana" w:eastAsia="MS Mincho" w:hAnsi="Verdana" w:cs="Times"/>
          <w:sz w:val="20"/>
          <w:szCs w:val="20"/>
          <w:lang w:eastAsia="es-CR"/>
        </w:rPr>
        <w:t>s de las indemnizaciones o a sus derechohabientes no fuese posible el pago de las cantidades determinadas dentro del plazo indicado, el Estado consignará dichos montos a su favor en una cuenta o certificado de depósito en una institución financiera guatemalteca solvente, en dólares de los Estados Unidos de América, y en las condiciones financieras más favorables que permitan la legislación y la práctica bancaria. Si no se reclama la indemnización correspondiente una vez transcurridos diez años, las cantidades serán devueltas al Estado con los intereses devengados.</w:t>
      </w:r>
    </w:p>
    <w:p w:rsidR="00D05F7B" w:rsidRPr="00873FEC" w:rsidRDefault="00D05F7B" w:rsidP="00126E97">
      <w:pPr>
        <w:spacing w:after="0" w:line="20" w:lineRule="atLeast"/>
        <w:ind w:left="720"/>
        <w:contextualSpacing/>
        <w:rPr>
          <w:rFonts w:ascii="Calibri" w:eastAsia="MS Mincho" w:hAnsi="Calibri" w:cs="Times"/>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4"/>
          <w:lang w:val="es-CR" w:eastAsia="es-CR"/>
        </w:rPr>
      </w:pPr>
      <w:r w:rsidRPr="00873FEC">
        <w:rPr>
          <w:rFonts w:ascii="Verdana" w:eastAsia="MS Mincho" w:hAnsi="Verdana" w:cs="Times"/>
          <w:sz w:val="20"/>
          <w:szCs w:val="20"/>
          <w:lang w:eastAsia="es-CR"/>
        </w:rPr>
        <w:t>Las cantidades asignadas en la presente Sentencia como indemnización y como reintegro de costas y gastos deberán ser entregadas a las personas y organizaciones indicadas en forma íntegra, conforme a lo establecido en esta Sentencia, sin reducciones derivadas de eventuales cargas fiscales.</w:t>
      </w:r>
    </w:p>
    <w:p w:rsidR="000624C7" w:rsidRDefault="000624C7" w:rsidP="00126E97">
      <w:pPr>
        <w:spacing w:after="0" w:line="20" w:lineRule="atLeast"/>
        <w:ind w:left="720"/>
        <w:contextualSpacing/>
        <w:jc w:val="center"/>
        <w:outlineLvl w:val="0"/>
        <w:rPr>
          <w:rFonts w:ascii="Verdana" w:eastAsia="Calibri" w:hAnsi="Verdana" w:cs="Times"/>
          <w:b/>
          <w:sz w:val="20"/>
          <w:szCs w:val="20"/>
          <w:lang w:eastAsia="es-CR"/>
        </w:rPr>
      </w:pPr>
      <w:bookmarkStart w:id="268" w:name="_Toc520207636"/>
      <w:bookmarkStart w:id="269" w:name="_Toc525201218"/>
      <w:bookmarkEnd w:id="268"/>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7E5A4B" w:rsidRDefault="007E5A4B" w:rsidP="00126E97">
      <w:pPr>
        <w:spacing w:after="0" w:line="20" w:lineRule="atLeast"/>
        <w:ind w:left="720"/>
        <w:contextualSpacing/>
        <w:jc w:val="center"/>
        <w:outlineLvl w:val="0"/>
        <w:rPr>
          <w:rFonts w:ascii="Verdana" w:eastAsia="Calibri" w:hAnsi="Verdana" w:cs="Times"/>
          <w:b/>
          <w:sz w:val="20"/>
          <w:szCs w:val="20"/>
          <w:lang w:eastAsia="es-CR"/>
        </w:rPr>
      </w:pPr>
    </w:p>
    <w:p w:rsidR="00D05F7B" w:rsidRPr="00873FEC" w:rsidRDefault="009D750E" w:rsidP="00126E97">
      <w:pPr>
        <w:spacing w:after="0" w:line="20" w:lineRule="atLeast"/>
        <w:ind w:left="720"/>
        <w:contextualSpacing/>
        <w:jc w:val="center"/>
        <w:outlineLvl w:val="0"/>
        <w:rPr>
          <w:rFonts w:ascii="Verdana" w:eastAsia="Calibri" w:hAnsi="Verdana" w:cs="Times"/>
          <w:b/>
          <w:sz w:val="20"/>
          <w:szCs w:val="20"/>
          <w:lang w:eastAsia="es-CR"/>
        </w:rPr>
      </w:pPr>
      <w:r w:rsidRPr="009D750E">
        <w:rPr>
          <w:rFonts w:ascii="Verdana" w:eastAsia="Calibri" w:hAnsi="Verdana" w:cs="Times"/>
          <w:b/>
          <w:sz w:val="20"/>
          <w:szCs w:val="20"/>
          <w:lang w:eastAsia="es-CR"/>
        </w:rPr>
        <w:lastRenderedPageBreak/>
        <w:t>I</w:t>
      </w:r>
      <w:r w:rsidR="00D05F7B" w:rsidRPr="00873FEC">
        <w:rPr>
          <w:rFonts w:ascii="Verdana" w:eastAsia="Calibri" w:hAnsi="Verdana" w:cs="Times"/>
          <w:b/>
          <w:sz w:val="20"/>
          <w:szCs w:val="20"/>
          <w:lang w:eastAsia="es-CR"/>
        </w:rPr>
        <w:t>X</w:t>
      </w:r>
      <w:bookmarkEnd w:id="269"/>
    </w:p>
    <w:p w:rsidR="00D05F7B" w:rsidRDefault="00D05F7B" w:rsidP="00126E97">
      <w:pPr>
        <w:spacing w:after="0" w:line="20" w:lineRule="atLeast"/>
        <w:ind w:left="720"/>
        <w:contextualSpacing/>
        <w:jc w:val="center"/>
        <w:outlineLvl w:val="0"/>
        <w:rPr>
          <w:rFonts w:ascii="Verdana" w:eastAsia="Calibri" w:hAnsi="Verdana" w:cs="Times"/>
          <w:b/>
          <w:sz w:val="20"/>
          <w:szCs w:val="20"/>
          <w:lang w:eastAsia="es-CR"/>
        </w:rPr>
      </w:pPr>
      <w:bookmarkStart w:id="270" w:name="_Toc520207637"/>
      <w:bookmarkStart w:id="271" w:name="_Toc525201219"/>
      <w:bookmarkEnd w:id="270"/>
      <w:r w:rsidRPr="00873FEC">
        <w:rPr>
          <w:rFonts w:ascii="Verdana" w:eastAsia="Calibri" w:hAnsi="Verdana" w:cs="Times"/>
          <w:b/>
          <w:sz w:val="20"/>
          <w:szCs w:val="20"/>
          <w:lang w:eastAsia="es-CR"/>
        </w:rPr>
        <w:t>PUNTOS RESOLUTIVOS</w:t>
      </w:r>
      <w:bookmarkEnd w:id="271"/>
    </w:p>
    <w:p w:rsidR="000624C7" w:rsidRDefault="000624C7" w:rsidP="00126E97">
      <w:pPr>
        <w:spacing w:after="0" w:line="20" w:lineRule="atLeast"/>
        <w:ind w:left="720"/>
        <w:contextualSpacing/>
        <w:jc w:val="center"/>
        <w:outlineLvl w:val="0"/>
        <w:rPr>
          <w:rFonts w:ascii="Verdana" w:eastAsia="Calibri" w:hAnsi="Verdana" w:cs="Times"/>
          <w:b/>
          <w:sz w:val="20"/>
          <w:szCs w:val="20"/>
          <w:lang w:eastAsia="es-CR"/>
        </w:rPr>
      </w:pPr>
    </w:p>
    <w:p w:rsidR="000624C7" w:rsidRPr="00873FEC" w:rsidRDefault="000624C7" w:rsidP="00126E97">
      <w:pPr>
        <w:spacing w:after="0" w:line="20" w:lineRule="atLeast"/>
        <w:ind w:left="720"/>
        <w:contextualSpacing/>
        <w:jc w:val="center"/>
        <w:outlineLvl w:val="0"/>
        <w:rPr>
          <w:rFonts w:ascii="Verdana" w:eastAsia="Calibri" w:hAnsi="Verdana" w:cs="Times"/>
          <w:b/>
          <w:sz w:val="20"/>
          <w:szCs w:val="20"/>
          <w:lang w:eastAsia="es-CR"/>
        </w:rPr>
      </w:pPr>
    </w:p>
    <w:p w:rsidR="00D05F7B" w:rsidRPr="00873FEC" w:rsidRDefault="00D05F7B" w:rsidP="00126E97">
      <w:pPr>
        <w:numPr>
          <w:ilvl w:val="0"/>
          <w:numId w:val="3"/>
        </w:numPr>
        <w:spacing w:after="0" w:line="20" w:lineRule="atLeast"/>
        <w:ind w:right="-138"/>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Por tanto,</w:t>
      </w:r>
    </w:p>
    <w:p w:rsidR="00D05F7B" w:rsidRDefault="00D05F7B" w:rsidP="00126E97">
      <w:pPr>
        <w:spacing w:after="0" w:line="20" w:lineRule="atLeast"/>
        <w:jc w:val="both"/>
        <w:rPr>
          <w:rFonts w:ascii="Verdana" w:eastAsia="Batang" w:hAnsi="Verdana" w:cs="Times"/>
          <w:sz w:val="20"/>
          <w:szCs w:val="20"/>
          <w:lang w:eastAsia="es-CR"/>
        </w:rPr>
      </w:pPr>
    </w:p>
    <w:p w:rsidR="000624C7" w:rsidRPr="00873FEC" w:rsidRDefault="000624C7" w:rsidP="00126E97">
      <w:pPr>
        <w:spacing w:after="0" w:line="20" w:lineRule="atLeast"/>
        <w:jc w:val="both"/>
        <w:rPr>
          <w:rFonts w:ascii="Verdana" w:eastAsia="Batang" w:hAnsi="Verdana" w:cs="Times"/>
          <w:sz w:val="20"/>
          <w:szCs w:val="20"/>
          <w:lang w:eastAsia="es-CR"/>
        </w:rPr>
      </w:pPr>
    </w:p>
    <w:p w:rsidR="00D05F7B" w:rsidRPr="00873FEC" w:rsidRDefault="00D05F7B" w:rsidP="00126E97">
      <w:pPr>
        <w:spacing w:after="0" w:line="20" w:lineRule="atLeast"/>
        <w:jc w:val="both"/>
        <w:rPr>
          <w:rFonts w:ascii="Verdana" w:eastAsia="Batang" w:hAnsi="Verdana" w:cs="Times"/>
          <w:sz w:val="20"/>
          <w:szCs w:val="20"/>
          <w:lang w:eastAsia="es-CR"/>
        </w:rPr>
      </w:pPr>
      <w:r w:rsidRPr="00873FEC">
        <w:rPr>
          <w:rFonts w:ascii="Verdana" w:eastAsia="Batang" w:hAnsi="Verdana" w:cs="Times"/>
          <w:b/>
          <w:sz w:val="20"/>
          <w:szCs w:val="20"/>
          <w:lang w:eastAsia="es-CR"/>
        </w:rPr>
        <w:t>LA CORTE</w:t>
      </w:r>
    </w:p>
    <w:p w:rsidR="00D05F7B" w:rsidRDefault="00D05F7B" w:rsidP="00126E97">
      <w:pPr>
        <w:spacing w:after="0" w:line="20" w:lineRule="atLeast"/>
        <w:jc w:val="both"/>
        <w:rPr>
          <w:rFonts w:ascii="Verdana" w:eastAsia="Batang" w:hAnsi="Verdana" w:cs="Times"/>
          <w:sz w:val="20"/>
          <w:szCs w:val="20"/>
          <w:lang w:eastAsia="es-CR"/>
        </w:rPr>
      </w:pPr>
    </w:p>
    <w:p w:rsidR="00D05F7B" w:rsidRPr="00873FEC" w:rsidRDefault="00D05F7B" w:rsidP="00126E97">
      <w:pPr>
        <w:tabs>
          <w:tab w:val="left" w:pos="0"/>
        </w:tabs>
        <w:spacing w:after="0" w:line="20" w:lineRule="atLeast"/>
        <w:jc w:val="both"/>
        <w:rPr>
          <w:rFonts w:ascii="Verdana" w:eastAsia="Batang" w:hAnsi="Verdana" w:cs="Times"/>
          <w:b/>
          <w:sz w:val="20"/>
          <w:szCs w:val="20"/>
          <w:lang w:eastAsia="es-CR"/>
        </w:rPr>
      </w:pPr>
      <w:r w:rsidRPr="00873FEC">
        <w:rPr>
          <w:rFonts w:ascii="Verdana" w:eastAsia="Batang" w:hAnsi="Verdana" w:cs="Times"/>
          <w:b/>
          <w:sz w:val="20"/>
          <w:szCs w:val="20"/>
          <w:lang w:eastAsia="es-CR"/>
        </w:rPr>
        <w:t>DECLARA,</w:t>
      </w:r>
    </w:p>
    <w:p w:rsidR="00D05F7B" w:rsidRDefault="00D05F7B" w:rsidP="00126E97">
      <w:pPr>
        <w:tabs>
          <w:tab w:val="left" w:pos="0"/>
        </w:tabs>
        <w:spacing w:after="0" w:line="20" w:lineRule="atLeast"/>
        <w:jc w:val="both"/>
        <w:rPr>
          <w:rFonts w:ascii="Verdana" w:eastAsia="Batang" w:hAnsi="Verdana" w:cs="Times"/>
          <w:sz w:val="20"/>
          <w:szCs w:val="20"/>
          <w:lang w:eastAsia="es-CR"/>
        </w:rPr>
      </w:pPr>
    </w:p>
    <w:p w:rsidR="00F42B5A" w:rsidRPr="00873FEC" w:rsidRDefault="00F42B5A" w:rsidP="00126E97">
      <w:pPr>
        <w:tabs>
          <w:tab w:val="left" w:pos="0"/>
        </w:tabs>
        <w:spacing w:after="0" w:line="20" w:lineRule="atLeast"/>
        <w:jc w:val="both"/>
        <w:rPr>
          <w:rFonts w:ascii="Verdana" w:eastAsia="Batang" w:hAnsi="Verdana" w:cs="Times"/>
          <w:sz w:val="20"/>
          <w:szCs w:val="20"/>
          <w:lang w:eastAsia="es-CR"/>
        </w:rPr>
      </w:pPr>
    </w:p>
    <w:p w:rsidR="00D05F7B" w:rsidRPr="00873FEC" w:rsidRDefault="00D05F7B" w:rsidP="00126E97">
      <w:pPr>
        <w:widowControl w:val="0"/>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eastAsia="es-CR"/>
        </w:rPr>
        <w:t>Por unanimidad, que:</w:t>
      </w:r>
    </w:p>
    <w:p w:rsidR="00D05F7B" w:rsidRPr="00873FEC" w:rsidRDefault="00D05F7B" w:rsidP="00126E97">
      <w:pPr>
        <w:widowControl w:val="0"/>
        <w:spacing w:after="0" w:line="20" w:lineRule="atLeast"/>
        <w:contextualSpacing/>
        <w:jc w:val="both"/>
        <w:rPr>
          <w:rFonts w:ascii="Verdana" w:eastAsia="Calibri" w:hAnsi="Verdana" w:cs="Times"/>
          <w:sz w:val="20"/>
          <w:szCs w:val="20"/>
          <w:lang w:eastAsia="es-CR"/>
        </w:rPr>
      </w:pPr>
    </w:p>
    <w:p w:rsidR="00D05F7B" w:rsidRPr="00873FEC" w:rsidRDefault="00D05F7B" w:rsidP="00126E97">
      <w:pPr>
        <w:widowControl w:val="0"/>
        <w:numPr>
          <w:ilvl w:val="0"/>
          <w:numId w:val="13"/>
        </w:numPr>
        <w:spacing w:after="0" w:line="20" w:lineRule="atLeast"/>
        <w:contextualSpacing/>
        <w:jc w:val="both"/>
        <w:rPr>
          <w:rFonts w:ascii="Verdana" w:eastAsia="Calibri" w:hAnsi="Verdana" w:cs="Times"/>
          <w:sz w:val="20"/>
          <w:szCs w:val="20"/>
          <w:lang w:val="es-CR" w:eastAsia="es-CR"/>
        </w:rPr>
      </w:pPr>
      <w:r w:rsidRPr="00873FEC">
        <w:rPr>
          <w:rFonts w:ascii="Verdana" w:eastAsia="Calibri" w:hAnsi="Verdana" w:cs="Arial"/>
          <w:sz w:val="20"/>
          <w:szCs w:val="20"/>
          <w:lang w:val="es-CR" w:eastAsia="es-CR"/>
        </w:rPr>
        <w:t>El Estado es responsable por la violación de los derechos a las garantías judiciales y a la protección judicial contenidos en los artículos 8.1 y 25.1 de la Convención Americana sobre Derechos Humanos, en relación con el artículo 1.1 de la misma, en perjuicio de las personas indicadas en el Anexo B.1 de la presente Sentencia, en los términos de sus párrafos 77 a 98.</w:t>
      </w:r>
    </w:p>
    <w:p w:rsidR="00D05F7B" w:rsidRPr="00873FEC" w:rsidRDefault="00D05F7B" w:rsidP="00126E97">
      <w:pPr>
        <w:widowControl w:val="0"/>
        <w:spacing w:after="0" w:line="20" w:lineRule="atLeast"/>
        <w:contextualSpacing/>
        <w:jc w:val="both"/>
        <w:rPr>
          <w:rFonts w:ascii="Verdana" w:eastAsia="Calibri" w:hAnsi="Verdana" w:cs="Times"/>
          <w:sz w:val="20"/>
          <w:szCs w:val="20"/>
          <w:lang w:val="es-CR" w:eastAsia="es-CR"/>
        </w:rPr>
      </w:pPr>
    </w:p>
    <w:p w:rsidR="00D05F7B" w:rsidRPr="00873FEC" w:rsidRDefault="00D05F7B" w:rsidP="00126E97">
      <w:pPr>
        <w:numPr>
          <w:ilvl w:val="0"/>
          <w:numId w:val="13"/>
        </w:numPr>
        <w:tabs>
          <w:tab w:val="left" w:pos="0"/>
        </w:tabs>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eastAsia="es-CR"/>
        </w:rPr>
        <w:t>El Estado es responsable por la violación del derecho a la vida, contenido en el artículo 4. 1 de la Convención Americana sobre Derechos Humanos, en relación con la obligación de respetar los derechos sin discriminación, establecida en el artículo 1.1 de la misma, en perjuicio de las personas indicadas en el Anexo B.2 de la presente Sentencia, en los términos de sus párrafos 104 a 107, 109 a 11</w:t>
      </w:r>
      <w:r w:rsidR="00FA01FE" w:rsidRPr="00873FEC">
        <w:rPr>
          <w:rFonts w:ascii="Verdana" w:eastAsia="Calibri" w:hAnsi="Verdana" w:cs="Times"/>
          <w:sz w:val="20"/>
          <w:szCs w:val="20"/>
          <w:lang w:eastAsia="es-CR"/>
        </w:rPr>
        <w:t>1</w:t>
      </w:r>
      <w:r w:rsidRPr="00873FEC">
        <w:rPr>
          <w:rFonts w:ascii="Verdana" w:eastAsia="Calibri" w:hAnsi="Verdana" w:cs="Times"/>
          <w:sz w:val="20"/>
          <w:szCs w:val="20"/>
          <w:lang w:eastAsia="es-CR"/>
        </w:rPr>
        <w:t xml:space="preserve"> y 116 a 120.</w:t>
      </w:r>
    </w:p>
    <w:p w:rsidR="00D05F7B" w:rsidRPr="00873FEC" w:rsidRDefault="00D05F7B" w:rsidP="00126E97">
      <w:pPr>
        <w:spacing w:after="0" w:line="20" w:lineRule="atLeast"/>
        <w:contextualSpacing/>
        <w:jc w:val="both"/>
        <w:rPr>
          <w:rFonts w:ascii="Verdana" w:eastAsia="Calibri" w:hAnsi="Verdana" w:cs="Times"/>
          <w:sz w:val="20"/>
          <w:szCs w:val="20"/>
          <w:lang w:eastAsia="es-CR"/>
        </w:rPr>
      </w:pPr>
    </w:p>
    <w:p w:rsidR="00D05F7B" w:rsidRPr="00873FEC" w:rsidRDefault="00D05F7B" w:rsidP="00126E97">
      <w:pPr>
        <w:numPr>
          <w:ilvl w:val="0"/>
          <w:numId w:val="13"/>
        </w:numPr>
        <w:tabs>
          <w:tab w:val="left" w:pos="0"/>
        </w:tabs>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eastAsia="es-CR"/>
        </w:rPr>
        <w:t xml:space="preserve">El Estado es responsable por la violación del derecho a la integridad personal, contenido en el artículo 5.1 de la Convención Americana sobre Derechos Humanos, en relación con la obligación </w:t>
      </w:r>
      <w:r w:rsidR="00214820" w:rsidRPr="00873FEC">
        <w:rPr>
          <w:rFonts w:ascii="Verdana" w:eastAsia="Calibri" w:hAnsi="Verdana" w:cs="Times"/>
          <w:sz w:val="20"/>
          <w:szCs w:val="20"/>
          <w:lang w:eastAsia="es-CR"/>
        </w:rPr>
        <w:t xml:space="preserve">de respetar los derechos sin discriminación </w:t>
      </w:r>
      <w:r w:rsidRPr="00873FEC">
        <w:rPr>
          <w:rFonts w:ascii="Verdana" w:eastAsia="Calibri" w:hAnsi="Verdana" w:cs="Times"/>
          <w:sz w:val="20"/>
          <w:szCs w:val="20"/>
          <w:lang w:eastAsia="es-CR"/>
        </w:rPr>
        <w:t xml:space="preserve">establecida en el artículo 1.1 de la misma, en perjuicio de las personas indicadas en </w:t>
      </w:r>
      <w:r w:rsidR="002701EA">
        <w:rPr>
          <w:rFonts w:ascii="Verdana" w:eastAsia="Calibri" w:hAnsi="Verdana" w:cs="Times"/>
          <w:sz w:val="20"/>
          <w:szCs w:val="20"/>
          <w:lang w:eastAsia="es-CR"/>
        </w:rPr>
        <w:t>el</w:t>
      </w:r>
      <w:r w:rsidRPr="00873FEC">
        <w:rPr>
          <w:rFonts w:ascii="Verdana" w:eastAsia="Calibri" w:hAnsi="Verdana" w:cs="Times"/>
          <w:sz w:val="20"/>
          <w:szCs w:val="20"/>
          <w:lang w:eastAsia="es-CR"/>
        </w:rPr>
        <w:t xml:space="preserve"> Anexo B.3 </w:t>
      </w:r>
      <w:r w:rsidR="002701EA">
        <w:rPr>
          <w:rFonts w:ascii="Verdana" w:eastAsia="Calibri" w:hAnsi="Verdana" w:cs="Times"/>
          <w:sz w:val="20"/>
          <w:szCs w:val="20"/>
          <w:lang w:eastAsia="es-CR"/>
        </w:rPr>
        <w:t xml:space="preserve">de la presente Sentencia, </w:t>
      </w:r>
      <w:r w:rsidR="002701EA" w:rsidRPr="00873FEC">
        <w:rPr>
          <w:rFonts w:ascii="Verdana" w:eastAsia="Calibri" w:hAnsi="Verdana" w:cs="Times"/>
          <w:sz w:val="20"/>
          <w:szCs w:val="20"/>
          <w:lang w:eastAsia="es-CR"/>
        </w:rPr>
        <w:t>en los términos de sus párrafos 104 a 106, 108 a 112</w:t>
      </w:r>
      <w:r w:rsidR="002701EA">
        <w:rPr>
          <w:rFonts w:ascii="Verdana" w:eastAsia="Calibri" w:hAnsi="Verdana" w:cs="Times"/>
          <w:sz w:val="20"/>
          <w:szCs w:val="20"/>
          <w:lang w:eastAsia="es-CR"/>
        </w:rPr>
        <w:t xml:space="preserve"> y</w:t>
      </w:r>
      <w:r w:rsidR="002701EA" w:rsidRPr="00873FEC">
        <w:rPr>
          <w:rFonts w:ascii="Verdana" w:eastAsia="Calibri" w:hAnsi="Verdana" w:cs="Times"/>
          <w:sz w:val="20"/>
          <w:szCs w:val="20"/>
          <w:lang w:eastAsia="es-CR"/>
        </w:rPr>
        <w:t xml:space="preserve"> 116 a 120</w:t>
      </w:r>
      <w:r w:rsidR="002701EA">
        <w:rPr>
          <w:rFonts w:ascii="Verdana" w:eastAsia="Calibri" w:hAnsi="Verdana" w:cs="Times"/>
          <w:sz w:val="20"/>
          <w:szCs w:val="20"/>
          <w:lang w:eastAsia="es-CR"/>
        </w:rPr>
        <w:t>,</w:t>
      </w:r>
      <w:r w:rsidR="002701EA" w:rsidRPr="00873FEC">
        <w:rPr>
          <w:rFonts w:ascii="Verdana" w:eastAsia="Calibri" w:hAnsi="Verdana" w:cs="Times"/>
          <w:sz w:val="20"/>
          <w:szCs w:val="20"/>
          <w:lang w:eastAsia="es-CR"/>
        </w:rPr>
        <w:t xml:space="preserve"> </w:t>
      </w:r>
      <w:r w:rsidRPr="00873FEC">
        <w:rPr>
          <w:rFonts w:ascii="Verdana" w:eastAsia="Calibri" w:hAnsi="Verdana" w:cs="Times"/>
          <w:sz w:val="20"/>
          <w:szCs w:val="20"/>
          <w:lang w:eastAsia="es-CR"/>
        </w:rPr>
        <w:t xml:space="preserve">y </w:t>
      </w:r>
      <w:r w:rsidR="002701EA">
        <w:rPr>
          <w:rFonts w:ascii="Verdana" w:eastAsia="Calibri" w:hAnsi="Verdana" w:cs="Times"/>
          <w:sz w:val="20"/>
          <w:szCs w:val="20"/>
          <w:lang w:eastAsia="es-CR"/>
        </w:rPr>
        <w:t xml:space="preserve">en relación con la obligación establecida en el artículo 1.1 de la Convención, en perjuicio de las personas indicadas en el Anexo </w:t>
      </w:r>
      <w:r w:rsidRPr="00873FEC">
        <w:rPr>
          <w:rFonts w:ascii="Verdana" w:eastAsia="Calibri" w:hAnsi="Verdana" w:cs="Times"/>
          <w:sz w:val="20"/>
          <w:szCs w:val="20"/>
          <w:lang w:eastAsia="es-CR"/>
        </w:rPr>
        <w:t xml:space="preserve">B.5 de la presente Sentencia, en los términos de sus párrafos </w:t>
      </w:r>
      <w:r w:rsidR="00214820" w:rsidRPr="00873FEC">
        <w:rPr>
          <w:rFonts w:ascii="Verdana" w:eastAsia="Calibri" w:hAnsi="Verdana" w:cs="Times"/>
          <w:sz w:val="20"/>
          <w:szCs w:val="20"/>
          <w:lang w:eastAsia="es-CR"/>
        </w:rPr>
        <w:t>123 a 129</w:t>
      </w:r>
      <w:r w:rsidRPr="00873FEC">
        <w:rPr>
          <w:rFonts w:ascii="Verdana" w:eastAsia="Calibri" w:hAnsi="Verdana" w:cs="Times"/>
          <w:sz w:val="20"/>
          <w:szCs w:val="20"/>
          <w:lang w:eastAsia="es-CR"/>
        </w:rPr>
        <w:t>.</w:t>
      </w:r>
    </w:p>
    <w:p w:rsidR="00D05F7B" w:rsidRPr="00873FEC" w:rsidRDefault="00D05F7B" w:rsidP="00126E97">
      <w:pPr>
        <w:spacing w:after="0" w:line="20" w:lineRule="atLeast"/>
        <w:contextualSpacing/>
        <w:jc w:val="both"/>
        <w:rPr>
          <w:rFonts w:ascii="Verdana" w:eastAsia="Calibri" w:hAnsi="Verdana" w:cs="Times"/>
          <w:sz w:val="20"/>
          <w:szCs w:val="20"/>
          <w:lang w:eastAsia="es-CR"/>
        </w:rPr>
      </w:pPr>
    </w:p>
    <w:p w:rsidR="00D05F7B" w:rsidRPr="00873FEC" w:rsidRDefault="00D05F7B" w:rsidP="00126E97">
      <w:pPr>
        <w:numPr>
          <w:ilvl w:val="0"/>
          <w:numId w:val="13"/>
        </w:numPr>
        <w:tabs>
          <w:tab w:val="left" w:pos="0"/>
        </w:tabs>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val="es-ES" w:eastAsia="es-ES"/>
        </w:rPr>
        <w:t xml:space="preserve">El Estado es responsable por la violación del derecho a la vida, contenido en el artículo 4.1 de la Convención Americana sobre Derechos Humanos, en relación con su artículos 19 y </w:t>
      </w:r>
      <w:r w:rsidRPr="00873FEC">
        <w:rPr>
          <w:rFonts w:ascii="Verdana" w:eastAsia="Calibri" w:hAnsi="Verdana" w:cs="Times"/>
          <w:sz w:val="20"/>
          <w:szCs w:val="20"/>
          <w:lang w:eastAsia="es-CR"/>
        </w:rPr>
        <w:t>con la obligación de respetar los derechos sin discriminación, establecida en el artículo 1.1 de la misma</w:t>
      </w:r>
      <w:r w:rsidRPr="00873FEC">
        <w:rPr>
          <w:rFonts w:ascii="Verdana" w:eastAsia="Calibri" w:hAnsi="Verdana" w:cs="Times"/>
          <w:sz w:val="20"/>
          <w:szCs w:val="20"/>
          <w:lang w:val="es-ES" w:eastAsia="es-ES"/>
        </w:rPr>
        <w:t xml:space="preserve"> Convención, en perjuicio de la niña y los niños indicados en el Anexo B.4 de la presente Sentencia, en los términos de sus párrafos 104 a 107, 109 a 11</w:t>
      </w:r>
      <w:r w:rsidR="00873FEC" w:rsidRPr="00873FEC">
        <w:rPr>
          <w:rFonts w:ascii="Verdana" w:eastAsia="Calibri" w:hAnsi="Verdana" w:cs="Times"/>
          <w:sz w:val="20"/>
          <w:szCs w:val="20"/>
          <w:lang w:val="es-ES" w:eastAsia="es-ES"/>
        </w:rPr>
        <w:t xml:space="preserve">1, 113 y </w:t>
      </w:r>
      <w:r w:rsidRPr="00873FEC">
        <w:rPr>
          <w:rFonts w:ascii="Verdana" w:eastAsia="Calibri" w:hAnsi="Verdana" w:cs="Times"/>
          <w:sz w:val="20"/>
          <w:szCs w:val="20"/>
          <w:lang w:val="es-ES" w:eastAsia="es-ES"/>
        </w:rPr>
        <w:t>115 a 120.</w:t>
      </w:r>
    </w:p>
    <w:p w:rsidR="00D05F7B" w:rsidRPr="00873FEC" w:rsidRDefault="00D05F7B" w:rsidP="00126E97">
      <w:pPr>
        <w:spacing w:after="0" w:line="20" w:lineRule="atLeast"/>
        <w:jc w:val="both"/>
        <w:rPr>
          <w:rFonts w:ascii="Verdana" w:eastAsia="Batang" w:hAnsi="Verdana" w:cs="Times"/>
          <w:sz w:val="20"/>
          <w:szCs w:val="20"/>
          <w:lang w:eastAsia="es-CR"/>
        </w:rPr>
      </w:pPr>
    </w:p>
    <w:p w:rsidR="00D05F7B" w:rsidRPr="00873FEC" w:rsidRDefault="00D05F7B" w:rsidP="00126E97">
      <w:pPr>
        <w:numPr>
          <w:ilvl w:val="0"/>
          <w:numId w:val="13"/>
        </w:numPr>
        <w:tabs>
          <w:tab w:val="left" w:pos="0"/>
        </w:tabs>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eastAsia="es-CR"/>
        </w:rPr>
        <w:t xml:space="preserve">El Estado no es responsable por la violación del derecho a la propiedad privada, contenido en el artículo 21 de la Convención Americana sobre Derechos Humanos, en los términos de los párrafos 133 a 135 de la presente Sentencia. </w:t>
      </w:r>
    </w:p>
    <w:p w:rsidR="00D05F7B" w:rsidRPr="00873FEC" w:rsidRDefault="00D05F7B" w:rsidP="00126E97">
      <w:pPr>
        <w:spacing w:after="0" w:line="20" w:lineRule="atLeast"/>
        <w:contextualSpacing/>
        <w:jc w:val="both"/>
        <w:rPr>
          <w:rFonts w:ascii="Verdana" w:eastAsia="Calibri" w:hAnsi="Verdana" w:cs="Times"/>
          <w:sz w:val="20"/>
          <w:szCs w:val="20"/>
          <w:lang w:eastAsia="es-CR"/>
        </w:rPr>
      </w:pPr>
    </w:p>
    <w:p w:rsidR="00D05F7B" w:rsidRPr="00873FEC" w:rsidRDefault="00D05F7B" w:rsidP="00126E97">
      <w:pPr>
        <w:numPr>
          <w:ilvl w:val="0"/>
          <w:numId w:val="13"/>
        </w:numPr>
        <w:tabs>
          <w:tab w:val="left" w:pos="0"/>
        </w:tabs>
        <w:spacing w:after="0" w:line="20" w:lineRule="atLeast"/>
        <w:contextualSpacing/>
        <w:jc w:val="both"/>
        <w:rPr>
          <w:rFonts w:ascii="Verdana" w:eastAsia="Calibri" w:hAnsi="Verdana" w:cs="Times"/>
          <w:sz w:val="20"/>
          <w:szCs w:val="20"/>
          <w:lang w:eastAsia="es-CR"/>
        </w:rPr>
      </w:pPr>
      <w:r w:rsidRPr="00873FEC">
        <w:rPr>
          <w:rFonts w:ascii="Verdana" w:eastAsia="Calibri" w:hAnsi="Verdana" w:cs="Times"/>
          <w:sz w:val="20"/>
          <w:szCs w:val="20"/>
          <w:lang w:eastAsia="es-CR"/>
        </w:rPr>
        <w:t xml:space="preserve">El Estado no es responsable por la violación del derecho a la igualdad ante la ley, contenido en el artículo 24 de la Convención Americana sobre Derechos Humanos, en los términos de los párrafos 105 y 140 a 142 de la presente Sentencia. </w:t>
      </w:r>
    </w:p>
    <w:p w:rsidR="00D05F7B" w:rsidRDefault="00D05F7B" w:rsidP="00126E97">
      <w:pPr>
        <w:widowControl w:val="0"/>
        <w:spacing w:after="0" w:line="20" w:lineRule="atLeast"/>
        <w:contextualSpacing/>
        <w:jc w:val="both"/>
        <w:rPr>
          <w:rFonts w:ascii="Verdana" w:eastAsia="Calibri" w:hAnsi="Verdana" w:cs="Times"/>
          <w:sz w:val="20"/>
          <w:szCs w:val="20"/>
          <w:lang w:eastAsia="es-CR"/>
        </w:rPr>
      </w:pPr>
    </w:p>
    <w:p w:rsidR="00F42B5A" w:rsidRDefault="00F42B5A" w:rsidP="00126E97">
      <w:pPr>
        <w:widowControl w:val="0"/>
        <w:spacing w:after="0" w:line="20" w:lineRule="atLeast"/>
        <w:contextualSpacing/>
        <w:jc w:val="both"/>
        <w:rPr>
          <w:rFonts w:ascii="Verdana" w:eastAsia="Calibri" w:hAnsi="Verdana" w:cs="Times"/>
          <w:sz w:val="20"/>
          <w:szCs w:val="20"/>
          <w:lang w:eastAsia="es-CR"/>
        </w:rPr>
      </w:pPr>
    </w:p>
    <w:p w:rsidR="00F42B5A" w:rsidRDefault="00F42B5A" w:rsidP="00126E97">
      <w:pPr>
        <w:widowControl w:val="0"/>
        <w:spacing w:after="0" w:line="20" w:lineRule="atLeast"/>
        <w:contextualSpacing/>
        <w:jc w:val="both"/>
        <w:rPr>
          <w:rFonts w:ascii="Verdana" w:eastAsia="Calibri" w:hAnsi="Verdana" w:cs="Times"/>
          <w:sz w:val="20"/>
          <w:szCs w:val="20"/>
          <w:lang w:eastAsia="es-CR"/>
        </w:rPr>
      </w:pPr>
    </w:p>
    <w:p w:rsidR="00F42B5A" w:rsidRPr="00873FEC" w:rsidRDefault="00F42B5A" w:rsidP="00126E97">
      <w:pPr>
        <w:widowControl w:val="0"/>
        <w:spacing w:after="0" w:line="20" w:lineRule="atLeast"/>
        <w:contextualSpacing/>
        <w:jc w:val="both"/>
        <w:rPr>
          <w:rFonts w:ascii="Verdana" w:eastAsia="Calibri" w:hAnsi="Verdana" w:cs="Times"/>
          <w:sz w:val="20"/>
          <w:szCs w:val="20"/>
          <w:lang w:eastAsia="es-CR"/>
        </w:rPr>
      </w:pPr>
    </w:p>
    <w:p w:rsidR="00D05F7B" w:rsidRPr="00873FEC" w:rsidRDefault="00D05F7B" w:rsidP="00126E97">
      <w:pPr>
        <w:widowControl w:val="0"/>
        <w:spacing w:after="0" w:line="20" w:lineRule="atLeast"/>
        <w:contextualSpacing/>
        <w:jc w:val="both"/>
        <w:rPr>
          <w:rFonts w:ascii="Verdana" w:eastAsia="Times" w:hAnsi="Verdana" w:cs="Times"/>
          <w:b/>
          <w:sz w:val="20"/>
          <w:szCs w:val="20"/>
          <w:lang w:val="es-CR" w:eastAsia="es-CR"/>
        </w:rPr>
      </w:pPr>
      <w:r w:rsidRPr="00873FEC">
        <w:rPr>
          <w:rFonts w:ascii="Verdana" w:eastAsia="Times" w:hAnsi="Verdana" w:cs="Times"/>
          <w:b/>
          <w:sz w:val="20"/>
          <w:szCs w:val="20"/>
          <w:lang w:val="es-CR" w:eastAsia="es-CR"/>
        </w:rPr>
        <w:lastRenderedPageBreak/>
        <w:t>Y DISPONE:</w:t>
      </w:r>
    </w:p>
    <w:p w:rsidR="00D05F7B" w:rsidRDefault="00D05F7B" w:rsidP="00126E97">
      <w:pPr>
        <w:widowControl w:val="0"/>
        <w:spacing w:after="0" w:line="20" w:lineRule="atLeast"/>
        <w:contextualSpacing/>
        <w:jc w:val="both"/>
        <w:rPr>
          <w:rFonts w:ascii="Verdana" w:eastAsia="Times" w:hAnsi="Verdana" w:cs="Times"/>
          <w:sz w:val="20"/>
          <w:szCs w:val="20"/>
          <w:lang w:val="es-CR" w:eastAsia="es-CR"/>
        </w:rPr>
      </w:pPr>
    </w:p>
    <w:p w:rsidR="000624C7" w:rsidRPr="00873FEC" w:rsidRDefault="000624C7" w:rsidP="00126E97">
      <w:pPr>
        <w:widowControl w:val="0"/>
        <w:spacing w:after="0" w:line="20" w:lineRule="atLeast"/>
        <w:contextualSpacing/>
        <w:jc w:val="both"/>
        <w:rPr>
          <w:rFonts w:ascii="Verdana" w:eastAsia="Times" w:hAnsi="Verdana" w:cs="Times"/>
          <w:sz w:val="20"/>
          <w:szCs w:val="20"/>
          <w:lang w:val="es-CR" w:eastAsia="es-CR"/>
        </w:rPr>
      </w:pPr>
    </w:p>
    <w:p w:rsidR="00D05F7B" w:rsidRPr="00873FEC" w:rsidRDefault="00D05F7B" w:rsidP="00126E97">
      <w:pPr>
        <w:widowControl w:val="0"/>
        <w:spacing w:after="0" w:line="20" w:lineRule="atLeast"/>
        <w:contextualSpacing/>
        <w:jc w:val="both"/>
        <w:rPr>
          <w:rFonts w:ascii="Verdana" w:eastAsia="Times" w:hAnsi="Verdana" w:cs="Times"/>
          <w:sz w:val="20"/>
          <w:szCs w:val="20"/>
          <w:lang w:val="es-CR" w:eastAsia="es-CR"/>
        </w:rPr>
      </w:pPr>
      <w:r w:rsidRPr="00873FEC">
        <w:rPr>
          <w:rFonts w:ascii="Verdana" w:eastAsia="Times" w:hAnsi="Verdana" w:cs="Times"/>
          <w:sz w:val="20"/>
          <w:szCs w:val="20"/>
          <w:lang w:val="es-CR" w:eastAsia="es-CR"/>
        </w:rPr>
        <w:t>Por unanimidad, que:</w:t>
      </w:r>
    </w:p>
    <w:p w:rsidR="00D05F7B" w:rsidRDefault="00D05F7B" w:rsidP="00126E97">
      <w:pPr>
        <w:widowControl w:val="0"/>
        <w:spacing w:after="0" w:line="20" w:lineRule="atLeast"/>
        <w:contextualSpacing/>
        <w:jc w:val="both"/>
        <w:rPr>
          <w:rFonts w:ascii="Verdana" w:eastAsia="Times" w:hAnsi="Verdana" w:cs="Times"/>
          <w:sz w:val="20"/>
          <w:szCs w:val="20"/>
          <w:lang w:val="es-CR" w:eastAsia="es-CR"/>
        </w:rPr>
      </w:pPr>
    </w:p>
    <w:p w:rsidR="000624C7" w:rsidRPr="00873FEC" w:rsidRDefault="000624C7" w:rsidP="00126E97">
      <w:pPr>
        <w:widowControl w:val="0"/>
        <w:spacing w:after="0" w:line="20" w:lineRule="atLeast"/>
        <w:contextualSpacing/>
        <w:jc w:val="both"/>
        <w:rPr>
          <w:rFonts w:ascii="Verdana" w:eastAsia="Times" w:hAnsi="Verdana" w:cs="Times"/>
          <w:sz w:val="20"/>
          <w:szCs w:val="20"/>
          <w:lang w:val="es-CR" w:eastAsia="es-CR"/>
        </w:rPr>
      </w:pPr>
    </w:p>
    <w:p w:rsidR="00D05F7B" w:rsidRPr="00873FEC" w:rsidRDefault="00D05F7B" w:rsidP="00126E97">
      <w:pPr>
        <w:widowControl w:val="0"/>
        <w:numPr>
          <w:ilvl w:val="0"/>
          <w:numId w:val="13"/>
        </w:numPr>
        <w:spacing w:after="0" w:line="20" w:lineRule="atLeast"/>
        <w:contextualSpacing/>
        <w:jc w:val="both"/>
        <w:rPr>
          <w:rFonts w:ascii="Verdana" w:eastAsia="Calibri" w:hAnsi="Verdana" w:cs="Times"/>
          <w:sz w:val="20"/>
          <w:szCs w:val="20"/>
          <w:lang w:val="es-CR" w:eastAsia="es-CR"/>
        </w:rPr>
      </w:pPr>
      <w:r w:rsidRPr="00873FEC">
        <w:rPr>
          <w:rFonts w:ascii="Verdana" w:eastAsia="Times" w:hAnsi="Verdana" w:cs="Times"/>
          <w:sz w:val="20"/>
          <w:szCs w:val="20"/>
          <w:lang w:val="es-CR" w:eastAsia="es-CR"/>
        </w:rPr>
        <w:t>Esta Sentencia constituye, por sí misma</w:t>
      </w:r>
      <w:r w:rsidRPr="00873FEC">
        <w:rPr>
          <w:rFonts w:ascii="Verdana" w:eastAsia="Times" w:hAnsi="Verdana" w:cs="Times"/>
          <w:i/>
          <w:sz w:val="20"/>
          <w:szCs w:val="20"/>
          <w:lang w:val="es-CR" w:eastAsia="es-CR"/>
        </w:rPr>
        <w:t xml:space="preserve">, </w:t>
      </w:r>
      <w:r w:rsidRPr="00873FEC">
        <w:rPr>
          <w:rFonts w:ascii="Verdana" w:eastAsia="Times" w:hAnsi="Verdana" w:cs="Times"/>
          <w:sz w:val="20"/>
          <w:szCs w:val="20"/>
          <w:lang w:val="es-CR" w:eastAsia="es-CR"/>
        </w:rPr>
        <w:t>una forma de reparación.</w:t>
      </w:r>
    </w:p>
    <w:p w:rsidR="00D05F7B" w:rsidRPr="00873FEC" w:rsidRDefault="00D05F7B" w:rsidP="00126E97">
      <w:pPr>
        <w:widowControl w:val="0"/>
        <w:spacing w:after="0" w:line="20" w:lineRule="atLeast"/>
        <w:contextualSpacing/>
        <w:jc w:val="both"/>
        <w:rPr>
          <w:rFonts w:ascii="Verdana" w:eastAsia="Calibri" w:hAnsi="Verdana" w:cs="Times"/>
          <w:sz w:val="20"/>
          <w:szCs w:val="20"/>
          <w:lang w:val="es-CR" w:eastAsia="es-CR"/>
        </w:rPr>
      </w:pPr>
    </w:p>
    <w:p w:rsidR="00D05F7B" w:rsidRPr="00873FEC" w:rsidRDefault="00D05F7B" w:rsidP="00126E97">
      <w:pPr>
        <w:widowControl w:val="0"/>
        <w:numPr>
          <w:ilvl w:val="0"/>
          <w:numId w:val="13"/>
        </w:numPr>
        <w:spacing w:after="0" w:line="20" w:lineRule="atLeast"/>
        <w:contextualSpacing/>
        <w:jc w:val="both"/>
        <w:rPr>
          <w:rFonts w:ascii="Verdana" w:eastAsia="Calibri" w:hAnsi="Verdana" w:cs="Times"/>
          <w:sz w:val="20"/>
          <w:szCs w:val="20"/>
          <w:lang w:val="es-CR" w:eastAsia="es-CR"/>
        </w:rPr>
      </w:pPr>
      <w:r w:rsidRPr="00873FEC">
        <w:rPr>
          <w:rFonts w:ascii="Verdana" w:eastAsia="Calibri" w:hAnsi="Verdana" w:cs="Times"/>
          <w:sz w:val="20"/>
          <w:szCs w:val="20"/>
          <w:lang w:val="es-CR" w:eastAsia="es-CR"/>
        </w:rPr>
        <w:t>El Estado deber adoptar las medidas necesarias para continuar la investigación sobre los hechos, de conformidad con lo establecido en el párrafo 152 de la presente Sentencia.</w:t>
      </w:r>
    </w:p>
    <w:p w:rsidR="00D05F7B" w:rsidRPr="00873FEC" w:rsidRDefault="00D05F7B" w:rsidP="00126E97">
      <w:pPr>
        <w:spacing w:line="20" w:lineRule="atLeast"/>
        <w:contextualSpacing/>
        <w:rPr>
          <w:rFonts w:ascii="Verdana" w:eastAsia="Calibri" w:hAnsi="Verdana" w:cs="Verdana"/>
          <w:sz w:val="20"/>
          <w:szCs w:val="20"/>
          <w:lang w:val="es-CR" w:eastAsia="es-CR"/>
        </w:rPr>
      </w:pPr>
    </w:p>
    <w:p w:rsidR="00D05F7B" w:rsidRPr="00873FEC" w:rsidRDefault="00D05F7B" w:rsidP="00126E97">
      <w:pPr>
        <w:widowControl w:val="0"/>
        <w:numPr>
          <w:ilvl w:val="0"/>
          <w:numId w:val="13"/>
        </w:numPr>
        <w:tabs>
          <w:tab w:val="left" w:pos="90"/>
        </w:tabs>
        <w:suppressAutoHyphens/>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Verdana-Italic"/>
          <w:spacing w:val="-2"/>
          <w:sz w:val="20"/>
          <w:szCs w:val="20"/>
          <w:lang w:val="es-CR" w:eastAsia="es-CR"/>
        </w:rPr>
        <w:t>El Estado debe brindar el tratamiento psiquiátrico o psicológico a las víctimas nombradas en los Anexos B.3 y B.5 de la presente Sentencia que así lo soliciten, en los términos de los párrafos 155 y 156 de la presente Sentencia.</w:t>
      </w:r>
    </w:p>
    <w:p w:rsidR="00D05F7B" w:rsidRPr="00873FEC" w:rsidRDefault="00D05F7B" w:rsidP="00126E97">
      <w:pPr>
        <w:spacing w:line="20" w:lineRule="atLeast"/>
        <w:contextualSpacing/>
        <w:rPr>
          <w:rFonts w:ascii="Verdana" w:eastAsia="Calibri" w:hAnsi="Verdana" w:cs="Verdana"/>
          <w:sz w:val="20"/>
          <w:szCs w:val="20"/>
          <w:lang w:val="es-CR" w:eastAsia="es-CR"/>
        </w:rPr>
      </w:pPr>
    </w:p>
    <w:p w:rsidR="00D05F7B" w:rsidRPr="00873FEC" w:rsidRDefault="00D05F7B" w:rsidP="00126E97">
      <w:pPr>
        <w:widowControl w:val="0"/>
        <w:numPr>
          <w:ilvl w:val="0"/>
          <w:numId w:val="13"/>
        </w:numPr>
        <w:spacing w:after="0" w:line="20" w:lineRule="atLeast"/>
        <w:contextualSpacing/>
        <w:jc w:val="both"/>
        <w:rPr>
          <w:rFonts w:ascii="Verdana" w:eastAsia="Calibri" w:hAnsi="Verdana" w:cs="Times"/>
          <w:sz w:val="20"/>
          <w:szCs w:val="20"/>
          <w:lang w:val="es-CR" w:eastAsia="es-CR"/>
        </w:rPr>
      </w:pPr>
      <w:r w:rsidRPr="00873FEC">
        <w:rPr>
          <w:rFonts w:ascii="Verdana" w:eastAsia="Calibri" w:hAnsi="Verdana" w:cs="Verdana"/>
          <w:sz w:val="20"/>
          <w:szCs w:val="20"/>
          <w:lang w:val="es-CR" w:eastAsia="es-CR"/>
        </w:rPr>
        <w:t>El Estado debe realizar las publicaciones indicadas en el párrafo 158 de esta sentencia,</w:t>
      </w:r>
      <w:r w:rsidRPr="00873FEC">
        <w:rPr>
          <w:rFonts w:ascii="Verdana" w:eastAsia="Calibri" w:hAnsi="Verdana" w:cs="Times"/>
          <w:sz w:val="20"/>
          <w:szCs w:val="20"/>
          <w:lang w:val="es-CR" w:eastAsia="es-CR"/>
        </w:rPr>
        <w:t xml:space="preserve"> </w:t>
      </w:r>
      <w:r w:rsidRPr="00873FEC">
        <w:rPr>
          <w:rFonts w:ascii="Verdana" w:eastAsia="Calibri" w:hAnsi="Verdana" w:cs="Verdana"/>
          <w:sz w:val="20"/>
          <w:szCs w:val="20"/>
          <w:lang w:val="es-CR" w:eastAsia="es-CR"/>
        </w:rPr>
        <w:t>de conformidad con lo establecido en dicho párrafo.</w:t>
      </w:r>
    </w:p>
    <w:p w:rsidR="00D05F7B" w:rsidRPr="00873FEC" w:rsidRDefault="00D05F7B" w:rsidP="00126E97">
      <w:pPr>
        <w:widowControl w:val="0"/>
        <w:tabs>
          <w:tab w:val="left" w:pos="90"/>
        </w:tabs>
        <w:suppressAutoHyphens/>
        <w:spacing w:after="0" w:line="20" w:lineRule="atLeast"/>
        <w:contextualSpacing/>
        <w:jc w:val="both"/>
        <w:rPr>
          <w:rFonts w:ascii="Verdana" w:eastAsia="Calibri" w:hAnsi="Verdana" w:cs="Verdana"/>
          <w:sz w:val="20"/>
          <w:szCs w:val="20"/>
          <w:lang w:val="es-CR" w:eastAsia="es-CR"/>
        </w:rPr>
      </w:pPr>
    </w:p>
    <w:p w:rsidR="00D05F7B" w:rsidRPr="00873FEC" w:rsidRDefault="00D05F7B" w:rsidP="00126E97">
      <w:pPr>
        <w:numPr>
          <w:ilvl w:val="0"/>
          <w:numId w:val="13"/>
        </w:numPr>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Verdana-Italic"/>
          <w:spacing w:val="-2"/>
          <w:sz w:val="20"/>
          <w:szCs w:val="20"/>
          <w:lang w:val="es-CR" w:eastAsia="es-CR"/>
        </w:rPr>
        <w:t>El Estado debe realizar un acto público de reconocimiento de responsabilidad internacional, en relación con los hechos de este caso</w:t>
      </w:r>
      <w:r w:rsidRPr="00873FEC">
        <w:rPr>
          <w:rFonts w:ascii="Verdana" w:eastAsia="Calibri" w:hAnsi="Verdana" w:cs="Times"/>
          <w:spacing w:val="-2"/>
          <w:sz w:val="20"/>
          <w:szCs w:val="20"/>
          <w:lang w:val="es-CR" w:eastAsia="es-CR"/>
        </w:rPr>
        <w:t xml:space="preserve">, </w:t>
      </w:r>
      <w:r w:rsidRPr="00873FEC">
        <w:rPr>
          <w:rFonts w:ascii="Verdana" w:eastAsia="Calibri" w:hAnsi="Verdana" w:cs="Verdana-Italic"/>
          <w:spacing w:val="-2"/>
          <w:sz w:val="20"/>
          <w:szCs w:val="20"/>
          <w:lang w:val="es-CR" w:eastAsia="es-CR"/>
        </w:rPr>
        <w:t>en los términos del párrafo 163 de esta Sentencia.</w:t>
      </w:r>
    </w:p>
    <w:p w:rsidR="00D05F7B" w:rsidRPr="00873FEC" w:rsidRDefault="00D05F7B" w:rsidP="00126E97">
      <w:pPr>
        <w:spacing w:line="20" w:lineRule="atLeast"/>
        <w:contextualSpacing/>
        <w:rPr>
          <w:rFonts w:ascii="Verdana" w:eastAsia="Calibri" w:hAnsi="Verdana" w:cs="Verdana-Italic"/>
          <w:spacing w:val="-2"/>
          <w:sz w:val="20"/>
          <w:szCs w:val="20"/>
          <w:lang w:val="es-CR" w:eastAsia="es-CR"/>
        </w:rPr>
      </w:pPr>
    </w:p>
    <w:p w:rsidR="00D05F7B" w:rsidRPr="00873FEC" w:rsidRDefault="00D05F7B" w:rsidP="00126E97">
      <w:pPr>
        <w:widowControl w:val="0"/>
        <w:numPr>
          <w:ilvl w:val="0"/>
          <w:numId w:val="13"/>
        </w:numPr>
        <w:tabs>
          <w:tab w:val="left" w:pos="90"/>
        </w:tabs>
        <w:suppressAutoHyphens/>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Times" w:hAnsi="Verdana" w:cs="Times"/>
          <w:sz w:val="20"/>
          <w:szCs w:val="20"/>
          <w:lang w:val="es-CR" w:eastAsia="es-CR"/>
        </w:rPr>
        <w:t xml:space="preserve">El </w:t>
      </w:r>
      <w:r w:rsidRPr="00873FEC">
        <w:rPr>
          <w:rFonts w:ascii="Verdana" w:eastAsia="Calibri" w:hAnsi="Verdana" w:cs="Verdana-Italic"/>
          <w:spacing w:val="-2"/>
          <w:sz w:val="20"/>
          <w:szCs w:val="20"/>
          <w:lang w:val="es-CR" w:eastAsia="es-CR"/>
        </w:rPr>
        <w:t>Estado</w:t>
      </w:r>
      <w:r w:rsidRPr="00873FEC">
        <w:rPr>
          <w:rFonts w:ascii="Verdana" w:eastAsia="Times" w:hAnsi="Verdana" w:cs="Times"/>
          <w:sz w:val="20"/>
          <w:szCs w:val="20"/>
          <w:lang w:val="es-CR" w:eastAsia="es-CR"/>
        </w:rPr>
        <w:t xml:space="preserve"> </w:t>
      </w:r>
      <w:r w:rsidRPr="00873FEC">
        <w:rPr>
          <w:rFonts w:ascii="Verdana" w:eastAsia="Calibri" w:hAnsi="Verdana" w:cs="Verdana-Italic"/>
          <w:spacing w:val="-2"/>
          <w:sz w:val="20"/>
          <w:szCs w:val="20"/>
          <w:lang w:val="es-CR" w:eastAsia="es-CR"/>
        </w:rPr>
        <w:t xml:space="preserve">debe </w:t>
      </w:r>
      <w:r w:rsidRPr="00873FEC">
        <w:rPr>
          <w:rFonts w:ascii="Verdana" w:eastAsia="Calibri" w:hAnsi="Verdana" w:cs="Times"/>
          <w:sz w:val="20"/>
          <w:szCs w:val="20"/>
          <w:lang w:val="es-CR" w:eastAsia="es-CR"/>
        </w:rPr>
        <w:t xml:space="preserve">establecer </w:t>
      </w:r>
      <w:r w:rsidRPr="00873FEC">
        <w:rPr>
          <w:rFonts w:ascii="Verdana" w:eastAsia="Batang" w:hAnsi="Verdana" w:cs="Times"/>
          <w:sz w:val="20"/>
          <w:szCs w:val="20"/>
          <w:lang w:val="es-CR" w:eastAsia="es-CR"/>
        </w:rPr>
        <w:t xml:space="preserve">un Centro de Salud ubicado en la Comunidad </w:t>
      </w:r>
      <w:r w:rsidRPr="00873FEC">
        <w:rPr>
          <w:rFonts w:ascii="Verdana" w:eastAsia="Calibri" w:hAnsi="Verdana" w:cs="Times"/>
          <w:sz w:val="20"/>
          <w:szCs w:val="20"/>
          <w:lang w:val="es-CR" w:eastAsia="es-CR"/>
        </w:rPr>
        <w:t>“</w:t>
      </w:r>
      <w:r w:rsidRPr="00873FEC">
        <w:rPr>
          <w:rFonts w:ascii="Verdana" w:eastAsia="Batang" w:hAnsi="Verdana" w:cs="Times"/>
          <w:sz w:val="20"/>
          <w:szCs w:val="20"/>
          <w:lang w:val="es-CR" w:eastAsia="es-CR"/>
        </w:rPr>
        <w:t>Aurora 8 de Octubre</w:t>
      </w:r>
      <w:r w:rsidRPr="00873FEC">
        <w:rPr>
          <w:rFonts w:ascii="Verdana" w:eastAsia="Calibri" w:hAnsi="Verdana" w:cs="Times"/>
          <w:sz w:val="20"/>
          <w:szCs w:val="20"/>
          <w:lang w:val="es-CR" w:eastAsia="es-CR"/>
        </w:rPr>
        <w:t>”, en los términos del párrafo 167 de la presente Sentencia.</w:t>
      </w:r>
    </w:p>
    <w:p w:rsidR="00D05F7B" w:rsidRPr="00873FEC" w:rsidRDefault="00D05F7B" w:rsidP="00126E97">
      <w:pPr>
        <w:widowControl w:val="0"/>
        <w:tabs>
          <w:tab w:val="left" w:pos="90"/>
        </w:tabs>
        <w:suppressAutoHyphens/>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widowControl w:val="0"/>
        <w:numPr>
          <w:ilvl w:val="0"/>
          <w:numId w:val="13"/>
        </w:numPr>
        <w:tabs>
          <w:tab w:val="left" w:pos="90"/>
        </w:tabs>
        <w:suppressAutoHyphens/>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Verdana-Italic"/>
          <w:spacing w:val="-2"/>
          <w:sz w:val="20"/>
          <w:szCs w:val="20"/>
          <w:lang w:val="es-CR" w:eastAsia="es-CR"/>
        </w:rPr>
        <w:t xml:space="preserve">El Estado debe </w:t>
      </w:r>
      <w:r w:rsidRPr="00873FEC">
        <w:rPr>
          <w:rFonts w:ascii="Verdana" w:eastAsia="MS Mincho" w:hAnsi="Verdana" w:cs="Times"/>
          <w:sz w:val="20"/>
          <w:szCs w:val="20"/>
          <w:lang w:eastAsia="es-CR"/>
        </w:rPr>
        <w:t>ampliar y asfaltar la carretera que se dirige de la autopista denominada Franja Transversal del Norte hacia el interior de la Comunidad “</w:t>
      </w:r>
      <w:r w:rsidR="00F5049E" w:rsidRPr="00873FEC">
        <w:rPr>
          <w:rFonts w:ascii="Verdana" w:eastAsia="MS Mincho" w:hAnsi="Verdana" w:cs="Times"/>
          <w:sz w:val="20"/>
          <w:szCs w:val="20"/>
          <w:lang w:eastAsia="es-CR"/>
        </w:rPr>
        <w:t>Aurora 8</w:t>
      </w:r>
      <w:r w:rsidRPr="00873FEC">
        <w:rPr>
          <w:rFonts w:ascii="Verdana" w:eastAsia="MS Mincho" w:hAnsi="Verdana" w:cs="Times"/>
          <w:sz w:val="20"/>
          <w:szCs w:val="20"/>
          <w:lang w:eastAsia="es-CR"/>
        </w:rPr>
        <w:t xml:space="preserve"> de Octubre”</w:t>
      </w:r>
      <w:r w:rsidRPr="00873FEC">
        <w:rPr>
          <w:rFonts w:ascii="Verdana" w:eastAsia="Calibri" w:hAnsi="Verdana" w:cs="Verdana-Italic"/>
          <w:spacing w:val="-2"/>
          <w:sz w:val="20"/>
          <w:szCs w:val="20"/>
          <w:lang w:val="es-CR" w:eastAsia="es-CR"/>
        </w:rPr>
        <w:t>, en los términos del párrafo 171 de la presente Sentencia.</w:t>
      </w:r>
    </w:p>
    <w:p w:rsidR="00D05F7B" w:rsidRPr="00873FEC" w:rsidRDefault="00D05F7B" w:rsidP="00126E97">
      <w:pPr>
        <w:spacing w:after="0" w:line="20" w:lineRule="atLeast"/>
        <w:contextualSpacing/>
        <w:jc w:val="both"/>
        <w:rPr>
          <w:rFonts w:ascii="Verdana" w:eastAsia="Calibri" w:hAnsi="Verdana" w:cs="Times"/>
          <w:sz w:val="20"/>
          <w:szCs w:val="20"/>
          <w:lang w:val="es-CR" w:eastAsia="es-CR"/>
        </w:rPr>
      </w:pPr>
    </w:p>
    <w:p w:rsidR="00D05F7B" w:rsidRPr="00873FEC" w:rsidRDefault="00D05F7B" w:rsidP="00126E97">
      <w:pPr>
        <w:numPr>
          <w:ilvl w:val="0"/>
          <w:numId w:val="13"/>
        </w:numPr>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Times"/>
          <w:sz w:val="20"/>
          <w:szCs w:val="20"/>
          <w:lang w:val="es-CR" w:eastAsia="es-CR"/>
        </w:rPr>
        <w:t>El Estado debe pagar las cantidades fijadas en los párrafos 18</w:t>
      </w:r>
      <w:r w:rsidR="00873FEC" w:rsidRPr="00873FEC">
        <w:rPr>
          <w:rFonts w:ascii="Verdana" w:eastAsia="Calibri" w:hAnsi="Verdana" w:cs="Times"/>
          <w:sz w:val="20"/>
          <w:szCs w:val="20"/>
          <w:lang w:val="es-CR" w:eastAsia="es-CR"/>
        </w:rPr>
        <w:t>6</w:t>
      </w:r>
      <w:r w:rsidRPr="00873FEC">
        <w:rPr>
          <w:rFonts w:ascii="Verdana" w:eastAsia="Calibri" w:hAnsi="Verdana" w:cs="Times"/>
          <w:sz w:val="20"/>
          <w:szCs w:val="20"/>
          <w:lang w:val="es-CR" w:eastAsia="es-CR"/>
        </w:rPr>
        <w:t>, 19</w:t>
      </w:r>
      <w:r w:rsidR="00873FEC" w:rsidRPr="00873FEC">
        <w:rPr>
          <w:rFonts w:ascii="Verdana" w:eastAsia="Calibri" w:hAnsi="Verdana" w:cs="Times"/>
          <w:sz w:val="20"/>
          <w:szCs w:val="20"/>
          <w:lang w:val="es-CR" w:eastAsia="es-CR"/>
        </w:rPr>
        <w:t>0</w:t>
      </w:r>
      <w:r w:rsidRPr="00873FEC">
        <w:rPr>
          <w:rFonts w:ascii="Verdana" w:eastAsia="Calibri" w:hAnsi="Verdana" w:cs="Times"/>
          <w:sz w:val="20"/>
          <w:szCs w:val="20"/>
          <w:lang w:val="es-CR" w:eastAsia="es-CR"/>
        </w:rPr>
        <w:t xml:space="preserve"> y 19</w:t>
      </w:r>
      <w:r w:rsidR="00873FEC" w:rsidRPr="00873FEC">
        <w:rPr>
          <w:rFonts w:ascii="Verdana" w:eastAsia="Calibri" w:hAnsi="Verdana" w:cs="Times"/>
          <w:sz w:val="20"/>
          <w:szCs w:val="20"/>
          <w:lang w:val="es-CR" w:eastAsia="es-CR"/>
        </w:rPr>
        <w:t>5</w:t>
      </w:r>
      <w:r w:rsidRPr="00873FEC">
        <w:rPr>
          <w:rFonts w:ascii="Verdana" w:eastAsia="Calibri" w:hAnsi="Verdana" w:cs="Times"/>
          <w:sz w:val="20"/>
          <w:szCs w:val="20"/>
          <w:lang w:val="es-CR" w:eastAsia="es-CR"/>
        </w:rPr>
        <w:t xml:space="preserve"> de la presente </w:t>
      </w:r>
      <w:r w:rsidRPr="00873FEC">
        <w:rPr>
          <w:rFonts w:ascii="Verdana" w:eastAsia="Calibri" w:hAnsi="Verdana" w:cs="Times New Roman"/>
          <w:sz w:val="20"/>
          <w:szCs w:val="20"/>
          <w:lang w:val="es-CR" w:eastAsia="es-CR"/>
        </w:rPr>
        <w:t>Sentencia</w:t>
      </w:r>
      <w:r w:rsidRPr="00873FEC">
        <w:rPr>
          <w:rFonts w:ascii="Verdana" w:eastAsia="Calibri" w:hAnsi="Verdana" w:cs="Times"/>
          <w:sz w:val="20"/>
          <w:szCs w:val="20"/>
          <w:lang w:val="es-CR" w:eastAsia="es-CR"/>
        </w:rPr>
        <w:t xml:space="preserve"> por daños materiales e inmateriales y por el reintegro de costas y gastos. Esos pagos deben efectuarse en los términos de los párrafos 19</w:t>
      </w:r>
      <w:r w:rsidR="00873FEC" w:rsidRPr="00873FEC">
        <w:rPr>
          <w:rFonts w:ascii="Verdana" w:eastAsia="Calibri" w:hAnsi="Verdana" w:cs="Times"/>
          <w:sz w:val="20"/>
          <w:szCs w:val="20"/>
          <w:lang w:val="es-CR" w:eastAsia="es-CR"/>
        </w:rPr>
        <w:t>6</w:t>
      </w:r>
      <w:r w:rsidRPr="00873FEC">
        <w:rPr>
          <w:rFonts w:ascii="Verdana" w:eastAsia="Calibri" w:hAnsi="Verdana" w:cs="Times"/>
          <w:sz w:val="20"/>
          <w:szCs w:val="20"/>
          <w:lang w:val="es-CR" w:eastAsia="es-CR"/>
        </w:rPr>
        <w:t xml:space="preserve"> a 20</w:t>
      </w:r>
      <w:r w:rsidR="00873FEC" w:rsidRPr="00873FEC">
        <w:rPr>
          <w:rFonts w:ascii="Verdana" w:eastAsia="Calibri" w:hAnsi="Verdana" w:cs="Times"/>
          <w:sz w:val="20"/>
          <w:szCs w:val="20"/>
          <w:lang w:val="es-CR" w:eastAsia="es-CR"/>
        </w:rPr>
        <w:t>0</w:t>
      </w:r>
      <w:r w:rsidRPr="00873FEC">
        <w:rPr>
          <w:rFonts w:ascii="Verdana" w:eastAsia="Calibri" w:hAnsi="Verdana" w:cs="Times"/>
          <w:sz w:val="20"/>
          <w:szCs w:val="20"/>
          <w:lang w:val="es-CR" w:eastAsia="es-CR"/>
        </w:rPr>
        <w:t xml:space="preserve"> de esta Sentencia.</w:t>
      </w:r>
    </w:p>
    <w:p w:rsidR="00D05F7B" w:rsidRPr="00873FEC" w:rsidRDefault="00D05F7B" w:rsidP="00126E97">
      <w:pPr>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numPr>
          <w:ilvl w:val="0"/>
          <w:numId w:val="13"/>
        </w:numPr>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Times"/>
          <w:sz w:val="20"/>
          <w:szCs w:val="20"/>
          <w:lang w:val="es-CR" w:eastAsia="es-CR"/>
        </w:rPr>
        <w:t>El Estado debe, dentro del plazo de un año contado a partir de la notificación de esta Sentencia, rendir al Tribunal un informe sobre las medidas adoptadas para cumplir con la misma.</w:t>
      </w:r>
    </w:p>
    <w:p w:rsidR="00D05F7B" w:rsidRPr="00873FEC" w:rsidRDefault="00D05F7B" w:rsidP="00126E97">
      <w:pPr>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numPr>
          <w:ilvl w:val="0"/>
          <w:numId w:val="13"/>
        </w:numPr>
        <w:spacing w:after="0" w:line="20" w:lineRule="atLeast"/>
        <w:contextualSpacing/>
        <w:jc w:val="both"/>
        <w:rPr>
          <w:rFonts w:ascii="Verdana" w:eastAsia="Calibri" w:hAnsi="Verdana" w:cs="Verdana-Italic"/>
          <w:spacing w:val="-2"/>
          <w:sz w:val="20"/>
          <w:szCs w:val="20"/>
          <w:lang w:val="es-CR" w:eastAsia="es-CR"/>
        </w:rPr>
      </w:pPr>
      <w:r w:rsidRPr="00873FEC">
        <w:rPr>
          <w:rFonts w:ascii="Verdana" w:eastAsia="Calibri" w:hAnsi="Verdana" w:cs="Times"/>
          <w:sz w:val="20"/>
          <w:szCs w:val="20"/>
          <w:lang w:val="es-CR" w:eastAsia="es-CR"/>
        </w:rPr>
        <w:t xml:space="preserve">La Corte supervisará el cumplimiento íntegro de esta Sentencia, en ejercicio de sus </w:t>
      </w:r>
      <w:r w:rsidRPr="00873FEC">
        <w:rPr>
          <w:rFonts w:ascii="Verdana" w:eastAsia="Calibri" w:hAnsi="Verdana" w:cs="Verdana-Italic"/>
          <w:spacing w:val="-2"/>
          <w:sz w:val="20"/>
          <w:szCs w:val="20"/>
          <w:lang w:val="es-CR" w:eastAsia="es-CR"/>
        </w:rPr>
        <w:t>atribuciones</w:t>
      </w:r>
      <w:r w:rsidRPr="00873FEC">
        <w:rPr>
          <w:rFonts w:ascii="Verdana" w:eastAsia="Calibri" w:hAnsi="Verdana" w:cs="Times"/>
          <w:sz w:val="20"/>
          <w:szCs w:val="20"/>
          <w:lang w:val="es-CR" w:eastAsia="es-CR"/>
        </w:rPr>
        <w:t xml:space="preserve"> y en cumplimiento de sus deberes conforme a la Convención Americana sobre Derechos Humanos, y dará por concluido el presente caso una vez que el Estado haya dado cabal cumplimiento a lo dispuesto en la misma.</w:t>
      </w:r>
    </w:p>
    <w:p w:rsidR="00D05F7B" w:rsidRPr="00873FEC" w:rsidRDefault="00D05F7B" w:rsidP="00126E97">
      <w:pPr>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spacing w:after="0" w:line="20" w:lineRule="atLeast"/>
        <w:contextualSpacing/>
        <w:jc w:val="both"/>
        <w:rPr>
          <w:rFonts w:ascii="Verdana" w:eastAsia="Calibri" w:hAnsi="Verdana" w:cs="Verdana-Italic"/>
          <w:spacing w:val="-2"/>
          <w:sz w:val="20"/>
          <w:szCs w:val="20"/>
          <w:lang w:val="es-CR" w:eastAsia="es-CR"/>
        </w:rPr>
      </w:pPr>
    </w:p>
    <w:p w:rsidR="00D05F7B" w:rsidRPr="00873FEC" w:rsidRDefault="00D05F7B" w:rsidP="00126E97">
      <w:pPr>
        <w:spacing w:after="0" w:line="20" w:lineRule="atLeast"/>
        <w:jc w:val="both"/>
        <w:rPr>
          <w:rFonts w:ascii="Verdana" w:eastAsia="Times" w:hAnsi="Verdana" w:cs="Times"/>
          <w:sz w:val="20"/>
          <w:szCs w:val="20"/>
          <w:lang w:val="es-CR" w:eastAsia="es-CR"/>
        </w:rPr>
      </w:pPr>
      <w:r w:rsidRPr="00873FEC">
        <w:rPr>
          <w:rFonts w:ascii="Verdana" w:eastAsia="Times" w:hAnsi="Verdana" w:cs="Times"/>
          <w:sz w:val="20"/>
          <w:szCs w:val="20"/>
          <w:lang w:val="es-CR" w:eastAsia="es-CR"/>
        </w:rPr>
        <w:t xml:space="preserve">Sentencia de la Corte Interamericana de Derechos Humanos. Caso </w:t>
      </w:r>
      <w:proofErr w:type="spellStart"/>
      <w:r w:rsidRPr="00873FEC">
        <w:rPr>
          <w:rFonts w:ascii="Verdana" w:eastAsia="Times" w:hAnsi="Verdana" w:cs="Times"/>
          <w:sz w:val="20"/>
          <w:szCs w:val="20"/>
          <w:lang w:val="es-CR" w:eastAsia="es-CR"/>
        </w:rPr>
        <w:t>Coc</w:t>
      </w:r>
      <w:proofErr w:type="spellEnd"/>
      <w:r w:rsidRPr="00873FEC">
        <w:rPr>
          <w:rFonts w:ascii="Verdana" w:eastAsia="Times" w:hAnsi="Verdana" w:cs="Times"/>
          <w:sz w:val="20"/>
          <w:szCs w:val="20"/>
          <w:lang w:val="es-CR" w:eastAsia="es-CR"/>
        </w:rPr>
        <w:t xml:space="preserve"> Max y otros (Masacre de </w:t>
      </w:r>
      <w:proofErr w:type="spellStart"/>
      <w:r w:rsidRPr="00873FEC">
        <w:rPr>
          <w:rFonts w:ascii="Verdana" w:eastAsia="Times" w:hAnsi="Verdana" w:cs="Times"/>
          <w:sz w:val="20"/>
          <w:szCs w:val="20"/>
          <w:lang w:val="es-CR" w:eastAsia="es-CR"/>
        </w:rPr>
        <w:t>Xamán</w:t>
      </w:r>
      <w:proofErr w:type="spellEnd"/>
      <w:r w:rsidRPr="00873FEC">
        <w:rPr>
          <w:rFonts w:ascii="Verdana" w:eastAsia="Times" w:hAnsi="Verdana" w:cs="Times"/>
          <w:sz w:val="20"/>
          <w:szCs w:val="20"/>
          <w:lang w:val="es-CR" w:eastAsia="es-CR"/>
        </w:rPr>
        <w:t>) Vs. Guatemala. Fondo, Reparaciones y Costas.</w:t>
      </w:r>
    </w:p>
    <w:p w:rsidR="00D05F7B" w:rsidRPr="00873FEC" w:rsidRDefault="00D05F7B" w:rsidP="00126E97">
      <w:pPr>
        <w:spacing w:after="0" w:line="20" w:lineRule="atLeast"/>
        <w:jc w:val="both"/>
        <w:rPr>
          <w:rFonts w:ascii="Verdana" w:eastAsia="Times" w:hAnsi="Verdana" w:cs="Times"/>
          <w:sz w:val="20"/>
          <w:szCs w:val="20"/>
          <w:lang w:val="es-CR" w:eastAsia="es-CR"/>
        </w:rPr>
      </w:pPr>
    </w:p>
    <w:p w:rsidR="0057574C" w:rsidRDefault="00D05F7B" w:rsidP="00126E97">
      <w:pPr>
        <w:spacing w:after="0" w:line="20" w:lineRule="atLeast"/>
        <w:jc w:val="both"/>
        <w:rPr>
          <w:rFonts w:ascii="Verdana" w:eastAsia="Batang" w:hAnsi="Verdana" w:cs="Times"/>
          <w:sz w:val="20"/>
          <w:szCs w:val="20"/>
          <w:lang w:val="es-CR" w:eastAsia="es-CR"/>
        </w:rPr>
      </w:pPr>
      <w:r w:rsidRPr="00873FEC">
        <w:rPr>
          <w:rFonts w:ascii="Verdana" w:eastAsia="Batang" w:hAnsi="Verdana" w:cs="Times"/>
          <w:sz w:val="20"/>
          <w:szCs w:val="20"/>
          <w:lang w:val="es-CR" w:eastAsia="es-CR"/>
        </w:rPr>
        <w:t xml:space="preserve">Redactada en español en Ciudad de San José, Costa Rica, el </w:t>
      </w:r>
      <w:r w:rsidR="008A6061" w:rsidRPr="00873FEC">
        <w:rPr>
          <w:rFonts w:ascii="Verdana" w:eastAsia="Batang" w:hAnsi="Verdana" w:cs="Times"/>
          <w:sz w:val="20"/>
          <w:szCs w:val="20"/>
          <w:lang w:val="es-CR" w:eastAsia="es-CR"/>
        </w:rPr>
        <w:t>22</w:t>
      </w:r>
      <w:r w:rsidRPr="00873FEC">
        <w:rPr>
          <w:rFonts w:ascii="Verdana" w:eastAsia="Batang" w:hAnsi="Verdana" w:cs="Times"/>
          <w:sz w:val="20"/>
          <w:szCs w:val="20"/>
          <w:lang w:val="es-CR" w:eastAsia="es-CR"/>
        </w:rPr>
        <w:t xml:space="preserve"> de agosto de 2018.</w:t>
      </w:r>
    </w:p>
    <w:p w:rsidR="00AB53EC" w:rsidRDefault="00AB53EC" w:rsidP="00126E97">
      <w:pPr>
        <w:spacing w:after="0" w:line="20" w:lineRule="atLeast"/>
        <w:jc w:val="both"/>
        <w:rPr>
          <w:rFonts w:ascii="Verdana" w:eastAsia="Batang" w:hAnsi="Verdana" w:cs="Times"/>
          <w:sz w:val="20"/>
          <w:szCs w:val="20"/>
          <w:lang w:val="es-CR" w:eastAsia="es-CR"/>
        </w:rPr>
      </w:pPr>
    </w:p>
    <w:p w:rsidR="00AB53EC" w:rsidRDefault="00AB53EC" w:rsidP="00126E97">
      <w:pPr>
        <w:spacing w:after="0" w:line="20" w:lineRule="atLeast"/>
        <w:jc w:val="both"/>
        <w:rPr>
          <w:rFonts w:ascii="Verdana" w:eastAsia="Batang" w:hAnsi="Verdana" w:cs="Times"/>
          <w:sz w:val="20"/>
          <w:szCs w:val="20"/>
          <w:lang w:val="es-CR" w:eastAsia="es-CR"/>
        </w:rPr>
      </w:pPr>
    </w:p>
    <w:p w:rsidR="00AB53EC" w:rsidRDefault="00AB53EC" w:rsidP="00126E97">
      <w:pPr>
        <w:spacing w:after="0" w:line="20" w:lineRule="atLeast"/>
        <w:jc w:val="both"/>
        <w:rPr>
          <w:rFonts w:ascii="Verdana" w:eastAsia="Batang" w:hAnsi="Verdana" w:cs="Times"/>
          <w:sz w:val="20"/>
          <w:szCs w:val="20"/>
          <w:lang w:val="es-CR" w:eastAsia="es-CR"/>
        </w:rPr>
      </w:pPr>
    </w:p>
    <w:p w:rsidR="00AB4A38" w:rsidRDefault="00AB4A38" w:rsidP="00AB4A38">
      <w:pPr>
        <w:jc w:val="both"/>
        <w:rPr>
          <w:rFonts w:ascii="Verdana" w:hAnsi="Verdana"/>
          <w:sz w:val="20"/>
          <w:lang w:val="es-ES"/>
        </w:rPr>
      </w:pPr>
      <w:r>
        <w:rPr>
          <w:rFonts w:ascii="Verdana" w:hAnsi="Verdana"/>
          <w:sz w:val="20"/>
          <w:lang w:val="es-ES"/>
        </w:rPr>
        <w:lastRenderedPageBreak/>
        <w:t xml:space="preserve">Corte IDH. Caso </w:t>
      </w:r>
      <w:proofErr w:type="spellStart"/>
      <w:r>
        <w:rPr>
          <w:rFonts w:ascii="Verdana" w:hAnsi="Verdana"/>
          <w:i/>
          <w:sz w:val="20"/>
          <w:lang w:val="es-ES"/>
        </w:rPr>
        <w:t>Coc</w:t>
      </w:r>
      <w:proofErr w:type="spellEnd"/>
      <w:r>
        <w:rPr>
          <w:rFonts w:ascii="Verdana" w:hAnsi="Verdana"/>
          <w:i/>
          <w:sz w:val="20"/>
          <w:lang w:val="es-ES"/>
        </w:rPr>
        <w:t xml:space="preserve"> Max y otros (Masacre de </w:t>
      </w:r>
      <w:proofErr w:type="spellStart"/>
      <w:r>
        <w:rPr>
          <w:rFonts w:ascii="Verdana" w:hAnsi="Verdana"/>
          <w:i/>
          <w:sz w:val="20"/>
          <w:lang w:val="es-ES"/>
        </w:rPr>
        <w:t>Xamán</w:t>
      </w:r>
      <w:proofErr w:type="spellEnd"/>
      <w:r>
        <w:rPr>
          <w:rFonts w:ascii="Verdana" w:hAnsi="Verdana"/>
          <w:i/>
          <w:sz w:val="20"/>
          <w:lang w:val="es-ES"/>
        </w:rPr>
        <w:t>)</w:t>
      </w:r>
      <w:r w:rsidRPr="00D82419">
        <w:rPr>
          <w:rFonts w:ascii="Verdana" w:hAnsi="Verdana"/>
          <w:i/>
          <w:sz w:val="20"/>
          <w:lang w:val="es-ES"/>
        </w:rPr>
        <w:t xml:space="preserve"> Vs. </w:t>
      </w:r>
      <w:r>
        <w:rPr>
          <w:rFonts w:ascii="Verdana" w:hAnsi="Verdana"/>
          <w:i/>
          <w:sz w:val="20"/>
          <w:lang w:val="es-ES"/>
        </w:rPr>
        <w:t>Guatemala</w:t>
      </w:r>
      <w:r>
        <w:rPr>
          <w:rFonts w:ascii="Verdana" w:hAnsi="Verdana"/>
          <w:sz w:val="20"/>
          <w:lang w:val="es-ES"/>
        </w:rPr>
        <w:t xml:space="preserve">. Fondo, Reparaciones y Costas. Sentencia de </w:t>
      </w:r>
      <w:r w:rsidRPr="003619A0">
        <w:rPr>
          <w:rFonts w:ascii="Verdana" w:hAnsi="Verdana"/>
          <w:sz w:val="20"/>
          <w:lang w:val="es-ES"/>
        </w:rPr>
        <w:t>2</w:t>
      </w:r>
      <w:r>
        <w:rPr>
          <w:rFonts w:ascii="Verdana" w:hAnsi="Verdana"/>
          <w:sz w:val="20"/>
          <w:lang w:val="es-ES"/>
        </w:rPr>
        <w:t>2 de agosto de 2018.</w:t>
      </w:r>
    </w:p>
    <w:p w:rsidR="00AB4A38" w:rsidRPr="00DA00D0" w:rsidRDefault="00AB4A38" w:rsidP="00AB4A38">
      <w:pPr>
        <w:spacing w:after="0"/>
        <w:rPr>
          <w:rFonts w:ascii="Verdana" w:hAnsi="Verdana"/>
          <w:strike/>
          <w:sz w:val="20"/>
          <w:lang w:val="pt-BR"/>
        </w:rPr>
      </w:pPr>
    </w:p>
    <w:p w:rsidR="00AB4A38"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Pr="00DA00D0" w:rsidRDefault="00AB4A38" w:rsidP="00AB4A38">
      <w:pPr>
        <w:spacing w:after="0"/>
        <w:rPr>
          <w:rFonts w:ascii="Verdana" w:hAnsi="Verdana"/>
          <w:sz w:val="20"/>
          <w:lang w:val="pt-BR"/>
        </w:rPr>
      </w:pPr>
    </w:p>
    <w:p w:rsidR="00AB4A38" w:rsidRPr="00DA00D0" w:rsidRDefault="00AB4A38" w:rsidP="00AB4A38">
      <w:pPr>
        <w:spacing w:after="0"/>
        <w:jc w:val="center"/>
        <w:rPr>
          <w:rFonts w:ascii="Verdana" w:hAnsi="Verdana"/>
          <w:sz w:val="20"/>
          <w:lang w:val="pt-BR"/>
        </w:rPr>
      </w:pPr>
      <w:r w:rsidRPr="00DA00D0">
        <w:rPr>
          <w:rFonts w:ascii="Verdana" w:hAnsi="Verdana"/>
          <w:sz w:val="20"/>
          <w:lang w:val="pt-BR"/>
        </w:rPr>
        <w:t>Eduardo Ferrer Mac-Gregor Poisot</w:t>
      </w:r>
    </w:p>
    <w:p w:rsidR="00AB4A38" w:rsidRPr="00DA00D0" w:rsidRDefault="00AB4A38" w:rsidP="00AB4A38">
      <w:pPr>
        <w:spacing w:after="0"/>
        <w:jc w:val="center"/>
        <w:rPr>
          <w:rFonts w:ascii="Verdana" w:hAnsi="Verdana"/>
          <w:sz w:val="20"/>
          <w:lang w:val="pt-BR"/>
        </w:rPr>
      </w:pPr>
      <w:r>
        <w:rPr>
          <w:rFonts w:ascii="Verdana" w:hAnsi="Verdana"/>
          <w:sz w:val="20"/>
          <w:lang w:val="pt-BR"/>
        </w:rPr>
        <w:t xml:space="preserve">Presidente </w:t>
      </w:r>
    </w:p>
    <w:p w:rsidR="00AB4A38" w:rsidRPr="00DA00D0"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Pr="00DA00D0" w:rsidRDefault="00AB4A38" w:rsidP="00AB4A38">
      <w:pPr>
        <w:spacing w:after="0"/>
        <w:rPr>
          <w:rFonts w:ascii="Verdana" w:hAnsi="Verdana"/>
          <w:sz w:val="20"/>
          <w:lang w:val="pt-BR"/>
        </w:rPr>
      </w:pPr>
    </w:p>
    <w:p w:rsidR="00AB4A38" w:rsidRPr="00DA00D0" w:rsidRDefault="00AB4A38" w:rsidP="00AB4A38">
      <w:pPr>
        <w:spacing w:after="0"/>
        <w:rPr>
          <w:rFonts w:ascii="Verdana" w:hAnsi="Verdana"/>
          <w:sz w:val="20"/>
          <w:lang w:val="pt-BR"/>
        </w:rPr>
      </w:pPr>
    </w:p>
    <w:p w:rsidR="00AB4A38" w:rsidRPr="00DA00D0"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r w:rsidRPr="00DA00D0">
        <w:rPr>
          <w:rFonts w:ascii="Verdana" w:hAnsi="Verdana"/>
          <w:sz w:val="20"/>
          <w:lang w:val="pt-BR"/>
        </w:rPr>
        <w:t xml:space="preserve">Humberto </w:t>
      </w:r>
      <w:r>
        <w:rPr>
          <w:rFonts w:ascii="Verdana" w:hAnsi="Verdana"/>
          <w:sz w:val="20"/>
          <w:lang w:val="pt-BR"/>
        </w:rPr>
        <w:t xml:space="preserve">A. </w:t>
      </w:r>
      <w:r w:rsidRPr="00DA00D0">
        <w:rPr>
          <w:rFonts w:ascii="Verdana" w:hAnsi="Verdana"/>
          <w:sz w:val="20"/>
          <w:lang w:val="pt-BR"/>
        </w:rPr>
        <w:t>Sierra Porto</w:t>
      </w:r>
      <w:r w:rsidRPr="00DA00D0">
        <w:rPr>
          <w:rFonts w:ascii="Verdana" w:hAnsi="Verdana"/>
          <w:sz w:val="20"/>
          <w:lang w:val="pt-BR"/>
        </w:rPr>
        <w:tab/>
      </w:r>
      <w:r w:rsidRPr="00DA00D0">
        <w:rPr>
          <w:rFonts w:ascii="Verdana" w:hAnsi="Verdana"/>
          <w:sz w:val="20"/>
          <w:lang w:val="pt-BR"/>
        </w:rPr>
        <w:tab/>
      </w:r>
      <w:r w:rsidRPr="00DA00D0">
        <w:rPr>
          <w:rFonts w:ascii="Verdana" w:hAnsi="Verdana"/>
          <w:sz w:val="20"/>
          <w:lang w:val="pt-BR"/>
        </w:rPr>
        <w:tab/>
      </w:r>
      <w:r w:rsidR="00B42848">
        <w:rPr>
          <w:rFonts w:ascii="Verdana" w:hAnsi="Verdana"/>
          <w:sz w:val="20"/>
          <w:lang w:val="pt-BR"/>
        </w:rPr>
        <w:tab/>
      </w:r>
      <w:r w:rsidR="00B42848">
        <w:rPr>
          <w:rFonts w:ascii="Verdana" w:hAnsi="Verdana"/>
          <w:sz w:val="20"/>
          <w:lang w:val="pt-BR"/>
        </w:rPr>
        <w:tab/>
        <w:t xml:space="preserve">    </w:t>
      </w:r>
      <w:r w:rsidRPr="00DA00D0">
        <w:rPr>
          <w:rFonts w:ascii="Verdana" w:hAnsi="Verdana"/>
          <w:sz w:val="20"/>
          <w:lang w:val="pt-BR"/>
        </w:rPr>
        <w:t>Eli</w:t>
      </w:r>
      <w:r w:rsidR="00B42848">
        <w:rPr>
          <w:rFonts w:ascii="Verdana" w:hAnsi="Verdana"/>
          <w:sz w:val="20"/>
          <w:lang w:val="pt-BR"/>
        </w:rPr>
        <w:t xml:space="preserve">zabeth Odio </w:t>
      </w:r>
      <w:r>
        <w:rPr>
          <w:rFonts w:ascii="Verdana" w:hAnsi="Verdana"/>
          <w:sz w:val="20"/>
          <w:lang w:val="pt-BR"/>
        </w:rPr>
        <w:t>Benito</w:t>
      </w:r>
    </w:p>
    <w:p w:rsidR="00AB4A38"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Pr="00DA00D0" w:rsidRDefault="00AB4A38" w:rsidP="00B42848">
      <w:pPr>
        <w:spacing w:after="0"/>
        <w:ind w:left="5664" w:hanging="5664"/>
        <w:rPr>
          <w:rFonts w:ascii="Verdana" w:hAnsi="Verdana"/>
          <w:sz w:val="20"/>
          <w:lang w:val="pt-BR"/>
        </w:rPr>
      </w:pPr>
      <w:r w:rsidRPr="00DA00D0">
        <w:rPr>
          <w:rFonts w:ascii="Verdana" w:hAnsi="Verdana"/>
          <w:sz w:val="20"/>
          <w:lang w:val="pt-BR"/>
        </w:rPr>
        <w:t>Eugenio Raúl Zaffaroni</w:t>
      </w:r>
      <w:r w:rsidR="00B42848">
        <w:rPr>
          <w:rFonts w:ascii="Verdana" w:hAnsi="Verdana"/>
          <w:sz w:val="20"/>
          <w:lang w:val="pt-BR"/>
        </w:rPr>
        <w:tab/>
        <w:t xml:space="preserve"> </w:t>
      </w:r>
      <w:r>
        <w:rPr>
          <w:rFonts w:ascii="Verdana" w:hAnsi="Verdana"/>
          <w:sz w:val="20"/>
          <w:lang w:val="pt-BR"/>
        </w:rPr>
        <w:t>L.</w:t>
      </w:r>
      <w:r w:rsidRPr="00DA00D0">
        <w:rPr>
          <w:rFonts w:ascii="Verdana" w:hAnsi="Verdana"/>
          <w:sz w:val="20"/>
          <w:lang w:val="pt-BR"/>
        </w:rPr>
        <w:t xml:space="preserve"> Patricio </w:t>
      </w:r>
      <w:r w:rsidR="00B42848">
        <w:rPr>
          <w:rFonts w:ascii="Verdana" w:hAnsi="Verdana"/>
          <w:sz w:val="20"/>
          <w:lang w:val="pt-BR"/>
        </w:rPr>
        <w:t xml:space="preserve">Pazmiño </w:t>
      </w:r>
      <w:r w:rsidRPr="00DA00D0">
        <w:rPr>
          <w:rFonts w:ascii="Verdana" w:hAnsi="Verdana"/>
          <w:sz w:val="20"/>
          <w:lang w:val="pt-BR"/>
        </w:rPr>
        <w:t>Fre</w:t>
      </w:r>
      <w:r>
        <w:rPr>
          <w:rFonts w:ascii="Verdana" w:hAnsi="Verdana"/>
          <w:sz w:val="20"/>
          <w:lang w:val="pt-BR"/>
        </w:rPr>
        <w:t>i</w:t>
      </w:r>
      <w:r w:rsidRPr="00DA00D0">
        <w:rPr>
          <w:rFonts w:ascii="Verdana" w:hAnsi="Verdana"/>
          <w:sz w:val="20"/>
          <w:lang w:val="pt-BR"/>
        </w:rPr>
        <w:t>re</w:t>
      </w:r>
    </w:p>
    <w:p w:rsidR="00AB4A38" w:rsidRPr="00DA00D0" w:rsidRDefault="00AB4A38" w:rsidP="00AB4A38">
      <w:pPr>
        <w:spacing w:after="0"/>
        <w:rPr>
          <w:rFonts w:ascii="Verdana" w:hAnsi="Verdana"/>
          <w:sz w:val="20"/>
          <w:lang w:val="pt-BR"/>
        </w:rPr>
      </w:pPr>
    </w:p>
    <w:p w:rsidR="00AB4A38" w:rsidRDefault="00AB4A38" w:rsidP="00AB4A38">
      <w:pPr>
        <w:spacing w:after="0"/>
        <w:rPr>
          <w:rFonts w:ascii="Verdana" w:hAnsi="Verdana"/>
          <w:sz w:val="20"/>
          <w:lang w:val="pt-BR"/>
        </w:rPr>
      </w:pPr>
    </w:p>
    <w:p w:rsidR="00AB4A38" w:rsidRPr="00DA00D0" w:rsidRDefault="00AB4A38" w:rsidP="00AB4A38">
      <w:pPr>
        <w:spacing w:after="0"/>
        <w:rPr>
          <w:rFonts w:ascii="Verdana" w:hAnsi="Verdana"/>
          <w:sz w:val="20"/>
          <w:lang w:val="pt-BR"/>
        </w:rPr>
      </w:pPr>
    </w:p>
    <w:p w:rsidR="00AB4A38" w:rsidRPr="00DA00D0" w:rsidRDefault="00AB4A38" w:rsidP="00AB4A38">
      <w:pPr>
        <w:spacing w:after="0"/>
        <w:jc w:val="both"/>
        <w:rPr>
          <w:rFonts w:ascii="Verdana" w:hAnsi="Verdana"/>
          <w:sz w:val="20"/>
          <w:lang w:val="pt-BR"/>
        </w:rPr>
      </w:pPr>
    </w:p>
    <w:p w:rsidR="00AB4A38" w:rsidRPr="00DA00D0" w:rsidRDefault="00AB4A38" w:rsidP="00AB4A38">
      <w:pPr>
        <w:spacing w:after="0"/>
        <w:jc w:val="both"/>
        <w:rPr>
          <w:rFonts w:ascii="Verdana" w:hAnsi="Verdana"/>
          <w:sz w:val="20"/>
          <w:lang w:val="pt-BR"/>
        </w:rPr>
      </w:pPr>
    </w:p>
    <w:p w:rsidR="00AB4A38" w:rsidRPr="00DA00D0" w:rsidRDefault="00AB4A38" w:rsidP="00AB4A38">
      <w:pPr>
        <w:spacing w:after="0"/>
        <w:jc w:val="both"/>
        <w:rPr>
          <w:rFonts w:ascii="Verdana" w:hAnsi="Verdana"/>
          <w:sz w:val="20"/>
          <w:lang w:val="pt-BR"/>
        </w:rPr>
      </w:pPr>
    </w:p>
    <w:p w:rsidR="00AB4A38" w:rsidRPr="00FC4051" w:rsidRDefault="00AB4A38" w:rsidP="00AB4A38">
      <w:pPr>
        <w:spacing w:after="0"/>
        <w:jc w:val="center"/>
        <w:rPr>
          <w:rFonts w:ascii="Verdana" w:hAnsi="Verdana"/>
          <w:sz w:val="20"/>
          <w:lang w:val="pt-BR"/>
        </w:rPr>
      </w:pPr>
      <w:r w:rsidRPr="00FC4051">
        <w:rPr>
          <w:rFonts w:ascii="Verdana" w:hAnsi="Verdana"/>
          <w:sz w:val="20"/>
          <w:lang w:val="pt-BR"/>
        </w:rPr>
        <w:t>Pablo Saavedra Alessandri</w:t>
      </w:r>
    </w:p>
    <w:p w:rsidR="00AB4A38" w:rsidRPr="00FC4051" w:rsidRDefault="00AB4A38" w:rsidP="00AB4A38">
      <w:pPr>
        <w:spacing w:after="0"/>
        <w:jc w:val="center"/>
        <w:rPr>
          <w:rFonts w:ascii="Verdana" w:hAnsi="Verdana"/>
          <w:sz w:val="20"/>
          <w:lang w:val="pt-BR"/>
        </w:rPr>
      </w:pPr>
      <w:r w:rsidRPr="00FC4051">
        <w:rPr>
          <w:rFonts w:ascii="Verdana" w:hAnsi="Verdana"/>
          <w:sz w:val="20"/>
          <w:lang w:val="pt-BR"/>
        </w:rPr>
        <w:t>Secret</w:t>
      </w:r>
      <w:r>
        <w:rPr>
          <w:rFonts w:ascii="Verdana" w:hAnsi="Verdana"/>
          <w:sz w:val="20"/>
          <w:lang w:val="pt-BR"/>
        </w:rPr>
        <w:t>a</w:t>
      </w:r>
      <w:r w:rsidRPr="00FC4051">
        <w:rPr>
          <w:rFonts w:ascii="Verdana" w:hAnsi="Verdana"/>
          <w:sz w:val="20"/>
          <w:lang w:val="pt-BR"/>
        </w:rPr>
        <w:t>rio</w:t>
      </w:r>
    </w:p>
    <w:p w:rsidR="00AB4A38" w:rsidRDefault="00AB4A38" w:rsidP="00AB4A38">
      <w:pPr>
        <w:pStyle w:val="FootnoteText"/>
        <w:rPr>
          <w:lang w:val="pt-BR"/>
        </w:rPr>
      </w:pPr>
    </w:p>
    <w:p w:rsidR="00AB4A38" w:rsidRPr="00FC4051" w:rsidRDefault="00AB4A38" w:rsidP="00AB4A38">
      <w:pPr>
        <w:pStyle w:val="FootnoteText"/>
        <w:rPr>
          <w:lang w:val="pt-BR"/>
        </w:rPr>
      </w:pPr>
    </w:p>
    <w:p w:rsidR="00AB4A38" w:rsidRPr="00FC4051" w:rsidRDefault="00AB4A38" w:rsidP="00AB4A38">
      <w:pPr>
        <w:pStyle w:val="FootnoteText"/>
        <w:rPr>
          <w:lang w:val="pt-BR"/>
        </w:rPr>
      </w:pPr>
    </w:p>
    <w:p w:rsidR="00AB4A38" w:rsidRPr="00FC4051" w:rsidRDefault="00AB4A38" w:rsidP="00AB4A38">
      <w:pPr>
        <w:spacing w:after="0"/>
        <w:jc w:val="both"/>
        <w:rPr>
          <w:rFonts w:ascii="Verdana" w:hAnsi="Verdana"/>
          <w:sz w:val="20"/>
          <w:lang w:val="pt-BR"/>
        </w:rPr>
      </w:pPr>
      <w:r>
        <w:rPr>
          <w:rFonts w:ascii="Verdana" w:hAnsi="Verdana"/>
          <w:sz w:val="20"/>
          <w:lang w:val="pt-BR"/>
        </w:rPr>
        <w:t>Comuníquese y ejecútese</w:t>
      </w:r>
      <w:r w:rsidRPr="00FC4051">
        <w:rPr>
          <w:rFonts w:ascii="Verdana" w:hAnsi="Verdana"/>
          <w:sz w:val="20"/>
          <w:lang w:val="pt-BR"/>
        </w:rPr>
        <w:t>,</w:t>
      </w:r>
    </w:p>
    <w:p w:rsidR="00AB4A38" w:rsidRPr="00FC4051" w:rsidRDefault="00AB4A38" w:rsidP="00AB4A38">
      <w:pPr>
        <w:spacing w:after="0"/>
        <w:rPr>
          <w:rFonts w:ascii="Verdana" w:hAnsi="Verdana"/>
          <w:sz w:val="20"/>
          <w:lang w:val="pt-BR"/>
        </w:rPr>
      </w:pPr>
    </w:p>
    <w:p w:rsidR="00AB4A38" w:rsidRPr="00FC4051" w:rsidRDefault="00AB4A38" w:rsidP="00AB4A38">
      <w:pPr>
        <w:spacing w:after="0"/>
        <w:rPr>
          <w:rFonts w:ascii="Verdana" w:hAnsi="Verdana"/>
          <w:sz w:val="20"/>
          <w:lang w:val="pt-BR"/>
        </w:rPr>
      </w:pPr>
    </w:p>
    <w:p w:rsidR="00AB4A38" w:rsidRPr="00FC4051" w:rsidRDefault="00AB4A38" w:rsidP="00AB4A38">
      <w:pPr>
        <w:spacing w:after="0"/>
        <w:jc w:val="right"/>
        <w:rPr>
          <w:rFonts w:ascii="Verdana" w:hAnsi="Verdana"/>
          <w:sz w:val="20"/>
          <w:lang w:val="pt-BR"/>
        </w:rPr>
      </w:pPr>
    </w:p>
    <w:p w:rsidR="00AB4A38" w:rsidRPr="00FC4051" w:rsidRDefault="00AB4A38" w:rsidP="00AB4A38">
      <w:pPr>
        <w:spacing w:after="0"/>
        <w:jc w:val="right"/>
        <w:rPr>
          <w:rFonts w:ascii="Verdana" w:hAnsi="Verdana"/>
          <w:sz w:val="20"/>
          <w:lang w:val="pt-BR"/>
        </w:rPr>
      </w:pPr>
    </w:p>
    <w:p w:rsidR="00AB4A38" w:rsidRPr="00FC4051" w:rsidRDefault="00AB4A38" w:rsidP="00AB4A38">
      <w:pPr>
        <w:spacing w:after="0"/>
        <w:jc w:val="center"/>
        <w:rPr>
          <w:rFonts w:ascii="Verdana" w:hAnsi="Verdana"/>
          <w:sz w:val="20"/>
          <w:lang w:val="pt-BR"/>
        </w:rPr>
      </w:pPr>
      <w:r>
        <w:rPr>
          <w:rFonts w:ascii="Verdana" w:hAnsi="Verdana"/>
          <w:sz w:val="20"/>
          <w:lang w:val="pt-BR"/>
        </w:rPr>
        <w:t xml:space="preserve">                                                                           </w:t>
      </w:r>
      <w:r w:rsidRPr="00DA00D0">
        <w:rPr>
          <w:rFonts w:ascii="Verdana" w:hAnsi="Verdana"/>
          <w:sz w:val="20"/>
          <w:lang w:val="pt-BR"/>
        </w:rPr>
        <w:t>Eduardo Ferrer Mac-Gregor Poisot</w:t>
      </w:r>
    </w:p>
    <w:p w:rsidR="00AB4A38" w:rsidRPr="00DA00D0" w:rsidRDefault="00AB4A38" w:rsidP="00AB4A38">
      <w:pPr>
        <w:spacing w:after="0"/>
        <w:ind w:left="6480"/>
        <w:rPr>
          <w:rFonts w:ascii="Verdana" w:hAnsi="Verdana"/>
          <w:sz w:val="20"/>
          <w:lang w:val="pt-BR"/>
        </w:rPr>
      </w:pPr>
      <w:r>
        <w:rPr>
          <w:rFonts w:ascii="Verdana" w:hAnsi="Verdana"/>
          <w:sz w:val="20"/>
          <w:lang w:val="pt-BR"/>
        </w:rPr>
        <w:t xml:space="preserve">        Presidente </w:t>
      </w:r>
    </w:p>
    <w:p w:rsidR="00AB4A38" w:rsidRPr="00FC4051" w:rsidRDefault="00AB4A38" w:rsidP="00AB4A38">
      <w:pPr>
        <w:spacing w:after="0"/>
        <w:ind w:left="5040" w:firstLine="720"/>
        <w:jc w:val="center"/>
        <w:rPr>
          <w:rFonts w:ascii="Verdana" w:hAnsi="Verdana"/>
          <w:sz w:val="20"/>
          <w:lang w:val="pt-BR"/>
        </w:rPr>
      </w:pPr>
    </w:p>
    <w:p w:rsidR="00AB4A38" w:rsidRPr="00FC4051" w:rsidRDefault="00AB4A38" w:rsidP="00AB4A38">
      <w:pPr>
        <w:spacing w:after="0"/>
        <w:jc w:val="both"/>
        <w:rPr>
          <w:rFonts w:ascii="Verdana" w:hAnsi="Verdana"/>
          <w:sz w:val="20"/>
          <w:lang w:val="pt-BR"/>
        </w:rPr>
      </w:pPr>
    </w:p>
    <w:p w:rsidR="00AB4A38" w:rsidRPr="00FC4051" w:rsidRDefault="00AB4A38" w:rsidP="00AB4A38">
      <w:pPr>
        <w:spacing w:after="0"/>
        <w:jc w:val="both"/>
        <w:rPr>
          <w:rFonts w:ascii="Verdana" w:hAnsi="Verdana"/>
          <w:sz w:val="20"/>
          <w:lang w:val="pt-BR"/>
        </w:rPr>
      </w:pPr>
    </w:p>
    <w:p w:rsidR="00AB4A38" w:rsidRPr="00FC4051" w:rsidRDefault="00AB4A38" w:rsidP="00AB4A38">
      <w:pPr>
        <w:spacing w:after="0"/>
        <w:jc w:val="both"/>
        <w:rPr>
          <w:rFonts w:ascii="Verdana" w:hAnsi="Verdana"/>
          <w:sz w:val="20"/>
          <w:lang w:val="pt-BR"/>
        </w:rPr>
      </w:pPr>
      <w:r w:rsidRPr="00FC4051">
        <w:rPr>
          <w:rFonts w:ascii="Verdana" w:hAnsi="Verdana"/>
          <w:sz w:val="20"/>
          <w:lang w:val="pt-BR"/>
        </w:rPr>
        <w:t>Pablo Saavedra Alessandri</w:t>
      </w:r>
    </w:p>
    <w:p w:rsidR="0057574C" w:rsidRDefault="00AB4A38" w:rsidP="002918DC">
      <w:pPr>
        <w:spacing w:after="0"/>
        <w:rPr>
          <w:rFonts w:ascii="Verdana" w:hAnsi="Verdana"/>
          <w:sz w:val="20"/>
          <w:lang w:val="es-ES"/>
        </w:rPr>
      </w:pPr>
      <w:r w:rsidRPr="00FC4051">
        <w:rPr>
          <w:rFonts w:ascii="Verdana" w:hAnsi="Verdana"/>
          <w:sz w:val="20"/>
          <w:lang w:val="pt-BR"/>
        </w:rPr>
        <w:tab/>
      </w:r>
      <w:r w:rsidRPr="00DA00D0">
        <w:rPr>
          <w:rFonts w:ascii="Verdana" w:hAnsi="Verdana"/>
          <w:sz w:val="20"/>
          <w:lang w:val="es-ES"/>
        </w:rPr>
        <w:t>Secret</w:t>
      </w:r>
      <w:r>
        <w:rPr>
          <w:rFonts w:ascii="Verdana" w:hAnsi="Verdana"/>
          <w:sz w:val="20"/>
          <w:lang w:val="es-ES"/>
        </w:rPr>
        <w:t>a</w:t>
      </w:r>
      <w:r w:rsidRPr="00DA00D0">
        <w:rPr>
          <w:rFonts w:ascii="Verdana" w:hAnsi="Verdana"/>
          <w:sz w:val="20"/>
          <w:lang w:val="es-ES"/>
        </w:rPr>
        <w:t>rio</w:t>
      </w:r>
    </w:p>
    <w:p w:rsidR="003908EB" w:rsidRDefault="003908EB" w:rsidP="002918DC">
      <w:pPr>
        <w:spacing w:after="0"/>
        <w:rPr>
          <w:lang w:val="es-CR"/>
        </w:rPr>
        <w:sectPr w:rsidR="003908EB" w:rsidSect="007877C0">
          <w:headerReference w:type="default" r:id="rId9"/>
          <w:pgSz w:w="12240" w:h="15840"/>
          <w:pgMar w:top="1417" w:right="1701" w:bottom="1417" w:left="1701" w:header="708" w:footer="708" w:gutter="0"/>
          <w:cols w:space="708"/>
          <w:titlePg/>
          <w:docGrid w:linePitch="360"/>
        </w:sectPr>
      </w:pPr>
    </w:p>
    <w:p w:rsidR="00AA6E1B" w:rsidRDefault="00AA6E1B" w:rsidP="00446D8C">
      <w:pPr>
        <w:rPr>
          <w:rFonts w:ascii="Verdana" w:hAnsi="Verdana"/>
          <w:sz w:val="20"/>
          <w:szCs w:val="20"/>
          <w:lang w:val="es-CR"/>
        </w:rPr>
      </w:pPr>
    </w:p>
    <w:p w:rsidR="00B42848" w:rsidRDefault="00B42848" w:rsidP="00AA6E1B">
      <w:pPr>
        <w:jc w:val="center"/>
        <w:rPr>
          <w:rFonts w:ascii="Verdana" w:hAnsi="Verdana"/>
          <w:b/>
          <w:sz w:val="20"/>
          <w:szCs w:val="20"/>
          <w:lang w:val="es-CR"/>
        </w:rPr>
      </w:pPr>
    </w:p>
    <w:p w:rsidR="003908EB" w:rsidRPr="00AA6E1B" w:rsidRDefault="003908EB" w:rsidP="00AA6E1B">
      <w:pPr>
        <w:jc w:val="center"/>
        <w:rPr>
          <w:rFonts w:ascii="Verdana" w:hAnsi="Verdana"/>
          <w:b/>
          <w:sz w:val="20"/>
          <w:szCs w:val="20"/>
          <w:lang w:val="es-CR"/>
        </w:rPr>
      </w:pPr>
      <w:r w:rsidRPr="00AA6E1B">
        <w:rPr>
          <w:rFonts w:ascii="Verdana" w:hAnsi="Verdana"/>
          <w:b/>
          <w:sz w:val="20"/>
          <w:szCs w:val="20"/>
          <w:lang w:val="es-CR"/>
        </w:rPr>
        <w:lastRenderedPageBreak/>
        <w:t>ANEXO A</w:t>
      </w:r>
    </w:p>
    <w:p w:rsidR="003908EB" w:rsidRPr="003908EB" w:rsidRDefault="003908EB" w:rsidP="00606E62">
      <w:pPr>
        <w:jc w:val="center"/>
        <w:rPr>
          <w:rFonts w:ascii="Verdana" w:hAnsi="Verdana"/>
          <w:b/>
          <w:sz w:val="20"/>
          <w:szCs w:val="20"/>
          <w:lang w:val="es-CR"/>
        </w:rPr>
      </w:pPr>
    </w:p>
    <w:p w:rsidR="003908EB" w:rsidRPr="003908EB" w:rsidRDefault="003908EB" w:rsidP="00606E62">
      <w:pPr>
        <w:jc w:val="center"/>
        <w:rPr>
          <w:rFonts w:ascii="Verdana" w:hAnsi="Verdana"/>
          <w:b/>
          <w:sz w:val="20"/>
          <w:szCs w:val="20"/>
          <w:lang w:val="es-CR"/>
        </w:rPr>
      </w:pPr>
      <w:r w:rsidRPr="003908EB">
        <w:rPr>
          <w:rFonts w:ascii="Verdana" w:hAnsi="Verdana"/>
          <w:b/>
          <w:sz w:val="20"/>
          <w:szCs w:val="20"/>
          <w:lang w:val="es-CR"/>
        </w:rPr>
        <w:t>PERSONAS INDICADAS COMO VÍCTIMAS POR LA COMISIÓN INTERAMERICANA DE DERECHOS HUMANOS EN SU INFORME DE ADMISIBILIDAD Y FONDO 28/16</w:t>
      </w:r>
      <w:r w:rsidRPr="003908EB">
        <w:rPr>
          <w:rStyle w:val="FootnoteReference"/>
          <w:rFonts w:ascii="Verdana" w:hAnsi="Verdana"/>
          <w:sz w:val="20"/>
          <w:lang w:val="es-CR"/>
        </w:rPr>
        <w:footnoteReference w:id="246"/>
      </w:r>
    </w:p>
    <w:p w:rsidR="003908EB" w:rsidRPr="003908EB" w:rsidRDefault="003908EB" w:rsidP="00606E62">
      <w:pPr>
        <w:rPr>
          <w:rFonts w:ascii="Verdana" w:hAnsi="Verdana"/>
          <w:b/>
          <w:sz w:val="20"/>
          <w:szCs w:val="20"/>
          <w:lang w:val="es-CR"/>
        </w:rPr>
      </w:pPr>
    </w:p>
    <w:p w:rsidR="003908EB" w:rsidRPr="00E8771A" w:rsidRDefault="003908EB" w:rsidP="00E8771A">
      <w:pPr>
        <w:spacing w:after="0" w:line="240" w:lineRule="auto"/>
        <w:jc w:val="both"/>
        <w:rPr>
          <w:rFonts w:ascii="Verdana" w:eastAsia="Batang" w:hAnsi="Verdana" w:cs="Times"/>
          <w:sz w:val="20"/>
          <w:szCs w:val="20"/>
          <w:lang w:val="es-CR" w:eastAsia="es-CR"/>
        </w:rPr>
      </w:pPr>
      <w:r w:rsidRPr="00E8771A">
        <w:rPr>
          <w:rFonts w:ascii="Verdana" w:eastAsia="Batang" w:hAnsi="Verdana" w:cs="Times"/>
          <w:sz w:val="20"/>
          <w:szCs w:val="20"/>
          <w:lang w:val="es-CR" w:eastAsia="es-CR"/>
        </w:rPr>
        <w:t xml:space="preserve">1.-Abel Ramírez Pérez, 2.-Andrés Miguel Mateo, 3.-Hilaria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de la Cruz, 4.-Juana Jacinto Felipe, 5.-Manuela Mateo Antonio, 6.-Pablo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7.-Pedro Diego Andrés, 8.-Pedro Medina Sánchez, 9.- Carlos Fernando </w:t>
      </w:r>
      <w:proofErr w:type="spellStart"/>
      <w:r w:rsidRPr="00E8771A">
        <w:rPr>
          <w:rFonts w:ascii="Verdana" w:eastAsia="Batang" w:hAnsi="Verdana" w:cs="Times"/>
          <w:sz w:val="20"/>
          <w:szCs w:val="20"/>
          <w:lang w:val="es-CR" w:eastAsia="es-CR"/>
        </w:rPr>
        <w:t>Chop</w:t>
      </w:r>
      <w:proofErr w:type="spellEnd"/>
      <w:r w:rsidRPr="00E8771A">
        <w:rPr>
          <w:rFonts w:ascii="Verdana" w:eastAsia="Batang" w:hAnsi="Verdana" w:cs="Times"/>
          <w:sz w:val="20"/>
          <w:szCs w:val="20"/>
          <w:lang w:val="es-CR" w:eastAsia="es-CR"/>
        </w:rPr>
        <w:t xml:space="preserve"> Chic, 10.-Santiago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11.-Maurilia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Max, 12.-Santiago </w:t>
      </w:r>
      <w:proofErr w:type="spellStart"/>
      <w:r w:rsidRPr="00E8771A">
        <w:rPr>
          <w:rFonts w:ascii="Verdana" w:eastAsia="Batang" w:hAnsi="Verdana" w:cs="Times"/>
          <w:sz w:val="20"/>
          <w:szCs w:val="20"/>
          <w:lang w:val="es-CR" w:eastAsia="es-CR"/>
        </w:rPr>
        <w:t>Maquín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13.-Gerardo Maldonado Sales, 14.-Rosendo Morales </w:t>
      </w:r>
      <w:proofErr w:type="spellStart"/>
      <w:r w:rsidRPr="00E8771A">
        <w:rPr>
          <w:rFonts w:ascii="Verdana" w:eastAsia="Batang" w:hAnsi="Verdana" w:cs="Times"/>
          <w:sz w:val="20"/>
          <w:szCs w:val="20"/>
          <w:lang w:val="es-CR" w:eastAsia="es-CR"/>
        </w:rPr>
        <w:t>Ortíz</w:t>
      </w:r>
      <w:proofErr w:type="spellEnd"/>
      <w:r w:rsidRPr="00E8771A">
        <w:rPr>
          <w:rFonts w:ascii="Verdana" w:eastAsia="Batang" w:hAnsi="Verdana" w:cs="Times"/>
          <w:sz w:val="20"/>
          <w:szCs w:val="20"/>
          <w:lang w:val="es-CR" w:eastAsia="es-CR"/>
        </w:rPr>
        <w:t xml:space="preserve">; 15.-Aurelio Hernández Morales, 16.-Carmen </w:t>
      </w:r>
      <w:proofErr w:type="spellStart"/>
      <w:r w:rsidRPr="00E8771A">
        <w:rPr>
          <w:rFonts w:ascii="Verdana" w:eastAsia="Batang" w:hAnsi="Verdana" w:cs="Times"/>
          <w:sz w:val="20"/>
          <w:szCs w:val="20"/>
          <w:lang w:val="es-CR" w:eastAsia="es-CR"/>
        </w:rPr>
        <w:t>Caal</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Saqui</w:t>
      </w:r>
      <w:proofErr w:type="spellEnd"/>
      <w:r w:rsidRPr="00E8771A">
        <w:rPr>
          <w:rFonts w:ascii="Verdana" w:eastAsia="Batang" w:hAnsi="Verdana" w:cs="Times"/>
          <w:sz w:val="20"/>
          <w:szCs w:val="20"/>
          <w:lang w:val="es-CR" w:eastAsia="es-CR"/>
        </w:rPr>
        <w:t xml:space="preserve">, 17.-Eliseo Hernández Morales, 18.-Francisco Hernández, 19.-Jacinta Matón Raymundo, 20.-Josefa Mendoza Aguilar, 21.-Juana Andrés Maldonado, 22.-Juana Felipe Velásquez, 23-Marcos </w:t>
      </w:r>
      <w:proofErr w:type="spellStart"/>
      <w:r w:rsidRPr="00E8771A">
        <w:rPr>
          <w:rFonts w:ascii="Verdana" w:eastAsia="Batang" w:hAnsi="Verdana" w:cs="Times"/>
          <w:sz w:val="20"/>
          <w:szCs w:val="20"/>
          <w:lang w:val="es-CR" w:eastAsia="es-CR"/>
        </w:rPr>
        <w:t>Jolomná</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Yat</w:t>
      </w:r>
      <w:proofErr w:type="spellEnd"/>
      <w:r w:rsidRPr="00E8771A">
        <w:rPr>
          <w:rFonts w:ascii="Verdana" w:eastAsia="Batang" w:hAnsi="Verdana" w:cs="Times"/>
          <w:sz w:val="20"/>
          <w:szCs w:val="20"/>
          <w:lang w:val="es-CR" w:eastAsia="es-CR"/>
        </w:rPr>
        <w:t xml:space="preserve">, 24.-Martín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Mucú</w:t>
      </w:r>
      <w:proofErr w:type="spellEnd"/>
      <w:r w:rsidRPr="00E8771A">
        <w:rPr>
          <w:rFonts w:ascii="Verdana" w:eastAsia="Batang" w:hAnsi="Verdana" w:cs="Times"/>
          <w:sz w:val="20"/>
          <w:szCs w:val="20"/>
          <w:lang w:val="es-CR" w:eastAsia="es-CR"/>
        </w:rPr>
        <w:t xml:space="preserve">, 25.-Mateo Pedro, 26.-Natividad Sales Calmo, 27.-Pascual José Pascual, 28.-Pedro Daniel Carrillo López, 29.-Ricardo Pop </w:t>
      </w:r>
      <w:proofErr w:type="spellStart"/>
      <w:r w:rsidRPr="00E8771A">
        <w:rPr>
          <w:rFonts w:ascii="Verdana" w:eastAsia="Batang" w:hAnsi="Verdana" w:cs="Times"/>
          <w:sz w:val="20"/>
          <w:szCs w:val="20"/>
          <w:lang w:val="es-CR" w:eastAsia="es-CR"/>
        </w:rPr>
        <w:t>Caal</w:t>
      </w:r>
      <w:proofErr w:type="spellEnd"/>
      <w:r w:rsidRPr="00E8771A">
        <w:rPr>
          <w:rFonts w:ascii="Verdana" w:eastAsia="Batang" w:hAnsi="Verdana" w:cs="Times"/>
          <w:sz w:val="20"/>
          <w:szCs w:val="20"/>
          <w:lang w:val="es-CR" w:eastAsia="es-CR"/>
        </w:rPr>
        <w:t xml:space="preserve">, 30.-Rosenda Sales </w:t>
      </w:r>
      <w:proofErr w:type="spellStart"/>
      <w:r w:rsidRPr="00E8771A">
        <w:rPr>
          <w:rFonts w:ascii="Verdana" w:eastAsia="Batang" w:hAnsi="Verdana" w:cs="Times"/>
          <w:sz w:val="20"/>
          <w:szCs w:val="20"/>
          <w:lang w:val="es-CR" w:eastAsia="es-CR"/>
        </w:rPr>
        <w:t>Ortíz</w:t>
      </w:r>
      <w:proofErr w:type="spellEnd"/>
      <w:r w:rsidRPr="00E8771A">
        <w:rPr>
          <w:rFonts w:ascii="Verdana" w:eastAsia="Batang" w:hAnsi="Verdana" w:cs="Times"/>
          <w:sz w:val="20"/>
          <w:szCs w:val="20"/>
          <w:lang w:val="es-CR" w:eastAsia="es-CR"/>
        </w:rPr>
        <w:t xml:space="preserve">, 31.-Santiago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32.-Santos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33.-Víctor Carrillo Morales, 34.-Micaela Pascual Juan, 35.-José Hernández, 36.-Germán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37.-Efraín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38.-Juan Medina Toma, 39.-Rolando Hernández Maldonado, 40.-Tomás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41.-José María Grave, 42.- </w:t>
      </w:r>
      <w:proofErr w:type="spellStart"/>
      <w:r w:rsidRPr="00E8771A">
        <w:rPr>
          <w:rFonts w:ascii="Verdana" w:eastAsia="Batang" w:hAnsi="Verdana" w:cs="Times"/>
          <w:sz w:val="20"/>
          <w:szCs w:val="20"/>
          <w:lang w:val="es-CR" w:eastAsia="es-CR"/>
        </w:rPr>
        <w:t>Fermina</w:t>
      </w:r>
      <w:proofErr w:type="spellEnd"/>
      <w:r w:rsidRPr="00E8771A">
        <w:rPr>
          <w:rFonts w:ascii="Verdana" w:eastAsia="Batang" w:hAnsi="Verdana" w:cs="Times"/>
          <w:sz w:val="20"/>
          <w:szCs w:val="20"/>
          <w:lang w:val="es-CR" w:eastAsia="es-CR"/>
        </w:rPr>
        <w:t xml:space="preserve">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43.-Marselo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44.-Margarita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 45.-Anastacio </w:t>
      </w:r>
      <w:proofErr w:type="spellStart"/>
      <w:r w:rsidRPr="00E8771A">
        <w:rPr>
          <w:rFonts w:ascii="Verdana" w:eastAsia="Batang" w:hAnsi="Verdana" w:cs="Times"/>
          <w:sz w:val="20"/>
          <w:szCs w:val="20"/>
          <w:lang w:val="es-CR" w:eastAsia="es-CR"/>
        </w:rPr>
        <w:t>Chop</w:t>
      </w:r>
      <w:proofErr w:type="spellEnd"/>
      <w:r w:rsidRPr="00E8771A">
        <w:rPr>
          <w:rFonts w:ascii="Verdana" w:eastAsia="Batang" w:hAnsi="Verdana" w:cs="Times"/>
          <w:sz w:val="20"/>
          <w:szCs w:val="20"/>
          <w:lang w:val="es-CR" w:eastAsia="es-CR"/>
        </w:rPr>
        <w:t xml:space="preserve"> García, 46.-Daniela Catarina Chic López, 47.-Manuela Toma Gómez, 48.-María Medina Toma, 49.-Antonio Medina Toma, 50.-Domingo Medina Toma, 51.-Diego Medina Toma, 52.-Pedro Medina Toma, 53.-Antonio Medina Toma, 54.-Teresa Medina Toma, 55.-Joel Medina Toma, 56.-Carlos Medina Toma, 57.-Atilana Hernández Maldonado, 58.-Mario Alberto Ramírez Hernández, 59.-Fabiana Ramírez Hernández, 60.-Juan Ramírez Hernández, 61.-José Eduardo Ramírez Hernández, 62.-Marcos Ramírez Hernández, 63.-María Alicia Ramírez Hernández, 64.- Roberto Rafael Ramírez Hernández, 65.-Ramón Mateo, 66.- Florinda Sales Jacinto, 67.-Adelina Sales Jacinto, 68.- Petrona Miguel Méndez, 69.-Angelina Diego Miguel, 70.-Andrés Diego Miguel, 71.-Lucía Diego Miguel, 72 .-Diego </w:t>
      </w:r>
      <w:proofErr w:type="spellStart"/>
      <w:r w:rsidRPr="00E8771A">
        <w:rPr>
          <w:rFonts w:ascii="Verdana" w:eastAsia="Batang" w:hAnsi="Verdana" w:cs="Times"/>
          <w:sz w:val="20"/>
          <w:szCs w:val="20"/>
          <w:lang w:val="es-CR" w:eastAsia="es-CR"/>
        </w:rPr>
        <w:t>Diego</w:t>
      </w:r>
      <w:proofErr w:type="spellEnd"/>
      <w:r w:rsidRPr="00E8771A">
        <w:rPr>
          <w:rFonts w:ascii="Verdana" w:eastAsia="Batang" w:hAnsi="Verdana" w:cs="Times"/>
          <w:sz w:val="20"/>
          <w:szCs w:val="20"/>
          <w:lang w:val="es-CR" w:eastAsia="es-CR"/>
        </w:rPr>
        <w:t xml:space="preserve"> Miguel, 73.-Pedro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Chén</w:t>
      </w:r>
      <w:proofErr w:type="spellEnd"/>
      <w:r w:rsidRPr="00E8771A">
        <w:rPr>
          <w:rFonts w:ascii="Verdana" w:eastAsia="Batang" w:hAnsi="Verdana" w:cs="Times"/>
          <w:sz w:val="20"/>
          <w:szCs w:val="20"/>
          <w:lang w:val="es-CR" w:eastAsia="es-CR"/>
        </w:rPr>
        <w:t xml:space="preserve">, 74.- Victoria Max </w:t>
      </w:r>
      <w:proofErr w:type="spellStart"/>
      <w:r w:rsidRPr="00E8771A">
        <w:rPr>
          <w:rFonts w:ascii="Verdana" w:eastAsia="Batang" w:hAnsi="Verdana" w:cs="Times"/>
          <w:sz w:val="20"/>
          <w:szCs w:val="20"/>
          <w:lang w:val="es-CR" w:eastAsia="es-CR"/>
        </w:rPr>
        <w:t>Yat</w:t>
      </w:r>
      <w:proofErr w:type="spellEnd"/>
      <w:r w:rsidRPr="00E8771A">
        <w:rPr>
          <w:rFonts w:ascii="Verdana" w:eastAsia="Batang" w:hAnsi="Verdana" w:cs="Times"/>
          <w:sz w:val="20"/>
          <w:szCs w:val="20"/>
          <w:lang w:val="es-CR" w:eastAsia="es-CR"/>
        </w:rPr>
        <w:t xml:space="preserve">, 75.- Feliciana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Hu</w:t>
      </w:r>
      <w:proofErr w:type="spellEnd"/>
      <w:r w:rsidRPr="00E8771A">
        <w:rPr>
          <w:rFonts w:ascii="Verdana" w:eastAsia="Batang" w:hAnsi="Verdana" w:cs="Times"/>
          <w:sz w:val="20"/>
          <w:szCs w:val="20"/>
          <w:lang w:val="es-CR" w:eastAsia="es-CR"/>
        </w:rPr>
        <w:t xml:space="preserve">, 76.- María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77.- José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78.- </w:t>
      </w:r>
      <w:proofErr w:type="spellStart"/>
      <w:r w:rsidRPr="00E8771A">
        <w:rPr>
          <w:rFonts w:ascii="Verdana" w:eastAsia="Batang" w:hAnsi="Verdana" w:cs="Times"/>
          <w:sz w:val="20"/>
          <w:szCs w:val="20"/>
          <w:lang w:val="es-CR" w:eastAsia="es-CR"/>
        </w:rPr>
        <w:t>Anastacia</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79.-Petrona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80.- Irene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81.- Salvador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82-Ana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83.- Juana Juan, 84.- María Miguel Juan, 85.- Dolores Miguel Bartolo, 86.-Francisco Miguel Bartolo, 87.-Manuela Pop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88.-Francisco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89.-Petrona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Pop, 90.-Margarita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Pop, 91.-Martín </w:t>
      </w:r>
      <w:proofErr w:type="spellStart"/>
      <w:r w:rsidRPr="00E8771A">
        <w:rPr>
          <w:rFonts w:ascii="Verdana" w:eastAsia="Batang" w:hAnsi="Verdana" w:cs="Times"/>
          <w:sz w:val="20"/>
          <w:szCs w:val="20"/>
          <w:lang w:val="es-CR" w:eastAsia="es-CR"/>
        </w:rPr>
        <w:t>Maquín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Pop, 92.-Dominga </w:t>
      </w:r>
      <w:proofErr w:type="spellStart"/>
      <w:r w:rsidRPr="00E8771A">
        <w:rPr>
          <w:rFonts w:ascii="Verdana" w:eastAsia="Batang" w:hAnsi="Verdana" w:cs="Times"/>
          <w:sz w:val="20"/>
          <w:szCs w:val="20"/>
          <w:lang w:val="es-CR" w:eastAsia="es-CR"/>
        </w:rPr>
        <w:t>Maquín</w:t>
      </w:r>
      <w:proofErr w:type="spellEnd"/>
      <w:r w:rsidRPr="00E8771A">
        <w:rPr>
          <w:rFonts w:ascii="Verdana" w:eastAsia="Batang" w:hAnsi="Verdana" w:cs="Times"/>
          <w:sz w:val="20"/>
          <w:szCs w:val="20"/>
          <w:lang w:val="es-CR" w:eastAsia="es-CR"/>
        </w:rPr>
        <w:t xml:space="preserve"> Pop, 93.-Santiago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Pop, 94.-José Morales </w:t>
      </w:r>
      <w:proofErr w:type="spellStart"/>
      <w:r w:rsidRPr="00E8771A">
        <w:rPr>
          <w:rFonts w:ascii="Verdana" w:eastAsia="Batang" w:hAnsi="Verdana" w:cs="Times"/>
          <w:sz w:val="20"/>
          <w:szCs w:val="20"/>
          <w:lang w:val="es-CR" w:eastAsia="es-CR"/>
        </w:rPr>
        <w:t>Ortíz</w:t>
      </w:r>
      <w:proofErr w:type="spellEnd"/>
      <w:r w:rsidRPr="00E8771A">
        <w:rPr>
          <w:rFonts w:ascii="Verdana" w:eastAsia="Batang" w:hAnsi="Verdana" w:cs="Times"/>
          <w:sz w:val="20"/>
          <w:szCs w:val="20"/>
          <w:lang w:val="es-CR" w:eastAsia="es-CR"/>
        </w:rPr>
        <w:t>, 95.-Cruz Maldonado Silvestre, 96.</w:t>
      </w:r>
      <w:r w:rsidRPr="00E8771A" w:rsidDel="00F14869">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Martalia</w:t>
      </w:r>
      <w:proofErr w:type="spellEnd"/>
      <w:r w:rsidRPr="00E8771A">
        <w:rPr>
          <w:rFonts w:ascii="Verdana" w:eastAsia="Batang" w:hAnsi="Verdana" w:cs="Times"/>
          <w:sz w:val="20"/>
          <w:szCs w:val="20"/>
          <w:lang w:val="es-CR" w:eastAsia="es-CR"/>
        </w:rPr>
        <w:t xml:space="preserve"> Hernández Maldonado, 97.-Andrés Hernández Maldonado, 98.-Florencia Hernández Maldonado, y 99.-Cristina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center"/>
        <w:rPr>
          <w:rFonts w:ascii="Verdana" w:eastAsia="Batang" w:hAnsi="Verdana" w:cs="Times"/>
          <w:b/>
          <w:sz w:val="20"/>
          <w:szCs w:val="24"/>
          <w:lang w:val="es-CR" w:eastAsia="es-CR"/>
        </w:rPr>
      </w:pPr>
      <w:r w:rsidRPr="00E8771A">
        <w:rPr>
          <w:rFonts w:ascii="Verdana" w:eastAsia="Batang" w:hAnsi="Verdana" w:cs="Times"/>
          <w:b/>
          <w:sz w:val="20"/>
          <w:szCs w:val="24"/>
          <w:lang w:val="es-CR" w:eastAsia="es-CR"/>
        </w:rPr>
        <w:t>ANEXO B</w:t>
      </w:r>
    </w:p>
    <w:p w:rsidR="003908EB" w:rsidRPr="00E8771A" w:rsidRDefault="003908EB" w:rsidP="00E8771A">
      <w:pPr>
        <w:spacing w:after="0" w:line="240" w:lineRule="auto"/>
        <w:jc w:val="center"/>
        <w:rPr>
          <w:rFonts w:ascii="Verdana" w:eastAsia="Batang" w:hAnsi="Verdana" w:cs="Times"/>
          <w:b/>
          <w:sz w:val="20"/>
          <w:szCs w:val="24"/>
          <w:lang w:val="es-CR" w:eastAsia="es-CR"/>
        </w:rPr>
      </w:pPr>
    </w:p>
    <w:p w:rsidR="003908EB" w:rsidRPr="00E8771A" w:rsidRDefault="003908EB" w:rsidP="00E8771A">
      <w:pPr>
        <w:spacing w:after="0" w:line="240" w:lineRule="auto"/>
        <w:jc w:val="center"/>
        <w:rPr>
          <w:rFonts w:ascii="Verdana" w:eastAsia="Batang" w:hAnsi="Verdana" w:cs="Times"/>
          <w:b/>
          <w:sz w:val="20"/>
          <w:szCs w:val="24"/>
          <w:lang w:val="es-CR" w:eastAsia="es-CR"/>
        </w:rPr>
      </w:pPr>
      <w:r w:rsidRPr="00E8771A">
        <w:rPr>
          <w:rFonts w:ascii="Verdana" w:eastAsia="Batang" w:hAnsi="Verdana" w:cs="Times"/>
          <w:b/>
          <w:sz w:val="20"/>
          <w:szCs w:val="24"/>
          <w:lang w:val="es-CR" w:eastAsia="es-CR"/>
        </w:rPr>
        <w:t>PERSONAS DETERMINADAS COMO VÍCTIMAS POR LA CORTE INTERAMERICANA DE DERECHOS HUMANOS EN SU SENTENCIA</w:t>
      </w:r>
      <w:r w:rsidRPr="00E8771A">
        <w:rPr>
          <w:rFonts w:eastAsia="Batang" w:cs="Times"/>
          <w:szCs w:val="24"/>
          <w:lang w:eastAsia="es-CR"/>
        </w:rPr>
        <w:footnoteReference w:id="247"/>
      </w:r>
    </w:p>
    <w:p w:rsidR="003908EB" w:rsidRPr="00E8771A" w:rsidRDefault="003908EB" w:rsidP="00E8771A">
      <w:pPr>
        <w:spacing w:after="0" w:line="240" w:lineRule="auto"/>
        <w:jc w:val="center"/>
        <w:rPr>
          <w:rFonts w:ascii="Verdana" w:eastAsia="Batang" w:hAnsi="Verdana" w:cs="Times"/>
          <w:b/>
          <w:sz w:val="20"/>
          <w:szCs w:val="24"/>
          <w:lang w:val="es-CR" w:eastAsia="es-CR"/>
        </w:rPr>
      </w:pPr>
    </w:p>
    <w:p w:rsidR="003908EB" w:rsidRPr="00E8771A" w:rsidRDefault="003908EB" w:rsidP="00E8771A">
      <w:pPr>
        <w:spacing w:after="0" w:line="240" w:lineRule="auto"/>
        <w:jc w:val="center"/>
        <w:rPr>
          <w:rFonts w:ascii="Verdana" w:eastAsia="Batang" w:hAnsi="Verdana" w:cs="Times"/>
          <w:b/>
          <w:sz w:val="20"/>
          <w:szCs w:val="24"/>
          <w:lang w:val="es-CR" w:eastAsia="es-CR"/>
        </w:rPr>
      </w:pPr>
      <w:r w:rsidRPr="00E8771A">
        <w:rPr>
          <w:rFonts w:ascii="Verdana" w:eastAsia="Batang" w:hAnsi="Verdana" w:cs="Times"/>
          <w:b/>
          <w:sz w:val="20"/>
          <w:szCs w:val="24"/>
          <w:lang w:val="es-CR" w:eastAsia="es-CR"/>
        </w:rPr>
        <w:t>B.1</w:t>
      </w:r>
    </w:p>
    <w:p w:rsidR="003908EB" w:rsidRPr="00E8771A" w:rsidRDefault="003908EB" w:rsidP="00E8771A">
      <w:pPr>
        <w:spacing w:after="0" w:line="240" w:lineRule="auto"/>
        <w:jc w:val="center"/>
        <w:rPr>
          <w:rFonts w:ascii="Verdana" w:eastAsia="Batang" w:hAnsi="Verdana" w:cs="Times"/>
          <w:b/>
          <w:sz w:val="20"/>
          <w:szCs w:val="24"/>
          <w:lang w:val="es-CR" w:eastAsia="es-CR"/>
        </w:rPr>
      </w:pPr>
      <w:r w:rsidRPr="00E8771A">
        <w:rPr>
          <w:rFonts w:ascii="Verdana" w:eastAsia="Batang" w:hAnsi="Verdana" w:cs="Times"/>
          <w:b/>
          <w:sz w:val="20"/>
          <w:szCs w:val="24"/>
          <w:lang w:val="es-CR" w:eastAsia="es-CR"/>
        </w:rPr>
        <w:t>PERSONAS VÍCTIMAS DE LA VIOLACIÓN A LOS DERECHOS A LAS GARANTÍAS JUDICIALES Y A LA PROTECCIÓN JUDICIAL (ARTÍCULOS 8.1 Y 25.1 DE LA CONVENCIÓN AMERICANA SOBRE DERECHOS HUMANOS)</w:t>
      </w:r>
    </w:p>
    <w:p w:rsidR="003908EB" w:rsidRPr="003908EB" w:rsidRDefault="003908EB" w:rsidP="00606E62">
      <w:pPr>
        <w:jc w:val="center"/>
        <w:rPr>
          <w:rFonts w:ascii="Verdana" w:hAnsi="Verdana"/>
          <w:b/>
          <w:sz w:val="14"/>
          <w:szCs w:val="16"/>
          <w:lang w:val="es-CR"/>
        </w:rPr>
      </w:pPr>
    </w:p>
    <w:p w:rsidR="003908EB" w:rsidRPr="003908EB" w:rsidRDefault="003908EB" w:rsidP="00330F0B">
      <w:pPr>
        <w:rPr>
          <w:rFonts w:ascii="Verdana" w:hAnsi="Verdana"/>
          <w:sz w:val="16"/>
          <w:szCs w:val="16"/>
          <w:lang w:val="es-CR"/>
        </w:rPr>
      </w:pPr>
    </w:p>
    <w:p w:rsidR="003908EB" w:rsidRPr="003908EB" w:rsidRDefault="003908EB" w:rsidP="00AA6E1B">
      <w:pPr>
        <w:spacing w:line="240" w:lineRule="auto"/>
        <w:jc w:val="both"/>
        <w:rPr>
          <w:rFonts w:ascii="Verdana" w:hAnsi="Verdana"/>
          <w:sz w:val="16"/>
          <w:szCs w:val="16"/>
          <w:lang w:val="es-CR"/>
        </w:rPr>
      </w:pPr>
      <w:r w:rsidRPr="00E8771A">
        <w:rPr>
          <w:rFonts w:ascii="Verdana" w:eastAsia="Batang" w:hAnsi="Verdana" w:cs="Times"/>
          <w:sz w:val="20"/>
          <w:szCs w:val="20"/>
          <w:lang w:val="es-CR" w:eastAsia="es-CR"/>
        </w:rPr>
        <w:t xml:space="preserve">1.-Santiago </w:t>
      </w:r>
      <w:proofErr w:type="spellStart"/>
      <w:r w:rsidRPr="00E8771A">
        <w:rPr>
          <w:rFonts w:ascii="Verdana" w:eastAsia="Batang" w:hAnsi="Verdana" w:cs="Times"/>
          <w:sz w:val="20"/>
          <w:szCs w:val="20"/>
          <w:lang w:val="es-CR" w:eastAsia="es-CR"/>
        </w:rPr>
        <w:t>Maquín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2.-Gerardo Maldonado Sales; 3.-Rosendo Morales </w:t>
      </w:r>
      <w:proofErr w:type="spellStart"/>
      <w:r w:rsidRPr="00E8771A">
        <w:rPr>
          <w:rFonts w:ascii="Verdana" w:eastAsia="Batang" w:hAnsi="Verdana" w:cs="Times"/>
          <w:sz w:val="20"/>
          <w:szCs w:val="20"/>
          <w:lang w:val="es-CR" w:eastAsia="es-CR"/>
        </w:rPr>
        <w:t>Ortíz</w:t>
      </w:r>
      <w:proofErr w:type="spellEnd"/>
      <w:r w:rsidRPr="00E8771A">
        <w:rPr>
          <w:rFonts w:ascii="Verdana" w:eastAsia="Batang" w:hAnsi="Verdana" w:cs="Times"/>
          <w:sz w:val="20"/>
          <w:szCs w:val="20"/>
          <w:lang w:val="es-CR" w:eastAsia="es-CR"/>
        </w:rPr>
        <w:t xml:space="preserve">; 4.-Aurelio Hernández Morales; 5.-Carmen </w:t>
      </w:r>
      <w:proofErr w:type="spellStart"/>
      <w:r w:rsidRPr="00E8771A">
        <w:rPr>
          <w:rFonts w:ascii="Verdana" w:eastAsia="Batang" w:hAnsi="Verdana" w:cs="Times"/>
          <w:sz w:val="20"/>
          <w:szCs w:val="20"/>
          <w:lang w:val="es-CR" w:eastAsia="es-CR"/>
        </w:rPr>
        <w:t>Caal</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Saqui</w:t>
      </w:r>
      <w:proofErr w:type="spellEnd"/>
      <w:r w:rsidRPr="00E8771A">
        <w:rPr>
          <w:rFonts w:ascii="Verdana" w:eastAsia="Batang" w:hAnsi="Verdana" w:cs="Times"/>
          <w:sz w:val="20"/>
          <w:szCs w:val="20"/>
          <w:lang w:val="es-CR" w:eastAsia="es-CR"/>
        </w:rPr>
        <w:t xml:space="preserve">; 6.-Eliseo Hernández Morales; 7.-Francisco Hernández; 8.-Jacinta Matón Raymundo; 9.-Josefa Mendoza Aguilar; 10.-Juana Andrés Maldonado; 11.-Juana Felipe Velásquez; 12.-Marcos Raymundo </w:t>
      </w:r>
      <w:proofErr w:type="spellStart"/>
      <w:r w:rsidRPr="00E8771A">
        <w:rPr>
          <w:rFonts w:ascii="Verdana" w:eastAsia="Batang" w:hAnsi="Verdana" w:cs="Times"/>
          <w:sz w:val="20"/>
          <w:szCs w:val="20"/>
          <w:lang w:val="es-CR" w:eastAsia="es-CR"/>
        </w:rPr>
        <w:t>Jolomná</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Yat</w:t>
      </w:r>
      <w:proofErr w:type="spellEnd"/>
      <w:r w:rsidRPr="00E8771A">
        <w:rPr>
          <w:rFonts w:ascii="Verdana" w:eastAsia="Batang" w:hAnsi="Verdana" w:cs="Times"/>
          <w:sz w:val="20"/>
          <w:szCs w:val="20"/>
          <w:lang w:val="es-CR" w:eastAsia="es-CR"/>
        </w:rPr>
        <w:t xml:space="preserve">; 13.-Martín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Mucú</w:t>
      </w:r>
      <w:proofErr w:type="spellEnd"/>
      <w:r w:rsidRPr="00E8771A">
        <w:rPr>
          <w:rFonts w:ascii="Verdana" w:eastAsia="Batang" w:hAnsi="Verdana" w:cs="Times"/>
          <w:sz w:val="20"/>
          <w:szCs w:val="20"/>
          <w:lang w:val="es-CR" w:eastAsia="es-CR"/>
        </w:rPr>
        <w:t xml:space="preserve">; 14.-Mateo Pedro; 15.-Natividad Sales Calmo; 16.-Pascual José Pascual; 17.-Pedro Daniel Carrillo López; 18.-Ricardo Pop </w:t>
      </w:r>
      <w:proofErr w:type="spellStart"/>
      <w:r w:rsidRPr="00E8771A">
        <w:rPr>
          <w:rFonts w:ascii="Verdana" w:eastAsia="Batang" w:hAnsi="Verdana" w:cs="Times"/>
          <w:sz w:val="20"/>
          <w:szCs w:val="20"/>
          <w:lang w:val="es-CR" w:eastAsia="es-CR"/>
        </w:rPr>
        <w:t>Caal</w:t>
      </w:r>
      <w:proofErr w:type="spellEnd"/>
      <w:r w:rsidRPr="00E8771A">
        <w:rPr>
          <w:rFonts w:ascii="Verdana" w:eastAsia="Batang" w:hAnsi="Verdana" w:cs="Times"/>
          <w:sz w:val="20"/>
          <w:szCs w:val="20"/>
          <w:lang w:val="es-CR" w:eastAsia="es-CR"/>
        </w:rPr>
        <w:t xml:space="preserve">; 19.-Rosenda Sales </w:t>
      </w:r>
      <w:proofErr w:type="spellStart"/>
      <w:r w:rsidRPr="00E8771A">
        <w:rPr>
          <w:rFonts w:ascii="Verdana" w:eastAsia="Batang" w:hAnsi="Verdana" w:cs="Times"/>
          <w:sz w:val="20"/>
          <w:szCs w:val="20"/>
          <w:lang w:val="es-CR" w:eastAsia="es-CR"/>
        </w:rPr>
        <w:t>Ortíz</w:t>
      </w:r>
      <w:proofErr w:type="spellEnd"/>
      <w:r w:rsidRPr="00E8771A">
        <w:rPr>
          <w:rFonts w:ascii="Verdana" w:eastAsia="Batang" w:hAnsi="Verdana" w:cs="Times"/>
          <w:sz w:val="20"/>
          <w:szCs w:val="20"/>
          <w:lang w:val="es-CR" w:eastAsia="es-CR"/>
        </w:rPr>
        <w:t xml:space="preserve">; 20.-Santiago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Quip</w:t>
      </w:r>
      <w:proofErr w:type="spellEnd"/>
      <w:r w:rsidRPr="00E8771A">
        <w:rPr>
          <w:rFonts w:ascii="Verdana" w:eastAsia="Batang" w:hAnsi="Verdana" w:cs="Times"/>
          <w:sz w:val="20"/>
          <w:szCs w:val="20"/>
          <w:lang w:val="es-CR" w:eastAsia="es-CR"/>
        </w:rPr>
        <w:t xml:space="preserve">; 21.-Santos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22.-Víctor Carrillo Morales; 23.-Micaela Pascual Juan; 24.-José Hernández</w:t>
      </w:r>
      <w:r w:rsidRPr="00E8771A">
        <w:rPr>
          <w:rFonts w:ascii="Verdana" w:eastAsia="Batang" w:hAnsi="Verdana" w:cs="Times"/>
          <w:sz w:val="20"/>
          <w:szCs w:val="20"/>
          <w:lang w:val="es-CR" w:eastAsia="es-CR"/>
        </w:rPr>
        <w:tab/>
        <w:t xml:space="preserve">; 25.-Germán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Choc</w:t>
      </w:r>
      <w:proofErr w:type="spellEnd"/>
      <w:r w:rsidRPr="00E8771A">
        <w:rPr>
          <w:rFonts w:ascii="Verdana" w:eastAsia="Batang" w:hAnsi="Verdana" w:cs="Times"/>
          <w:sz w:val="20"/>
          <w:szCs w:val="20"/>
          <w:lang w:val="es-CR" w:eastAsia="es-CR"/>
        </w:rPr>
        <w:t xml:space="preserve">; 26.-Efraín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27.-Juan Medina Toma; 28.-Rolando Hernández Maldonado; 29.-Tomás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30.-José María Grave; 31.- </w:t>
      </w:r>
      <w:proofErr w:type="spellStart"/>
      <w:r w:rsidRPr="00E8771A">
        <w:rPr>
          <w:rFonts w:ascii="Verdana" w:eastAsia="Batang" w:hAnsi="Verdana" w:cs="Times"/>
          <w:sz w:val="20"/>
          <w:szCs w:val="20"/>
          <w:lang w:val="es-CR" w:eastAsia="es-CR"/>
        </w:rPr>
        <w:t>Fermina</w:t>
      </w:r>
      <w:proofErr w:type="spellEnd"/>
      <w:r w:rsidRPr="00E8771A">
        <w:rPr>
          <w:rFonts w:ascii="Verdana" w:eastAsia="Batang" w:hAnsi="Verdana" w:cs="Times"/>
          <w:sz w:val="20"/>
          <w:szCs w:val="20"/>
          <w:lang w:val="es-CR" w:eastAsia="es-CR"/>
        </w:rPr>
        <w:t xml:space="preserve">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32.-Marselo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33.-Margarita Grave </w:t>
      </w:r>
      <w:proofErr w:type="spellStart"/>
      <w:r w:rsidRPr="00E8771A">
        <w:rPr>
          <w:rFonts w:ascii="Verdana" w:eastAsia="Batang" w:hAnsi="Verdana" w:cs="Times"/>
          <w:sz w:val="20"/>
          <w:szCs w:val="20"/>
          <w:lang w:val="es-CR" w:eastAsia="es-CR"/>
        </w:rPr>
        <w:t>Morente</w:t>
      </w:r>
      <w:proofErr w:type="spellEnd"/>
      <w:r w:rsidRPr="00E8771A">
        <w:rPr>
          <w:rFonts w:ascii="Verdana" w:eastAsia="Batang" w:hAnsi="Verdana" w:cs="Times"/>
          <w:sz w:val="20"/>
          <w:szCs w:val="20"/>
          <w:lang w:val="es-CR" w:eastAsia="es-CR"/>
        </w:rPr>
        <w:t xml:space="preserve">; 34.-Anastacio </w:t>
      </w:r>
      <w:proofErr w:type="spellStart"/>
      <w:r w:rsidRPr="00E8771A">
        <w:rPr>
          <w:rFonts w:ascii="Verdana" w:eastAsia="Batang" w:hAnsi="Verdana" w:cs="Times"/>
          <w:sz w:val="20"/>
          <w:szCs w:val="20"/>
          <w:lang w:val="es-CR" w:eastAsia="es-CR"/>
        </w:rPr>
        <w:t>Chop</w:t>
      </w:r>
      <w:proofErr w:type="spellEnd"/>
      <w:r w:rsidRPr="00E8771A">
        <w:rPr>
          <w:rFonts w:ascii="Verdana" w:eastAsia="Batang" w:hAnsi="Verdana" w:cs="Times"/>
          <w:sz w:val="20"/>
          <w:szCs w:val="20"/>
          <w:lang w:val="es-CR" w:eastAsia="es-CR"/>
        </w:rPr>
        <w:t xml:space="preserve"> García; 35.-Daniela Catarina Chic López; 36.-Manuela Toma Gómez; 37.-María Medina Toma; 38.-Antonio Medina Toma; 39.-Domingo Medina Toma; 40.-Diego Medina Toma; 41.-Pedro Medina Toma; 42.-Antonio Medina Toma</w:t>
      </w:r>
      <w:r w:rsidRPr="00E8771A">
        <w:rPr>
          <w:rFonts w:eastAsia="Batang" w:cs="Times"/>
          <w:lang w:eastAsia="es-CR"/>
        </w:rPr>
        <w:footnoteReference w:id="248"/>
      </w:r>
      <w:r w:rsidRPr="00E8771A">
        <w:rPr>
          <w:rFonts w:ascii="Verdana" w:eastAsia="Batang" w:hAnsi="Verdana" w:cs="Times"/>
          <w:sz w:val="20"/>
          <w:szCs w:val="20"/>
          <w:lang w:val="es-CR" w:eastAsia="es-CR"/>
        </w:rPr>
        <w:t xml:space="preserve">; 43.-Teresa Medina Toma; 44.-Joel Medina Toma; 45.-Carlos Medina Toma; 46.-Atilana Hernández Maldonado; 47.-Mario Alberto Ramírez Hernández; 48.-Fabiana Ramírez Hernández; 49.-Juan Ramírez Hernández; 50.-José Eduardo Ramírez Hernández; 51.-Marcos Enrique Ramírez Hernández; 52.-María Alicia Ramírez Hernández; 53.- Roberto Rafael Ramírez Hernández; 54.-Ramón Mateo; 55.- Florinda Sales Jacinto; 56.-Adelina Sales Jacinto; 57.- Petrona Miguel Méndez; 58.-Angelina Diego Miguel; 59.-Andrés Diego Miguel; 60.-Lucía Diego Miguel; 61.-Diego Diego Miguel; 62.-Pedro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Chén</w:t>
      </w:r>
      <w:proofErr w:type="spellEnd"/>
      <w:r w:rsidRPr="00E8771A">
        <w:rPr>
          <w:rFonts w:ascii="Verdana" w:eastAsia="Batang" w:hAnsi="Verdana" w:cs="Times"/>
          <w:sz w:val="20"/>
          <w:szCs w:val="20"/>
          <w:lang w:val="es-CR" w:eastAsia="es-CR"/>
        </w:rPr>
        <w:t xml:space="preserve">; 63.- Victoria Max </w:t>
      </w:r>
      <w:proofErr w:type="spellStart"/>
      <w:r w:rsidRPr="00E8771A">
        <w:rPr>
          <w:rFonts w:ascii="Verdana" w:eastAsia="Batang" w:hAnsi="Verdana" w:cs="Times"/>
          <w:sz w:val="20"/>
          <w:szCs w:val="20"/>
          <w:lang w:val="es-CR" w:eastAsia="es-CR"/>
        </w:rPr>
        <w:t>Yat</w:t>
      </w:r>
      <w:proofErr w:type="spellEnd"/>
      <w:r w:rsidRPr="00E8771A">
        <w:rPr>
          <w:rFonts w:ascii="Verdana" w:eastAsia="Batang" w:hAnsi="Verdana" w:cs="Times"/>
          <w:sz w:val="20"/>
          <w:szCs w:val="20"/>
          <w:lang w:val="es-CR" w:eastAsia="es-CR"/>
        </w:rPr>
        <w:t xml:space="preserve">; 64.- Feliciana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Hu</w:t>
      </w:r>
      <w:proofErr w:type="spellEnd"/>
      <w:r w:rsidRPr="00E8771A">
        <w:rPr>
          <w:rFonts w:ascii="Verdana" w:eastAsia="Batang" w:hAnsi="Verdana" w:cs="Times"/>
          <w:sz w:val="20"/>
          <w:szCs w:val="20"/>
          <w:lang w:val="es-CR" w:eastAsia="es-CR"/>
        </w:rPr>
        <w:t xml:space="preserve">; 65.- María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xml:space="preserve">; 66.- José </w:t>
      </w:r>
      <w:proofErr w:type="spellStart"/>
      <w:r w:rsidRPr="00E8771A">
        <w:rPr>
          <w:rFonts w:ascii="Verdana" w:eastAsia="Batang" w:hAnsi="Verdana" w:cs="Times"/>
          <w:sz w:val="20"/>
          <w:szCs w:val="20"/>
          <w:lang w:val="es-CR" w:eastAsia="es-CR"/>
        </w:rPr>
        <w:t>Coc</w:t>
      </w:r>
      <w:proofErr w:type="spellEnd"/>
      <w:r w:rsidRPr="00E8771A">
        <w:rPr>
          <w:rFonts w:ascii="Verdana" w:eastAsia="Batang" w:hAnsi="Verdana" w:cs="Times"/>
          <w:sz w:val="20"/>
          <w:szCs w:val="20"/>
          <w:lang w:val="es-CR" w:eastAsia="es-CR"/>
        </w:rPr>
        <w:t xml:space="preserve"> </w:t>
      </w:r>
      <w:proofErr w:type="spellStart"/>
      <w:r w:rsidRPr="00E8771A">
        <w:rPr>
          <w:rFonts w:ascii="Verdana" w:eastAsia="Batang" w:hAnsi="Verdana" w:cs="Times"/>
          <w:sz w:val="20"/>
          <w:szCs w:val="20"/>
          <w:lang w:val="es-CR" w:eastAsia="es-CR"/>
        </w:rPr>
        <w:t>Cajbón</w:t>
      </w:r>
      <w:proofErr w:type="spellEnd"/>
      <w:r w:rsidRPr="00E8771A">
        <w:rPr>
          <w:rFonts w:ascii="Verdana" w:eastAsia="Batang" w:hAnsi="Verdana" w:cs="Times"/>
          <w:sz w:val="20"/>
          <w:szCs w:val="20"/>
          <w:lang w:val="es-CR" w:eastAsia="es-CR"/>
        </w:rPr>
        <w:t>; 67.-</w:t>
      </w:r>
      <w:r w:rsidRPr="003908EB">
        <w:rPr>
          <w:rFonts w:ascii="Verdana" w:hAnsi="Verdana"/>
          <w:sz w:val="20"/>
          <w:szCs w:val="20"/>
          <w:lang w:val="es-CR"/>
        </w:rPr>
        <w:t xml:space="preserve"> </w:t>
      </w:r>
      <w:proofErr w:type="spellStart"/>
      <w:r w:rsidRPr="003908EB">
        <w:rPr>
          <w:rFonts w:ascii="Verdana" w:hAnsi="Verdana"/>
          <w:sz w:val="20"/>
          <w:szCs w:val="20"/>
          <w:lang w:val="es-CR"/>
        </w:rPr>
        <w:t>Anastacia</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68.-Petrona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69.- Irene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70.- Salvador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71-Ana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72.- Juana Juan; 73.- María Miguel Juan; 74.- Dolores Miguel Bartolo; 75.-Francisco Miguel Bartolo; 76.-Manuela Pop </w:t>
      </w:r>
      <w:proofErr w:type="spellStart"/>
      <w:r w:rsidRPr="003908EB">
        <w:rPr>
          <w:rFonts w:ascii="Verdana" w:hAnsi="Verdana"/>
          <w:sz w:val="20"/>
          <w:szCs w:val="20"/>
          <w:lang w:val="es-CR"/>
        </w:rPr>
        <w:t>Choc</w:t>
      </w:r>
      <w:proofErr w:type="spellEnd"/>
      <w:r w:rsidRPr="003908EB">
        <w:rPr>
          <w:rFonts w:ascii="Verdana" w:hAnsi="Verdana"/>
          <w:sz w:val="20"/>
          <w:szCs w:val="20"/>
          <w:lang w:val="es-CR"/>
        </w:rPr>
        <w:t xml:space="preserve">; 77.-Francisco </w:t>
      </w:r>
      <w:proofErr w:type="spellStart"/>
      <w:r w:rsidRPr="003908EB">
        <w:rPr>
          <w:rFonts w:ascii="Verdana" w:hAnsi="Verdana"/>
          <w:sz w:val="20"/>
          <w:szCs w:val="20"/>
          <w:lang w:val="es-CR"/>
        </w:rPr>
        <w:t>Quip</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Choc</w:t>
      </w:r>
      <w:proofErr w:type="spellEnd"/>
      <w:r w:rsidRPr="003908EB">
        <w:rPr>
          <w:rFonts w:ascii="Verdana" w:hAnsi="Verdana"/>
          <w:sz w:val="20"/>
          <w:szCs w:val="20"/>
          <w:lang w:val="es-CR"/>
        </w:rPr>
        <w:t xml:space="preserve">; 78.-Petrona </w:t>
      </w:r>
      <w:proofErr w:type="spellStart"/>
      <w:r w:rsidRPr="003908EB">
        <w:rPr>
          <w:rFonts w:ascii="Verdana" w:hAnsi="Verdana"/>
          <w:sz w:val="20"/>
          <w:szCs w:val="20"/>
          <w:lang w:val="es-CR"/>
        </w:rPr>
        <w:t>Quip</w:t>
      </w:r>
      <w:proofErr w:type="spellEnd"/>
      <w:r w:rsidRPr="003908EB">
        <w:rPr>
          <w:rFonts w:ascii="Verdana" w:hAnsi="Verdana"/>
          <w:sz w:val="20"/>
          <w:szCs w:val="20"/>
          <w:lang w:val="es-CR"/>
        </w:rPr>
        <w:t xml:space="preserve"> Pop; 79.-Margarita </w:t>
      </w:r>
      <w:proofErr w:type="spellStart"/>
      <w:r w:rsidRPr="003908EB">
        <w:rPr>
          <w:rFonts w:ascii="Verdana" w:hAnsi="Verdana"/>
          <w:sz w:val="20"/>
          <w:szCs w:val="20"/>
          <w:lang w:val="es-CR"/>
        </w:rPr>
        <w:t>Quip</w:t>
      </w:r>
      <w:proofErr w:type="spellEnd"/>
      <w:r w:rsidRPr="003908EB">
        <w:rPr>
          <w:rFonts w:ascii="Verdana" w:hAnsi="Verdana"/>
          <w:sz w:val="20"/>
          <w:szCs w:val="20"/>
          <w:lang w:val="es-CR"/>
        </w:rPr>
        <w:t xml:space="preserve"> Pop; 80.-Martín </w:t>
      </w:r>
      <w:proofErr w:type="spellStart"/>
      <w:r w:rsidRPr="003908EB">
        <w:rPr>
          <w:rFonts w:ascii="Verdana" w:hAnsi="Verdana"/>
          <w:sz w:val="20"/>
          <w:szCs w:val="20"/>
          <w:lang w:val="es-CR"/>
        </w:rPr>
        <w:t>Maquín</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Quip</w:t>
      </w:r>
      <w:proofErr w:type="spellEnd"/>
      <w:r w:rsidRPr="003908EB">
        <w:rPr>
          <w:rFonts w:ascii="Verdana" w:hAnsi="Verdana"/>
          <w:sz w:val="20"/>
          <w:szCs w:val="20"/>
          <w:lang w:val="es-CR"/>
        </w:rPr>
        <w:t xml:space="preserve"> Pop; 81.-Dominga </w:t>
      </w:r>
      <w:proofErr w:type="spellStart"/>
      <w:r w:rsidRPr="003908EB">
        <w:rPr>
          <w:rFonts w:ascii="Verdana" w:hAnsi="Verdana"/>
          <w:sz w:val="20"/>
          <w:szCs w:val="20"/>
          <w:lang w:val="es-CR"/>
        </w:rPr>
        <w:t>Maquín</w:t>
      </w:r>
      <w:proofErr w:type="spellEnd"/>
      <w:r w:rsidRPr="003908EB">
        <w:rPr>
          <w:rFonts w:ascii="Verdana" w:hAnsi="Verdana"/>
          <w:sz w:val="20"/>
          <w:szCs w:val="20"/>
          <w:lang w:val="es-CR"/>
        </w:rPr>
        <w:t xml:space="preserve"> Pop; 82.-Santiago </w:t>
      </w:r>
      <w:proofErr w:type="spellStart"/>
      <w:r w:rsidRPr="003908EB">
        <w:rPr>
          <w:rFonts w:ascii="Verdana" w:hAnsi="Verdana"/>
          <w:sz w:val="20"/>
          <w:szCs w:val="20"/>
          <w:lang w:val="es-CR"/>
        </w:rPr>
        <w:t>Quip</w:t>
      </w:r>
      <w:proofErr w:type="spellEnd"/>
      <w:r w:rsidRPr="003908EB">
        <w:rPr>
          <w:rFonts w:ascii="Verdana" w:hAnsi="Verdana"/>
          <w:sz w:val="20"/>
          <w:szCs w:val="20"/>
          <w:lang w:val="es-CR"/>
        </w:rPr>
        <w:t xml:space="preserve"> Pop; 83.-José Morales </w:t>
      </w:r>
      <w:proofErr w:type="spellStart"/>
      <w:r w:rsidRPr="003908EB">
        <w:rPr>
          <w:rFonts w:ascii="Verdana" w:hAnsi="Verdana"/>
          <w:sz w:val="20"/>
          <w:szCs w:val="20"/>
          <w:lang w:val="es-CR"/>
        </w:rPr>
        <w:t>Ortíz</w:t>
      </w:r>
      <w:proofErr w:type="spellEnd"/>
      <w:r w:rsidRPr="003908EB">
        <w:rPr>
          <w:rFonts w:ascii="Verdana" w:hAnsi="Verdana"/>
          <w:sz w:val="20"/>
          <w:szCs w:val="20"/>
          <w:lang w:val="es-CR"/>
        </w:rPr>
        <w:t>; 84.-Cruz Maldonado Silvestre; 85.</w:t>
      </w:r>
      <w:r w:rsidRPr="003908EB" w:rsidDel="00F14869">
        <w:rPr>
          <w:rFonts w:ascii="Verdana" w:hAnsi="Verdana"/>
          <w:sz w:val="20"/>
          <w:szCs w:val="20"/>
          <w:lang w:val="es-CR"/>
        </w:rPr>
        <w:t xml:space="preserve"> </w:t>
      </w:r>
      <w:proofErr w:type="spellStart"/>
      <w:r w:rsidRPr="003908EB">
        <w:rPr>
          <w:rFonts w:ascii="Verdana" w:hAnsi="Verdana"/>
          <w:sz w:val="20"/>
          <w:szCs w:val="20"/>
          <w:lang w:val="es-CR"/>
        </w:rPr>
        <w:t>Martalia</w:t>
      </w:r>
      <w:proofErr w:type="spellEnd"/>
      <w:r w:rsidRPr="003908EB">
        <w:rPr>
          <w:rFonts w:ascii="Verdana" w:hAnsi="Verdana"/>
          <w:sz w:val="20"/>
          <w:szCs w:val="20"/>
          <w:lang w:val="es-CR"/>
        </w:rPr>
        <w:t xml:space="preserve"> Hernández Maldonado; 86.-Andrés </w:t>
      </w:r>
      <w:r w:rsidRPr="003908EB">
        <w:rPr>
          <w:rFonts w:ascii="Verdana" w:hAnsi="Verdana"/>
          <w:sz w:val="20"/>
          <w:szCs w:val="20"/>
          <w:lang w:val="es-CR"/>
        </w:rPr>
        <w:lastRenderedPageBreak/>
        <w:t xml:space="preserve">Hernández Maldonado; 87.-Florencia Hernández Maldonado; 88.-Cristina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y 89.- Eulalia Antonio</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3908EB" w:rsidRDefault="003908EB" w:rsidP="00606E62">
      <w:pPr>
        <w:rPr>
          <w:rFonts w:ascii="Verdana" w:hAnsi="Verdana"/>
          <w:szCs w:val="20"/>
          <w:lang w:val="es-CR"/>
        </w:rPr>
      </w:pP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B.2</w:t>
      </w: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PERSONAS VÍCTIMAS DE LA VIOLACIÓN AL DERECHO A LA VIDA EN RELACIÓN CON LA OBLIGACIÓN DE RESPETAR LOS DERECHOS SIN DISCRIMINACIÓN (ARTÍCULOS 4.1 Y 1.1 DE LA CONVENCIÓN AMERICANA SOBRE DERECHOS HUMANOS)</w:t>
      </w:r>
    </w:p>
    <w:p w:rsidR="003908EB" w:rsidRPr="003908EB" w:rsidRDefault="003908EB" w:rsidP="00606E62">
      <w:pPr>
        <w:rPr>
          <w:rFonts w:ascii="Verdana" w:hAnsi="Verdana"/>
          <w:sz w:val="20"/>
          <w:szCs w:val="20"/>
          <w:lang w:val="es-CR"/>
        </w:rPr>
      </w:pPr>
    </w:p>
    <w:p w:rsidR="003908EB" w:rsidRPr="00E8771A" w:rsidRDefault="003908EB" w:rsidP="00AA6E1B">
      <w:pPr>
        <w:spacing w:line="240" w:lineRule="auto"/>
        <w:jc w:val="both"/>
        <w:rPr>
          <w:rFonts w:ascii="Verdana" w:hAnsi="Verdana"/>
          <w:sz w:val="20"/>
          <w:szCs w:val="20"/>
          <w:lang w:val="es-CR"/>
        </w:rPr>
      </w:pPr>
      <w:r w:rsidRPr="003908EB">
        <w:rPr>
          <w:rFonts w:ascii="Verdana" w:hAnsi="Verdana"/>
          <w:sz w:val="20"/>
          <w:szCs w:val="20"/>
          <w:lang w:val="es-CR"/>
        </w:rPr>
        <w:t xml:space="preserve">1.-Abel Ramírez Pérez, 2.-Andrés Miguel Mateo, 3.-Hilaria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de la Cruz, 4.-Juana Jacinto Felipe, 5.-Manuela Mateo Antonio, 6.-Pablo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7.-Pedro Diego Andrés, y 8.-Pedro Medina Sánchez.  </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B42848">
      <w:pPr>
        <w:rPr>
          <w:rFonts w:ascii="Verdana" w:eastAsia="Batang" w:hAnsi="Verdana" w:cs="Times"/>
          <w:b/>
          <w:sz w:val="20"/>
          <w:szCs w:val="24"/>
          <w:lang w:val="es-CR" w:eastAsia="es-CR"/>
        </w:rPr>
      </w:pP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B.3</w:t>
      </w: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PERSONAS VÍCTIMAS DE LA VIOLACIÓN AL DERECHO A LA INTEGRIDAD PERSONAL, POR HERIDAS SUFRIDAS, EN RELACIÓN CON LA OBLIGACIÓN DE RESPETAR LOS DERECHOS SIN DISCRIMINACIÓN (ARTÍCULOS 5.1 Y 1.1 DE LA CONVENCIÓN AMERICANA SOBRE DERECHOS HUMANOS)</w:t>
      </w:r>
    </w:p>
    <w:p w:rsidR="003908EB" w:rsidRPr="003908EB" w:rsidRDefault="003908EB" w:rsidP="00606E62">
      <w:pPr>
        <w:jc w:val="center"/>
        <w:rPr>
          <w:rFonts w:ascii="Verdana" w:hAnsi="Verdana"/>
          <w:b/>
          <w:sz w:val="20"/>
          <w:szCs w:val="20"/>
          <w:lang w:val="es-CR"/>
        </w:rPr>
      </w:pPr>
    </w:p>
    <w:p w:rsidR="003908EB" w:rsidRPr="003908EB" w:rsidRDefault="003908EB" w:rsidP="00AA6E1B">
      <w:pPr>
        <w:pStyle w:val="FootnoteText"/>
        <w:rPr>
          <w:lang w:val="es-CR"/>
        </w:rPr>
      </w:pPr>
      <w:r w:rsidRPr="003908EB">
        <w:rPr>
          <w:lang w:val="es-CR"/>
        </w:rPr>
        <w:t xml:space="preserve">1.-Aurelio Hernández Morales, 2.-Carmen </w:t>
      </w:r>
      <w:proofErr w:type="spellStart"/>
      <w:r w:rsidRPr="003908EB">
        <w:rPr>
          <w:lang w:val="es-CR"/>
        </w:rPr>
        <w:t>Caal</w:t>
      </w:r>
      <w:proofErr w:type="spellEnd"/>
      <w:r w:rsidRPr="003908EB">
        <w:rPr>
          <w:lang w:val="es-CR"/>
        </w:rPr>
        <w:t xml:space="preserve"> </w:t>
      </w:r>
      <w:proofErr w:type="spellStart"/>
      <w:r w:rsidRPr="003908EB">
        <w:rPr>
          <w:lang w:val="es-CR"/>
        </w:rPr>
        <w:t>Saqui</w:t>
      </w:r>
      <w:proofErr w:type="spellEnd"/>
      <w:r w:rsidRPr="003908EB">
        <w:rPr>
          <w:lang w:val="es-CR"/>
        </w:rPr>
        <w:t xml:space="preserve">, 3.-Eliseo Hernández Morales, 4.-Francisco Hernández, 5.-Jacinta Matón Raymundo, 6.-Josefa Mendoza Aguilar, 7.-Juana Andrés Maldonado, 8.-Juana Felipe Velásquez, 9.-Marcos </w:t>
      </w:r>
      <w:proofErr w:type="spellStart"/>
      <w:r w:rsidRPr="003908EB">
        <w:rPr>
          <w:lang w:val="es-CR"/>
        </w:rPr>
        <w:t>Jolomná</w:t>
      </w:r>
      <w:proofErr w:type="spellEnd"/>
      <w:r w:rsidRPr="003908EB">
        <w:rPr>
          <w:lang w:val="es-CR"/>
        </w:rPr>
        <w:t xml:space="preserve"> </w:t>
      </w:r>
      <w:proofErr w:type="spellStart"/>
      <w:r w:rsidRPr="003908EB">
        <w:rPr>
          <w:lang w:val="es-CR"/>
        </w:rPr>
        <w:t>Yat</w:t>
      </w:r>
      <w:proofErr w:type="spellEnd"/>
      <w:r w:rsidRPr="003908EB">
        <w:rPr>
          <w:lang w:val="es-CR"/>
        </w:rPr>
        <w:t xml:space="preserve">, 10.-Martín </w:t>
      </w:r>
      <w:proofErr w:type="spellStart"/>
      <w:r w:rsidRPr="003908EB">
        <w:rPr>
          <w:lang w:val="es-CR"/>
        </w:rPr>
        <w:t>Quip</w:t>
      </w:r>
      <w:proofErr w:type="spellEnd"/>
      <w:r w:rsidRPr="003908EB">
        <w:rPr>
          <w:lang w:val="es-CR"/>
        </w:rPr>
        <w:t xml:space="preserve"> </w:t>
      </w:r>
      <w:proofErr w:type="spellStart"/>
      <w:r w:rsidRPr="003908EB">
        <w:rPr>
          <w:lang w:val="es-CR"/>
        </w:rPr>
        <w:t>Mucú</w:t>
      </w:r>
      <w:proofErr w:type="spellEnd"/>
      <w:r w:rsidRPr="003908EB">
        <w:rPr>
          <w:lang w:val="es-CR"/>
        </w:rPr>
        <w:t xml:space="preserve">, 11.-Mateo Pedro, 12.-Natividad Sales Calmo, 13.-Pascual José Pascual, 14.-Pedro Daniel Carrillo López, 15.-Ricardo Pop </w:t>
      </w:r>
      <w:proofErr w:type="spellStart"/>
      <w:r w:rsidRPr="003908EB">
        <w:rPr>
          <w:lang w:val="es-CR"/>
        </w:rPr>
        <w:t>Caal</w:t>
      </w:r>
      <w:proofErr w:type="spellEnd"/>
      <w:r w:rsidRPr="003908EB">
        <w:rPr>
          <w:lang w:val="es-CR"/>
        </w:rPr>
        <w:t xml:space="preserve">, 16.-Rosenda Sales </w:t>
      </w:r>
      <w:proofErr w:type="spellStart"/>
      <w:r w:rsidRPr="003908EB">
        <w:rPr>
          <w:lang w:val="es-CR"/>
        </w:rPr>
        <w:t>Ortíz</w:t>
      </w:r>
      <w:proofErr w:type="spellEnd"/>
      <w:r w:rsidRPr="003908EB">
        <w:rPr>
          <w:lang w:val="es-CR"/>
        </w:rPr>
        <w:t xml:space="preserve">, 17.-Santiago </w:t>
      </w:r>
      <w:proofErr w:type="spellStart"/>
      <w:r w:rsidRPr="003908EB">
        <w:rPr>
          <w:lang w:val="es-CR"/>
        </w:rPr>
        <w:t>Cajbón</w:t>
      </w:r>
      <w:proofErr w:type="spellEnd"/>
      <w:r w:rsidRPr="003908EB">
        <w:rPr>
          <w:lang w:val="es-CR"/>
        </w:rPr>
        <w:t xml:space="preserve"> </w:t>
      </w:r>
      <w:proofErr w:type="spellStart"/>
      <w:r w:rsidRPr="003908EB">
        <w:rPr>
          <w:lang w:val="es-CR"/>
        </w:rPr>
        <w:t>Quip</w:t>
      </w:r>
      <w:proofErr w:type="spellEnd"/>
      <w:r w:rsidRPr="003908EB">
        <w:rPr>
          <w:lang w:val="es-CR"/>
        </w:rPr>
        <w:t xml:space="preserve">, 18.-Santos </w:t>
      </w:r>
      <w:proofErr w:type="spellStart"/>
      <w:r w:rsidRPr="003908EB">
        <w:rPr>
          <w:lang w:val="es-CR"/>
        </w:rPr>
        <w:t>Choc</w:t>
      </w:r>
      <w:proofErr w:type="spellEnd"/>
      <w:r w:rsidRPr="003908EB">
        <w:rPr>
          <w:lang w:val="es-CR"/>
        </w:rPr>
        <w:t xml:space="preserve"> </w:t>
      </w:r>
      <w:proofErr w:type="spellStart"/>
      <w:r w:rsidRPr="003908EB">
        <w:rPr>
          <w:lang w:val="es-CR"/>
        </w:rPr>
        <w:t>Coc</w:t>
      </w:r>
      <w:proofErr w:type="spellEnd"/>
      <w:r w:rsidRPr="003908EB">
        <w:rPr>
          <w:lang w:val="es-CR"/>
        </w:rPr>
        <w:t xml:space="preserve">, 19.-Víctor Carrillo, 20.-Micaela Pascual, 21.-José Hernández, 22.-Germán </w:t>
      </w:r>
      <w:proofErr w:type="spellStart"/>
      <w:r w:rsidRPr="003908EB">
        <w:rPr>
          <w:lang w:val="es-CR"/>
        </w:rPr>
        <w:t>Cajbón</w:t>
      </w:r>
      <w:proofErr w:type="spellEnd"/>
      <w:r w:rsidRPr="003908EB">
        <w:rPr>
          <w:lang w:val="es-CR"/>
        </w:rPr>
        <w:t xml:space="preserve"> </w:t>
      </w:r>
      <w:proofErr w:type="spellStart"/>
      <w:r w:rsidRPr="003908EB">
        <w:rPr>
          <w:lang w:val="es-CR"/>
        </w:rPr>
        <w:t>Choc</w:t>
      </w:r>
      <w:proofErr w:type="spellEnd"/>
      <w:r w:rsidRPr="003908EB">
        <w:rPr>
          <w:lang w:val="es-CR"/>
        </w:rPr>
        <w:t xml:space="preserve">, 23.-Efraín Grave </w:t>
      </w:r>
      <w:proofErr w:type="spellStart"/>
      <w:r w:rsidRPr="003908EB">
        <w:rPr>
          <w:lang w:val="es-CR"/>
        </w:rPr>
        <w:t>Morente</w:t>
      </w:r>
      <w:proofErr w:type="spellEnd"/>
      <w:r w:rsidRPr="003908EB">
        <w:rPr>
          <w:lang w:val="es-CR"/>
        </w:rPr>
        <w:t xml:space="preserve">, 24.-Juan Medina Toma, 25.-Rolando Hernández Maldonado, 26.-Tomas Grave </w:t>
      </w:r>
      <w:proofErr w:type="spellStart"/>
      <w:r w:rsidRPr="003908EB">
        <w:rPr>
          <w:lang w:val="es-CR"/>
        </w:rPr>
        <w:t>Morente</w:t>
      </w:r>
      <w:proofErr w:type="spellEnd"/>
      <w:r w:rsidRPr="003908EB">
        <w:rPr>
          <w:lang w:val="es-CR"/>
        </w:rPr>
        <w:t xml:space="preserve">, 27.-Santiago </w:t>
      </w:r>
      <w:proofErr w:type="spellStart"/>
      <w:r w:rsidRPr="003908EB">
        <w:rPr>
          <w:lang w:val="es-CR"/>
        </w:rPr>
        <w:t>Maquín</w:t>
      </w:r>
      <w:proofErr w:type="spellEnd"/>
      <w:r w:rsidRPr="003908EB">
        <w:rPr>
          <w:lang w:val="es-CR"/>
        </w:rPr>
        <w:t xml:space="preserve"> </w:t>
      </w:r>
      <w:proofErr w:type="spellStart"/>
      <w:r w:rsidRPr="003908EB">
        <w:rPr>
          <w:lang w:val="es-CR"/>
        </w:rPr>
        <w:t>Quip</w:t>
      </w:r>
      <w:proofErr w:type="spellEnd"/>
      <w:r w:rsidRPr="003908EB">
        <w:rPr>
          <w:lang w:val="es-CR"/>
        </w:rPr>
        <w:t xml:space="preserve">, 28.-Gerardo Maldonado Sales y 29.-Rosendo Morales Ortiz. </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line="240" w:lineRule="auto"/>
        <w:rPr>
          <w:rFonts w:ascii="Verdana" w:hAnsi="Verdana"/>
          <w:sz w:val="18"/>
          <w:szCs w:val="20"/>
          <w:lang w:val="es-CR"/>
        </w:rPr>
      </w:pPr>
    </w:p>
    <w:p w:rsidR="003908EB" w:rsidRPr="003908EB" w:rsidRDefault="003908EB" w:rsidP="00606E62">
      <w:pPr>
        <w:rPr>
          <w:rFonts w:ascii="Verdana" w:hAnsi="Verdana"/>
          <w:sz w:val="20"/>
          <w:szCs w:val="20"/>
          <w:lang w:val="es-CR"/>
        </w:rPr>
      </w:pPr>
    </w:p>
    <w:p w:rsidR="003908EB" w:rsidRPr="003908EB" w:rsidRDefault="003908EB" w:rsidP="00606E62">
      <w:pPr>
        <w:jc w:val="center"/>
        <w:rPr>
          <w:rFonts w:ascii="Verdana" w:hAnsi="Verdana"/>
          <w:b/>
          <w:sz w:val="20"/>
          <w:szCs w:val="20"/>
          <w:lang w:val="es-CR"/>
        </w:rPr>
      </w:pPr>
      <w:bookmarkStart w:id="272" w:name="_GoBack"/>
      <w:bookmarkEnd w:id="272"/>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B.4</w:t>
      </w: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PERSONAS VÍCTIMAS DE LA VIOLACIÓN AL DERECHO A LA VIDA EN RELACIÓN CON LOS DERECHOS DEL NIÑO Y CON LA OBLIGACIÓN DE RESPETAR LOS DERECHOS SIN DISCRIMINACIÓN (ARTÍCULOS 4.1, 19 Y 1.1 DE LA CONVENCIÓN AMERICANA SOBRE DERECHOS HUMANOS)</w:t>
      </w:r>
    </w:p>
    <w:p w:rsidR="003908EB" w:rsidRPr="003908EB" w:rsidRDefault="003908EB" w:rsidP="00606E62">
      <w:pPr>
        <w:jc w:val="center"/>
        <w:rPr>
          <w:rFonts w:ascii="Verdana" w:hAnsi="Verdana"/>
          <w:b/>
          <w:sz w:val="20"/>
          <w:szCs w:val="20"/>
          <w:lang w:val="es-CR"/>
        </w:rPr>
      </w:pPr>
    </w:p>
    <w:p w:rsidR="003908EB" w:rsidRPr="003908EB" w:rsidRDefault="003908EB" w:rsidP="00606E62">
      <w:pPr>
        <w:rPr>
          <w:rFonts w:ascii="Verdana" w:hAnsi="Verdana"/>
          <w:b/>
          <w:sz w:val="20"/>
          <w:szCs w:val="20"/>
          <w:lang w:val="es-CR"/>
        </w:rPr>
      </w:pPr>
    </w:p>
    <w:p w:rsidR="003908EB" w:rsidRPr="00E8771A" w:rsidRDefault="003908EB" w:rsidP="00E8771A">
      <w:pPr>
        <w:rPr>
          <w:rFonts w:ascii="Verdana" w:hAnsi="Verdana"/>
          <w:sz w:val="20"/>
          <w:szCs w:val="20"/>
          <w:lang w:val="es-CR"/>
        </w:rPr>
      </w:pPr>
      <w:r w:rsidRPr="003908EB">
        <w:rPr>
          <w:rFonts w:ascii="Verdana" w:hAnsi="Verdana"/>
          <w:sz w:val="20"/>
          <w:szCs w:val="20"/>
          <w:lang w:val="es-CR"/>
        </w:rPr>
        <w:t xml:space="preserve">1.-Carlos Fernando </w:t>
      </w:r>
      <w:proofErr w:type="spellStart"/>
      <w:r w:rsidRPr="003908EB">
        <w:rPr>
          <w:rFonts w:ascii="Verdana" w:hAnsi="Verdana"/>
          <w:sz w:val="20"/>
          <w:szCs w:val="20"/>
          <w:lang w:val="es-CR"/>
        </w:rPr>
        <w:t>Chop</w:t>
      </w:r>
      <w:proofErr w:type="spellEnd"/>
      <w:r w:rsidRPr="003908EB">
        <w:rPr>
          <w:rFonts w:ascii="Verdana" w:hAnsi="Verdana"/>
          <w:sz w:val="20"/>
          <w:szCs w:val="20"/>
          <w:lang w:val="es-CR"/>
        </w:rPr>
        <w:t xml:space="preserve"> Chic,  2.-Santiago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y 3.-Maurilia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Max.</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3908EB" w:rsidRDefault="003908EB" w:rsidP="00606E62">
      <w:pPr>
        <w:jc w:val="center"/>
        <w:rPr>
          <w:rFonts w:ascii="Verdana" w:hAnsi="Verdana"/>
          <w:b/>
          <w:sz w:val="20"/>
          <w:szCs w:val="20"/>
          <w:lang w:val="es-CR"/>
        </w:rPr>
      </w:pP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B.5</w:t>
      </w:r>
    </w:p>
    <w:p w:rsidR="003908EB" w:rsidRPr="00E8771A" w:rsidRDefault="003908EB" w:rsidP="00E8771A">
      <w:pPr>
        <w:spacing w:after="0" w:line="240" w:lineRule="auto"/>
        <w:jc w:val="center"/>
        <w:rPr>
          <w:rFonts w:ascii="Verdana" w:eastAsia="Batang" w:hAnsi="Verdana" w:cs="Times"/>
          <w:b/>
          <w:sz w:val="20"/>
          <w:szCs w:val="20"/>
          <w:lang w:val="es-CR" w:eastAsia="es-CR"/>
        </w:rPr>
      </w:pPr>
      <w:r w:rsidRPr="00E8771A">
        <w:rPr>
          <w:rFonts w:ascii="Verdana" w:eastAsia="Batang" w:hAnsi="Verdana" w:cs="Times"/>
          <w:b/>
          <w:sz w:val="20"/>
          <w:szCs w:val="20"/>
          <w:lang w:val="es-CR" w:eastAsia="es-CR"/>
        </w:rPr>
        <w:t>PERSONAS VÍCTIMAS DE LA VIOLACIÓN AL DERECHO A LA INTEGRIDAD PERSONAL POR SU CONDICIÓN DE FAMILIARES DE PERSONAS FALLECIDAS (ARTÍCULOS 5 Y 1.1 DE LA CONVENCIÓN AMERICANA SOBRE DERECHOS HUMANOS)</w:t>
      </w: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E8771A" w:rsidRDefault="003908EB" w:rsidP="00E8771A">
      <w:pPr>
        <w:spacing w:after="0" w:line="240" w:lineRule="auto"/>
        <w:jc w:val="both"/>
        <w:rPr>
          <w:rFonts w:ascii="Verdana" w:eastAsia="Batang" w:hAnsi="Verdana" w:cs="Times"/>
          <w:sz w:val="16"/>
          <w:szCs w:val="16"/>
          <w:lang w:val="es-CR" w:eastAsia="es-CR"/>
        </w:rPr>
      </w:pP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A) </w:t>
      </w:r>
      <w:r w:rsidRPr="003908EB">
        <w:rPr>
          <w:rFonts w:ascii="Verdana" w:hAnsi="Verdana"/>
          <w:sz w:val="20"/>
          <w:szCs w:val="20"/>
          <w:u w:val="single"/>
          <w:lang w:val="es-CR"/>
        </w:rPr>
        <w:t xml:space="preserve">Familiares de Hilaria </w:t>
      </w:r>
      <w:proofErr w:type="spellStart"/>
      <w:r w:rsidRPr="003908EB">
        <w:rPr>
          <w:rFonts w:ascii="Verdana" w:hAnsi="Verdana"/>
          <w:sz w:val="20"/>
          <w:szCs w:val="20"/>
          <w:u w:val="single"/>
          <w:lang w:val="es-CR"/>
        </w:rPr>
        <w:t>Morente</w:t>
      </w:r>
      <w:proofErr w:type="spellEnd"/>
      <w:r w:rsidRPr="003908EB">
        <w:rPr>
          <w:rFonts w:ascii="Verdana" w:hAnsi="Verdana"/>
          <w:sz w:val="20"/>
          <w:szCs w:val="20"/>
          <w:u w:val="single"/>
          <w:lang w:val="es-CR"/>
        </w:rPr>
        <w:t xml:space="preserve"> de la Cruz (fallecida)</w:t>
      </w:r>
      <w:r w:rsidRPr="003908EB">
        <w:rPr>
          <w:rFonts w:ascii="Verdana" w:hAnsi="Verdana"/>
          <w:sz w:val="20"/>
          <w:szCs w:val="20"/>
          <w:lang w:val="es-CR"/>
        </w:rPr>
        <w:t xml:space="preserve">: 1.-José María Grave </w:t>
      </w:r>
      <w:r w:rsidRPr="003908EB">
        <w:rPr>
          <w:rFonts w:ascii="Verdana" w:hAnsi="Verdana" w:cs="Arial"/>
          <w:color w:val="222222"/>
          <w:sz w:val="20"/>
          <w:szCs w:val="20"/>
          <w:shd w:val="clear" w:color="auto" w:fill="FFFFFF"/>
          <w:lang w:val="es-CR"/>
        </w:rPr>
        <w:t>(e</w:t>
      </w:r>
      <w:r w:rsidRPr="003908EB">
        <w:rPr>
          <w:rFonts w:ascii="Verdana" w:hAnsi="Verdana"/>
          <w:sz w:val="20"/>
          <w:szCs w:val="20"/>
          <w:lang w:val="es-CR"/>
        </w:rPr>
        <w:t>sposo o conviviente</w:t>
      </w:r>
      <w:r w:rsidRPr="003908EB">
        <w:rPr>
          <w:rFonts w:ascii="Verdana" w:hAnsi="Verdana" w:cs="Arial"/>
          <w:color w:val="222222"/>
          <w:sz w:val="20"/>
          <w:szCs w:val="20"/>
          <w:shd w:val="clear" w:color="auto" w:fill="FFFFFF"/>
          <w:lang w:val="es-CR"/>
        </w:rPr>
        <w:t>); 2.-</w:t>
      </w:r>
      <w:r w:rsidRPr="003908EB">
        <w:rPr>
          <w:rFonts w:ascii="Verdana" w:hAnsi="Verdana"/>
          <w:sz w:val="20"/>
          <w:szCs w:val="20"/>
          <w:lang w:val="es-CR"/>
        </w:rPr>
        <w:t xml:space="preserve"> </w:t>
      </w:r>
      <w:proofErr w:type="spellStart"/>
      <w:r w:rsidRPr="003908EB">
        <w:rPr>
          <w:rFonts w:ascii="Verdana" w:hAnsi="Verdana"/>
          <w:sz w:val="20"/>
          <w:szCs w:val="20"/>
          <w:lang w:val="es-CR"/>
        </w:rPr>
        <w:t>Fermina</w:t>
      </w:r>
      <w:proofErr w:type="spellEnd"/>
      <w:r w:rsidRPr="003908EB">
        <w:rPr>
          <w:rFonts w:ascii="Verdana" w:hAnsi="Verdana"/>
          <w:sz w:val="20"/>
          <w:szCs w:val="20"/>
          <w:lang w:val="es-CR"/>
        </w:rPr>
        <w:t xml:space="preserve">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(hija</w:t>
      </w:r>
      <w:r w:rsidRPr="003908EB">
        <w:rPr>
          <w:rFonts w:ascii="Verdana" w:hAnsi="Verdana" w:cs="Arial"/>
          <w:color w:val="222222"/>
          <w:sz w:val="20"/>
          <w:szCs w:val="20"/>
          <w:shd w:val="clear" w:color="auto" w:fill="FFFFFF"/>
          <w:lang w:val="es-CR"/>
        </w:rPr>
        <w:t>)</w:t>
      </w:r>
      <w:r w:rsidRPr="003908EB">
        <w:rPr>
          <w:rFonts w:ascii="Verdana" w:hAnsi="Verdana"/>
          <w:sz w:val="20"/>
          <w:szCs w:val="20"/>
          <w:lang w:val="es-CR"/>
        </w:rPr>
        <w:t xml:space="preserve">; 3.-Marselo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(hijo) 4.-Margarita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(hija), 5.-Cristina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(hija), 6.- Efraín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(hijo), y 7.- Tomás Grave </w:t>
      </w:r>
      <w:proofErr w:type="spellStart"/>
      <w:r w:rsidRPr="003908EB">
        <w:rPr>
          <w:rFonts w:ascii="Verdana" w:hAnsi="Verdana"/>
          <w:sz w:val="20"/>
          <w:szCs w:val="20"/>
          <w:lang w:val="es-CR"/>
        </w:rPr>
        <w:t>Morente</w:t>
      </w:r>
      <w:proofErr w:type="spellEnd"/>
      <w:r w:rsidRPr="003908EB">
        <w:rPr>
          <w:rFonts w:ascii="Verdana" w:hAnsi="Verdana"/>
          <w:sz w:val="20"/>
          <w:szCs w:val="20"/>
          <w:lang w:val="es-CR"/>
        </w:rPr>
        <w:t xml:space="preserve"> (hijo). </w:t>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B) </w:t>
      </w:r>
      <w:r w:rsidRPr="003908EB">
        <w:rPr>
          <w:rFonts w:ascii="Verdana" w:hAnsi="Verdana"/>
          <w:sz w:val="20"/>
          <w:szCs w:val="20"/>
          <w:u w:val="single"/>
          <w:lang w:val="es-CR"/>
        </w:rPr>
        <w:t xml:space="preserve">Familiares de Carlos Fernando </w:t>
      </w:r>
      <w:proofErr w:type="spellStart"/>
      <w:r w:rsidRPr="003908EB">
        <w:rPr>
          <w:rFonts w:ascii="Verdana" w:hAnsi="Verdana"/>
          <w:sz w:val="20"/>
          <w:szCs w:val="20"/>
          <w:u w:val="single"/>
          <w:lang w:val="es-CR"/>
        </w:rPr>
        <w:t>Chop</w:t>
      </w:r>
      <w:proofErr w:type="spellEnd"/>
      <w:r w:rsidRPr="003908EB">
        <w:rPr>
          <w:rFonts w:ascii="Verdana" w:hAnsi="Verdana"/>
          <w:sz w:val="20"/>
          <w:szCs w:val="20"/>
          <w:u w:val="single"/>
          <w:lang w:val="es-CR"/>
        </w:rPr>
        <w:t xml:space="preserve"> Chic</w:t>
      </w:r>
      <w:r w:rsidRPr="003908EB">
        <w:rPr>
          <w:rFonts w:ascii="Verdana" w:hAnsi="Verdana"/>
          <w:sz w:val="20"/>
          <w:szCs w:val="20"/>
          <w:lang w:val="es-CR"/>
        </w:rPr>
        <w:t xml:space="preserve"> (niño fallecido): 8.-Anastacio </w:t>
      </w:r>
      <w:proofErr w:type="spellStart"/>
      <w:r w:rsidRPr="003908EB">
        <w:rPr>
          <w:rFonts w:ascii="Verdana" w:hAnsi="Verdana"/>
          <w:sz w:val="20"/>
          <w:szCs w:val="20"/>
          <w:lang w:val="es-CR"/>
        </w:rPr>
        <w:t>Chop</w:t>
      </w:r>
      <w:proofErr w:type="spellEnd"/>
      <w:r w:rsidRPr="003908EB">
        <w:rPr>
          <w:rFonts w:ascii="Verdana" w:hAnsi="Verdana"/>
          <w:sz w:val="20"/>
          <w:szCs w:val="20"/>
          <w:lang w:val="es-CR"/>
        </w:rPr>
        <w:t xml:space="preserve"> García y 9.-Daniela Catarina Chic López (madre). </w:t>
      </w:r>
      <w:r w:rsidRPr="003908EB">
        <w:rPr>
          <w:rFonts w:ascii="Verdana" w:hAnsi="Verdana"/>
          <w:sz w:val="20"/>
          <w:szCs w:val="20"/>
          <w:lang w:val="es-CR"/>
        </w:rPr>
        <w:tab/>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C) </w:t>
      </w:r>
      <w:r w:rsidRPr="003908EB">
        <w:rPr>
          <w:rFonts w:ascii="Verdana" w:hAnsi="Verdana"/>
          <w:sz w:val="20"/>
          <w:szCs w:val="20"/>
          <w:u w:val="single"/>
          <w:lang w:val="es-CR"/>
        </w:rPr>
        <w:t>Familiares de Pedro Medina Sánchez</w:t>
      </w:r>
      <w:r w:rsidRPr="003908EB">
        <w:rPr>
          <w:rFonts w:ascii="Verdana" w:hAnsi="Verdana"/>
          <w:sz w:val="20"/>
          <w:szCs w:val="20"/>
          <w:lang w:val="es-CR"/>
        </w:rPr>
        <w:t xml:space="preserve"> (fallecido): 10.-Manuela Toma Sánchez (esposa o conviviente); 11.-María Medina Toma </w:t>
      </w:r>
      <w:r w:rsidRPr="003908EB">
        <w:rPr>
          <w:rFonts w:ascii="Verdana" w:hAnsi="Verdana" w:cs="Arial"/>
          <w:color w:val="222222"/>
          <w:sz w:val="20"/>
          <w:szCs w:val="20"/>
          <w:shd w:val="clear" w:color="auto" w:fill="FFFFFF"/>
          <w:lang w:val="es-CR"/>
        </w:rPr>
        <w:t>(h</w:t>
      </w:r>
      <w:r w:rsidRPr="003908EB">
        <w:rPr>
          <w:rFonts w:ascii="Verdana" w:hAnsi="Verdana"/>
          <w:sz w:val="20"/>
          <w:szCs w:val="20"/>
          <w:lang w:val="es-CR"/>
        </w:rPr>
        <w:t>ija</w:t>
      </w:r>
      <w:r w:rsidRPr="003908EB">
        <w:rPr>
          <w:rFonts w:ascii="Verdana" w:hAnsi="Verdana" w:cs="Arial"/>
          <w:color w:val="222222"/>
          <w:sz w:val="20"/>
          <w:szCs w:val="20"/>
          <w:shd w:val="clear" w:color="auto" w:fill="FFFFFF"/>
          <w:lang w:val="es-CR"/>
        </w:rPr>
        <w:t>);</w:t>
      </w:r>
      <w:r w:rsidRPr="003908EB">
        <w:rPr>
          <w:rFonts w:ascii="Verdana" w:hAnsi="Verdana"/>
          <w:sz w:val="20"/>
          <w:szCs w:val="20"/>
          <w:lang w:val="es-CR"/>
        </w:rPr>
        <w:t xml:space="preserve"> 12.-Antonio Medina Toma (hijo); 13.-Domingo Medina Toma (hijo); 14.-Diego Medina Toma (hijo); 15.-Pedro Medina Toma (hijo); 16.-Antonio Medina Toma (hijo); 17.-Teresa Medina Toma (hija); 18.-Joel Medina Toma (hijo); 19.-Carlos Medina Toma (hijo), y 20.- Juan Medina Toma (hijo).</w:t>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 D) </w:t>
      </w:r>
      <w:r w:rsidRPr="003908EB">
        <w:rPr>
          <w:rFonts w:ascii="Verdana" w:hAnsi="Verdana"/>
          <w:sz w:val="20"/>
          <w:szCs w:val="20"/>
          <w:u w:val="single"/>
          <w:lang w:val="es-CR"/>
        </w:rPr>
        <w:t>Familiares de Abel Ramírez Pérez</w:t>
      </w:r>
      <w:r w:rsidRPr="003908EB">
        <w:rPr>
          <w:rFonts w:ascii="Verdana" w:hAnsi="Verdana"/>
          <w:sz w:val="20"/>
          <w:szCs w:val="20"/>
          <w:lang w:val="es-CR"/>
        </w:rPr>
        <w:t xml:space="preserve"> (fallecido): 21.-Atilana Hernández (esposa o conviviente); 22.-Mario Alberto Ramírez Hernández (hijo); 23.-Fabiana Ramírez Hernández (hija); 24.-Juan Ramírez Hernández (hijo); 25.-José Ramírez Hernández (hijo); 26.-Marcos Ramírez Hernández (hijo); 27.-María Alicia Ramírez Hernández (hija), y 28.- Roberto Rafael Ramírez Hernández (hijo). </w:t>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E) </w:t>
      </w:r>
      <w:r w:rsidRPr="003908EB">
        <w:rPr>
          <w:rFonts w:ascii="Verdana" w:hAnsi="Verdana"/>
          <w:sz w:val="20"/>
          <w:szCs w:val="20"/>
          <w:u w:val="single"/>
          <w:lang w:val="es-CR"/>
        </w:rPr>
        <w:t>Familiar de Manuela Mateo Antonio</w:t>
      </w:r>
      <w:r w:rsidRPr="003908EB">
        <w:rPr>
          <w:rFonts w:ascii="Verdana" w:hAnsi="Verdana"/>
          <w:sz w:val="20"/>
          <w:szCs w:val="20"/>
          <w:lang w:val="es-CR"/>
        </w:rPr>
        <w:t xml:space="preserve"> (fallecida): 29.-Ramón Mateo (padre), y 30.- Eulalia Antonio (madre). </w:t>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F) </w:t>
      </w:r>
      <w:r w:rsidRPr="003908EB">
        <w:rPr>
          <w:rFonts w:ascii="Verdana" w:hAnsi="Verdana"/>
          <w:sz w:val="20"/>
          <w:szCs w:val="20"/>
          <w:u w:val="single"/>
          <w:lang w:val="es-CR"/>
        </w:rPr>
        <w:t>Familiares de Juana Jacinto Felipe</w:t>
      </w:r>
      <w:r w:rsidRPr="003908EB">
        <w:rPr>
          <w:rFonts w:ascii="Verdana" w:hAnsi="Verdana"/>
          <w:sz w:val="20"/>
          <w:szCs w:val="20"/>
          <w:lang w:val="es-CR"/>
        </w:rPr>
        <w:t xml:space="preserve"> (fallecida): 31.- Florinda Sales Jacinto (hija) y 32.-Adelina Sales Jacinto (hija). </w:t>
      </w:r>
    </w:p>
    <w:p w:rsidR="003908EB" w:rsidRPr="00E8771A" w:rsidRDefault="003908EB" w:rsidP="00560BD9">
      <w:pPr>
        <w:spacing w:line="240" w:lineRule="auto"/>
        <w:jc w:val="both"/>
        <w:rPr>
          <w:rFonts w:ascii="Verdana" w:hAnsi="Verdana"/>
          <w:sz w:val="16"/>
          <w:szCs w:val="20"/>
          <w:lang w:val="es-CR"/>
        </w:rPr>
      </w:pPr>
      <w:r w:rsidRPr="003908EB">
        <w:rPr>
          <w:rFonts w:ascii="Verdana" w:hAnsi="Verdana"/>
          <w:sz w:val="20"/>
          <w:szCs w:val="20"/>
          <w:lang w:val="es-CR"/>
        </w:rPr>
        <w:t xml:space="preserve">G) </w:t>
      </w:r>
      <w:r w:rsidRPr="003908EB">
        <w:rPr>
          <w:rFonts w:ascii="Verdana" w:hAnsi="Verdana"/>
          <w:sz w:val="20"/>
          <w:szCs w:val="20"/>
          <w:u w:val="single"/>
          <w:lang w:val="es-CR"/>
        </w:rPr>
        <w:t>Familiares de Pedro Diego Andrés</w:t>
      </w:r>
      <w:r w:rsidRPr="003908EB">
        <w:rPr>
          <w:rFonts w:ascii="Verdana" w:hAnsi="Verdana"/>
          <w:sz w:val="20"/>
          <w:szCs w:val="20"/>
          <w:lang w:val="es-CR"/>
        </w:rPr>
        <w:t xml:space="preserve"> (fallecido): 33.- Petrona Miguel Mendez (esposa o conviviente); 34.-Angelina Diego Miguel (hija); 35.-Andrés Diego Miguel (hijo); 36-Lucía Diego Miguel (hija), y 37.-Diego Diego Miguel (hijo). </w:t>
      </w:r>
    </w:p>
    <w:p w:rsidR="003908EB" w:rsidRPr="00E8771A" w:rsidRDefault="003908EB" w:rsidP="00560BD9">
      <w:pPr>
        <w:spacing w:line="240" w:lineRule="auto"/>
        <w:jc w:val="both"/>
        <w:rPr>
          <w:rFonts w:ascii="Verdana" w:hAnsi="Verdana"/>
          <w:sz w:val="16"/>
          <w:szCs w:val="20"/>
          <w:lang w:val="es-CR"/>
        </w:rPr>
      </w:pPr>
      <w:r w:rsidRPr="003908EB">
        <w:rPr>
          <w:rFonts w:ascii="Verdana" w:hAnsi="Verdana"/>
          <w:sz w:val="20"/>
          <w:szCs w:val="20"/>
          <w:lang w:val="es-CR"/>
        </w:rPr>
        <w:t xml:space="preserve">H) </w:t>
      </w:r>
      <w:r w:rsidRPr="003908EB">
        <w:rPr>
          <w:rFonts w:ascii="Verdana" w:hAnsi="Verdana"/>
          <w:sz w:val="20"/>
          <w:szCs w:val="20"/>
          <w:u w:val="single"/>
          <w:lang w:val="es-CR"/>
        </w:rPr>
        <w:t xml:space="preserve">Familiares de </w:t>
      </w:r>
      <w:proofErr w:type="spellStart"/>
      <w:r w:rsidRPr="003908EB">
        <w:rPr>
          <w:rFonts w:ascii="Verdana" w:hAnsi="Verdana"/>
          <w:sz w:val="20"/>
          <w:szCs w:val="20"/>
          <w:u w:val="single"/>
          <w:lang w:val="es-CR"/>
        </w:rPr>
        <w:t>Maurilia</w:t>
      </w:r>
      <w:proofErr w:type="spellEnd"/>
      <w:r w:rsidRPr="003908EB">
        <w:rPr>
          <w:rFonts w:ascii="Verdana" w:hAnsi="Verdana"/>
          <w:sz w:val="20"/>
          <w:szCs w:val="20"/>
          <w:u w:val="single"/>
          <w:lang w:val="es-CR"/>
        </w:rPr>
        <w:t xml:space="preserve"> </w:t>
      </w:r>
      <w:proofErr w:type="spellStart"/>
      <w:r w:rsidRPr="003908EB">
        <w:rPr>
          <w:rFonts w:ascii="Verdana" w:hAnsi="Verdana"/>
          <w:sz w:val="20"/>
          <w:szCs w:val="20"/>
          <w:u w:val="single"/>
          <w:lang w:val="es-CR"/>
        </w:rPr>
        <w:t>Coc</w:t>
      </w:r>
      <w:proofErr w:type="spellEnd"/>
      <w:r w:rsidRPr="003908EB">
        <w:rPr>
          <w:rFonts w:ascii="Verdana" w:hAnsi="Verdana"/>
          <w:sz w:val="20"/>
          <w:szCs w:val="20"/>
          <w:u w:val="single"/>
          <w:lang w:val="es-CR"/>
        </w:rPr>
        <w:t xml:space="preserve"> Max</w:t>
      </w:r>
      <w:r w:rsidRPr="003908EB">
        <w:rPr>
          <w:rFonts w:ascii="Verdana" w:hAnsi="Verdana"/>
          <w:sz w:val="20"/>
          <w:szCs w:val="20"/>
          <w:lang w:val="es-CR"/>
        </w:rPr>
        <w:t xml:space="preserve"> (niña fallecida): 38.-Pedro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Chén</w:t>
      </w:r>
      <w:proofErr w:type="spellEnd"/>
      <w:r w:rsidRPr="003908EB">
        <w:rPr>
          <w:rFonts w:ascii="Verdana" w:hAnsi="Verdana"/>
          <w:sz w:val="20"/>
          <w:szCs w:val="20"/>
          <w:lang w:val="es-CR"/>
        </w:rPr>
        <w:t xml:space="preserve"> (padre) y 39.- Victoria Max </w:t>
      </w:r>
      <w:proofErr w:type="spellStart"/>
      <w:r w:rsidRPr="003908EB">
        <w:rPr>
          <w:rFonts w:ascii="Verdana" w:hAnsi="Verdana"/>
          <w:sz w:val="20"/>
          <w:szCs w:val="20"/>
          <w:lang w:val="es-CR"/>
        </w:rPr>
        <w:t>Yat</w:t>
      </w:r>
      <w:proofErr w:type="spellEnd"/>
      <w:r w:rsidRPr="003908EB">
        <w:rPr>
          <w:rFonts w:ascii="Verdana" w:hAnsi="Verdana"/>
          <w:sz w:val="20"/>
          <w:szCs w:val="20"/>
          <w:lang w:val="es-CR"/>
        </w:rPr>
        <w:t xml:space="preserve"> (madre). </w:t>
      </w:r>
    </w:p>
    <w:p w:rsidR="003908EB" w:rsidRPr="00E8771A" w:rsidRDefault="003908EB" w:rsidP="00560BD9">
      <w:pPr>
        <w:spacing w:line="240" w:lineRule="auto"/>
        <w:jc w:val="both"/>
        <w:rPr>
          <w:rFonts w:ascii="Verdana" w:hAnsi="Verdana"/>
          <w:sz w:val="16"/>
          <w:szCs w:val="20"/>
          <w:lang w:val="es-CR"/>
        </w:rPr>
      </w:pPr>
      <w:r w:rsidRPr="003908EB">
        <w:rPr>
          <w:rFonts w:ascii="Verdana" w:hAnsi="Verdana"/>
          <w:sz w:val="20"/>
          <w:szCs w:val="20"/>
          <w:lang w:val="es-CR"/>
        </w:rPr>
        <w:t xml:space="preserve">I) </w:t>
      </w:r>
      <w:r w:rsidRPr="003908EB">
        <w:rPr>
          <w:rFonts w:ascii="Verdana" w:hAnsi="Verdana"/>
          <w:sz w:val="20"/>
          <w:szCs w:val="20"/>
          <w:u w:val="single"/>
          <w:lang w:val="es-CR"/>
        </w:rPr>
        <w:t xml:space="preserve">Familiares de Pablo </w:t>
      </w:r>
      <w:proofErr w:type="spellStart"/>
      <w:r w:rsidRPr="003908EB">
        <w:rPr>
          <w:rFonts w:ascii="Verdana" w:hAnsi="Verdana"/>
          <w:sz w:val="20"/>
          <w:szCs w:val="20"/>
          <w:u w:val="single"/>
          <w:lang w:val="es-CR"/>
        </w:rPr>
        <w:t>Coc</w:t>
      </w:r>
      <w:proofErr w:type="spellEnd"/>
      <w:r w:rsidRPr="003908EB">
        <w:rPr>
          <w:rFonts w:ascii="Verdana" w:hAnsi="Verdana"/>
          <w:sz w:val="20"/>
          <w:szCs w:val="20"/>
          <w:u w:val="single"/>
          <w:lang w:val="es-CR"/>
        </w:rPr>
        <w:t xml:space="preserve"> </w:t>
      </w:r>
      <w:proofErr w:type="spellStart"/>
      <w:r w:rsidRPr="003908EB">
        <w:rPr>
          <w:rFonts w:ascii="Verdana" w:hAnsi="Verdana"/>
          <w:sz w:val="20"/>
          <w:szCs w:val="20"/>
          <w:u w:val="single"/>
          <w:lang w:val="es-CR"/>
        </w:rPr>
        <w:t>Coc</w:t>
      </w:r>
      <w:proofErr w:type="spellEnd"/>
      <w:r w:rsidRPr="003908EB">
        <w:rPr>
          <w:rFonts w:ascii="Verdana" w:hAnsi="Verdana"/>
          <w:sz w:val="20"/>
          <w:szCs w:val="20"/>
          <w:lang w:val="es-CR"/>
        </w:rPr>
        <w:t xml:space="preserve"> (fallecido): 40.- Feliciana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Hu</w:t>
      </w:r>
      <w:proofErr w:type="spellEnd"/>
      <w:r w:rsidRPr="003908EB">
        <w:rPr>
          <w:rFonts w:ascii="Verdana" w:hAnsi="Verdana"/>
          <w:sz w:val="20"/>
          <w:szCs w:val="20"/>
          <w:lang w:val="es-CR"/>
        </w:rPr>
        <w:t xml:space="preserve"> (esposa o conviviente); 41.- María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(hija); 42.- José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(hijo); 43.- </w:t>
      </w:r>
      <w:proofErr w:type="spellStart"/>
      <w:r w:rsidRPr="003908EB">
        <w:rPr>
          <w:rFonts w:ascii="Verdana" w:hAnsi="Verdana"/>
          <w:sz w:val="20"/>
          <w:szCs w:val="20"/>
          <w:lang w:val="es-CR"/>
        </w:rPr>
        <w:t>Anastacia</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(hija); 44.-Petrona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(hija); 45.- Irene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(hija); 46.- Salvador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(hijo) y 47.-Ana </w:t>
      </w:r>
      <w:proofErr w:type="spellStart"/>
      <w:r w:rsidRPr="003908EB">
        <w:rPr>
          <w:rFonts w:ascii="Verdana" w:hAnsi="Verdana"/>
          <w:sz w:val="20"/>
          <w:szCs w:val="20"/>
          <w:lang w:val="es-CR"/>
        </w:rPr>
        <w:t>Coc</w:t>
      </w:r>
      <w:proofErr w:type="spellEnd"/>
      <w:r w:rsidRPr="003908EB">
        <w:rPr>
          <w:rFonts w:ascii="Verdana" w:hAnsi="Verdana"/>
          <w:sz w:val="20"/>
          <w:szCs w:val="20"/>
          <w:lang w:val="es-CR"/>
        </w:rPr>
        <w:t xml:space="preserve"> </w:t>
      </w:r>
      <w:proofErr w:type="spellStart"/>
      <w:r w:rsidRPr="003908EB">
        <w:rPr>
          <w:rFonts w:ascii="Verdana" w:hAnsi="Verdana"/>
          <w:sz w:val="20"/>
          <w:szCs w:val="20"/>
          <w:lang w:val="es-CR"/>
        </w:rPr>
        <w:t>Cajbón</w:t>
      </w:r>
      <w:proofErr w:type="spellEnd"/>
      <w:r w:rsidRPr="003908EB">
        <w:rPr>
          <w:rFonts w:ascii="Verdana" w:hAnsi="Verdana"/>
          <w:sz w:val="20"/>
          <w:szCs w:val="20"/>
          <w:lang w:val="es-CR"/>
        </w:rPr>
        <w:t xml:space="preserve"> (hija). </w:t>
      </w:r>
    </w:p>
    <w:p w:rsidR="003908EB" w:rsidRPr="003908EB" w:rsidRDefault="003908EB" w:rsidP="00560BD9">
      <w:pPr>
        <w:spacing w:line="240" w:lineRule="auto"/>
        <w:jc w:val="both"/>
        <w:rPr>
          <w:rFonts w:ascii="Verdana" w:hAnsi="Verdana"/>
          <w:sz w:val="20"/>
          <w:szCs w:val="20"/>
          <w:lang w:val="es-CR"/>
        </w:rPr>
      </w:pPr>
      <w:r w:rsidRPr="003908EB">
        <w:rPr>
          <w:rFonts w:ascii="Verdana" w:hAnsi="Verdana"/>
          <w:sz w:val="20"/>
          <w:szCs w:val="20"/>
          <w:lang w:val="es-CR"/>
        </w:rPr>
        <w:t xml:space="preserve">J) </w:t>
      </w:r>
      <w:r w:rsidRPr="003908EB">
        <w:rPr>
          <w:rFonts w:ascii="Verdana" w:hAnsi="Verdana"/>
          <w:sz w:val="20"/>
          <w:szCs w:val="20"/>
          <w:u w:val="single"/>
          <w:lang w:val="es-CR"/>
        </w:rPr>
        <w:t>Familiares de Andrés Miguel Mateo</w:t>
      </w:r>
      <w:r w:rsidRPr="003908EB">
        <w:rPr>
          <w:rFonts w:ascii="Verdana" w:hAnsi="Verdana"/>
          <w:sz w:val="20"/>
          <w:szCs w:val="20"/>
          <w:lang w:val="es-CR"/>
        </w:rPr>
        <w:t xml:space="preserve"> (fallecido): 48.- Juana Juan (esposa o conviviente); 49.- María Miguel Juan (hija); 50.- Dolores Miguel Bartolo (hija), y 51.-Francisco Miguel Bartolo (hijo). </w:t>
      </w:r>
    </w:p>
    <w:sectPr w:rsidR="003908EB" w:rsidRPr="003908EB" w:rsidSect="00E8771A">
      <w:headerReference w:type="default" r:id="rId10"/>
      <w:footnotePr>
        <w:numRestart w:val="eachSect"/>
      </w:footnotePr>
      <w:type w:val="continuous"/>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921" w:rsidRDefault="00785921" w:rsidP="006166D8">
      <w:pPr>
        <w:spacing w:after="0" w:line="240" w:lineRule="auto"/>
      </w:pPr>
      <w:r>
        <w:separator/>
      </w:r>
    </w:p>
  </w:endnote>
  <w:endnote w:type="continuationSeparator" w:id="0">
    <w:p w:rsidR="00785921" w:rsidRDefault="00785921" w:rsidP="00616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erdana Bold">
    <w:altName w:val="Arial"/>
    <w:panose1 w:val="020B0804030504040204"/>
    <w:charset w:val="00"/>
    <w:family w:val="swiss"/>
    <w:pitch w:val="variable"/>
    <w:sig w:usb0="00000001"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Garamond-Regular">
    <w:panose1 w:val="00000000000000000000"/>
    <w:charset w:val="00"/>
    <w:family w:val="roman"/>
    <w:notTrueType/>
    <w:pitch w:val="default"/>
    <w:sig w:usb0="00000003" w:usb1="00000000" w:usb2="00000000" w:usb3="00000000" w:csb0="00000001" w:csb1="00000000"/>
  </w:font>
  <w:font w:name="Verdana-Italic">
    <w:altName w:val="Verdan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921" w:rsidRDefault="00785921" w:rsidP="006166D8">
      <w:pPr>
        <w:spacing w:after="0" w:line="240" w:lineRule="auto"/>
      </w:pPr>
      <w:r>
        <w:separator/>
      </w:r>
    </w:p>
  </w:footnote>
  <w:footnote w:type="continuationSeparator" w:id="0">
    <w:p w:rsidR="00785921" w:rsidRDefault="00785921" w:rsidP="006166D8">
      <w:pPr>
        <w:spacing w:after="0" w:line="240" w:lineRule="auto"/>
      </w:pPr>
      <w:r>
        <w:continuationSeparator/>
      </w:r>
    </w:p>
  </w:footnote>
  <w:footnote w:id="1">
    <w:p w:rsidR="00785921" w:rsidRPr="00595BC3" w:rsidRDefault="00785921" w:rsidP="00126E97">
      <w:pPr>
        <w:spacing w:line="20" w:lineRule="atLeast"/>
        <w:rPr>
          <w:rFonts w:ascii="Verdana" w:hAnsi="Verdana"/>
          <w:sz w:val="16"/>
          <w:szCs w:val="16"/>
          <w:lang w:val="es-CR"/>
        </w:rPr>
      </w:pPr>
      <w:r w:rsidRPr="00595BC3">
        <w:rPr>
          <w:rStyle w:val="FootnoteReference"/>
          <w:rFonts w:ascii="Verdana" w:hAnsi="Verdana"/>
          <w:sz w:val="16"/>
          <w:szCs w:val="16"/>
          <w:lang w:val="es-CR" w:eastAsia="x-none"/>
        </w:rPr>
        <w:t>*</w:t>
      </w:r>
      <w:r w:rsidRPr="00595BC3">
        <w:rPr>
          <w:rFonts w:ascii="Verdana" w:hAnsi="Verdana"/>
          <w:sz w:val="16"/>
          <w:szCs w:val="16"/>
          <w:lang w:val="es-CR"/>
        </w:rPr>
        <w:t>E</w:t>
      </w:r>
      <w:r w:rsidRPr="00595BC3">
        <w:rPr>
          <w:rFonts w:ascii="Verdana" w:eastAsia="Calibri" w:hAnsi="Verdana" w:cs="Verdana"/>
          <w:sz w:val="16"/>
          <w:szCs w:val="16"/>
          <w:lang w:val="es-CR"/>
        </w:rPr>
        <w:t xml:space="preserve">l Juez </w:t>
      </w:r>
      <w:r w:rsidRPr="00595BC3">
        <w:rPr>
          <w:rFonts w:ascii="Verdana" w:eastAsia="Times New Roman" w:hAnsi="Verdana" w:cs="Times New Roman"/>
          <w:sz w:val="16"/>
          <w:szCs w:val="16"/>
          <w:lang w:val="es-CR"/>
        </w:rPr>
        <w:t>Eduardo Vio Grossi, Vicepresidente</w:t>
      </w:r>
      <w:r w:rsidRPr="00595BC3">
        <w:rPr>
          <w:rFonts w:ascii="Verdana" w:eastAsia="Calibri" w:hAnsi="Verdana" w:cs="Verdana"/>
          <w:sz w:val="16"/>
          <w:szCs w:val="16"/>
          <w:lang w:val="es-CR"/>
        </w:rPr>
        <w:t xml:space="preserve"> de la Corte, por razones de fuerza mayor aceptadas por el Pleno del Tribunal, no participó en la deliberación y firma de la presente Sentencia.</w:t>
      </w:r>
    </w:p>
  </w:footnote>
  <w:footnote w:id="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Expresó que l</w:t>
      </w:r>
      <w:proofErr w:type="spellStart"/>
      <w:r>
        <w:rPr>
          <w:rFonts w:cs="Verdana"/>
          <w:sz w:val="16"/>
          <w:szCs w:val="16"/>
          <w:lang w:val="es-ES_tradnl"/>
        </w:rPr>
        <w:t>o</w:t>
      </w:r>
      <w:proofErr w:type="spellEnd"/>
      <w:r>
        <w:rPr>
          <w:rFonts w:cs="Verdana"/>
          <w:sz w:val="16"/>
          <w:szCs w:val="16"/>
          <w:lang w:val="es-ES_tradnl"/>
        </w:rPr>
        <w:t xml:space="preserve"> hizo “ante la ausencia de una reparación integral” y la “necesidad de obtención de justicia”.</w:t>
      </w:r>
    </w:p>
  </w:footnote>
  <w:footnote w:id="3">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De modo previo, a través de una serie de comunicaciones entre la Secretaría de la Corte y personas y organizaciones relacionadas a aquellas que habían actuado como peticionarias (</w:t>
      </w:r>
      <w:r w:rsidRPr="008C5946">
        <w:rPr>
          <w:i/>
          <w:sz w:val="16"/>
          <w:szCs w:val="16"/>
          <w:lang w:val="es-CR"/>
        </w:rPr>
        <w:t xml:space="preserve">supra </w:t>
      </w:r>
      <w:r w:rsidRPr="008C5946">
        <w:rPr>
          <w:sz w:val="16"/>
          <w:szCs w:val="16"/>
          <w:lang w:val="es-CR"/>
        </w:rPr>
        <w:t>párr</w:t>
      </w:r>
      <w:r w:rsidRPr="00637508">
        <w:rPr>
          <w:sz w:val="16"/>
          <w:szCs w:val="16"/>
          <w:lang w:val="es-CR"/>
        </w:rPr>
        <w:t xml:space="preserve">. </w:t>
      </w:r>
      <w:r>
        <w:rPr>
          <w:sz w:val="16"/>
          <w:szCs w:val="16"/>
          <w:lang w:val="es-CR"/>
        </w:rPr>
        <w:t>2</w:t>
      </w:r>
      <w:r w:rsidRPr="00637508">
        <w:rPr>
          <w:sz w:val="16"/>
          <w:szCs w:val="16"/>
          <w:lang w:val="es-CR"/>
        </w:rPr>
        <w:t>), fue precisada la representación de las presuntas víctimas en el caso. Al respecto, por medio de comunicaciones de</w:t>
      </w:r>
      <w:r>
        <w:rPr>
          <w:sz w:val="16"/>
          <w:szCs w:val="16"/>
          <w:lang w:val="es-CR"/>
        </w:rPr>
        <w:t xml:space="preserve"> dicha</w:t>
      </w:r>
      <w:r w:rsidRPr="00637508">
        <w:rPr>
          <w:sz w:val="16"/>
          <w:szCs w:val="16"/>
          <w:lang w:val="es-CR"/>
        </w:rPr>
        <w:t xml:space="preserve"> Secretaría de 6 de enero de 2017 dirigidas a tales personas y organizaciones, se indicó que “siguiendo instrucciones del Presidente de la Corte […], se tendrá como único representante de las presuntas víctimas, a todos los efectos pertinentes relacionados con el trámite del caso ante la Corte […], al Grupo de Apoyo Mutuo (GAM)”.</w:t>
      </w:r>
    </w:p>
  </w:footnote>
  <w:footnote w:id="4">
    <w:p w:rsidR="00785921" w:rsidRPr="00637508" w:rsidRDefault="00785921" w:rsidP="00126E97">
      <w:pPr>
        <w:pStyle w:val="FootnoteText"/>
        <w:tabs>
          <w:tab w:val="left" w:pos="426"/>
        </w:tabs>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13 de febrero de 2017 el Estado designó como Agentes a</w:t>
      </w:r>
      <w:r>
        <w:rPr>
          <w:rFonts w:cs="Arial"/>
          <w:color w:val="000000"/>
          <w:sz w:val="16"/>
          <w:szCs w:val="16"/>
          <w:lang w:val="es-AR"/>
        </w:rPr>
        <w:t xml:space="preserve"> Víctor Hugo Godoy Morales y María José Ortiz Samayoa. El 26 de septiembre de 2017 Guatemala informó de la designación del nuevo Presidente de la Comisión Presidencial Coordinadora de la Política del Ejecutivo en Materia de Derechos Humanos (COPREDEH), el señor Jorge Luis </w:t>
      </w:r>
      <w:proofErr w:type="spellStart"/>
      <w:r>
        <w:rPr>
          <w:rFonts w:cs="Arial"/>
          <w:color w:val="000000"/>
          <w:sz w:val="16"/>
          <w:szCs w:val="16"/>
          <w:lang w:val="es-AR"/>
        </w:rPr>
        <w:t>Borrayo</w:t>
      </w:r>
      <w:proofErr w:type="spellEnd"/>
      <w:r>
        <w:rPr>
          <w:rFonts w:cs="Arial"/>
          <w:color w:val="000000"/>
          <w:sz w:val="16"/>
          <w:szCs w:val="16"/>
          <w:lang w:val="es-AR"/>
        </w:rPr>
        <w:t xml:space="preserve"> Reyes. El 6 de noviembre de 2017 informó de la designación del nuevo Director Ejecutivo de COPREDEH, el señor Felipe Sánchez González. </w:t>
      </w:r>
    </w:p>
  </w:footnote>
  <w:footnote w:id="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Por razones de fuerza mayor, la Resolución</w:t>
      </w:r>
      <w:r>
        <w:rPr>
          <w:rFonts w:eastAsia="Times New Roman" w:cs="Times New Roman"/>
          <w:sz w:val="16"/>
          <w:szCs w:val="16"/>
          <w:lang w:val="pt-BR"/>
        </w:rPr>
        <w:t xml:space="preserve"> </w:t>
      </w:r>
      <w:r>
        <w:rPr>
          <w:rFonts w:eastAsia="Times New Roman" w:cs="Times New Roman"/>
          <w:sz w:val="16"/>
          <w:szCs w:val="16"/>
          <w:lang w:val="pt-BR"/>
        </w:rPr>
        <w:t xml:space="preserve">fue emitida por Eduardo Ferrer Mac-Gregor Poisot, entonces Vicepresidente de la Corte, quien asumió en esa fecha la Presidencia en ejercicio respecto del caso, de conformidad con los artículos 4.2 y 5 del Reglamento. </w:t>
      </w:r>
      <w:r w:rsidRPr="00637508">
        <w:rPr>
          <w:sz w:val="16"/>
          <w:szCs w:val="16"/>
          <w:lang w:val="es-CR"/>
        </w:rPr>
        <w:t xml:space="preserve"> </w:t>
      </w:r>
    </w:p>
  </w:footnote>
  <w:footnote w:id="6">
    <w:p w:rsidR="00785921" w:rsidRPr="005A2F71" w:rsidRDefault="00785921" w:rsidP="00126E97">
      <w:pPr>
        <w:pStyle w:val="FootnoteText"/>
        <w:tabs>
          <w:tab w:val="left" w:pos="426"/>
        </w:tabs>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sidRPr="00637508">
        <w:rPr>
          <w:i/>
          <w:sz w:val="16"/>
          <w:szCs w:val="16"/>
          <w:lang w:val="es-CR"/>
        </w:rPr>
        <w:t xml:space="preserve">Cfr. </w:t>
      </w:r>
      <w:r>
        <w:rPr>
          <w:bCs/>
          <w:i/>
          <w:sz w:val="16"/>
          <w:szCs w:val="16"/>
          <w:lang w:val="es-CR"/>
        </w:rPr>
        <w:t xml:space="preserve">Caso </w:t>
      </w:r>
      <w:proofErr w:type="spellStart"/>
      <w:r>
        <w:rPr>
          <w:bCs/>
          <w:i/>
          <w:sz w:val="16"/>
          <w:szCs w:val="16"/>
          <w:lang w:val="es-CR"/>
        </w:rPr>
        <w:t>Coc</w:t>
      </w:r>
      <w:proofErr w:type="spellEnd"/>
      <w:r>
        <w:rPr>
          <w:bCs/>
          <w:i/>
          <w:sz w:val="16"/>
          <w:szCs w:val="16"/>
          <w:lang w:val="es-CR"/>
        </w:rPr>
        <w:t xml:space="preserve"> Max y otros Vs. Guatemala. Convocatoria a audiencia. </w:t>
      </w:r>
      <w:r>
        <w:rPr>
          <w:bCs/>
          <w:sz w:val="16"/>
          <w:szCs w:val="16"/>
          <w:lang w:val="es-CR"/>
        </w:rPr>
        <w:t>Resolución del Presidente de la Corte de 13 de diciembre de 2017.</w:t>
      </w:r>
      <w:r w:rsidRPr="00637508">
        <w:rPr>
          <w:sz w:val="16"/>
          <w:szCs w:val="16"/>
          <w:lang w:val="es-CR"/>
        </w:rPr>
        <w:t xml:space="preserve"> Disponible en: </w:t>
      </w:r>
      <w:hyperlink r:id="rId1" w:history="1">
        <w:r w:rsidRPr="005A2F71">
          <w:rPr>
            <w:sz w:val="16"/>
            <w:szCs w:val="16"/>
            <w:lang w:val="es-CR"/>
          </w:rPr>
          <w:t>http://www.corteidh.or.cr/docs/asuntos/cocmax_13_12_17.pdf</w:t>
        </w:r>
      </w:hyperlink>
    </w:p>
  </w:footnote>
  <w:footnote w:id="7">
    <w:p w:rsidR="00785921" w:rsidRPr="006166D8" w:rsidRDefault="00785921" w:rsidP="00126E97">
      <w:pPr>
        <w:tabs>
          <w:tab w:val="left" w:pos="426"/>
        </w:tabs>
        <w:spacing w:after="0" w:line="20" w:lineRule="atLeast"/>
        <w:ind w:right="-6"/>
        <w:jc w:val="both"/>
        <w:rPr>
          <w:rFonts w:ascii="Verdana" w:hAnsi="Verdana"/>
          <w:sz w:val="16"/>
          <w:szCs w:val="16"/>
          <w:lang w:val="es-CR"/>
        </w:rPr>
      </w:pPr>
      <w:r w:rsidRPr="006166D8">
        <w:rPr>
          <w:rStyle w:val="FootnoteReference"/>
          <w:rFonts w:ascii="Verdana" w:hAnsi="Verdana"/>
          <w:sz w:val="16"/>
          <w:szCs w:val="16"/>
          <w:lang w:eastAsia="x-none"/>
        </w:rPr>
        <w:footnoteRef/>
      </w:r>
      <w:r w:rsidRPr="006166D8">
        <w:rPr>
          <w:rFonts w:ascii="Verdana" w:hAnsi="Verdana"/>
          <w:sz w:val="16"/>
          <w:szCs w:val="16"/>
          <w:lang w:val="es-CR"/>
        </w:rPr>
        <w:t xml:space="preserve"> </w:t>
      </w:r>
      <w:r w:rsidRPr="006166D8">
        <w:rPr>
          <w:rFonts w:ascii="Verdana" w:hAnsi="Verdana"/>
          <w:sz w:val="16"/>
          <w:szCs w:val="16"/>
        </w:rPr>
        <w:t xml:space="preserve">A esta audiencia comparecieron: a) por la Comisión: la abogada de la Secretaría Ejecutiva, Selene Soto Rodríguez; b) por los representantes de las presuntas víctimas: Efraín Grave </w:t>
      </w:r>
      <w:proofErr w:type="spellStart"/>
      <w:r w:rsidRPr="006166D8">
        <w:rPr>
          <w:rFonts w:ascii="Verdana" w:hAnsi="Verdana"/>
          <w:sz w:val="16"/>
          <w:szCs w:val="16"/>
        </w:rPr>
        <w:t>Morente</w:t>
      </w:r>
      <w:proofErr w:type="spellEnd"/>
      <w:r w:rsidRPr="006166D8">
        <w:rPr>
          <w:rFonts w:ascii="Verdana" w:hAnsi="Verdana"/>
          <w:sz w:val="16"/>
          <w:szCs w:val="16"/>
        </w:rPr>
        <w:t xml:space="preserve">, representante de la Comunidad “Aurora 8 de Octubre”; el abogado </w:t>
      </w:r>
      <w:proofErr w:type="spellStart"/>
      <w:r w:rsidRPr="006166D8">
        <w:rPr>
          <w:rFonts w:ascii="Verdana" w:hAnsi="Verdana"/>
          <w:sz w:val="16"/>
          <w:szCs w:val="16"/>
        </w:rPr>
        <w:t>Maynor</w:t>
      </w:r>
      <w:proofErr w:type="spellEnd"/>
      <w:r w:rsidRPr="006166D8">
        <w:rPr>
          <w:rFonts w:ascii="Verdana" w:hAnsi="Verdana"/>
          <w:sz w:val="16"/>
          <w:szCs w:val="16"/>
        </w:rPr>
        <w:t xml:space="preserve"> Estuardo Alvarado Galeano y la abogada Karla Lorena Campos Flores, y c) por el Estado de Guatemala: </w:t>
      </w:r>
      <w:r w:rsidRPr="006166D8">
        <w:rPr>
          <w:rFonts w:ascii="Verdana" w:hAnsi="Verdana"/>
          <w:sz w:val="16"/>
          <w:szCs w:val="16"/>
          <w:lang w:val="es-CR"/>
        </w:rPr>
        <w:t>el embajador Juan Carlos Orellana Juárez;</w:t>
      </w:r>
      <w:r w:rsidRPr="006166D8">
        <w:rPr>
          <w:rFonts w:ascii="Verdana" w:hAnsi="Verdana"/>
          <w:sz w:val="16"/>
          <w:szCs w:val="16"/>
        </w:rPr>
        <w:t xml:space="preserve"> Felipe Sánchez González, Director Ejecutivo de COPREDEH; Lourdes </w:t>
      </w:r>
      <w:proofErr w:type="spellStart"/>
      <w:r w:rsidRPr="006166D8">
        <w:rPr>
          <w:rFonts w:ascii="Verdana" w:hAnsi="Verdana"/>
          <w:sz w:val="16"/>
          <w:szCs w:val="16"/>
        </w:rPr>
        <w:t>Woolfolk</w:t>
      </w:r>
      <w:proofErr w:type="spellEnd"/>
      <w:r w:rsidRPr="006166D8">
        <w:rPr>
          <w:rFonts w:ascii="Verdana" w:hAnsi="Verdana"/>
          <w:sz w:val="16"/>
          <w:szCs w:val="16"/>
        </w:rPr>
        <w:t xml:space="preserve"> Contreras, Directora de Seguimiento de Casos Internacionales en Materia de Derechos Humanos de COPREDEH, y Blanca Mariola Castañeda López, Agente Fiscal del Ministerio Público. </w:t>
      </w:r>
    </w:p>
  </w:footnote>
  <w:footnote w:id="8">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1 de febrero de 2018 los representantes solicitaron medidas provisionales a favor de “todos los miembros de la </w:t>
      </w:r>
      <w:r>
        <w:rPr>
          <w:sz w:val="16"/>
          <w:szCs w:val="16"/>
          <w:lang w:val="es-CR"/>
        </w:rPr>
        <w:t>[C]</w:t>
      </w:r>
      <w:proofErr w:type="spellStart"/>
      <w:r w:rsidRPr="00637508">
        <w:rPr>
          <w:sz w:val="16"/>
          <w:szCs w:val="16"/>
          <w:lang w:val="es-CR"/>
        </w:rPr>
        <w:t>omunidad</w:t>
      </w:r>
      <w:proofErr w:type="spellEnd"/>
      <w:r w:rsidRPr="00637508">
        <w:rPr>
          <w:sz w:val="16"/>
          <w:szCs w:val="16"/>
          <w:lang w:val="es-CR"/>
        </w:rPr>
        <w:t>”.</w:t>
      </w:r>
      <w:r w:rsidRPr="00637508">
        <w:rPr>
          <w:b/>
          <w:sz w:val="16"/>
          <w:szCs w:val="16"/>
          <w:lang w:val="es-CR"/>
        </w:rPr>
        <w:t xml:space="preserve"> </w:t>
      </w:r>
      <w:r w:rsidRPr="00637508">
        <w:rPr>
          <w:sz w:val="16"/>
          <w:szCs w:val="16"/>
          <w:lang w:val="es-CR"/>
        </w:rPr>
        <w:t>Después, cuando se les requirió “información detallada” sobre su pedido, identificaron solo a las cinco personas nombradas (</w:t>
      </w:r>
      <w:r w:rsidRPr="00637508">
        <w:rPr>
          <w:i/>
          <w:sz w:val="16"/>
          <w:szCs w:val="16"/>
          <w:lang w:val="es-CR"/>
        </w:rPr>
        <w:t xml:space="preserve">Cfr. </w:t>
      </w:r>
      <w:r w:rsidRPr="00637508">
        <w:rPr>
          <w:bCs/>
          <w:i/>
          <w:sz w:val="16"/>
          <w:szCs w:val="16"/>
          <w:lang w:val="es-CR"/>
        </w:rPr>
        <w:t xml:space="preserve">Caso </w:t>
      </w:r>
      <w:proofErr w:type="spellStart"/>
      <w:r w:rsidRPr="00637508">
        <w:rPr>
          <w:bCs/>
          <w:i/>
          <w:sz w:val="16"/>
          <w:szCs w:val="16"/>
          <w:lang w:val="es-CR"/>
        </w:rPr>
        <w:t>Coc</w:t>
      </w:r>
      <w:proofErr w:type="spellEnd"/>
      <w:r w:rsidRPr="00637508">
        <w:rPr>
          <w:bCs/>
          <w:i/>
          <w:sz w:val="16"/>
          <w:szCs w:val="16"/>
          <w:lang w:val="es-CR"/>
        </w:rPr>
        <w:t xml:space="preserve"> Max y otros Vs. Guatemala. Adopción de Medidas Provisionales.</w:t>
      </w:r>
      <w:r w:rsidRPr="00637508">
        <w:rPr>
          <w:bCs/>
          <w:sz w:val="16"/>
          <w:szCs w:val="16"/>
          <w:lang w:val="es-CR"/>
        </w:rPr>
        <w:t xml:space="preserve"> Resolución de la Corte Interamericana de Derechos Humanos de 8 de febrero de 2018, Considerando 7).</w:t>
      </w:r>
    </w:p>
  </w:footnote>
  <w:footnote w:id="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La Comisión señaló que los hechos ocurrieron hace más de veinte años, y que si bien muchas personas indígenas conservan sus nombres originarios, al ser inscritos ante el registro civil se consignan sus nombres de la manera más directa al castellano. Indicó que si bien corresponde identificar a las personas en la mayor medida de lo posible, debe seguirse “ciertos estándares de razonabilidad y flexibilidad”. </w:t>
      </w:r>
    </w:p>
  </w:footnote>
  <w:footnote w:id="10">
    <w:p w:rsidR="00785921" w:rsidRPr="005D7ADB" w:rsidRDefault="00785921" w:rsidP="00126E97">
      <w:pPr>
        <w:pStyle w:val="FootnoteText"/>
        <w:spacing w:line="20" w:lineRule="atLeast"/>
        <w:rPr>
          <w:sz w:val="16"/>
          <w:szCs w:val="16"/>
          <w:lang w:val="es-CR"/>
        </w:rPr>
      </w:pPr>
      <w:r w:rsidRPr="005D7ADB">
        <w:rPr>
          <w:rStyle w:val="FootnoteReference"/>
          <w:sz w:val="16"/>
          <w:szCs w:val="16"/>
          <w:lang w:val="es-CR" w:eastAsia="x-none"/>
        </w:rPr>
        <w:footnoteRef/>
      </w:r>
      <w:r w:rsidRPr="005D7ADB">
        <w:rPr>
          <w:sz w:val="16"/>
          <w:szCs w:val="16"/>
          <w:lang w:val="es-CR"/>
        </w:rPr>
        <w:t xml:space="preserve"> </w:t>
      </w:r>
      <w:r w:rsidRPr="005D7ADB">
        <w:rPr>
          <w:i/>
          <w:iCs/>
          <w:sz w:val="16"/>
          <w:szCs w:val="16"/>
          <w:lang w:val="es-CR"/>
        </w:rPr>
        <w:t xml:space="preserve">Caso Masacres de Río Negro Vs. Guatemala. Excepción Preliminar, Fondo, Reparaciones y Costas. </w:t>
      </w:r>
      <w:r w:rsidRPr="005D7ADB">
        <w:rPr>
          <w:sz w:val="16"/>
          <w:szCs w:val="16"/>
          <w:lang w:val="es-CR"/>
        </w:rPr>
        <w:t>Sentencia de 4 sep</w:t>
      </w:r>
      <w:r>
        <w:rPr>
          <w:sz w:val="16"/>
          <w:szCs w:val="16"/>
          <w:lang w:val="es-CR"/>
        </w:rPr>
        <w:t>tiembre de 2012 Serie C No. 250,</w:t>
      </w:r>
      <w:r w:rsidRPr="005D7ADB">
        <w:rPr>
          <w:sz w:val="16"/>
          <w:szCs w:val="16"/>
          <w:lang w:val="es-CR"/>
        </w:rPr>
        <w:t xml:space="preserve"> </w:t>
      </w:r>
      <w:r>
        <w:rPr>
          <w:sz w:val="16"/>
          <w:szCs w:val="16"/>
          <w:lang w:val="es-CR"/>
        </w:rPr>
        <w:t>p</w:t>
      </w:r>
      <w:r w:rsidRPr="005D7ADB">
        <w:rPr>
          <w:sz w:val="16"/>
          <w:szCs w:val="16"/>
          <w:lang w:val="es-CR"/>
        </w:rPr>
        <w:t>árr. 48</w:t>
      </w:r>
      <w:r w:rsidRPr="005D7ADB">
        <w:rPr>
          <w:i/>
          <w:iCs/>
          <w:sz w:val="16"/>
          <w:szCs w:val="16"/>
          <w:lang w:val="es-CR"/>
        </w:rPr>
        <w:t xml:space="preserve">, </w:t>
      </w:r>
      <w:r w:rsidRPr="005D7ADB">
        <w:rPr>
          <w:sz w:val="16"/>
          <w:szCs w:val="16"/>
          <w:lang w:val="es-CR"/>
        </w:rPr>
        <w:t xml:space="preserve">y </w:t>
      </w:r>
      <w:r w:rsidRPr="005D7ADB">
        <w:rPr>
          <w:i/>
          <w:iCs/>
          <w:sz w:val="16"/>
          <w:szCs w:val="16"/>
          <w:lang w:val="es-CR"/>
        </w:rPr>
        <w:t>Caso Trabajadores Cesados de Petroperú y otros Vs. Perú. Excepciones Preliminares, Fondo, Reparaciones y Costas.</w:t>
      </w:r>
      <w:r w:rsidRPr="005D7ADB">
        <w:rPr>
          <w:sz w:val="16"/>
          <w:szCs w:val="16"/>
          <w:lang w:val="es-CR"/>
        </w:rPr>
        <w:t xml:space="preserve"> Sentencia de 23 de noviembre de 2017. Serie C No. 344, párr. 55. </w:t>
      </w:r>
    </w:p>
  </w:footnote>
  <w:footnote w:id="11">
    <w:p w:rsidR="00785921" w:rsidRDefault="00785921" w:rsidP="00126E97">
      <w:pPr>
        <w:pStyle w:val="FootnoteText"/>
        <w:spacing w:line="20" w:lineRule="atLeast"/>
        <w:rPr>
          <w:sz w:val="16"/>
          <w:szCs w:val="16"/>
          <w:lang w:val="es-CR"/>
        </w:rPr>
      </w:pPr>
      <w:r w:rsidRPr="005D7ADB">
        <w:rPr>
          <w:rStyle w:val="FootnoteReference"/>
          <w:sz w:val="16"/>
          <w:szCs w:val="16"/>
          <w:lang w:val="es-CR" w:eastAsia="x-none"/>
        </w:rPr>
        <w:footnoteRef/>
      </w:r>
      <w:r w:rsidRPr="005D7ADB">
        <w:rPr>
          <w:sz w:val="16"/>
          <w:szCs w:val="16"/>
          <w:lang w:val="es-CR"/>
        </w:rPr>
        <w:t xml:space="preserve"> </w:t>
      </w:r>
      <w:r w:rsidRPr="005D7ADB">
        <w:rPr>
          <w:i/>
          <w:iCs/>
          <w:sz w:val="16"/>
          <w:szCs w:val="16"/>
          <w:lang w:val="es-ES"/>
        </w:rPr>
        <w:t>Cfr.</w:t>
      </w:r>
      <w:r w:rsidRPr="005D7ADB">
        <w:rPr>
          <w:sz w:val="16"/>
          <w:szCs w:val="16"/>
          <w:lang w:val="es-ES"/>
        </w:rPr>
        <w:t xml:space="preserve"> </w:t>
      </w:r>
      <w:r w:rsidRPr="005D7ADB">
        <w:rPr>
          <w:i/>
          <w:iCs/>
          <w:sz w:val="16"/>
          <w:szCs w:val="16"/>
          <w:lang w:val="es-CR"/>
        </w:rPr>
        <w:t>Caso Masa</w:t>
      </w:r>
      <w:r>
        <w:rPr>
          <w:i/>
          <w:iCs/>
          <w:sz w:val="16"/>
          <w:szCs w:val="16"/>
          <w:lang w:val="es-CR"/>
        </w:rPr>
        <w:t>cres de Río Negro Vs. Guatemala</w:t>
      </w:r>
      <w:r>
        <w:rPr>
          <w:sz w:val="16"/>
          <w:szCs w:val="16"/>
          <w:lang w:val="es-CR"/>
        </w:rPr>
        <w:t xml:space="preserve">, </w:t>
      </w:r>
      <w:r w:rsidRPr="005A2F71">
        <w:rPr>
          <w:i/>
          <w:sz w:val="16"/>
          <w:szCs w:val="16"/>
          <w:lang w:val="es-CR"/>
        </w:rPr>
        <w:t>supra</w:t>
      </w:r>
      <w:r>
        <w:rPr>
          <w:sz w:val="16"/>
          <w:szCs w:val="16"/>
          <w:lang w:val="es-CR"/>
        </w:rPr>
        <w:t>,</w:t>
      </w:r>
      <w:r w:rsidRPr="005D7ADB">
        <w:rPr>
          <w:sz w:val="16"/>
          <w:szCs w:val="16"/>
          <w:lang w:val="es-CR"/>
        </w:rPr>
        <w:t xml:space="preserve"> </w:t>
      </w:r>
      <w:proofErr w:type="spellStart"/>
      <w:r>
        <w:rPr>
          <w:sz w:val="16"/>
          <w:szCs w:val="16"/>
          <w:lang w:val="es-CR"/>
        </w:rPr>
        <w:t>p</w:t>
      </w:r>
      <w:r w:rsidRPr="005D7ADB">
        <w:rPr>
          <w:sz w:val="16"/>
          <w:szCs w:val="16"/>
          <w:lang w:val="es-CR"/>
        </w:rPr>
        <w:t>árr</w:t>
      </w:r>
      <w:r>
        <w:rPr>
          <w:sz w:val="16"/>
          <w:szCs w:val="16"/>
          <w:lang w:val="es-CR"/>
        </w:rPr>
        <w:t>s</w:t>
      </w:r>
      <w:proofErr w:type="spellEnd"/>
      <w:r w:rsidRPr="005D7ADB">
        <w:rPr>
          <w:sz w:val="16"/>
          <w:szCs w:val="16"/>
          <w:lang w:val="es-CR"/>
        </w:rPr>
        <w:t>. 48 a 51, y</w:t>
      </w:r>
      <w:r w:rsidRPr="005D7ADB">
        <w:rPr>
          <w:i/>
          <w:iCs/>
          <w:sz w:val="16"/>
          <w:szCs w:val="16"/>
          <w:lang w:val="es-CR"/>
        </w:rPr>
        <w:t xml:space="preserve"> Caso Trabajadores Cesados de Petroperú y otros Vs. Perú</w:t>
      </w:r>
      <w:r>
        <w:rPr>
          <w:i/>
          <w:iCs/>
          <w:sz w:val="16"/>
          <w:szCs w:val="16"/>
          <w:lang w:val="es-CR"/>
        </w:rPr>
        <w:t>, supra,</w:t>
      </w:r>
      <w:r w:rsidRPr="005D7ADB">
        <w:rPr>
          <w:sz w:val="16"/>
          <w:szCs w:val="16"/>
          <w:lang w:val="es-CR"/>
        </w:rPr>
        <w:t xml:space="preserve"> </w:t>
      </w:r>
      <w:proofErr w:type="spellStart"/>
      <w:r w:rsidRPr="005D7ADB">
        <w:rPr>
          <w:sz w:val="16"/>
          <w:szCs w:val="16"/>
          <w:lang w:val="es-CR"/>
        </w:rPr>
        <w:t>párr</w:t>
      </w:r>
      <w:r>
        <w:rPr>
          <w:sz w:val="16"/>
          <w:szCs w:val="16"/>
          <w:lang w:val="es-CR"/>
        </w:rPr>
        <w:t>s</w:t>
      </w:r>
      <w:proofErr w:type="spellEnd"/>
      <w:r w:rsidRPr="005D7ADB">
        <w:rPr>
          <w:sz w:val="16"/>
          <w:szCs w:val="16"/>
          <w:lang w:val="es-CR"/>
        </w:rPr>
        <w:t xml:space="preserve">. 61 y 62. </w:t>
      </w:r>
    </w:p>
  </w:footnote>
  <w:footnote w:id="12">
    <w:p w:rsidR="00785921" w:rsidRPr="005D7ADB" w:rsidRDefault="00785921" w:rsidP="00126E97">
      <w:pPr>
        <w:pStyle w:val="FootnoteText"/>
        <w:spacing w:line="20" w:lineRule="atLeast"/>
        <w:rPr>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w:t>
      </w:r>
      <w:r w:rsidRPr="00637508">
        <w:rPr>
          <w:i/>
          <w:sz w:val="16"/>
          <w:szCs w:val="16"/>
          <w:lang w:val="es-CR"/>
        </w:rPr>
        <w:t>Caso Velásquez Rodríguez Vs. Honduras. Fondo.</w:t>
      </w:r>
      <w:r w:rsidRPr="00637508">
        <w:rPr>
          <w:sz w:val="16"/>
          <w:szCs w:val="16"/>
          <w:lang w:val="es-CR"/>
        </w:rPr>
        <w:t xml:space="preserve"> Sentencia de 29 de julio de 1988. Serie C No. 4, párr. 140, y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 Excepciones Preliminares, Fondo, Reparaciones y Costas</w:t>
      </w:r>
      <w:r w:rsidRPr="00637508">
        <w:rPr>
          <w:sz w:val="16"/>
          <w:szCs w:val="16"/>
          <w:lang w:val="es-CR"/>
        </w:rPr>
        <w:t>. Sentencia de 25 de abril de</w:t>
      </w:r>
      <w:r>
        <w:rPr>
          <w:sz w:val="16"/>
          <w:szCs w:val="16"/>
          <w:lang w:val="es-CR"/>
        </w:rPr>
        <w:t xml:space="preserve"> 2018. Serie C No. 35, párr. 173</w:t>
      </w:r>
      <w:r w:rsidRPr="00637508">
        <w:rPr>
          <w:sz w:val="16"/>
          <w:szCs w:val="16"/>
          <w:lang w:val="es-CR"/>
        </w:rPr>
        <w:t xml:space="preserve">. </w:t>
      </w:r>
    </w:p>
  </w:footnote>
  <w:footnote w:id="13">
    <w:p w:rsidR="00785921" w:rsidRPr="00E221AF" w:rsidRDefault="00785921" w:rsidP="00126E97">
      <w:pPr>
        <w:spacing w:after="0" w:line="20" w:lineRule="atLeast"/>
        <w:ind w:right="-138"/>
        <w:jc w:val="both"/>
        <w:rPr>
          <w:rFonts w:ascii="Verdana" w:hAnsi="Verdana"/>
          <w:sz w:val="16"/>
          <w:szCs w:val="16"/>
          <w:lang w:val="es-CR"/>
        </w:rPr>
      </w:pPr>
      <w:r w:rsidRPr="00E221AF">
        <w:rPr>
          <w:rStyle w:val="FootnoteReference"/>
          <w:rFonts w:ascii="Verdana" w:hAnsi="Verdana"/>
          <w:sz w:val="16"/>
          <w:szCs w:val="16"/>
          <w:lang w:val="es-CR" w:eastAsia="x-none"/>
        </w:rPr>
        <w:footnoteRef/>
      </w:r>
      <w:r w:rsidRPr="00E221AF">
        <w:rPr>
          <w:rFonts w:ascii="Verdana" w:hAnsi="Verdana"/>
          <w:sz w:val="16"/>
          <w:szCs w:val="16"/>
          <w:lang w:val="es-CR"/>
        </w:rPr>
        <w:t xml:space="preserve"> En ese acto se incorporó al acervo probatorio, como prueba documental, videograbaciones de declaraciones de 17 personas, y cuatro peritajes rendidos en otros procesos seguidos ante este Tribunal. Los peritajes incorporados</w:t>
      </w:r>
      <w:r>
        <w:rPr>
          <w:rFonts w:ascii="Verdana" w:hAnsi="Verdana"/>
          <w:sz w:val="16"/>
          <w:szCs w:val="16"/>
          <w:lang w:val="es-CR"/>
        </w:rPr>
        <w:t>, como prueba documental,</w:t>
      </w:r>
      <w:r w:rsidRPr="00E221AF">
        <w:rPr>
          <w:rFonts w:ascii="Verdana" w:hAnsi="Verdana"/>
          <w:sz w:val="16"/>
          <w:szCs w:val="16"/>
          <w:lang w:val="es-CR"/>
        </w:rPr>
        <w:t xml:space="preserve"> fueron los de Alejandro Rodríguez y Cristian Correa, dictado</w:t>
      </w:r>
      <w:r>
        <w:rPr>
          <w:rFonts w:ascii="Verdana" w:hAnsi="Verdana"/>
          <w:sz w:val="16"/>
          <w:szCs w:val="16"/>
          <w:lang w:val="es-CR"/>
        </w:rPr>
        <w:t>s</w:t>
      </w:r>
      <w:r w:rsidRPr="00E221AF">
        <w:rPr>
          <w:rFonts w:ascii="Verdana" w:hAnsi="Verdana"/>
          <w:sz w:val="16"/>
          <w:szCs w:val="16"/>
          <w:lang w:val="es-CR"/>
        </w:rPr>
        <w:t xml:space="preserve"> en el </w:t>
      </w:r>
      <w:r>
        <w:rPr>
          <w:rFonts w:ascii="Verdana" w:hAnsi="Verdana"/>
          <w:i/>
          <w:iCs/>
          <w:sz w:val="16"/>
          <w:szCs w:val="16"/>
          <w:lang w:val="es-CR"/>
        </w:rPr>
        <w:t>C</w:t>
      </w:r>
      <w:r w:rsidRPr="00E221AF">
        <w:rPr>
          <w:rFonts w:ascii="Verdana" w:hAnsi="Verdana"/>
          <w:i/>
          <w:iCs/>
          <w:sz w:val="16"/>
          <w:szCs w:val="16"/>
          <w:lang w:val="es-CR"/>
        </w:rPr>
        <w:t xml:space="preserve">aso Miembros de la Aldea </w:t>
      </w:r>
      <w:proofErr w:type="spellStart"/>
      <w:r w:rsidRPr="00E221AF">
        <w:rPr>
          <w:rFonts w:ascii="Verdana" w:hAnsi="Verdana"/>
          <w:i/>
          <w:iCs/>
          <w:sz w:val="16"/>
          <w:szCs w:val="16"/>
          <w:lang w:val="es-CR"/>
        </w:rPr>
        <w:t>Chichupac</w:t>
      </w:r>
      <w:proofErr w:type="spellEnd"/>
      <w:r w:rsidRPr="00E221AF">
        <w:rPr>
          <w:rFonts w:ascii="Verdana" w:hAnsi="Verdana"/>
          <w:i/>
          <w:iCs/>
          <w:sz w:val="16"/>
          <w:szCs w:val="16"/>
          <w:lang w:val="es-CR"/>
        </w:rPr>
        <w:t xml:space="preserve"> y Comunidades Vecinas del Municipio de Rabinal Vs. Guatemala</w:t>
      </w:r>
      <w:r w:rsidRPr="00E221AF">
        <w:rPr>
          <w:rFonts w:ascii="Verdana" w:hAnsi="Verdana"/>
          <w:sz w:val="16"/>
          <w:szCs w:val="16"/>
          <w:lang w:val="es-CR"/>
        </w:rPr>
        <w:t xml:space="preserve">, así como los peritajes rendidos por los Michael Paul </w:t>
      </w:r>
      <w:proofErr w:type="spellStart"/>
      <w:r w:rsidRPr="00E221AF">
        <w:rPr>
          <w:rFonts w:ascii="Verdana" w:hAnsi="Verdana"/>
          <w:sz w:val="16"/>
          <w:szCs w:val="16"/>
          <w:lang w:val="es-CR"/>
        </w:rPr>
        <w:t>Hermann</w:t>
      </w:r>
      <w:proofErr w:type="spellEnd"/>
      <w:r w:rsidRPr="00E221AF">
        <w:rPr>
          <w:rFonts w:ascii="Verdana" w:hAnsi="Verdana"/>
          <w:sz w:val="16"/>
          <w:szCs w:val="16"/>
          <w:lang w:val="es-CR"/>
        </w:rPr>
        <w:t xml:space="preserve">, Juan Méndez y Rosalina </w:t>
      </w:r>
      <w:proofErr w:type="spellStart"/>
      <w:r w:rsidRPr="00E221AF">
        <w:rPr>
          <w:rFonts w:ascii="Verdana" w:hAnsi="Verdana"/>
          <w:sz w:val="16"/>
          <w:szCs w:val="16"/>
          <w:lang w:val="es-CR"/>
        </w:rPr>
        <w:t>Tuyuc</w:t>
      </w:r>
      <w:proofErr w:type="spellEnd"/>
      <w:r w:rsidRPr="00E221AF">
        <w:rPr>
          <w:rFonts w:ascii="Verdana" w:hAnsi="Verdana"/>
          <w:sz w:val="16"/>
          <w:szCs w:val="16"/>
          <w:lang w:val="es-CR"/>
        </w:rPr>
        <w:t xml:space="preserve">, en el </w:t>
      </w:r>
      <w:r>
        <w:rPr>
          <w:rFonts w:ascii="Verdana" w:hAnsi="Verdana"/>
          <w:i/>
          <w:iCs/>
          <w:sz w:val="16"/>
          <w:szCs w:val="16"/>
          <w:lang w:val="es-CR"/>
        </w:rPr>
        <w:t>C</w:t>
      </w:r>
      <w:r w:rsidRPr="00E221AF">
        <w:rPr>
          <w:rFonts w:ascii="Verdana" w:hAnsi="Verdana"/>
          <w:i/>
          <w:iCs/>
          <w:sz w:val="16"/>
          <w:szCs w:val="16"/>
          <w:lang w:val="es-CR"/>
        </w:rPr>
        <w:t>aso de las Masacres de Río Negro Vs. Guatemala</w:t>
      </w:r>
      <w:r w:rsidRPr="00E221AF">
        <w:rPr>
          <w:rFonts w:ascii="Verdana" w:hAnsi="Verdana"/>
          <w:sz w:val="16"/>
          <w:szCs w:val="16"/>
          <w:lang w:val="es-CR"/>
        </w:rPr>
        <w:t xml:space="preserve">. Las videograbaciones incorporadas incluyen declaraciones de las siguientes personas: </w:t>
      </w:r>
      <w:proofErr w:type="spellStart"/>
      <w:r w:rsidRPr="00E221AF">
        <w:rPr>
          <w:rFonts w:ascii="Verdana" w:hAnsi="Verdana"/>
          <w:sz w:val="16"/>
          <w:szCs w:val="16"/>
          <w:lang w:val="es-CR"/>
        </w:rPr>
        <w:t>Atilin</w:t>
      </w:r>
      <w:r>
        <w:rPr>
          <w:rFonts w:ascii="Verdana" w:hAnsi="Verdana"/>
          <w:sz w:val="16"/>
          <w:szCs w:val="16"/>
          <w:lang w:val="es-CR"/>
        </w:rPr>
        <w:t>a</w:t>
      </w:r>
      <w:proofErr w:type="spellEnd"/>
      <w:r>
        <w:rPr>
          <w:rFonts w:ascii="Verdana" w:hAnsi="Verdana"/>
          <w:sz w:val="16"/>
          <w:szCs w:val="16"/>
          <w:lang w:val="es-CR"/>
        </w:rPr>
        <w:t xml:space="preserve"> Hernández Maldonado</w:t>
      </w:r>
      <w:r w:rsidRPr="00E221AF">
        <w:rPr>
          <w:rFonts w:ascii="Verdana" w:hAnsi="Verdana"/>
          <w:sz w:val="16"/>
          <w:szCs w:val="16"/>
          <w:lang w:val="es-CR"/>
        </w:rPr>
        <w:t xml:space="preserve">, Efraín Grave </w:t>
      </w:r>
      <w:proofErr w:type="spellStart"/>
      <w:r w:rsidRPr="00E221AF">
        <w:rPr>
          <w:rFonts w:ascii="Verdana" w:hAnsi="Verdana"/>
          <w:sz w:val="16"/>
          <w:szCs w:val="16"/>
          <w:lang w:val="es-CR"/>
        </w:rPr>
        <w:t>Morente</w:t>
      </w:r>
      <w:proofErr w:type="spellEnd"/>
      <w:r w:rsidRPr="00E221AF">
        <w:rPr>
          <w:rFonts w:ascii="Verdana" w:hAnsi="Verdana"/>
          <w:sz w:val="16"/>
          <w:szCs w:val="16"/>
          <w:lang w:val="es-CR"/>
        </w:rPr>
        <w:t>, Eliseo Hernández Morales, Florinda Sal</w:t>
      </w:r>
      <w:r>
        <w:rPr>
          <w:rFonts w:ascii="Verdana" w:hAnsi="Verdana"/>
          <w:sz w:val="16"/>
          <w:szCs w:val="16"/>
          <w:lang w:val="es-CR"/>
        </w:rPr>
        <w:t xml:space="preserve">es Jacinto, José </w:t>
      </w:r>
      <w:proofErr w:type="spellStart"/>
      <w:r>
        <w:rPr>
          <w:rFonts w:ascii="Verdana" w:hAnsi="Verdana"/>
          <w:sz w:val="16"/>
          <w:szCs w:val="16"/>
          <w:lang w:val="es-CR"/>
        </w:rPr>
        <w:t>Coc</w:t>
      </w:r>
      <w:proofErr w:type="spellEnd"/>
      <w:r>
        <w:rPr>
          <w:rFonts w:ascii="Verdana" w:hAnsi="Verdana"/>
          <w:sz w:val="16"/>
          <w:szCs w:val="16"/>
          <w:lang w:val="es-CR"/>
        </w:rPr>
        <w:t xml:space="preserve"> </w:t>
      </w:r>
      <w:proofErr w:type="spellStart"/>
      <w:r>
        <w:rPr>
          <w:rFonts w:ascii="Verdana" w:hAnsi="Verdana"/>
          <w:sz w:val="16"/>
          <w:szCs w:val="16"/>
          <w:lang w:val="es-CR"/>
        </w:rPr>
        <w:t>Cajbó</w:t>
      </w:r>
      <w:r w:rsidRPr="00E221AF">
        <w:rPr>
          <w:rFonts w:ascii="Verdana" w:hAnsi="Verdana"/>
          <w:sz w:val="16"/>
          <w:szCs w:val="16"/>
          <w:lang w:val="es-CR"/>
        </w:rPr>
        <w:t>n</w:t>
      </w:r>
      <w:proofErr w:type="spellEnd"/>
      <w:r w:rsidRPr="00E221AF">
        <w:rPr>
          <w:rFonts w:ascii="Verdana" w:hAnsi="Verdana"/>
          <w:sz w:val="16"/>
          <w:szCs w:val="16"/>
          <w:lang w:val="es-CR"/>
        </w:rPr>
        <w:t xml:space="preserve">, María Medina, María Miguel, Mario Alberto </w:t>
      </w:r>
      <w:r>
        <w:rPr>
          <w:rFonts w:ascii="Verdana" w:hAnsi="Verdana"/>
          <w:sz w:val="16"/>
          <w:szCs w:val="16"/>
          <w:lang w:val="es-CR"/>
        </w:rPr>
        <w:t xml:space="preserve">Ramírez </w:t>
      </w:r>
      <w:r w:rsidRPr="00E221AF">
        <w:rPr>
          <w:rFonts w:ascii="Verdana" w:hAnsi="Verdana"/>
          <w:sz w:val="16"/>
          <w:szCs w:val="16"/>
          <w:lang w:val="es-CR"/>
        </w:rPr>
        <w:t>Hernández, Manuela Toma Gómez, Nati</w:t>
      </w:r>
      <w:r>
        <w:rPr>
          <w:rFonts w:ascii="Verdana" w:hAnsi="Verdana"/>
          <w:sz w:val="16"/>
          <w:szCs w:val="16"/>
          <w:lang w:val="es-CR"/>
        </w:rPr>
        <w:t xml:space="preserve">vidad Sales Calmo, Pedro </w:t>
      </w:r>
      <w:proofErr w:type="spellStart"/>
      <w:r>
        <w:rPr>
          <w:rFonts w:ascii="Verdana" w:hAnsi="Verdana"/>
          <w:sz w:val="16"/>
          <w:szCs w:val="16"/>
          <w:lang w:val="es-CR"/>
        </w:rPr>
        <w:t>Coc</w:t>
      </w:r>
      <w:proofErr w:type="spellEnd"/>
      <w:r>
        <w:rPr>
          <w:rFonts w:ascii="Verdana" w:hAnsi="Verdana"/>
          <w:sz w:val="16"/>
          <w:szCs w:val="16"/>
          <w:lang w:val="es-CR"/>
        </w:rPr>
        <w:t xml:space="preserve"> </w:t>
      </w:r>
      <w:proofErr w:type="spellStart"/>
      <w:r>
        <w:rPr>
          <w:rFonts w:ascii="Verdana" w:hAnsi="Verdana"/>
          <w:sz w:val="16"/>
          <w:szCs w:val="16"/>
          <w:lang w:val="es-CR"/>
        </w:rPr>
        <w:t>Chén</w:t>
      </w:r>
      <w:proofErr w:type="spellEnd"/>
      <w:r>
        <w:rPr>
          <w:rFonts w:ascii="Verdana" w:hAnsi="Verdana"/>
          <w:sz w:val="16"/>
          <w:szCs w:val="16"/>
          <w:lang w:val="es-CR"/>
        </w:rPr>
        <w:t>, Pet</w:t>
      </w:r>
      <w:r w:rsidRPr="00E221AF">
        <w:rPr>
          <w:rFonts w:ascii="Verdana" w:hAnsi="Verdana"/>
          <w:sz w:val="16"/>
          <w:szCs w:val="16"/>
          <w:lang w:val="es-CR"/>
        </w:rPr>
        <w:t xml:space="preserve">rona Miguel Méndez, Ramón Mateo, Rolando Hernández Maldonado, Ricardo </w:t>
      </w:r>
      <w:r>
        <w:rPr>
          <w:rFonts w:ascii="Verdana" w:hAnsi="Verdana"/>
          <w:sz w:val="16"/>
          <w:szCs w:val="16"/>
          <w:lang w:val="es-CR"/>
        </w:rPr>
        <w:t xml:space="preserve">Pop </w:t>
      </w:r>
      <w:proofErr w:type="spellStart"/>
      <w:r>
        <w:rPr>
          <w:rFonts w:ascii="Verdana" w:hAnsi="Verdana"/>
          <w:sz w:val="16"/>
          <w:szCs w:val="16"/>
          <w:lang w:val="es-CR"/>
        </w:rPr>
        <w:t>Caal</w:t>
      </w:r>
      <w:proofErr w:type="spellEnd"/>
      <w:r>
        <w:rPr>
          <w:rFonts w:ascii="Verdana" w:hAnsi="Verdana"/>
          <w:sz w:val="16"/>
          <w:szCs w:val="16"/>
          <w:lang w:val="es-CR"/>
        </w:rPr>
        <w:t xml:space="preserve">, Santos </w:t>
      </w:r>
      <w:proofErr w:type="spellStart"/>
      <w:r>
        <w:rPr>
          <w:rFonts w:ascii="Verdana" w:hAnsi="Verdana"/>
          <w:sz w:val="16"/>
          <w:szCs w:val="16"/>
          <w:lang w:val="es-CR"/>
        </w:rPr>
        <w:t>Choc</w:t>
      </w:r>
      <w:proofErr w:type="spellEnd"/>
      <w:r>
        <w:rPr>
          <w:rFonts w:ascii="Verdana" w:hAnsi="Verdana"/>
          <w:sz w:val="16"/>
          <w:szCs w:val="16"/>
          <w:lang w:val="es-CR"/>
        </w:rPr>
        <w:t xml:space="preserve"> </w:t>
      </w:r>
      <w:proofErr w:type="spellStart"/>
      <w:r>
        <w:rPr>
          <w:rFonts w:ascii="Verdana" w:hAnsi="Verdana"/>
          <w:sz w:val="16"/>
          <w:szCs w:val="16"/>
          <w:lang w:val="es-CR"/>
        </w:rPr>
        <w:t>Coc</w:t>
      </w:r>
      <w:proofErr w:type="spellEnd"/>
      <w:r>
        <w:rPr>
          <w:rFonts w:ascii="Verdana" w:hAnsi="Verdana"/>
          <w:sz w:val="16"/>
          <w:szCs w:val="16"/>
          <w:lang w:val="es-CR"/>
        </w:rPr>
        <w:t xml:space="preserve"> y Tomá</w:t>
      </w:r>
      <w:r w:rsidRPr="00E221AF">
        <w:rPr>
          <w:rFonts w:ascii="Verdana" w:hAnsi="Verdana"/>
          <w:sz w:val="16"/>
          <w:szCs w:val="16"/>
          <w:lang w:val="es-CR"/>
        </w:rPr>
        <w:t xml:space="preserve">s Grave </w:t>
      </w:r>
      <w:proofErr w:type="spellStart"/>
      <w:r w:rsidRPr="00E221AF">
        <w:rPr>
          <w:rFonts w:ascii="Verdana" w:hAnsi="Verdana"/>
          <w:sz w:val="16"/>
          <w:szCs w:val="16"/>
          <w:lang w:val="es-CR"/>
        </w:rPr>
        <w:t>Morente</w:t>
      </w:r>
      <w:proofErr w:type="spellEnd"/>
      <w:r w:rsidRPr="00E221AF">
        <w:rPr>
          <w:rFonts w:ascii="Verdana" w:hAnsi="Verdana"/>
          <w:sz w:val="16"/>
          <w:szCs w:val="16"/>
          <w:lang w:val="es-CR"/>
        </w:rPr>
        <w:t xml:space="preserve">. </w:t>
      </w:r>
      <w:r w:rsidRPr="00E221AF">
        <w:rPr>
          <w:rFonts w:ascii="Verdana" w:hAnsi="Verdana"/>
          <w:bCs/>
          <w:sz w:val="16"/>
          <w:szCs w:val="16"/>
          <w:lang w:val="es-CR"/>
        </w:rPr>
        <w:t xml:space="preserve">La incorporación de los peritajes fue solicitada por la Comisión, y las declaraciones fueron presentadas por los representantes. </w:t>
      </w:r>
      <w:r w:rsidRPr="00E221AF">
        <w:rPr>
          <w:rFonts w:ascii="Verdana" w:hAnsi="Verdana"/>
          <w:i/>
          <w:sz w:val="16"/>
          <w:szCs w:val="16"/>
          <w:lang w:val="es-CR"/>
        </w:rPr>
        <w:t xml:space="preserve">Cfr. </w:t>
      </w:r>
      <w:r w:rsidRPr="00E221AF">
        <w:rPr>
          <w:rFonts w:ascii="Verdana" w:hAnsi="Verdana"/>
          <w:bCs/>
          <w:i/>
          <w:sz w:val="16"/>
          <w:szCs w:val="16"/>
          <w:lang w:val="es-CR"/>
        </w:rPr>
        <w:t xml:space="preserve">Caso </w:t>
      </w:r>
      <w:proofErr w:type="spellStart"/>
      <w:r w:rsidRPr="00E221AF">
        <w:rPr>
          <w:rFonts w:ascii="Verdana" w:hAnsi="Verdana"/>
          <w:bCs/>
          <w:i/>
          <w:sz w:val="16"/>
          <w:szCs w:val="16"/>
          <w:lang w:val="es-CR"/>
        </w:rPr>
        <w:t>Coc</w:t>
      </w:r>
      <w:proofErr w:type="spellEnd"/>
      <w:r w:rsidRPr="00E221AF">
        <w:rPr>
          <w:rFonts w:ascii="Verdana" w:hAnsi="Verdana"/>
          <w:bCs/>
          <w:i/>
          <w:sz w:val="16"/>
          <w:szCs w:val="16"/>
          <w:lang w:val="es-CR"/>
        </w:rPr>
        <w:t xml:space="preserve"> Max y otros Vs. Guatemala. Convocatoria a audiencia, supra, </w:t>
      </w:r>
      <w:r w:rsidRPr="00E221AF">
        <w:rPr>
          <w:rFonts w:ascii="Verdana" w:hAnsi="Verdana"/>
          <w:bCs/>
          <w:sz w:val="16"/>
          <w:szCs w:val="16"/>
          <w:lang w:val="es-CR"/>
        </w:rPr>
        <w:t>Considerandos 12 a 20 y puntos resolutivos 11 y 12.</w:t>
      </w:r>
    </w:p>
  </w:footnote>
  <w:footnote w:id="14">
    <w:p w:rsidR="00785921" w:rsidRDefault="00785921" w:rsidP="00126E97">
      <w:pPr>
        <w:pStyle w:val="FootnoteText"/>
        <w:spacing w:line="20" w:lineRule="atLeast"/>
        <w:ind w:right="-138"/>
        <w:rPr>
          <w:sz w:val="16"/>
          <w:szCs w:val="16"/>
          <w:lang w:val="es-CR"/>
        </w:rPr>
      </w:pPr>
      <w:r>
        <w:rPr>
          <w:rStyle w:val="FootnoteReference"/>
          <w:sz w:val="16"/>
          <w:szCs w:val="16"/>
          <w:lang w:val="es-CR" w:eastAsia="x-none"/>
        </w:rPr>
        <w:footnoteRef/>
      </w:r>
      <w:r w:rsidRPr="00637508">
        <w:rPr>
          <w:sz w:val="16"/>
          <w:szCs w:val="16"/>
          <w:lang w:val="es-CR"/>
        </w:rPr>
        <w:t xml:space="preserve"> Tres son declaraciones testimoniales ante el Tribunal Primero de Sentencia Penal, Narcoactividad y Delitos contra el Ambiente de a) Efraín Grave </w:t>
      </w:r>
      <w:proofErr w:type="spellStart"/>
      <w:r w:rsidRPr="00637508">
        <w:rPr>
          <w:sz w:val="16"/>
          <w:szCs w:val="16"/>
          <w:lang w:val="es-CR"/>
        </w:rPr>
        <w:t>Morente</w:t>
      </w:r>
      <w:proofErr w:type="spellEnd"/>
      <w:r w:rsidRPr="00637508">
        <w:rPr>
          <w:sz w:val="16"/>
          <w:szCs w:val="16"/>
          <w:lang w:val="es-CR"/>
        </w:rPr>
        <w:t>; b) Natividad Sales</w:t>
      </w:r>
      <w:r>
        <w:rPr>
          <w:sz w:val="16"/>
          <w:szCs w:val="16"/>
          <w:lang w:val="es-CR"/>
        </w:rPr>
        <w:t xml:space="preserve"> Calmo</w:t>
      </w:r>
      <w:r w:rsidRPr="00637508">
        <w:rPr>
          <w:sz w:val="16"/>
          <w:szCs w:val="16"/>
          <w:lang w:val="es-CR"/>
        </w:rPr>
        <w:t xml:space="preserve">, y c) Tomás Grave </w:t>
      </w:r>
      <w:proofErr w:type="spellStart"/>
      <w:r w:rsidRPr="00637508">
        <w:rPr>
          <w:sz w:val="16"/>
          <w:szCs w:val="16"/>
          <w:lang w:val="es-CR"/>
        </w:rPr>
        <w:t>Morente</w:t>
      </w:r>
      <w:proofErr w:type="spellEnd"/>
      <w:r w:rsidRPr="00637508">
        <w:rPr>
          <w:sz w:val="16"/>
          <w:szCs w:val="16"/>
          <w:lang w:val="es-CR"/>
        </w:rPr>
        <w:t>. Los otros dos son “fotografías del lugar de los hechos” y “</w:t>
      </w:r>
      <w:r>
        <w:rPr>
          <w:sz w:val="16"/>
          <w:szCs w:val="16"/>
          <w:lang w:val="es-CR"/>
        </w:rPr>
        <w:t>[d]</w:t>
      </w:r>
      <w:proofErr w:type="spellStart"/>
      <w:r w:rsidRPr="00637508">
        <w:rPr>
          <w:sz w:val="16"/>
          <w:szCs w:val="16"/>
          <w:lang w:val="es-CR"/>
        </w:rPr>
        <w:t>ocumentos</w:t>
      </w:r>
      <w:proofErr w:type="spellEnd"/>
      <w:r w:rsidRPr="00637508">
        <w:rPr>
          <w:sz w:val="16"/>
          <w:szCs w:val="16"/>
          <w:lang w:val="es-CR"/>
        </w:rPr>
        <w:t xml:space="preserve"> del Programa Nacional de Resarcimiento”.</w:t>
      </w:r>
    </w:p>
  </w:footnote>
  <w:footnote w:id="15">
    <w:p w:rsidR="00785921" w:rsidRPr="00637508" w:rsidRDefault="00785921" w:rsidP="00126E97">
      <w:pPr>
        <w:pStyle w:val="FootnoteText"/>
        <w:spacing w:line="20" w:lineRule="atLeast"/>
        <w:ind w:right="-93"/>
        <w:rPr>
          <w:sz w:val="16"/>
          <w:szCs w:val="16"/>
          <w:lang w:val="es-CR"/>
        </w:rPr>
      </w:pPr>
      <w:r>
        <w:rPr>
          <w:rStyle w:val="FootnoteReference"/>
          <w:sz w:val="16"/>
          <w:szCs w:val="16"/>
          <w:lang w:eastAsia="x-none"/>
        </w:rPr>
        <w:footnoteRef/>
      </w:r>
      <w:r w:rsidRPr="00637508">
        <w:rPr>
          <w:sz w:val="16"/>
          <w:szCs w:val="16"/>
          <w:lang w:val="es-CR"/>
        </w:rPr>
        <w:t xml:space="preserve"> Son los siguientes: a) “Documento que contiene cómputo de penas”; b) “Escrituras de propiedad de la tierra de la </w:t>
      </w:r>
      <w:r>
        <w:rPr>
          <w:sz w:val="16"/>
          <w:szCs w:val="16"/>
          <w:lang w:val="es-CR"/>
        </w:rPr>
        <w:t>[C]</w:t>
      </w:r>
      <w:proofErr w:type="spellStart"/>
      <w:r w:rsidRPr="00637508">
        <w:rPr>
          <w:sz w:val="16"/>
          <w:szCs w:val="16"/>
          <w:lang w:val="es-CR"/>
        </w:rPr>
        <w:t>omunidad</w:t>
      </w:r>
      <w:proofErr w:type="spellEnd"/>
      <w:r w:rsidRPr="00637508">
        <w:rPr>
          <w:sz w:val="16"/>
          <w:szCs w:val="16"/>
          <w:lang w:val="es-CR"/>
        </w:rPr>
        <w:t xml:space="preserve"> Aurora 8 de Octubre”; c) “Acuerdo suscrito ente las Comisiones Permanentes de Representantes de los Refugiados guatemaltecos en México y el Gobierno de Guatemala”; d) “Comunicaciones enviadas a COPREDEH”; e) “Documentación de soporte sobre gastos realizados por [los] </w:t>
      </w:r>
      <w:proofErr w:type="spellStart"/>
      <w:r w:rsidRPr="00637508">
        <w:rPr>
          <w:sz w:val="16"/>
          <w:szCs w:val="16"/>
          <w:lang w:val="es-CR"/>
        </w:rPr>
        <w:t>respresenta</w:t>
      </w:r>
      <w:proofErr w:type="spellEnd"/>
      <w:r w:rsidRPr="00637508">
        <w:rPr>
          <w:sz w:val="16"/>
          <w:szCs w:val="16"/>
          <w:lang w:val="es-CR"/>
        </w:rPr>
        <w:t>[</w:t>
      </w:r>
      <w:proofErr w:type="spellStart"/>
      <w:r w:rsidRPr="00637508">
        <w:rPr>
          <w:sz w:val="16"/>
          <w:szCs w:val="16"/>
          <w:lang w:val="es-CR"/>
        </w:rPr>
        <w:t>ntes</w:t>
      </w:r>
      <w:proofErr w:type="spellEnd"/>
      <w:r w:rsidRPr="00637508">
        <w:rPr>
          <w:sz w:val="16"/>
          <w:szCs w:val="16"/>
          <w:lang w:val="es-CR"/>
        </w:rPr>
        <w:t xml:space="preserve">]”; f) “Acuerdo para el reasentamiento de las poblaciones desarraigadas por el enfrentamiento armado, Oslo, 17 de junio de 1994”, y g) “Convención sobre el Estatuto de los Refugiados”. </w:t>
      </w:r>
    </w:p>
  </w:footnote>
  <w:footnote w:id="1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En cuanto a las consideraciones estatales sobre la falta de comprobantes en relación con ese documento, este Tribunal entiende que se refieren a su valor probatorio y no afecta su admisibilidad.</w:t>
      </w:r>
    </w:p>
  </w:footnote>
  <w:footnote w:id="17">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En efecto: a) se preguntó por el título jurídico de la tierra en que se instaló la Comunidad “Aurora 8 de Octubre”, y con ello tienen relación los documentos señalados como: i.- “Escrituras de propiedad de la tierra de la </w:t>
      </w:r>
      <w:r>
        <w:rPr>
          <w:sz w:val="16"/>
          <w:szCs w:val="16"/>
          <w:lang w:val="es-CR"/>
        </w:rPr>
        <w:t>[C]</w:t>
      </w:r>
      <w:proofErr w:type="spellStart"/>
      <w:r w:rsidRPr="00637508">
        <w:rPr>
          <w:sz w:val="16"/>
          <w:szCs w:val="16"/>
          <w:lang w:val="es-CR"/>
        </w:rPr>
        <w:t>omunidad</w:t>
      </w:r>
      <w:proofErr w:type="spellEnd"/>
      <w:r w:rsidRPr="00637508">
        <w:rPr>
          <w:sz w:val="16"/>
          <w:szCs w:val="16"/>
          <w:lang w:val="es-CR"/>
        </w:rPr>
        <w:t xml:space="preserve"> Aurora 8 de Octubre”; ii.- “Acuerdo suscrito ente las Comisiones Permanentes de Representantes de los Refugiados guatemaltecos en México y el Gobierno de Guatemala”, y iii.- “Acuerdo para el reasentamiento de las poblaciones desarraigadas por el enfrentamiento armado, Oslo, 17 de junio de 1994”, b) se preguntó por el tiempo fijado en las condenas privativas de libertad y a ello se refiere el “[d]</w:t>
      </w:r>
      <w:proofErr w:type="spellStart"/>
      <w:r w:rsidRPr="00637508">
        <w:rPr>
          <w:sz w:val="16"/>
          <w:szCs w:val="16"/>
          <w:lang w:val="es-CR"/>
        </w:rPr>
        <w:t>ocumento</w:t>
      </w:r>
      <w:proofErr w:type="spellEnd"/>
      <w:r w:rsidRPr="00637508">
        <w:rPr>
          <w:sz w:val="16"/>
          <w:szCs w:val="16"/>
          <w:lang w:val="es-CR"/>
        </w:rPr>
        <w:t xml:space="preserve"> que contiene cómputo de penas”, y c) se preguntó por el proceso de solución amistosa y a ello se refieren las “[c]</w:t>
      </w:r>
      <w:proofErr w:type="spellStart"/>
      <w:r w:rsidRPr="00637508">
        <w:rPr>
          <w:sz w:val="16"/>
          <w:szCs w:val="16"/>
          <w:lang w:val="es-CR"/>
        </w:rPr>
        <w:t>omunicaciones</w:t>
      </w:r>
      <w:proofErr w:type="spellEnd"/>
      <w:r w:rsidRPr="00637508">
        <w:rPr>
          <w:sz w:val="16"/>
          <w:szCs w:val="16"/>
          <w:lang w:val="es-CR"/>
        </w:rPr>
        <w:t xml:space="preserve"> enviadas a COPREDEH”. </w:t>
      </w:r>
    </w:p>
  </w:footnote>
  <w:footnote w:id="18">
    <w:p w:rsidR="00785921" w:rsidRPr="0067284D" w:rsidRDefault="00785921" w:rsidP="00126E97">
      <w:pPr>
        <w:pStyle w:val="FootnoteText"/>
        <w:spacing w:line="20" w:lineRule="atLeast"/>
        <w:rPr>
          <w:sz w:val="16"/>
          <w:szCs w:val="16"/>
          <w:lang w:val="es-CR"/>
        </w:rPr>
      </w:pPr>
      <w:r w:rsidRPr="0067284D">
        <w:rPr>
          <w:rStyle w:val="FootnoteReference"/>
          <w:sz w:val="16"/>
          <w:szCs w:val="16"/>
        </w:rPr>
        <w:footnoteRef/>
      </w:r>
      <w:r w:rsidRPr="0067284D">
        <w:rPr>
          <w:sz w:val="16"/>
          <w:szCs w:val="16"/>
          <w:lang w:val="es-CR"/>
        </w:rPr>
        <w:t xml:space="preserve"> </w:t>
      </w:r>
      <w:r w:rsidRPr="0067284D">
        <w:rPr>
          <w:i/>
          <w:sz w:val="16"/>
          <w:szCs w:val="16"/>
          <w:lang w:val="es-CR"/>
        </w:rPr>
        <w:t>Cfr.</w:t>
      </w:r>
      <w:r w:rsidRPr="0067284D">
        <w:rPr>
          <w:sz w:val="16"/>
          <w:szCs w:val="16"/>
          <w:lang w:val="es-CR"/>
        </w:rPr>
        <w:t xml:space="preserve"> Certificados de nacimiento y defunción de Pedro Daniel Carrillo López, emitidos el 8 y el 6 de </w:t>
      </w:r>
      <w:r>
        <w:rPr>
          <w:sz w:val="16"/>
          <w:szCs w:val="16"/>
          <w:lang w:val="es-CR"/>
        </w:rPr>
        <w:t>agosto de 2018, respectivamente, adjuntos a la comunicación de los representantes de 16 de agosto de 2018 (e</w:t>
      </w:r>
      <w:r w:rsidRPr="0067284D">
        <w:rPr>
          <w:sz w:val="16"/>
          <w:szCs w:val="16"/>
          <w:lang w:val="es-CR"/>
        </w:rPr>
        <w:t>xpediente de fondo, f</w:t>
      </w:r>
      <w:r>
        <w:rPr>
          <w:sz w:val="16"/>
          <w:szCs w:val="16"/>
          <w:lang w:val="es-CR"/>
        </w:rPr>
        <w:t>olio</w:t>
      </w:r>
      <w:r w:rsidRPr="0067284D">
        <w:rPr>
          <w:sz w:val="16"/>
          <w:szCs w:val="16"/>
          <w:lang w:val="es-CR"/>
        </w:rPr>
        <w:t>s</w:t>
      </w:r>
      <w:r>
        <w:rPr>
          <w:sz w:val="16"/>
          <w:szCs w:val="16"/>
          <w:lang w:val="es-CR"/>
        </w:rPr>
        <w:t xml:space="preserve"> 899 y 900).</w:t>
      </w:r>
      <w:r w:rsidRPr="0067284D">
        <w:rPr>
          <w:sz w:val="16"/>
          <w:szCs w:val="16"/>
          <w:lang w:val="es-CR"/>
        </w:rPr>
        <w:t xml:space="preserve"> </w:t>
      </w:r>
    </w:p>
  </w:footnote>
  <w:footnote w:id="19">
    <w:p w:rsidR="00785921" w:rsidRPr="00E221AF" w:rsidRDefault="00785921" w:rsidP="00126E97">
      <w:pPr>
        <w:spacing w:after="0" w:line="20" w:lineRule="atLeast"/>
        <w:jc w:val="both"/>
        <w:rPr>
          <w:rFonts w:ascii="Verdana" w:hAnsi="Verdana"/>
          <w:sz w:val="16"/>
          <w:szCs w:val="16"/>
          <w:lang w:val="es-CR"/>
        </w:rPr>
      </w:pPr>
      <w:r w:rsidRPr="00E221AF">
        <w:rPr>
          <w:rStyle w:val="FootnoteReference"/>
          <w:rFonts w:ascii="Verdana" w:hAnsi="Verdana"/>
          <w:sz w:val="16"/>
          <w:szCs w:val="16"/>
          <w:lang w:eastAsia="x-none"/>
        </w:rPr>
        <w:footnoteRef/>
      </w:r>
      <w:r w:rsidRPr="00E221AF">
        <w:rPr>
          <w:rFonts w:ascii="Verdana" w:hAnsi="Verdana"/>
          <w:sz w:val="16"/>
          <w:szCs w:val="16"/>
          <w:lang w:val="es-CR"/>
        </w:rPr>
        <w:t xml:space="preserve"> La Comisión indicó: a) como anexo 1 al Informe de Fondo el documento que identificó como “CEH, Guatemala: Memoria del Silencio, Conclusiones y Recomendaciones, </w:t>
      </w:r>
      <w:proofErr w:type="spellStart"/>
      <w:r w:rsidRPr="00E221AF">
        <w:rPr>
          <w:rFonts w:ascii="Verdana" w:hAnsi="Verdana"/>
          <w:sz w:val="16"/>
          <w:szCs w:val="16"/>
          <w:lang w:val="es-CR"/>
        </w:rPr>
        <w:t>párrs</w:t>
      </w:r>
      <w:proofErr w:type="spellEnd"/>
      <w:r w:rsidRPr="00E221AF">
        <w:rPr>
          <w:rFonts w:ascii="Verdana" w:hAnsi="Verdana"/>
          <w:sz w:val="16"/>
          <w:szCs w:val="16"/>
          <w:lang w:val="es-CR"/>
        </w:rPr>
        <w:t xml:space="preserve">. 85-88”, y b) como anexo 2 al Informe de Fondo el documento que identificó como “CEH, Guatemala: Memoria del Silencio, Tomo VI, Casos Ilustrativos, Anexo 1, Caso ilustrativo No. 3: Masacre de </w:t>
      </w:r>
      <w:proofErr w:type="spellStart"/>
      <w:r w:rsidRPr="00E221AF">
        <w:rPr>
          <w:rFonts w:ascii="Verdana" w:hAnsi="Verdana"/>
          <w:sz w:val="16"/>
          <w:szCs w:val="16"/>
          <w:lang w:val="es-CR"/>
        </w:rPr>
        <w:t>Xamán</w:t>
      </w:r>
      <w:proofErr w:type="spellEnd"/>
      <w:r w:rsidRPr="00E221AF">
        <w:rPr>
          <w:rFonts w:ascii="Verdana" w:hAnsi="Verdana"/>
          <w:sz w:val="16"/>
          <w:szCs w:val="16"/>
          <w:lang w:val="es-CR"/>
        </w:rPr>
        <w:t>”. Ambos documentos forman parte de uno: el documento “Guatemala: Memoria del Silencio”, de la Comisión para el Esclarecimiento Histórico, que la Corte tendrá en cuenta en su integralidad, dado que los anexos 1 y 2 al Informe de Fondo forman parte de ese documento y teniendo en cuenta las consideraciones del Estado sobre el mismo (</w:t>
      </w:r>
      <w:r w:rsidRPr="00E221AF">
        <w:rPr>
          <w:rFonts w:ascii="Verdana" w:hAnsi="Verdana"/>
          <w:i/>
          <w:sz w:val="16"/>
          <w:szCs w:val="16"/>
          <w:lang w:val="es-CR"/>
        </w:rPr>
        <w:t>infra</w:t>
      </w:r>
      <w:r w:rsidRPr="00E221AF">
        <w:rPr>
          <w:rFonts w:ascii="Verdana" w:hAnsi="Verdana"/>
          <w:sz w:val="16"/>
          <w:szCs w:val="16"/>
          <w:lang w:val="es-CR"/>
        </w:rPr>
        <w:t xml:space="preserve"> párr. 26). El documento fue tomado de internet: </w:t>
      </w:r>
      <w:hyperlink r:id="rId2" w:history="1">
        <w:r w:rsidRPr="003438EE">
          <w:rPr>
            <w:rStyle w:val="Hyperlink"/>
            <w:rFonts w:ascii="Verdana" w:hAnsi="Verdana"/>
            <w:color w:val="auto"/>
            <w:sz w:val="16"/>
            <w:szCs w:val="16"/>
            <w:u w:val="none"/>
            <w:lang w:val="es-CR"/>
          </w:rPr>
          <w:t>http://www.centrodememoriahistorica.gov.co/descargas/guatemala-memoria-silencio/guatemala-memoria-del-silencio.pdf</w:t>
        </w:r>
      </w:hyperlink>
      <w:r w:rsidRPr="004B3ED7">
        <w:rPr>
          <w:rFonts w:ascii="Verdana" w:hAnsi="Verdana"/>
          <w:sz w:val="16"/>
          <w:szCs w:val="16"/>
          <w:lang w:val="es-CR"/>
        </w:rPr>
        <w:t xml:space="preserve"> </w:t>
      </w:r>
      <w:r w:rsidRPr="00E221AF">
        <w:rPr>
          <w:rFonts w:ascii="Verdana" w:hAnsi="Verdana"/>
          <w:sz w:val="16"/>
          <w:szCs w:val="16"/>
          <w:lang w:val="es-CR"/>
        </w:rPr>
        <w:t>(en adelante se hará referencia al documento como “CEH</w:t>
      </w:r>
      <w:r>
        <w:rPr>
          <w:rFonts w:ascii="Verdana" w:hAnsi="Verdana"/>
          <w:sz w:val="16"/>
          <w:szCs w:val="16"/>
          <w:lang w:val="es-CR"/>
        </w:rPr>
        <w:t>,</w:t>
      </w:r>
      <w:r w:rsidRPr="00E221AF">
        <w:rPr>
          <w:rFonts w:ascii="Verdana" w:hAnsi="Verdana"/>
          <w:sz w:val="16"/>
          <w:szCs w:val="16"/>
          <w:lang w:val="es-CR"/>
        </w:rPr>
        <w:t xml:space="preserve"> Guatemala: Memoria del Silencio”). </w:t>
      </w:r>
      <w:r>
        <w:rPr>
          <w:rFonts w:ascii="Verdana" w:hAnsi="Verdana"/>
          <w:sz w:val="16"/>
          <w:szCs w:val="16"/>
          <w:lang w:val="es-CR"/>
        </w:rPr>
        <w:t>L</w:t>
      </w:r>
      <w:r w:rsidRPr="00E221AF">
        <w:rPr>
          <w:rFonts w:ascii="Verdana" w:hAnsi="Verdana"/>
          <w:sz w:val="16"/>
          <w:szCs w:val="16"/>
          <w:lang w:val="es-CR"/>
        </w:rPr>
        <w:t xml:space="preserve">os sitios de internet señalados en la presente Sentencia fueron consultados por última vez en la fecha en que la misma fue </w:t>
      </w:r>
      <w:r>
        <w:rPr>
          <w:rFonts w:ascii="Verdana" w:hAnsi="Verdana"/>
          <w:sz w:val="16"/>
          <w:szCs w:val="16"/>
          <w:lang w:val="es-CR"/>
        </w:rPr>
        <w:t>emitida; es decir, el 22 de agosto de 2018.</w:t>
      </w:r>
      <w:r w:rsidRPr="00E221AF">
        <w:rPr>
          <w:rFonts w:ascii="Verdana" w:hAnsi="Verdana"/>
          <w:sz w:val="16"/>
          <w:szCs w:val="16"/>
          <w:lang w:val="es-CR"/>
        </w:rPr>
        <w:t xml:space="preserve"> </w:t>
      </w:r>
    </w:p>
  </w:footnote>
  <w:footnote w:id="20">
    <w:p w:rsidR="00785921" w:rsidRPr="00C04446" w:rsidRDefault="00785921" w:rsidP="00126E97">
      <w:pPr>
        <w:pStyle w:val="FootnoteText"/>
        <w:spacing w:line="20" w:lineRule="atLeast"/>
        <w:rPr>
          <w:lang w:val="es-CR"/>
        </w:rPr>
      </w:pPr>
      <w:r w:rsidRPr="005D7ADB">
        <w:rPr>
          <w:rStyle w:val="FootnoteReference"/>
          <w:sz w:val="16"/>
          <w:szCs w:val="16"/>
        </w:rPr>
        <w:footnoteRef/>
      </w:r>
      <w:r w:rsidRPr="005D7ADB">
        <w:rPr>
          <w:sz w:val="16"/>
          <w:szCs w:val="16"/>
          <w:lang w:val="es-CR"/>
        </w:rPr>
        <w:t xml:space="preserve"> Los objetos de estas declaraciones se encuentran establecidos en la Resolución de la Presidencia de 13 de diciembre</w:t>
      </w:r>
      <w:r>
        <w:rPr>
          <w:sz w:val="16"/>
          <w:szCs w:val="16"/>
          <w:lang w:val="es-CR"/>
        </w:rPr>
        <w:t xml:space="preserve"> de 2017 (</w:t>
      </w:r>
      <w:r>
        <w:rPr>
          <w:i/>
          <w:sz w:val="16"/>
          <w:szCs w:val="16"/>
          <w:lang w:val="es-CR"/>
        </w:rPr>
        <w:t>c</w:t>
      </w:r>
      <w:r w:rsidRPr="00637508">
        <w:rPr>
          <w:i/>
          <w:sz w:val="16"/>
          <w:szCs w:val="16"/>
          <w:lang w:val="es-CR"/>
        </w:rPr>
        <w:t xml:space="preserve">fr. </w:t>
      </w:r>
      <w:r>
        <w:rPr>
          <w:bCs/>
          <w:i/>
          <w:sz w:val="16"/>
          <w:szCs w:val="16"/>
          <w:lang w:val="es-CR"/>
        </w:rPr>
        <w:t xml:space="preserve">Caso </w:t>
      </w:r>
      <w:proofErr w:type="spellStart"/>
      <w:r>
        <w:rPr>
          <w:bCs/>
          <w:i/>
          <w:sz w:val="16"/>
          <w:szCs w:val="16"/>
          <w:lang w:val="es-CR"/>
        </w:rPr>
        <w:t>Coc</w:t>
      </w:r>
      <w:proofErr w:type="spellEnd"/>
      <w:r>
        <w:rPr>
          <w:bCs/>
          <w:i/>
          <w:sz w:val="16"/>
          <w:szCs w:val="16"/>
          <w:lang w:val="es-CR"/>
        </w:rPr>
        <w:t xml:space="preserve"> Max y otros Vs. Guatemala. Convocatoria a audiencia</w:t>
      </w:r>
      <w:r>
        <w:rPr>
          <w:bCs/>
          <w:sz w:val="16"/>
          <w:szCs w:val="16"/>
          <w:lang w:val="es-CR"/>
        </w:rPr>
        <w:t xml:space="preserve">, </w:t>
      </w:r>
      <w:r w:rsidRPr="005D7ADB">
        <w:rPr>
          <w:bCs/>
          <w:i/>
          <w:sz w:val="16"/>
          <w:szCs w:val="16"/>
          <w:lang w:val="es-CR"/>
        </w:rPr>
        <w:t>supra</w:t>
      </w:r>
      <w:r>
        <w:rPr>
          <w:sz w:val="16"/>
          <w:szCs w:val="16"/>
          <w:lang w:val="es-CR"/>
        </w:rPr>
        <w:t>).</w:t>
      </w:r>
    </w:p>
  </w:footnote>
  <w:footnote w:id="21">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sidRPr="00637508">
        <w:rPr>
          <w:i/>
          <w:sz w:val="16"/>
          <w:szCs w:val="16"/>
          <w:lang w:val="es-CR"/>
        </w:rPr>
        <w:t xml:space="preserve">Cfr. </w:t>
      </w:r>
      <w:r>
        <w:rPr>
          <w:bCs/>
          <w:i/>
          <w:sz w:val="16"/>
          <w:szCs w:val="16"/>
          <w:lang w:val="es-CR"/>
        </w:rPr>
        <w:t xml:space="preserve">Caso </w:t>
      </w:r>
      <w:proofErr w:type="spellStart"/>
      <w:r>
        <w:rPr>
          <w:bCs/>
          <w:i/>
          <w:sz w:val="16"/>
          <w:szCs w:val="16"/>
          <w:lang w:val="es-CR"/>
        </w:rPr>
        <w:t>Coc</w:t>
      </w:r>
      <w:proofErr w:type="spellEnd"/>
      <w:r>
        <w:rPr>
          <w:bCs/>
          <w:i/>
          <w:sz w:val="16"/>
          <w:szCs w:val="16"/>
          <w:lang w:val="es-CR"/>
        </w:rPr>
        <w:t xml:space="preserve"> Max y otros Vs. Guatemala. Convocatoria a audiencia</w:t>
      </w:r>
      <w:r>
        <w:rPr>
          <w:bCs/>
          <w:sz w:val="16"/>
          <w:szCs w:val="16"/>
          <w:lang w:val="es-CR"/>
        </w:rPr>
        <w:t xml:space="preserve">, </w:t>
      </w:r>
      <w:r w:rsidRPr="005D7ADB">
        <w:rPr>
          <w:bCs/>
          <w:i/>
          <w:sz w:val="16"/>
          <w:szCs w:val="16"/>
          <w:lang w:val="es-CR"/>
        </w:rPr>
        <w:t>supra</w:t>
      </w:r>
      <w:r>
        <w:rPr>
          <w:bCs/>
          <w:sz w:val="16"/>
          <w:szCs w:val="16"/>
          <w:lang w:val="es-CR"/>
        </w:rPr>
        <w:t>, Considerando 23.</w:t>
      </w:r>
      <w:r w:rsidRPr="00637508">
        <w:rPr>
          <w:sz w:val="16"/>
          <w:szCs w:val="16"/>
          <w:lang w:val="es-CR"/>
        </w:rPr>
        <w:t xml:space="preserve"> </w:t>
      </w:r>
    </w:p>
  </w:footnote>
  <w:footnote w:id="22">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La Corte advierte que en el escrito de solicitudes y argumentos los representantes, al solicitar la diligencia, adujeron también que la misma serviría como “medida precautoria para quienes su vida se encuentra en riesgo”. Respecto a tal aducida situación de riesgo, resulta pertinente remitirse a las medidas provisionales adoptadas (</w:t>
      </w:r>
      <w:r w:rsidRPr="00637508">
        <w:rPr>
          <w:i/>
          <w:sz w:val="16"/>
          <w:szCs w:val="16"/>
          <w:lang w:val="es-CR"/>
        </w:rPr>
        <w:t>supra</w:t>
      </w:r>
      <w:r w:rsidRPr="00637508">
        <w:rPr>
          <w:sz w:val="16"/>
          <w:szCs w:val="16"/>
          <w:lang w:val="es-CR"/>
        </w:rPr>
        <w:t xml:space="preserve"> párr. </w:t>
      </w:r>
      <w:r>
        <w:rPr>
          <w:sz w:val="16"/>
          <w:szCs w:val="16"/>
          <w:lang w:val="es-CR"/>
        </w:rPr>
        <w:t>10</w:t>
      </w:r>
      <w:r w:rsidRPr="00637508">
        <w:rPr>
          <w:sz w:val="16"/>
          <w:szCs w:val="16"/>
          <w:lang w:val="es-CR"/>
        </w:rPr>
        <w:t xml:space="preserve">). </w:t>
      </w:r>
    </w:p>
  </w:footnote>
  <w:footnote w:id="23">
    <w:p w:rsidR="00785921" w:rsidRPr="00676759" w:rsidRDefault="00785921" w:rsidP="00126E97">
      <w:pPr>
        <w:pStyle w:val="FootnoteText"/>
        <w:spacing w:line="20" w:lineRule="atLeast"/>
        <w:rPr>
          <w:sz w:val="16"/>
          <w:szCs w:val="16"/>
          <w:lang w:val="es-CR"/>
        </w:rPr>
      </w:pPr>
      <w:r w:rsidRPr="00FB57C9">
        <w:rPr>
          <w:rStyle w:val="FootnoteReference"/>
          <w:sz w:val="16"/>
          <w:szCs w:val="16"/>
          <w:lang w:val="es-CR" w:eastAsia="x-none"/>
        </w:rPr>
        <w:footnoteRef/>
      </w:r>
      <w:r w:rsidRPr="00FB57C9">
        <w:rPr>
          <w:sz w:val="16"/>
          <w:szCs w:val="16"/>
          <w:lang w:val="es-CR"/>
        </w:rPr>
        <w:t xml:space="preserve"> En ese marco, la Corte </w:t>
      </w:r>
      <w:r w:rsidRPr="00676759">
        <w:rPr>
          <w:sz w:val="16"/>
          <w:szCs w:val="16"/>
          <w:lang w:val="es-CR"/>
        </w:rPr>
        <w:t xml:space="preserve">tendrá en cuenta precisiones pertinentes que surgen de la prueba, inclusive información sobre los hechos presentada por las partes en el trámite ante la Comisión, allegada a la Corte como prueba documental.  </w:t>
      </w:r>
    </w:p>
  </w:footnote>
  <w:footnote w:id="24">
    <w:p w:rsidR="00785921" w:rsidRPr="00676759" w:rsidRDefault="00785921" w:rsidP="00126E97">
      <w:pPr>
        <w:pStyle w:val="FootnoteText"/>
        <w:spacing w:line="20" w:lineRule="atLeast"/>
        <w:rPr>
          <w:b/>
          <w:sz w:val="16"/>
          <w:szCs w:val="16"/>
          <w:lang w:val="es-CR"/>
        </w:rPr>
      </w:pPr>
      <w:r w:rsidRPr="00676759">
        <w:rPr>
          <w:rStyle w:val="FootnoteReference"/>
          <w:sz w:val="16"/>
          <w:szCs w:val="16"/>
        </w:rPr>
        <w:footnoteRef/>
      </w:r>
      <w:r w:rsidRPr="00676759">
        <w:rPr>
          <w:sz w:val="16"/>
          <w:szCs w:val="16"/>
          <w:lang w:val="es-CR"/>
        </w:rPr>
        <w:t xml:space="preserve"> </w:t>
      </w:r>
      <w:r w:rsidRPr="00676759">
        <w:rPr>
          <w:i/>
          <w:iCs/>
          <w:sz w:val="16"/>
          <w:szCs w:val="16"/>
          <w:lang w:val="es-CR"/>
        </w:rPr>
        <w:t xml:space="preserve">Cfr. Caso </w:t>
      </w:r>
      <w:r w:rsidRPr="00E221AF">
        <w:rPr>
          <w:rStyle w:val="Strong"/>
          <w:b w:val="0"/>
          <w:i/>
          <w:sz w:val="16"/>
          <w:szCs w:val="16"/>
          <w:shd w:val="clear" w:color="auto" w:fill="FFFFFF"/>
          <w:lang w:val="es-CR"/>
        </w:rPr>
        <w:t xml:space="preserve">Masacre Plan de Sánchez Vs. Guatemala. Fondo. </w:t>
      </w:r>
      <w:r w:rsidRPr="00E221AF">
        <w:rPr>
          <w:rStyle w:val="Strong"/>
          <w:b w:val="0"/>
          <w:sz w:val="16"/>
          <w:szCs w:val="16"/>
          <w:shd w:val="clear" w:color="auto" w:fill="FFFFFF"/>
          <w:lang w:val="es-CR"/>
        </w:rPr>
        <w:t>Sentencia de 29 de abril de 2004. Serie C No. 105</w:t>
      </w:r>
      <w:r w:rsidRPr="00676759">
        <w:rPr>
          <w:iCs/>
          <w:sz w:val="16"/>
          <w:szCs w:val="16"/>
          <w:lang w:val="es-CR"/>
        </w:rPr>
        <w:t xml:space="preserve">, párr. 42.1; </w:t>
      </w:r>
      <w:r w:rsidRPr="00676759">
        <w:rPr>
          <w:i/>
          <w:iCs/>
          <w:sz w:val="16"/>
          <w:szCs w:val="16"/>
          <w:lang w:val="es-CR"/>
        </w:rPr>
        <w:t>Caso</w:t>
      </w:r>
      <w:r w:rsidRPr="00676759">
        <w:rPr>
          <w:iCs/>
          <w:sz w:val="16"/>
          <w:szCs w:val="16"/>
          <w:lang w:val="es-CR"/>
        </w:rPr>
        <w:t xml:space="preserve"> </w:t>
      </w:r>
      <w:r w:rsidRPr="00676759">
        <w:rPr>
          <w:i/>
          <w:sz w:val="16"/>
          <w:szCs w:val="16"/>
          <w:lang w:val="es-CR"/>
        </w:rPr>
        <w:t>García y Familiares</w:t>
      </w:r>
      <w:r w:rsidRPr="00676759">
        <w:rPr>
          <w:i/>
          <w:iCs/>
          <w:sz w:val="16"/>
          <w:szCs w:val="16"/>
          <w:lang w:val="es-CR"/>
        </w:rPr>
        <w:t xml:space="preserve"> Vs. Guatemala. Fondo, Reparaciones y Costas. </w:t>
      </w:r>
      <w:r w:rsidRPr="00676759">
        <w:rPr>
          <w:iCs/>
          <w:sz w:val="16"/>
          <w:szCs w:val="16"/>
          <w:lang w:val="es-CR"/>
        </w:rPr>
        <w:t xml:space="preserve">Sentencia de 29 noviembre de 2012. Serie C No. 258, </w:t>
      </w:r>
      <w:r w:rsidRPr="00676759">
        <w:rPr>
          <w:sz w:val="16"/>
          <w:szCs w:val="16"/>
          <w:lang w:val="es-CR"/>
        </w:rPr>
        <w:t xml:space="preserve">párr. 51, </w:t>
      </w:r>
      <w:r w:rsidRPr="00E221AF">
        <w:rPr>
          <w:rStyle w:val="Strong"/>
          <w:b w:val="0"/>
          <w:sz w:val="16"/>
          <w:szCs w:val="16"/>
          <w:shd w:val="clear" w:color="auto" w:fill="FFFFFF"/>
          <w:lang w:val="es-CR"/>
        </w:rPr>
        <w:t xml:space="preserve">y </w:t>
      </w:r>
      <w:r w:rsidRPr="00E221AF">
        <w:rPr>
          <w:rStyle w:val="Strong"/>
          <w:b w:val="0"/>
          <w:i/>
          <w:sz w:val="16"/>
          <w:szCs w:val="16"/>
          <w:lang w:val="es-CR"/>
        </w:rPr>
        <w:t xml:space="preserve">Caso Miembros de la Aldea </w:t>
      </w:r>
      <w:proofErr w:type="spellStart"/>
      <w:r w:rsidRPr="00E221AF">
        <w:rPr>
          <w:rStyle w:val="Strong"/>
          <w:b w:val="0"/>
          <w:i/>
          <w:sz w:val="16"/>
          <w:szCs w:val="16"/>
          <w:lang w:val="es-CR"/>
        </w:rPr>
        <w:t>Chichupac</w:t>
      </w:r>
      <w:proofErr w:type="spellEnd"/>
      <w:r w:rsidRPr="00E221AF">
        <w:rPr>
          <w:rStyle w:val="Strong"/>
          <w:b w:val="0"/>
          <w:i/>
          <w:sz w:val="16"/>
          <w:szCs w:val="16"/>
          <w:lang w:val="es-CR"/>
        </w:rPr>
        <w:t xml:space="preserve"> y comunidades vecinas del Municipio de Rabinal Vs. Guatemala. Excepciones Preliminares, Fondo, Reparaciones y Costas.</w:t>
      </w:r>
      <w:r w:rsidRPr="00E221AF">
        <w:rPr>
          <w:rStyle w:val="Strong"/>
          <w:b w:val="0"/>
          <w:sz w:val="16"/>
          <w:szCs w:val="16"/>
          <w:lang w:val="es-CR"/>
        </w:rPr>
        <w:t xml:space="preserve"> Sentencia de 30 de noviembre de 2016. Serie C No. 328, párr. </w:t>
      </w:r>
      <w:r w:rsidRPr="00E221AF">
        <w:rPr>
          <w:rStyle w:val="Strong"/>
          <w:b w:val="0"/>
          <w:sz w:val="16"/>
          <w:szCs w:val="16"/>
          <w:shd w:val="clear" w:color="auto" w:fill="FFFFFF"/>
          <w:lang w:val="es-CR"/>
        </w:rPr>
        <w:t>76</w:t>
      </w:r>
      <w:r>
        <w:rPr>
          <w:rStyle w:val="Strong"/>
          <w:b w:val="0"/>
          <w:sz w:val="16"/>
          <w:szCs w:val="16"/>
          <w:shd w:val="clear" w:color="auto" w:fill="FFFFFF"/>
          <w:lang w:val="es-CR"/>
        </w:rPr>
        <w:t>.</w:t>
      </w:r>
    </w:p>
  </w:footnote>
  <w:footnote w:id="25">
    <w:p w:rsidR="00785921" w:rsidRPr="00C04446" w:rsidRDefault="00785921" w:rsidP="00126E97">
      <w:pPr>
        <w:pStyle w:val="FootnoteText"/>
        <w:spacing w:line="20" w:lineRule="atLeast"/>
        <w:rPr>
          <w:b/>
          <w:lang w:val="es-CR"/>
        </w:rPr>
      </w:pPr>
      <w:r w:rsidRPr="00676759">
        <w:rPr>
          <w:rStyle w:val="FootnoteReference"/>
          <w:sz w:val="16"/>
          <w:szCs w:val="16"/>
        </w:rPr>
        <w:footnoteRef/>
      </w:r>
      <w:r w:rsidRPr="00676759">
        <w:rPr>
          <w:sz w:val="16"/>
          <w:szCs w:val="16"/>
          <w:lang w:val="es-CR"/>
        </w:rPr>
        <w:t xml:space="preserve"> </w:t>
      </w:r>
      <w:r w:rsidRPr="00E221AF">
        <w:rPr>
          <w:rStyle w:val="Strong"/>
          <w:b w:val="0"/>
          <w:i/>
          <w:sz w:val="16"/>
          <w:szCs w:val="16"/>
          <w:lang w:val="es-CR"/>
        </w:rPr>
        <w:t xml:space="preserve">Caso Miembros de la Aldea </w:t>
      </w:r>
      <w:proofErr w:type="spellStart"/>
      <w:r w:rsidRPr="00E221AF">
        <w:rPr>
          <w:rStyle w:val="Strong"/>
          <w:b w:val="0"/>
          <w:i/>
          <w:sz w:val="16"/>
          <w:szCs w:val="16"/>
          <w:lang w:val="es-CR"/>
        </w:rPr>
        <w:t>Chichupac</w:t>
      </w:r>
      <w:proofErr w:type="spellEnd"/>
      <w:r w:rsidRPr="00E221AF">
        <w:rPr>
          <w:rStyle w:val="Strong"/>
          <w:b w:val="0"/>
          <w:i/>
          <w:sz w:val="16"/>
          <w:szCs w:val="16"/>
          <w:lang w:val="es-CR"/>
        </w:rPr>
        <w:t xml:space="preserve"> y comunidades vecinas del Municipio de Rabinal Vs. Guatemala</w:t>
      </w:r>
      <w:r>
        <w:rPr>
          <w:rStyle w:val="Strong"/>
          <w:b w:val="0"/>
          <w:i/>
          <w:sz w:val="16"/>
          <w:szCs w:val="16"/>
          <w:lang w:val="es-CR"/>
        </w:rPr>
        <w:t xml:space="preserve"> supra</w:t>
      </w:r>
      <w:r w:rsidRPr="00E221AF">
        <w:rPr>
          <w:rStyle w:val="Strong"/>
          <w:b w:val="0"/>
          <w:sz w:val="16"/>
          <w:szCs w:val="16"/>
          <w:lang w:val="es-CR"/>
        </w:rPr>
        <w:t xml:space="preserve">, párr. </w:t>
      </w:r>
      <w:r w:rsidRPr="00E221AF">
        <w:rPr>
          <w:rStyle w:val="Strong"/>
          <w:b w:val="0"/>
          <w:sz w:val="16"/>
          <w:szCs w:val="16"/>
          <w:shd w:val="clear" w:color="auto" w:fill="FFFFFF"/>
          <w:lang w:val="es-CR"/>
        </w:rPr>
        <w:t xml:space="preserve">76. También, de modo similar, </w:t>
      </w:r>
      <w:r w:rsidRPr="00E221AF">
        <w:rPr>
          <w:rStyle w:val="Strong"/>
          <w:b w:val="0"/>
          <w:i/>
          <w:sz w:val="16"/>
          <w:szCs w:val="16"/>
          <w:shd w:val="clear" w:color="auto" w:fill="FFFFFF"/>
          <w:lang w:val="es-CR"/>
        </w:rPr>
        <w:t xml:space="preserve">Caso Myrna </w:t>
      </w:r>
      <w:proofErr w:type="spellStart"/>
      <w:r w:rsidRPr="00E221AF">
        <w:rPr>
          <w:rStyle w:val="Strong"/>
          <w:b w:val="0"/>
          <w:i/>
          <w:sz w:val="16"/>
          <w:szCs w:val="16"/>
          <w:shd w:val="clear" w:color="auto" w:fill="FFFFFF"/>
          <w:lang w:val="es-CR"/>
        </w:rPr>
        <w:t>Mack</w:t>
      </w:r>
      <w:proofErr w:type="spellEnd"/>
      <w:r w:rsidRPr="00E221AF">
        <w:rPr>
          <w:rStyle w:val="Strong"/>
          <w:b w:val="0"/>
          <w:i/>
          <w:sz w:val="16"/>
          <w:szCs w:val="16"/>
          <w:shd w:val="clear" w:color="auto" w:fill="FFFFFF"/>
          <w:lang w:val="es-CR"/>
        </w:rPr>
        <w:t xml:space="preserve"> Chang</w:t>
      </w:r>
      <w:r w:rsidRPr="00E221AF">
        <w:rPr>
          <w:b/>
          <w:sz w:val="16"/>
          <w:szCs w:val="16"/>
          <w:lang w:val="es-CR"/>
        </w:rPr>
        <w:t xml:space="preserve"> </w:t>
      </w:r>
      <w:r w:rsidRPr="00E221AF">
        <w:rPr>
          <w:rStyle w:val="Strong"/>
          <w:b w:val="0"/>
          <w:i/>
          <w:sz w:val="16"/>
          <w:szCs w:val="16"/>
          <w:shd w:val="clear" w:color="auto" w:fill="FFFFFF"/>
          <w:lang w:val="es-CR"/>
        </w:rPr>
        <w:t xml:space="preserve">Vs. Guatemala. Fondo, Reparaciones y Costas. </w:t>
      </w:r>
      <w:r w:rsidRPr="00E221AF">
        <w:rPr>
          <w:rStyle w:val="Strong"/>
          <w:b w:val="0"/>
          <w:sz w:val="16"/>
          <w:szCs w:val="16"/>
          <w:shd w:val="clear" w:color="auto" w:fill="FFFFFF"/>
          <w:lang w:val="es-CR"/>
        </w:rPr>
        <w:t>Sentencia de 25 de noviembre de 2003. Serie C No. 101, párr. 134.9</w:t>
      </w:r>
      <w:r w:rsidRPr="00676759">
        <w:rPr>
          <w:rStyle w:val="Strong"/>
          <w:b w:val="0"/>
          <w:sz w:val="16"/>
          <w:szCs w:val="16"/>
          <w:shd w:val="clear" w:color="auto" w:fill="FFFFFF"/>
          <w:lang w:val="es-CR"/>
        </w:rPr>
        <w:t>.</w:t>
      </w:r>
      <w:r w:rsidRPr="00AC04EE">
        <w:rPr>
          <w:rStyle w:val="Strong"/>
          <w:i/>
          <w:sz w:val="16"/>
          <w:szCs w:val="16"/>
          <w:shd w:val="clear" w:color="auto" w:fill="FFFFFF"/>
          <w:lang w:val="es-CR"/>
        </w:rPr>
        <w:t xml:space="preserve"> </w:t>
      </w:r>
    </w:p>
  </w:footnote>
  <w:footnote w:id="26">
    <w:p w:rsidR="00785921" w:rsidRDefault="00785921" w:rsidP="00126E97">
      <w:pPr>
        <w:pStyle w:val="FootnoteText"/>
        <w:spacing w:line="20" w:lineRule="atLeast"/>
        <w:rPr>
          <w:lang w:val="es-CR"/>
        </w:rPr>
      </w:pPr>
      <w:r>
        <w:rPr>
          <w:rStyle w:val="FootnoteReference"/>
          <w:sz w:val="16"/>
          <w:szCs w:val="16"/>
          <w:lang w:val="es-CR" w:eastAsia="x-none"/>
        </w:rPr>
        <w:footnoteRef/>
      </w:r>
      <w:r w:rsidRPr="00637508">
        <w:rPr>
          <w:sz w:val="16"/>
          <w:szCs w:val="16"/>
          <w:lang w:val="es-CR"/>
        </w:rPr>
        <w:t xml:space="preserve"> </w:t>
      </w:r>
      <w:r>
        <w:rPr>
          <w:sz w:val="16"/>
          <w:szCs w:val="16"/>
          <w:lang w:val="es-CR"/>
        </w:rPr>
        <w:t xml:space="preserve">CEH, Guatemala: Memoria del Silencio, </w:t>
      </w:r>
      <w:r w:rsidRPr="00676759">
        <w:rPr>
          <w:i/>
          <w:sz w:val="16"/>
          <w:szCs w:val="16"/>
          <w:lang w:val="es-CR"/>
        </w:rPr>
        <w:t>supra</w:t>
      </w:r>
      <w:r>
        <w:rPr>
          <w:sz w:val="16"/>
          <w:szCs w:val="16"/>
          <w:lang w:val="es-CR"/>
        </w:rPr>
        <w:t>, Capítulo II: Las violaciones de los derechos humanos y los hechos de violencia y sus responsables, párr. 82.</w:t>
      </w:r>
    </w:p>
  </w:footnote>
  <w:footnote w:id="27">
    <w:p w:rsidR="00785921" w:rsidRDefault="00785921" w:rsidP="00126E97">
      <w:pPr>
        <w:pStyle w:val="FootnoteText"/>
        <w:spacing w:line="20" w:lineRule="atLeast"/>
        <w:rPr>
          <w:sz w:val="16"/>
          <w:szCs w:val="16"/>
          <w:lang w:val="es-CR"/>
        </w:rPr>
      </w:pPr>
      <w:r w:rsidRPr="0066780D">
        <w:rPr>
          <w:rStyle w:val="FootnoteReference"/>
          <w:sz w:val="16"/>
          <w:szCs w:val="16"/>
          <w:lang w:val="es-CR" w:eastAsia="x-none"/>
        </w:rPr>
        <w:footnoteRef/>
      </w:r>
      <w:r>
        <w:rPr>
          <w:i/>
          <w:sz w:val="16"/>
          <w:szCs w:val="16"/>
          <w:lang w:val="es-CR"/>
        </w:rPr>
        <w:t xml:space="preserve"> Cfr. Caso </w:t>
      </w:r>
      <w:proofErr w:type="spellStart"/>
      <w:r>
        <w:rPr>
          <w:i/>
          <w:sz w:val="16"/>
          <w:szCs w:val="16"/>
          <w:lang w:val="es-CR"/>
        </w:rPr>
        <w:t>Gudiel</w:t>
      </w:r>
      <w:proofErr w:type="spellEnd"/>
      <w:r>
        <w:rPr>
          <w:i/>
          <w:sz w:val="16"/>
          <w:szCs w:val="16"/>
          <w:lang w:val="es-CR"/>
        </w:rPr>
        <w:t xml:space="preserve"> Álvarez y Otros Vs. Guatemala. Fondo, Reparaciones y Costas.</w:t>
      </w:r>
      <w:r>
        <w:rPr>
          <w:sz w:val="16"/>
          <w:szCs w:val="16"/>
          <w:lang w:val="es-CR"/>
        </w:rPr>
        <w:t xml:space="preserve"> Sentencia de 20 de noviembre de 2012. Serie C No. 253, párr. 54, y </w:t>
      </w:r>
      <w:r>
        <w:rPr>
          <w:i/>
          <w:sz w:val="16"/>
          <w:szCs w:val="16"/>
          <w:lang w:val="es-CR"/>
        </w:rPr>
        <w:t>Caso García y Familiares Vs. Guatemala</w:t>
      </w:r>
      <w:r>
        <w:rPr>
          <w:sz w:val="16"/>
          <w:szCs w:val="16"/>
          <w:lang w:val="es-CR"/>
        </w:rPr>
        <w:t xml:space="preserve">, </w:t>
      </w:r>
      <w:r w:rsidRPr="0066780D">
        <w:rPr>
          <w:i/>
          <w:sz w:val="16"/>
          <w:szCs w:val="16"/>
          <w:lang w:val="es-CR"/>
        </w:rPr>
        <w:t>supra</w:t>
      </w:r>
      <w:r>
        <w:rPr>
          <w:sz w:val="16"/>
          <w:szCs w:val="16"/>
          <w:lang w:val="es-CR"/>
        </w:rPr>
        <w:t xml:space="preserve">, párr. 51. </w:t>
      </w:r>
    </w:p>
  </w:footnote>
  <w:footnote w:id="2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Cfr. Caso Masacres de Río Negro Vs. Guatemala</w:t>
      </w:r>
      <w:r>
        <w:rPr>
          <w:sz w:val="16"/>
          <w:szCs w:val="16"/>
          <w:lang w:val="es-CR"/>
        </w:rPr>
        <w:t xml:space="preserve">, </w:t>
      </w:r>
      <w:r>
        <w:rPr>
          <w:i/>
          <w:sz w:val="16"/>
          <w:szCs w:val="16"/>
          <w:lang w:val="es-CR"/>
        </w:rPr>
        <w:t xml:space="preserve">supra, </w:t>
      </w:r>
      <w:r>
        <w:rPr>
          <w:sz w:val="16"/>
          <w:szCs w:val="16"/>
          <w:lang w:val="es-CR"/>
        </w:rPr>
        <w:t xml:space="preserve">párr. 58. </w:t>
      </w:r>
    </w:p>
  </w:footnote>
  <w:footnote w:id="2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Cfr. Caso Masacres de Río Negro Vs. Guatemala</w:t>
      </w:r>
      <w:r>
        <w:rPr>
          <w:sz w:val="16"/>
          <w:szCs w:val="16"/>
          <w:lang w:val="es-CR"/>
        </w:rPr>
        <w:t xml:space="preserve">, </w:t>
      </w:r>
      <w:r>
        <w:rPr>
          <w:i/>
          <w:sz w:val="16"/>
          <w:szCs w:val="16"/>
          <w:lang w:val="es-CR"/>
        </w:rPr>
        <w:t xml:space="preserve">supra, </w:t>
      </w:r>
      <w:r>
        <w:rPr>
          <w:sz w:val="16"/>
          <w:szCs w:val="16"/>
          <w:lang w:val="es-CR"/>
        </w:rPr>
        <w:t>párr. 58.</w:t>
      </w:r>
    </w:p>
  </w:footnote>
  <w:footnote w:id="30">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 xml:space="preserve">Cfr. Caso </w:t>
      </w:r>
      <w:proofErr w:type="spellStart"/>
      <w:r>
        <w:rPr>
          <w:i/>
          <w:sz w:val="16"/>
          <w:szCs w:val="16"/>
          <w:lang w:val="es-CR"/>
        </w:rPr>
        <w:t>Bámaca</w:t>
      </w:r>
      <w:proofErr w:type="spellEnd"/>
      <w:r>
        <w:rPr>
          <w:i/>
          <w:sz w:val="16"/>
          <w:szCs w:val="16"/>
          <w:lang w:val="es-CR"/>
        </w:rPr>
        <w:t xml:space="preserve"> Velásquez Vs. Guatemala. Fondo</w:t>
      </w:r>
      <w:r>
        <w:rPr>
          <w:sz w:val="16"/>
          <w:szCs w:val="16"/>
          <w:lang w:val="es-CR"/>
        </w:rPr>
        <w:t xml:space="preserve">. Sentencia de 25 de noviembre de 2000. Serie C No. 70, párr. 132, y </w:t>
      </w:r>
      <w:r>
        <w:rPr>
          <w:i/>
          <w:sz w:val="16"/>
          <w:szCs w:val="16"/>
          <w:lang w:val="es-CR"/>
        </w:rPr>
        <w:t>Caso García y Familiares Vs. Guatemala</w:t>
      </w:r>
      <w:r>
        <w:rPr>
          <w:sz w:val="16"/>
          <w:szCs w:val="16"/>
          <w:lang w:val="es-CR"/>
        </w:rPr>
        <w:t xml:space="preserve">, </w:t>
      </w:r>
      <w:r w:rsidRPr="0066780D">
        <w:rPr>
          <w:i/>
          <w:sz w:val="16"/>
          <w:szCs w:val="16"/>
          <w:lang w:val="es-CR"/>
        </w:rPr>
        <w:t>supra</w:t>
      </w:r>
      <w:r>
        <w:rPr>
          <w:sz w:val="16"/>
          <w:szCs w:val="16"/>
          <w:lang w:val="es-CR"/>
        </w:rPr>
        <w:t>, párr. 54.</w:t>
      </w:r>
    </w:p>
  </w:footnote>
  <w:footnote w:id="31">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“Acuerdo sobre el Cronograma para la implementación del cumplimiento y verificación de los acuerdos de paz”, </w:t>
      </w:r>
      <w:r w:rsidRPr="00A12B50">
        <w:rPr>
          <w:sz w:val="16"/>
          <w:szCs w:val="16"/>
          <w:lang w:val="es-CR"/>
        </w:rPr>
        <w:t>de 29 de diciembre de 1996</w:t>
      </w:r>
      <w:r>
        <w:rPr>
          <w:sz w:val="16"/>
          <w:szCs w:val="16"/>
          <w:lang w:val="es-CR"/>
        </w:rPr>
        <w:t xml:space="preserve"> (expediente de prueba, anexo 5 a la contestación, folios. 5397 a 5429). </w:t>
      </w:r>
    </w:p>
  </w:footnote>
  <w:footnote w:id="32">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E845F9">
        <w:rPr>
          <w:i/>
          <w:sz w:val="16"/>
          <w:szCs w:val="16"/>
          <w:lang w:val="es-CR"/>
        </w:rPr>
        <w:t>Cfr.</w:t>
      </w:r>
      <w:r>
        <w:rPr>
          <w:sz w:val="16"/>
          <w:szCs w:val="16"/>
          <w:lang w:val="es-CR"/>
        </w:rPr>
        <w:t xml:space="preserve"> CEH, Guatemala: Memoria del Silencio, </w:t>
      </w:r>
      <w:r w:rsidRPr="00676759">
        <w:rPr>
          <w:i/>
          <w:sz w:val="16"/>
          <w:szCs w:val="16"/>
          <w:lang w:val="es-CR"/>
        </w:rPr>
        <w:t>supra</w:t>
      </w:r>
      <w:r>
        <w:rPr>
          <w:sz w:val="16"/>
          <w:szCs w:val="16"/>
          <w:lang w:val="es-CR"/>
        </w:rPr>
        <w:t xml:space="preserve">, Conclusiones y Recomendaciones, párr. 66. </w:t>
      </w:r>
    </w:p>
  </w:footnote>
  <w:footnote w:id="33">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 xml:space="preserve">Los hechos indicados en este párrafo fueron señalados en los párrafos 42 a 44 del Informe de Fondo, bajo el título “Hechos probados”. La Comisión, como fuente de los mismos, citó un sitio de internet en el que habría verificado la “Carta de Entendimiento”, así como un documento que identificó como “CIDH, </w:t>
      </w:r>
      <w:r w:rsidRPr="00676759">
        <w:rPr>
          <w:i/>
          <w:sz w:val="16"/>
          <w:szCs w:val="16"/>
          <w:lang w:val="es-CR"/>
        </w:rPr>
        <w:t>Cuarto informe</w:t>
      </w:r>
      <w:r>
        <w:rPr>
          <w:sz w:val="16"/>
          <w:szCs w:val="16"/>
          <w:lang w:val="es-CR"/>
        </w:rPr>
        <w:t xml:space="preserve"> </w:t>
      </w:r>
      <w:r>
        <w:rPr>
          <w:i/>
          <w:sz w:val="16"/>
          <w:szCs w:val="16"/>
          <w:lang w:val="es-CR"/>
        </w:rPr>
        <w:t>sobre la situación de los derechos humanos en Guatemala,</w:t>
      </w:r>
      <w:r>
        <w:rPr>
          <w:sz w:val="16"/>
          <w:szCs w:val="16"/>
          <w:lang w:val="es-CR"/>
        </w:rPr>
        <w:t xml:space="preserve"> 1 de junio de 1993”.  </w:t>
      </w:r>
      <w:r w:rsidRPr="00D6594A">
        <w:rPr>
          <w:sz w:val="16"/>
          <w:szCs w:val="16"/>
          <w:lang w:val="es-CR"/>
        </w:rPr>
        <w:t xml:space="preserve"> </w:t>
      </w:r>
    </w:p>
  </w:footnote>
  <w:footnote w:id="34">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i/>
          <w:sz w:val="16"/>
          <w:szCs w:val="16"/>
          <w:lang w:val="es-CR"/>
        </w:rPr>
        <w:t xml:space="preserve"> Cfr.</w:t>
      </w:r>
      <w:r>
        <w:rPr>
          <w:sz w:val="16"/>
          <w:szCs w:val="16"/>
          <w:lang w:val="es-CR"/>
        </w:rPr>
        <w:t xml:space="preserve"> Acuerdo suscrito entre las CCPP y el Gobierno de Guatemala; Guatemala, 8 de octubre de 1992 (expediente de prueba, anexo 3 a los alegatos finales escritos de los representantes, folios 5575 a 5583). </w:t>
      </w:r>
      <w:r>
        <w:rPr>
          <w:sz w:val="16"/>
          <w:szCs w:val="16"/>
          <w:lang w:val="es-ES_tradnl"/>
        </w:rPr>
        <w:t xml:space="preserve">Tomás Grave </w:t>
      </w:r>
      <w:proofErr w:type="spellStart"/>
      <w:r>
        <w:rPr>
          <w:sz w:val="16"/>
          <w:szCs w:val="16"/>
          <w:lang w:val="es-ES_tradnl"/>
        </w:rPr>
        <w:t>Morente</w:t>
      </w:r>
      <w:proofErr w:type="spellEnd"/>
      <w:r>
        <w:rPr>
          <w:sz w:val="16"/>
          <w:szCs w:val="16"/>
          <w:lang w:val="es-CR"/>
        </w:rPr>
        <w:t xml:space="preserve"> </w:t>
      </w:r>
      <w:r>
        <w:rPr>
          <w:sz w:val="16"/>
          <w:szCs w:val="16"/>
          <w:lang w:val="es-ES_tradnl"/>
        </w:rPr>
        <w:t xml:space="preserve">declaró ante la Corte Interamericana, en la audiencia pública celebrada el 9 de febrero de 2018, </w:t>
      </w:r>
      <w:r>
        <w:rPr>
          <w:sz w:val="16"/>
          <w:szCs w:val="16"/>
          <w:lang w:val="es-CR"/>
        </w:rPr>
        <w:t xml:space="preserve">que </w:t>
      </w:r>
      <w:r w:rsidRPr="00637508">
        <w:rPr>
          <w:sz w:val="16"/>
          <w:szCs w:val="16"/>
          <w:lang w:val="es-CR"/>
        </w:rPr>
        <w:t>para regresar de México se negociaron acuerdos que garantizaran a la gente que no volverían a matar</w:t>
      </w:r>
      <w:r>
        <w:rPr>
          <w:sz w:val="16"/>
          <w:szCs w:val="16"/>
          <w:lang w:val="es-CR"/>
        </w:rPr>
        <w:t>la</w:t>
      </w:r>
      <w:r w:rsidRPr="00637508">
        <w:rPr>
          <w:sz w:val="16"/>
          <w:szCs w:val="16"/>
          <w:lang w:val="es-CR"/>
        </w:rPr>
        <w:t xml:space="preserve"> si regresaban, logrando así</w:t>
      </w:r>
      <w:r>
        <w:rPr>
          <w:sz w:val="16"/>
          <w:szCs w:val="16"/>
          <w:lang w:val="es-CR"/>
        </w:rPr>
        <w:t>,</w:t>
      </w:r>
      <w:r w:rsidRPr="00637508">
        <w:rPr>
          <w:sz w:val="16"/>
          <w:szCs w:val="16"/>
          <w:lang w:val="es-CR"/>
        </w:rPr>
        <w:t xml:space="preserve"> que el gobierno firmara que sí existía garantía para el retorno masivo.</w:t>
      </w:r>
      <w:r>
        <w:rPr>
          <w:b/>
          <w:sz w:val="16"/>
          <w:szCs w:val="16"/>
          <w:lang w:val="es-CR"/>
        </w:rPr>
        <w:t xml:space="preserve"> </w:t>
      </w:r>
      <w:r>
        <w:rPr>
          <w:sz w:val="16"/>
          <w:szCs w:val="16"/>
          <w:lang w:val="es-CR"/>
        </w:rPr>
        <w:t xml:space="preserve">En el mismo sentido, </w:t>
      </w:r>
      <w:r>
        <w:rPr>
          <w:sz w:val="16"/>
          <w:szCs w:val="16"/>
          <w:lang w:val="es-ES_tradnl"/>
        </w:rPr>
        <w:t xml:space="preserve">Natividad Sales, en su declaración ante la Corte Interamericana, en la audiencia pública celebrada el 9 de febrero de 2018, señaló que se formaron las CCPP que intentaron llegar a acuerdos con el Gobierno para garantizar los derechos de las personas que retornaran. </w:t>
      </w:r>
    </w:p>
  </w:footnote>
  <w:footnote w:id="35">
    <w:p w:rsidR="00785921" w:rsidRPr="00E221AF" w:rsidRDefault="00785921" w:rsidP="00126E97">
      <w:pPr>
        <w:spacing w:after="0" w:line="20" w:lineRule="atLeast"/>
        <w:jc w:val="both"/>
        <w:rPr>
          <w:rFonts w:ascii="Verdana" w:hAnsi="Verdana"/>
          <w:sz w:val="16"/>
          <w:szCs w:val="16"/>
          <w:lang w:val="es-CR"/>
        </w:rPr>
      </w:pPr>
      <w:r w:rsidRPr="00E221AF">
        <w:rPr>
          <w:rStyle w:val="FootnoteReference"/>
          <w:rFonts w:ascii="Verdana" w:hAnsi="Verdana"/>
          <w:sz w:val="16"/>
          <w:szCs w:val="16"/>
          <w:lang w:eastAsia="x-none"/>
        </w:rPr>
        <w:footnoteRef/>
      </w:r>
      <w:r w:rsidRPr="00E221AF">
        <w:rPr>
          <w:rFonts w:ascii="Verdana" w:hAnsi="Verdana"/>
          <w:sz w:val="16"/>
          <w:szCs w:val="16"/>
          <w:lang w:val="es-CR"/>
        </w:rPr>
        <w:t xml:space="preserve"> CEH, Guatemala: Memoria del Silencio, </w:t>
      </w:r>
      <w:r w:rsidRPr="00E221AF">
        <w:rPr>
          <w:rFonts w:ascii="Verdana" w:hAnsi="Verdana"/>
          <w:i/>
          <w:sz w:val="16"/>
          <w:szCs w:val="16"/>
          <w:lang w:val="es-CR"/>
        </w:rPr>
        <w:t>supra</w:t>
      </w:r>
      <w:r w:rsidRPr="00E221AF">
        <w:rPr>
          <w:rFonts w:ascii="Verdana" w:hAnsi="Verdana"/>
          <w:sz w:val="16"/>
          <w:szCs w:val="16"/>
          <w:lang w:val="es-CR"/>
        </w:rPr>
        <w:t xml:space="preserve">, Tomo VI, Casos Ilustrativos, Anexo 1, Caso Ilustrativo 3: Masacre de </w:t>
      </w:r>
      <w:proofErr w:type="spellStart"/>
      <w:r w:rsidRPr="00E221AF">
        <w:rPr>
          <w:rFonts w:ascii="Verdana" w:hAnsi="Verdana"/>
          <w:sz w:val="16"/>
          <w:szCs w:val="16"/>
          <w:lang w:val="es-CR"/>
        </w:rPr>
        <w:t>Xamán</w:t>
      </w:r>
      <w:proofErr w:type="spellEnd"/>
      <w:r w:rsidRPr="00E221AF">
        <w:rPr>
          <w:rFonts w:ascii="Verdana" w:hAnsi="Verdana"/>
          <w:sz w:val="16"/>
          <w:szCs w:val="16"/>
          <w:lang w:val="es-CR"/>
        </w:rPr>
        <w:t xml:space="preserve">. </w:t>
      </w:r>
    </w:p>
  </w:footnote>
  <w:footnote w:id="3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 xml:space="preserve">Los hechos indicados en este párrafo fueron señalados en el párrafo 47 del Informe de Fondo, bajo el título “Hechos probados”. La Comisión, como fuente de los mismos, citó un documento que identificó como “CIDH, </w:t>
      </w:r>
      <w:r w:rsidRPr="00676759">
        <w:rPr>
          <w:i/>
          <w:sz w:val="16"/>
          <w:szCs w:val="16"/>
          <w:lang w:val="es-CR"/>
        </w:rPr>
        <w:t>Cuarto informe</w:t>
      </w:r>
      <w:r>
        <w:rPr>
          <w:sz w:val="16"/>
          <w:szCs w:val="16"/>
          <w:lang w:val="es-CR"/>
        </w:rPr>
        <w:t xml:space="preserve"> </w:t>
      </w:r>
      <w:r>
        <w:rPr>
          <w:i/>
          <w:sz w:val="16"/>
          <w:szCs w:val="16"/>
          <w:lang w:val="es-CR"/>
        </w:rPr>
        <w:t>sobre la situación de los derechos humanos en Guatemala,</w:t>
      </w:r>
      <w:r>
        <w:rPr>
          <w:sz w:val="16"/>
          <w:szCs w:val="16"/>
          <w:lang w:val="es-CR"/>
        </w:rPr>
        <w:t xml:space="preserve"> 1 de junio de 1993”. </w:t>
      </w:r>
    </w:p>
  </w:footnote>
  <w:footnote w:id="37">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CEH, Guatemala: Memoria del Silencio, </w:t>
      </w:r>
      <w:r w:rsidRPr="00676759">
        <w:rPr>
          <w:i/>
          <w:sz w:val="16"/>
          <w:szCs w:val="16"/>
          <w:lang w:val="es-CR"/>
        </w:rPr>
        <w:t>supra</w:t>
      </w:r>
      <w:r>
        <w:rPr>
          <w:sz w:val="16"/>
          <w:szCs w:val="16"/>
          <w:lang w:val="es-CR"/>
        </w:rPr>
        <w:t xml:space="preserve">, </w:t>
      </w:r>
      <w:r w:rsidRPr="00676759">
        <w:rPr>
          <w:sz w:val="16"/>
          <w:szCs w:val="16"/>
          <w:lang w:val="es-CR"/>
        </w:rPr>
        <w:t>Tomo</w:t>
      </w:r>
      <w:r>
        <w:rPr>
          <w:sz w:val="16"/>
          <w:szCs w:val="16"/>
          <w:lang w:val="es-CR"/>
        </w:rPr>
        <w:t xml:space="preserve"> VI, Casos Ilustrativos, Anexo 1, Caso Ilustrativo 3: Masacre de </w:t>
      </w:r>
      <w:proofErr w:type="spellStart"/>
      <w:r>
        <w:rPr>
          <w:sz w:val="16"/>
          <w:szCs w:val="16"/>
          <w:lang w:val="es-CR"/>
        </w:rPr>
        <w:t>Xamán</w:t>
      </w:r>
      <w:proofErr w:type="spellEnd"/>
      <w:r>
        <w:rPr>
          <w:sz w:val="16"/>
          <w:szCs w:val="16"/>
          <w:lang w:val="es-CR"/>
        </w:rPr>
        <w:t xml:space="preserve">, y también </w:t>
      </w:r>
      <w:r>
        <w:rPr>
          <w:sz w:val="16"/>
          <w:szCs w:val="16"/>
          <w:lang w:val="es-ES_tradnl"/>
        </w:rPr>
        <w:t xml:space="preserve">declaraciones de Efraín Grave </w:t>
      </w:r>
      <w:proofErr w:type="spellStart"/>
      <w:r>
        <w:rPr>
          <w:sz w:val="16"/>
          <w:szCs w:val="16"/>
          <w:lang w:val="es-ES_tradnl"/>
        </w:rPr>
        <w:t>Morente</w:t>
      </w:r>
      <w:proofErr w:type="spellEnd"/>
      <w:r>
        <w:rPr>
          <w:sz w:val="16"/>
          <w:szCs w:val="16"/>
          <w:lang w:val="es-ES_tradnl"/>
        </w:rPr>
        <w:t xml:space="preserve"> por afidávit (expediente de fondo, folios 601 a 611) y de Tomás Grave </w:t>
      </w:r>
      <w:proofErr w:type="spellStart"/>
      <w:r>
        <w:rPr>
          <w:sz w:val="16"/>
          <w:szCs w:val="16"/>
          <w:lang w:val="es-ES_tradnl"/>
        </w:rPr>
        <w:t>Morente</w:t>
      </w:r>
      <w:proofErr w:type="spellEnd"/>
      <w:r>
        <w:rPr>
          <w:sz w:val="16"/>
          <w:szCs w:val="16"/>
          <w:lang w:val="es-ES_tradnl"/>
        </w:rPr>
        <w:t xml:space="preserve"> ante la Corte Interamericana, </w:t>
      </w:r>
      <w:r w:rsidRPr="00E24DF8">
        <w:rPr>
          <w:i/>
          <w:sz w:val="16"/>
          <w:szCs w:val="16"/>
          <w:lang w:val="es-ES_tradnl"/>
        </w:rPr>
        <w:t>supra</w:t>
      </w:r>
      <w:r>
        <w:rPr>
          <w:sz w:val="16"/>
          <w:szCs w:val="16"/>
          <w:lang w:val="es-ES_tradnl"/>
        </w:rPr>
        <w:t>. Ellos relataron los motivos por los cuales su familia vivió en México y aquellos por los cuales regresaron a Guatemala. Asimismo, Natividad Sales Calmo, ante la Corte Interamericana, en la audiencia pública celebrada el 9 de febrero de 2018, relató los hechos que motivaron a las personas a salir de Guatemala y refugiarse en México</w:t>
      </w:r>
    </w:p>
  </w:footnote>
  <w:footnote w:id="38">
    <w:p w:rsidR="00785921" w:rsidRPr="00637508" w:rsidRDefault="00785921" w:rsidP="00126E97">
      <w:pPr>
        <w:pStyle w:val="FootnoteText"/>
        <w:spacing w:line="20" w:lineRule="atLeast"/>
        <w:rPr>
          <w:lang w:val="es-CR"/>
        </w:rPr>
      </w:pPr>
      <w:r w:rsidRPr="00A12B50">
        <w:rPr>
          <w:rStyle w:val="FootnoteReference"/>
          <w:sz w:val="16"/>
          <w:szCs w:val="16"/>
          <w:lang w:eastAsia="x-none"/>
        </w:rPr>
        <w:footnoteRef/>
      </w:r>
      <w:r w:rsidRPr="00A12B50">
        <w:rPr>
          <w:sz w:val="16"/>
          <w:szCs w:val="16"/>
          <w:lang w:val="es-CR"/>
        </w:rPr>
        <w:t xml:space="preserve"> Cabe hacer notar que también las autoridades judiciales guatemaltecas calificaron lo acontecido como “masacre” (</w:t>
      </w:r>
      <w:r>
        <w:rPr>
          <w:i/>
          <w:sz w:val="16"/>
          <w:szCs w:val="16"/>
          <w:lang w:val="es-CR"/>
        </w:rPr>
        <w:t>c</w:t>
      </w:r>
      <w:r w:rsidRPr="00676759">
        <w:rPr>
          <w:i/>
          <w:sz w:val="16"/>
          <w:szCs w:val="16"/>
          <w:lang w:val="es-CR"/>
        </w:rPr>
        <w:t>fr.</w:t>
      </w:r>
      <w:r w:rsidRPr="00637508">
        <w:rPr>
          <w:lang w:val="es-CR"/>
        </w:rPr>
        <w:t xml:space="preserve"> </w:t>
      </w:r>
      <w:r w:rsidRPr="00637508">
        <w:rPr>
          <w:sz w:val="16"/>
          <w:szCs w:val="16"/>
          <w:lang w:val="es-CR"/>
        </w:rPr>
        <w:t xml:space="preserve">Sentencia del </w:t>
      </w:r>
      <w:r>
        <w:rPr>
          <w:sz w:val="16"/>
          <w:szCs w:val="16"/>
          <w:lang w:val="es-CR"/>
        </w:rPr>
        <w:t>Tribunal de Sentencia Penal de Narcoactividad y Delitos contra el Ambiente del departamento de Alta Verapaz de 8 de julio de 2004 (e</w:t>
      </w:r>
      <w:proofErr w:type="spellStart"/>
      <w:r>
        <w:rPr>
          <w:sz w:val="16"/>
          <w:szCs w:val="16"/>
          <w:lang w:val="es-ES_tradnl"/>
        </w:rPr>
        <w:t>xpediente</w:t>
      </w:r>
      <w:proofErr w:type="spellEnd"/>
      <w:r>
        <w:rPr>
          <w:sz w:val="16"/>
          <w:szCs w:val="16"/>
          <w:lang w:val="es-ES_tradnl"/>
        </w:rPr>
        <w:t xml:space="preserve"> de prueba, anexo 29 al Informe de Fondo, folios 934 a 1424) En adelante se referirá esta decisión judicial como “sentencia de 8 de julio de 2004”). </w:t>
      </w:r>
    </w:p>
  </w:footnote>
  <w:footnote w:id="3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E221AF">
        <w:rPr>
          <w:sz w:val="16"/>
          <w:szCs w:val="16"/>
          <w:lang w:val="es-CR"/>
        </w:rPr>
        <w:t xml:space="preserve">CEH, Guatemala: Memoria del Silencio, </w:t>
      </w:r>
      <w:r w:rsidRPr="00E221AF">
        <w:rPr>
          <w:i/>
          <w:sz w:val="16"/>
          <w:szCs w:val="16"/>
          <w:lang w:val="es-CR"/>
        </w:rPr>
        <w:t>supra</w:t>
      </w:r>
      <w:r w:rsidRPr="00E221AF">
        <w:rPr>
          <w:sz w:val="16"/>
          <w:szCs w:val="16"/>
          <w:lang w:val="es-CR"/>
        </w:rPr>
        <w:t xml:space="preserve">, Tomo VI, Casos Ilustrativos, Anexo 1, Caso Ilustrativo 3: Masacre de </w:t>
      </w:r>
      <w:proofErr w:type="spellStart"/>
      <w:r w:rsidRPr="00E221AF">
        <w:rPr>
          <w:sz w:val="16"/>
          <w:szCs w:val="16"/>
          <w:lang w:val="es-CR"/>
        </w:rPr>
        <w:t>Xamán</w:t>
      </w:r>
      <w:proofErr w:type="spellEnd"/>
      <w:r w:rsidRPr="00E221AF">
        <w:rPr>
          <w:sz w:val="16"/>
          <w:szCs w:val="16"/>
          <w:lang w:val="es-CR"/>
        </w:rPr>
        <w:t xml:space="preserve">. </w:t>
      </w:r>
      <w:r>
        <w:rPr>
          <w:sz w:val="16"/>
          <w:szCs w:val="16"/>
          <w:lang w:val="es-CR"/>
        </w:rPr>
        <w:t xml:space="preserve">La CEH señaló que la patrulla estaba integrada por 26 soldados, incluyendo un niño. Pese a ello, la declaración rendida por </w:t>
      </w:r>
      <w:r w:rsidRPr="0028119E">
        <w:rPr>
          <w:sz w:val="16"/>
          <w:szCs w:val="16"/>
          <w:lang w:val="es-CR"/>
        </w:rPr>
        <w:t>AHM</w:t>
      </w:r>
      <w:r>
        <w:rPr>
          <w:sz w:val="16"/>
          <w:szCs w:val="16"/>
          <w:lang w:val="es-CR"/>
        </w:rPr>
        <w:t>, que fue remitida a la Comisión junto con la petición inicial, y aportada ante la Corte como prueba documental, refiere 27 soldados, inclusive un niño (c</w:t>
      </w:r>
      <w:r w:rsidRPr="00676759">
        <w:rPr>
          <w:i/>
          <w:sz w:val="16"/>
          <w:szCs w:val="16"/>
          <w:lang w:val="es-CR"/>
        </w:rPr>
        <w:t>fr</w:t>
      </w:r>
      <w:r>
        <w:rPr>
          <w:sz w:val="16"/>
          <w:szCs w:val="16"/>
          <w:lang w:val="es-CR"/>
        </w:rPr>
        <w:t xml:space="preserve">. expediente de prueba, anexo 3 al Informe de Fondo, folios 10 a 15). </w:t>
      </w:r>
      <w:r w:rsidRPr="00671FE6">
        <w:rPr>
          <w:sz w:val="16"/>
          <w:szCs w:val="16"/>
          <w:lang w:val="es-CR"/>
        </w:rPr>
        <w:t xml:space="preserve">Se aclara que en la presente Sentencia se </w:t>
      </w:r>
      <w:r>
        <w:rPr>
          <w:sz w:val="16"/>
          <w:szCs w:val="16"/>
          <w:lang w:val="es-CR"/>
        </w:rPr>
        <w:t>señala</w:t>
      </w:r>
      <w:r w:rsidRPr="00671FE6">
        <w:rPr>
          <w:sz w:val="16"/>
          <w:szCs w:val="16"/>
          <w:lang w:val="es-CR"/>
        </w:rPr>
        <w:t xml:space="preserve"> </w:t>
      </w:r>
      <w:r>
        <w:rPr>
          <w:sz w:val="16"/>
          <w:szCs w:val="16"/>
          <w:lang w:val="es-CR"/>
        </w:rPr>
        <w:t xml:space="preserve">con </w:t>
      </w:r>
      <w:r w:rsidRPr="00671FE6">
        <w:rPr>
          <w:sz w:val="16"/>
          <w:szCs w:val="16"/>
          <w:lang w:val="es-CR"/>
        </w:rPr>
        <w:t xml:space="preserve">iniciales </w:t>
      </w:r>
      <w:r>
        <w:rPr>
          <w:sz w:val="16"/>
          <w:szCs w:val="16"/>
          <w:lang w:val="es-CR"/>
        </w:rPr>
        <w:t>a algunas personas cuya actuación consta en documentos de actuaciones internas y sin que surja que hayan tenido relación con el trámite del caso en el ámbito internacional o intervención alguna ante la Comisión Interamericana o la Corte Interamericana.</w:t>
      </w:r>
    </w:p>
  </w:footnote>
  <w:footnote w:id="40">
    <w:p w:rsidR="00785921" w:rsidRPr="00AF3CD6"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 xml:space="preserve">Cfr. </w:t>
      </w:r>
      <w:r>
        <w:rPr>
          <w:sz w:val="16"/>
          <w:szCs w:val="16"/>
          <w:lang w:val="es-CR"/>
        </w:rPr>
        <w:t xml:space="preserve">Declaración rendida por AHM, </w:t>
      </w:r>
      <w:r>
        <w:rPr>
          <w:i/>
          <w:sz w:val="16"/>
          <w:szCs w:val="16"/>
          <w:lang w:val="es-CR"/>
        </w:rPr>
        <w:t>supra</w:t>
      </w:r>
      <w:r>
        <w:rPr>
          <w:sz w:val="16"/>
          <w:szCs w:val="16"/>
          <w:lang w:val="es-CR"/>
        </w:rPr>
        <w:t>. De acuerdo con la sentencia de 8 de julio de 2004 (</w:t>
      </w:r>
      <w:r>
        <w:rPr>
          <w:i/>
          <w:sz w:val="16"/>
          <w:szCs w:val="16"/>
          <w:lang w:val="es-CR"/>
        </w:rPr>
        <w:t>infra</w:t>
      </w:r>
      <w:r>
        <w:rPr>
          <w:sz w:val="16"/>
          <w:szCs w:val="16"/>
          <w:lang w:val="es-CR"/>
        </w:rPr>
        <w:t xml:space="preserve"> párr. 64), los soldados fueron vistos por primera vez a las 10 horas, luego de lo cual se apartaron del camino principal pasando por un área boscosa cercana a las instalaciones de una escuela, siendo observados por niños y/o niñas que se encontraban en hora de recreo, quienes alertaron a las autoridades escolares (</w:t>
      </w:r>
      <w:r>
        <w:rPr>
          <w:i/>
          <w:sz w:val="16"/>
          <w:szCs w:val="16"/>
          <w:lang w:val="es-CR"/>
        </w:rPr>
        <w:t>cfr.</w:t>
      </w:r>
      <w:r>
        <w:rPr>
          <w:sz w:val="16"/>
          <w:szCs w:val="16"/>
          <w:lang w:val="es-CR"/>
        </w:rPr>
        <w:t xml:space="preserve"> sentencia de 8 de julio de 2004, </w:t>
      </w:r>
      <w:r>
        <w:rPr>
          <w:i/>
          <w:sz w:val="16"/>
          <w:szCs w:val="16"/>
          <w:lang w:val="es-CR"/>
        </w:rPr>
        <w:t>supra</w:t>
      </w:r>
      <w:r>
        <w:rPr>
          <w:sz w:val="16"/>
          <w:szCs w:val="16"/>
          <w:lang w:val="es-ES_tradnl"/>
        </w:rPr>
        <w:t xml:space="preserve"> y, </w:t>
      </w:r>
      <w:r>
        <w:rPr>
          <w:sz w:val="16"/>
          <w:szCs w:val="16"/>
          <w:lang w:val="es-EC"/>
        </w:rPr>
        <w:t xml:space="preserve">en igual sentido, la </w:t>
      </w:r>
      <w:r>
        <w:rPr>
          <w:sz w:val="16"/>
          <w:szCs w:val="16"/>
          <w:lang w:val="es-CR"/>
        </w:rPr>
        <w:t>d</w:t>
      </w:r>
      <w:r w:rsidRPr="00637508">
        <w:rPr>
          <w:sz w:val="16"/>
          <w:szCs w:val="16"/>
          <w:lang w:val="es-CR"/>
        </w:rPr>
        <w:t xml:space="preserve">eclaración rendida por </w:t>
      </w:r>
      <w:r>
        <w:rPr>
          <w:sz w:val="16"/>
          <w:szCs w:val="16"/>
          <w:lang w:val="es-CR"/>
        </w:rPr>
        <w:t>A</w:t>
      </w:r>
      <w:r w:rsidRPr="00637508">
        <w:rPr>
          <w:sz w:val="16"/>
          <w:szCs w:val="16"/>
          <w:lang w:val="es-CR"/>
        </w:rPr>
        <w:t xml:space="preserve">, </w:t>
      </w:r>
      <w:r>
        <w:rPr>
          <w:sz w:val="16"/>
          <w:szCs w:val="16"/>
          <w:lang w:val="es-CR"/>
        </w:rPr>
        <w:t>de quien en la misma se señala miembro de la Comunidad, que fue remitida a la Comisión junto con la petición inicial, y aportada ante la Corte como prueba documental (e</w:t>
      </w:r>
      <w:r w:rsidRPr="00637508">
        <w:rPr>
          <w:sz w:val="16"/>
          <w:szCs w:val="16"/>
          <w:lang w:val="es-CR"/>
        </w:rPr>
        <w:t xml:space="preserve">xpediente de prueba, </w:t>
      </w:r>
      <w:r>
        <w:rPr>
          <w:sz w:val="16"/>
          <w:szCs w:val="16"/>
          <w:lang w:val="es-CR"/>
        </w:rPr>
        <w:t>a</w:t>
      </w:r>
      <w:r w:rsidRPr="00637508">
        <w:rPr>
          <w:sz w:val="16"/>
          <w:szCs w:val="16"/>
          <w:lang w:val="es-CR"/>
        </w:rPr>
        <w:t>nexo 3 al Informe de Fondo, folio</w:t>
      </w:r>
      <w:r>
        <w:rPr>
          <w:sz w:val="16"/>
          <w:szCs w:val="16"/>
          <w:lang w:val="es-CR"/>
        </w:rPr>
        <w:t>s</w:t>
      </w:r>
      <w:r w:rsidRPr="00637508">
        <w:rPr>
          <w:sz w:val="16"/>
          <w:szCs w:val="16"/>
          <w:lang w:val="es-CR"/>
        </w:rPr>
        <w:t xml:space="preserve"> </w:t>
      </w:r>
      <w:r>
        <w:rPr>
          <w:sz w:val="16"/>
          <w:szCs w:val="16"/>
          <w:lang w:val="es-CR"/>
        </w:rPr>
        <w:t>5 a 8)</w:t>
      </w:r>
      <w:r w:rsidRPr="00637508">
        <w:rPr>
          <w:sz w:val="16"/>
          <w:szCs w:val="16"/>
          <w:lang w:val="es-CR"/>
        </w:rPr>
        <w:t>.</w:t>
      </w:r>
      <w:r>
        <w:rPr>
          <w:sz w:val="16"/>
          <w:szCs w:val="16"/>
          <w:lang w:val="es-ES_tradnl"/>
        </w:rPr>
        <w:t xml:space="preserve">Tomás Grave </w:t>
      </w:r>
      <w:proofErr w:type="spellStart"/>
      <w:r>
        <w:rPr>
          <w:sz w:val="16"/>
          <w:szCs w:val="16"/>
          <w:lang w:val="es-ES_tradnl"/>
        </w:rPr>
        <w:t>Morente</w:t>
      </w:r>
      <w:proofErr w:type="spellEnd"/>
      <w:r>
        <w:rPr>
          <w:sz w:val="16"/>
          <w:szCs w:val="16"/>
          <w:lang w:val="es-ES_tradnl"/>
        </w:rPr>
        <w:t xml:space="preserve">, en su declaración ante la Corte Interamericana , </w:t>
      </w:r>
      <w:r w:rsidRPr="00E24DF8">
        <w:rPr>
          <w:i/>
          <w:sz w:val="16"/>
          <w:szCs w:val="16"/>
          <w:lang w:val="es-ES_tradnl"/>
        </w:rPr>
        <w:t>supra,</w:t>
      </w:r>
      <w:r>
        <w:rPr>
          <w:sz w:val="16"/>
          <w:szCs w:val="16"/>
          <w:lang w:val="es-ES_tradnl"/>
        </w:rPr>
        <w:t xml:space="preserve"> , sostuvo que </w:t>
      </w:r>
      <w:r w:rsidRPr="00637508">
        <w:rPr>
          <w:sz w:val="16"/>
          <w:szCs w:val="16"/>
          <w:lang w:val="es-CR"/>
        </w:rPr>
        <w:t xml:space="preserve">cuando </w:t>
      </w:r>
      <w:r w:rsidRPr="00AF3CD6">
        <w:rPr>
          <w:sz w:val="16"/>
          <w:szCs w:val="16"/>
          <w:lang w:val="es-CR"/>
        </w:rPr>
        <w:t>los pobladores escucharon que había presencia de soldados, se fueron acercando a ver qué estaba pasando.</w:t>
      </w:r>
      <w:r w:rsidRPr="00AF3CD6">
        <w:rPr>
          <w:b/>
          <w:sz w:val="16"/>
          <w:szCs w:val="16"/>
          <w:lang w:val="es-CR"/>
        </w:rPr>
        <w:t xml:space="preserve"> </w:t>
      </w:r>
    </w:p>
  </w:footnote>
  <w:footnote w:id="41">
    <w:p w:rsidR="00785921" w:rsidRPr="00AF3CD6" w:rsidRDefault="00785921" w:rsidP="00126E97">
      <w:pPr>
        <w:pStyle w:val="FootnoteText"/>
        <w:spacing w:line="20" w:lineRule="atLeast"/>
        <w:rPr>
          <w:sz w:val="16"/>
          <w:szCs w:val="16"/>
          <w:lang w:val="es-CR"/>
        </w:rPr>
      </w:pPr>
      <w:r w:rsidRPr="00AF3CD6">
        <w:rPr>
          <w:rStyle w:val="FootnoteReference"/>
          <w:sz w:val="16"/>
          <w:szCs w:val="16"/>
          <w:lang w:eastAsia="x-none"/>
        </w:rPr>
        <w:footnoteRef/>
      </w:r>
      <w:r w:rsidRPr="00AF3CD6">
        <w:rPr>
          <w:sz w:val="16"/>
          <w:szCs w:val="16"/>
          <w:lang w:val="es-CR"/>
        </w:rPr>
        <w:t xml:space="preserve"> </w:t>
      </w:r>
      <w:r w:rsidRPr="00AF3CD6">
        <w:rPr>
          <w:i/>
          <w:sz w:val="16"/>
          <w:szCs w:val="16"/>
          <w:lang w:val="es-CR"/>
        </w:rPr>
        <w:t>Cfr.</w:t>
      </w:r>
      <w:r w:rsidRPr="00AF3CD6">
        <w:rPr>
          <w:sz w:val="16"/>
          <w:szCs w:val="16"/>
          <w:lang w:val="es-CR"/>
        </w:rPr>
        <w:t xml:space="preserve"> sentencia de 8 de julio de 2004, </w:t>
      </w:r>
      <w:r w:rsidRPr="00AF3CD6">
        <w:rPr>
          <w:i/>
          <w:sz w:val="16"/>
          <w:szCs w:val="16"/>
          <w:lang w:val="es-CR"/>
        </w:rPr>
        <w:t>supra</w:t>
      </w:r>
      <w:r w:rsidRPr="00AF3CD6">
        <w:rPr>
          <w:sz w:val="16"/>
          <w:szCs w:val="16"/>
          <w:lang w:val="es-ES_tradnl"/>
        </w:rPr>
        <w:t xml:space="preserve">. </w:t>
      </w:r>
    </w:p>
  </w:footnote>
  <w:footnote w:id="42">
    <w:p w:rsidR="00785921" w:rsidRPr="00D545C0" w:rsidRDefault="00785921" w:rsidP="00126E97">
      <w:pPr>
        <w:pStyle w:val="FootnoteText"/>
        <w:spacing w:line="20" w:lineRule="atLeast"/>
        <w:rPr>
          <w:sz w:val="16"/>
          <w:szCs w:val="16"/>
          <w:lang w:val="es-CR"/>
        </w:rPr>
      </w:pPr>
      <w:r w:rsidRPr="00AF3CD6">
        <w:rPr>
          <w:rStyle w:val="FootnoteReference"/>
          <w:sz w:val="16"/>
          <w:szCs w:val="16"/>
          <w:lang w:eastAsia="x-none"/>
        </w:rPr>
        <w:footnoteRef/>
      </w:r>
      <w:r w:rsidRPr="00AF3CD6">
        <w:rPr>
          <w:sz w:val="16"/>
          <w:szCs w:val="16"/>
          <w:lang w:val="es-CR"/>
        </w:rPr>
        <w:t xml:space="preserve"> Efraín</w:t>
      </w:r>
      <w:r>
        <w:rPr>
          <w:sz w:val="16"/>
          <w:szCs w:val="16"/>
          <w:lang w:val="es-CR"/>
        </w:rPr>
        <w:t xml:space="preserve"> Grave </w:t>
      </w:r>
      <w:proofErr w:type="spellStart"/>
      <w:r>
        <w:rPr>
          <w:sz w:val="16"/>
          <w:szCs w:val="16"/>
          <w:lang w:val="es-CR"/>
        </w:rPr>
        <w:t>Morente</w:t>
      </w:r>
      <w:proofErr w:type="spellEnd"/>
      <w:r>
        <w:rPr>
          <w:sz w:val="16"/>
          <w:szCs w:val="16"/>
          <w:lang w:val="es-CR"/>
        </w:rPr>
        <w:t xml:space="preserve"> manifestó que los militares señalaron que se perdieron y que luego cambiaron la versión e indicaron que querían participar de las actividades de conmemoración por el año de existencia de la Comunidad (</w:t>
      </w:r>
      <w:r w:rsidRPr="00676759">
        <w:rPr>
          <w:i/>
          <w:sz w:val="16"/>
          <w:szCs w:val="16"/>
          <w:lang w:val="es-CR"/>
        </w:rPr>
        <w:t>cfr.</w:t>
      </w:r>
      <w:r>
        <w:rPr>
          <w:sz w:val="16"/>
          <w:szCs w:val="16"/>
          <w:lang w:val="es-CR"/>
        </w:rPr>
        <w:t xml:space="preserve"> d</w:t>
      </w:r>
      <w:proofErr w:type="spellStart"/>
      <w:r>
        <w:rPr>
          <w:sz w:val="16"/>
          <w:szCs w:val="16"/>
          <w:lang w:val="es-ES_tradnl"/>
        </w:rPr>
        <w:t>eclaración</w:t>
      </w:r>
      <w:proofErr w:type="spellEnd"/>
      <w:r>
        <w:rPr>
          <w:sz w:val="16"/>
          <w:szCs w:val="16"/>
          <w:lang w:val="es-ES_tradnl"/>
        </w:rPr>
        <w:t xml:space="preserve"> testimonial de Efraín Grave </w:t>
      </w:r>
      <w:proofErr w:type="spellStart"/>
      <w:r>
        <w:rPr>
          <w:sz w:val="16"/>
          <w:szCs w:val="16"/>
          <w:lang w:val="es-ES_tradnl"/>
        </w:rPr>
        <w:t>Morente</w:t>
      </w:r>
      <w:proofErr w:type="spellEnd"/>
      <w:r>
        <w:rPr>
          <w:sz w:val="16"/>
          <w:szCs w:val="16"/>
          <w:lang w:val="es-ES_tradnl"/>
        </w:rPr>
        <w:t xml:space="preserve"> ante el Organismo Judicial Guatemala, C.A </w:t>
      </w:r>
      <w:r w:rsidRPr="00676759">
        <w:rPr>
          <w:sz w:val="16"/>
          <w:szCs w:val="16"/>
          <w:lang w:val="es-ES_tradnl"/>
        </w:rPr>
        <w:t>(expediente</w:t>
      </w:r>
      <w:r>
        <w:rPr>
          <w:sz w:val="16"/>
          <w:szCs w:val="16"/>
          <w:lang w:val="es-ES_tradnl"/>
        </w:rPr>
        <w:t xml:space="preserve"> </w:t>
      </w:r>
      <w:r w:rsidRPr="00676759">
        <w:rPr>
          <w:sz w:val="16"/>
          <w:szCs w:val="16"/>
          <w:lang w:val="es-ES_tradnl"/>
        </w:rPr>
        <w:t xml:space="preserve">de prueba, anexo 1 </w:t>
      </w:r>
      <w:r>
        <w:rPr>
          <w:sz w:val="16"/>
          <w:szCs w:val="16"/>
          <w:lang w:val="es-ES_tradnl"/>
        </w:rPr>
        <w:t xml:space="preserve">a los </w:t>
      </w:r>
      <w:r w:rsidRPr="00676759">
        <w:rPr>
          <w:sz w:val="16"/>
          <w:szCs w:val="16"/>
          <w:lang w:val="es-ES_tradnl"/>
        </w:rPr>
        <w:t>alegatos finales escritos</w:t>
      </w:r>
      <w:r>
        <w:rPr>
          <w:sz w:val="16"/>
          <w:szCs w:val="16"/>
          <w:lang w:val="es-ES_tradnl"/>
        </w:rPr>
        <w:t xml:space="preserve"> del Estado,</w:t>
      </w:r>
      <w:r w:rsidRPr="00676759">
        <w:rPr>
          <w:sz w:val="16"/>
          <w:szCs w:val="16"/>
          <w:lang w:val="es-ES_tradnl"/>
        </w:rPr>
        <w:t xml:space="preserve"> folio</w:t>
      </w:r>
      <w:r>
        <w:rPr>
          <w:sz w:val="16"/>
          <w:szCs w:val="16"/>
          <w:lang w:val="es-ES_tradnl"/>
        </w:rPr>
        <w:t>s</w:t>
      </w:r>
      <w:r w:rsidRPr="00676759">
        <w:rPr>
          <w:sz w:val="16"/>
          <w:szCs w:val="16"/>
          <w:lang w:val="es-ES_tradnl"/>
        </w:rPr>
        <w:t xml:space="preserve"> 551</w:t>
      </w:r>
      <w:r>
        <w:rPr>
          <w:sz w:val="16"/>
          <w:szCs w:val="16"/>
          <w:lang w:val="es-ES_tradnl"/>
        </w:rPr>
        <w:t>1 a 5516); declaración dada en videograbación incorporada como prueba documental, adjunta al escrito de solicitudes y argumentos</w:t>
      </w:r>
      <w:r>
        <w:rPr>
          <w:b/>
          <w:sz w:val="16"/>
          <w:szCs w:val="16"/>
          <w:lang w:val="es-ES_tradnl"/>
        </w:rPr>
        <w:t xml:space="preserve"> </w:t>
      </w:r>
      <w:r>
        <w:rPr>
          <w:sz w:val="16"/>
          <w:szCs w:val="16"/>
          <w:lang w:val="es-ES_tradnl"/>
        </w:rPr>
        <w:t xml:space="preserve">y declaración rendida ante la Corte por afidávit, </w:t>
      </w:r>
      <w:r w:rsidRPr="00E24DF8">
        <w:rPr>
          <w:i/>
          <w:sz w:val="16"/>
          <w:szCs w:val="16"/>
          <w:lang w:val="es-ES_tradnl"/>
        </w:rPr>
        <w:t>supra</w:t>
      </w:r>
      <w:r>
        <w:rPr>
          <w:sz w:val="16"/>
          <w:szCs w:val="16"/>
          <w:lang w:val="es-ES_tradnl"/>
        </w:rPr>
        <w:t>.</w:t>
      </w:r>
      <w:r>
        <w:rPr>
          <w:sz w:val="16"/>
          <w:szCs w:val="16"/>
          <w:lang w:val="es-CR"/>
        </w:rPr>
        <w:t xml:space="preserve"> La sentencia condenatoria de 8 de julio de 2004 señala la versión de que los integrantes del ejército solicitaron participar en las festividades previstas para conmemorar el primer aniversario de la Comunidad (</w:t>
      </w:r>
      <w:r w:rsidRPr="00676759">
        <w:rPr>
          <w:i/>
          <w:sz w:val="16"/>
          <w:szCs w:val="16"/>
          <w:lang w:val="es-CR"/>
        </w:rPr>
        <w:t>cfr.</w:t>
      </w:r>
      <w:r>
        <w:rPr>
          <w:sz w:val="16"/>
          <w:szCs w:val="16"/>
          <w:lang w:val="es-CR"/>
        </w:rPr>
        <w:t xml:space="preserve"> s</w:t>
      </w:r>
      <w:r w:rsidRPr="00637508">
        <w:rPr>
          <w:sz w:val="16"/>
          <w:szCs w:val="16"/>
          <w:lang w:val="es-CR"/>
        </w:rPr>
        <w:t>entencia de</w:t>
      </w:r>
      <w:r>
        <w:rPr>
          <w:sz w:val="16"/>
          <w:szCs w:val="16"/>
          <w:lang w:val="es-CR"/>
        </w:rPr>
        <w:t xml:space="preserve"> 8 de julio de 2004, </w:t>
      </w:r>
      <w:r w:rsidRPr="00745BF3">
        <w:rPr>
          <w:i/>
          <w:sz w:val="16"/>
          <w:szCs w:val="16"/>
          <w:lang w:val="es-CR"/>
        </w:rPr>
        <w:t>supra</w:t>
      </w:r>
      <w:r w:rsidRPr="00D545C0">
        <w:rPr>
          <w:sz w:val="16"/>
          <w:szCs w:val="16"/>
          <w:lang w:val="es-ES_tradnl"/>
        </w:rPr>
        <w:t xml:space="preserve">). También se ha indicado que </w:t>
      </w:r>
      <w:r w:rsidRPr="00D545C0">
        <w:rPr>
          <w:sz w:val="16"/>
          <w:szCs w:val="16"/>
          <w:lang w:val="es-CR"/>
        </w:rPr>
        <w:t>se exigió a los militares ingresar al centro de la Comunidad, para que explicasen su presencia en el lugar (</w:t>
      </w:r>
      <w:r w:rsidRPr="00D545C0">
        <w:rPr>
          <w:i/>
          <w:sz w:val="16"/>
          <w:szCs w:val="16"/>
          <w:lang w:val="es-CR"/>
        </w:rPr>
        <w:t>cfr</w:t>
      </w:r>
      <w:r w:rsidRPr="00D545C0">
        <w:rPr>
          <w:sz w:val="16"/>
          <w:szCs w:val="16"/>
          <w:lang w:val="es-CR"/>
        </w:rPr>
        <w:t xml:space="preserve">. CEH, Guatemala: Memoria del Silencio, </w:t>
      </w:r>
      <w:r w:rsidRPr="00D545C0">
        <w:rPr>
          <w:i/>
          <w:sz w:val="16"/>
          <w:szCs w:val="16"/>
          <w:lang w:val="es-CR"/>
        </w:rPr>
        <w:t>supra</w:t>
      </w:r>
      <w:r w:rsidRPr="00D545C0">
        <w:rPr>
          <w:sz w:val="16"/>
          <w:szCs w:val="16"/>
          <w:lang w:val="es-CR"/>
        </w:rPr>
        <w:t xml:space="preserve">, Tomo VI, Casos Ilustrativos, Anexo 1, Caso Ilustrativo 3: Masacre de </w:t>
      </w:r>
      <w:proofErr w:type="spellStart"/>
      <w:r w:rsidRPr="00D545C0">
        <w:rPr>
          <w:sz w:val="16"/>
          <w:szCs w:val="16"/>
          <w:lang w:val="es-CR"/>
        </w:rPr>
        <w:t>Xamán</w:t>
      </w:r>
      <w:proofErr w:type="spellEnd"/>
      <w:r w:rsidRPr="00D545C0">
        <w:rPr>
          <w:sz w:val="16"/>
          <w:szCs w:val="16"/>
          <w:lang w:val="es-CR"/>
        </w:rPr>
        <w:t xml:space="preserve">). </w:t>
      </w:r>
    </w:p>
  </w:footnote>
  <w:footnote w:id="43">
    <w:p w:rsidR="00785921" w:rsidRPr="00637508" w:rsidRDefault="00785921" w:rsidP="00126E97">
      <w:pPr>
        <w:pStyle w:val="FootnoteText"/>
        <w:spacing w:line="20" w:lineRule="atLeast"/>
        <w:rPr>
          <w:lang w:val="es-CR"/>
        </w:rPr>
      </w:pPr>
      <w:r w:rsidRPr="00D545C0">
        <w:rPr>
          <w:rStyle w:val="FootnoteReference"/>
          <w:sz w:val="16"/>
          <w:szCs w:val="16"/>
          <w:lang w:eastAsia="x-none"/>
        </w:rPr>
        <w:footnoteRef/>
      </w:r>
      <w:r w:rsidRPr="00D545C0">
        <w:rPr>
          <w:sz w:val="16"/>
          <w:szCs w:val="16"/>
          <w:lang w:val="es-CR"/>
        </w:rPr>
        <w:t xml:space="preserve"> </w:t>
      </w:r>
      <w:r w:rsidRPr="00D545C0">
        <w:rPr>
          <w:i/>
          <w:sz w:val="16"/>
          <w:szCs w:val="16"/>
          <w:lang w:val="es-CR"/>
        </w:rPr>
        <w:t>Cfr.</w:t>
      </w:r>
      <w:r>
        <w:rPr>
          <w:sz w:val="16"/>
          <w:szCs w:val="16"/>
          <w:lang w:val="es-CR"/>
        </w:rPr>
        <w:t xml:space="preserve"> s</w:t>
      </w:r>
      <w:r w:rsidRPr="00D545C0">
        <w:rPr>
          <w:sz w:val="16"/>
          <w:szCs w:val="16"/>
          <w:lang w:val="es-CR"/>
        </w:rPr>
        <w:t>entencia de</w:t>
      </w:r>
      <w:r>
        <w:rPr>
          <w:sz w:val="16"/>
          <w:szCs w:val="16"/>
          <w:lang w:val="es-CR"/>
        </w:rPr>
        <w:t xml:space="preserve"> 8 de julio de 2004, </w:t>
      </w:r>
      <w:r w:rsidRPr="00745BF3">
        <w:rPr>
          <w:i/>
          <w:sz w:val="16"/>
          <w:szCs w:val="16"/>
          <w:lang w:val="es-CR"/>
        </w:rPr>
        <w:t>supra</w:t>
      </w:r>
      <w:r>
        <w:rPr>
          <w:sz w:val="16"/>
          <w:szCs w:val="16"/>
          <w:lang w:val="es-ES_tradnl"/>
        </w:rPr>
        <w:t xml:space="preserve">. </w:t>
      </w:r>
    </w:p>
  </w:footnote>
  <w:footnote w:id="44">
    <w:p w:rsidR="00785921" w:rsidRPr="00E221AF" w:rsidRDefault="00785921" w:rsidP="00126E97">
      <w:pPr>
        <w:spacing w:after="0" w:line="20" w:lineRule="atLeast"/>
        <w:rPr>
          <w:rFonts w:ascii="Verdana" w:hAnsi="Verdana"/>
          <w:sz w:val="16"/>
          <w:szCs w:val="16"/>
          <w:lang w:val="es-EC"/>
        </w:rPr>
      </w:pPr>
      <w:r w:rsidRPr="00E221AF">
        <w:rPr>
          <w:rStyle w:val="FootnoteReference"/>
          <w:rFonts w:ascii="Verdana" w:hAnsi="Verdana"/>
          <w:sz w:val="16"/>
          <w:szCs w:val="16"/>
          <w:lang w:val="es-EC" w:eastAsia="x-none"/>
        </w:rPr>
        <w:footnoteRef/>
      </w:r>
      <w:r w:rsidRPr="00E221AF">
        <w:rPr>
          <w:rFonts w:ascii="Verdana" w:hAnsi="Verdana"/>
          <w:sz w:val="16"/>
          <w:szCs w:val="16"/>
          <w:lang w:val="es-CR"/>
        </w:rPr>
        <w:t xml:space="preserve"> </w:t>
      </w:r>
      <w:r w:rsidRPr="00115440">
        <w:rPr>
          <w:rFonts w:ascii="Verdana" w:hAnsi="Verdana"/>
          <w:i/>
          <w:sz w:val="16"/>
          <w:szCs w:val="16"/>
          <w:lang w:val="es-CR"/>
        </w:rPr>
        <w:t>Cfr.</w:t>
      </w:r>
      <w:r>
        <w:rPr>
          <w:rFonts w:ascii="Verdana" w:hAnsi="Verdana"/>
          <w:sz w:val="16"/>
          <w:szCs w:val="16"/>
          <w:lang w:val="es-CR"/>
        </w:rPr>
        <w:t xml:space="preserve"> </w:t>
      </w:r>
      <w:r w:rsidRPr="00E221AF">
        <w:rPr>
          <w:rFonts w:ascii="Verdana" w:hAnsi="Verdana"/>
          <w:sz w:val="16"/>
          <w:szCs w:val="16"/>
          <w:lang w:val="es-CR"/>
        </w:rPr>
        <w:t xml:space="preserve">Declaración rendida por </w:t>
      </w:r>
      <w:r>
        <w:rPr>
          <w:rFonts w:ascii="Verdana" w:hAnsi="Verdana"/>
          <w:sz w:val="16"/>
          <w:szCs w:val="16"/>
          <w:lang w:val="es-CR"/>
        </w:rPr>
        <w:t>A</w:t>
      </w:r>
      <w:r w:rsidRPr="00E221AF">
        <w:rPr>
          <w:rFonts w:ascii="Verdana" w:hAnsi="Verdana"/>
          <w:sz w:val="16"/>
          <w:szCs w:val="16"/>
          <w:lang w:val="es-CR"/>
        </w:rPr>
        <w:t xml:space="preserve">, </w:t>
      </w:r>
      <w:r w:rsidRPr="00E221AF">
        <w:rPr>
          <w:rFonts w:ascii="Verdana" w:hAnsi="Verdana"/>
          <w:i/>
          <w:sz w:val="16"/>
          <w:szCs w:val="16"/>
          <w:lang w:val="es-CR"/>
        </w:rPr>
        <w:t>supra</w:t>
      </w:r>
      <w:r w:rsidRPr="00E221AF">
        <w:rPr>
          <w:rFonts w:ascii="Verdana" w:hAnsi="Verdana"/>
          <w:sz w:val="16"/>
          <w:szCs w:val="16"/>
          <w:lang w:val="es-CR"/>
        </w:rPr>
        <w:t>.</w:t>
      </w:r>
    </w:p>
  </w:footnote>
  <w:footnote w:id="4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115440">
        <w:rPr>
          <w:i/>
          <w:sz w:val="16"/>
          <w:szCs w:val="16"/>
          <w:lang w:val="es-CR"/>
        </w:rPr>
        <w:t>Cfr.</w:t>
      </w:r>
      <w:r>
        <w:rPr>
          <w:sz w:val="16"/>
          <w:szCs w:val="16"/>
          <w:lang w:val="es-CR"/>
        </w:rPr>
        <w:t xml:space="preserve"> Declaración rendida por </w:t>
      </w:r>
      <w:r w:rsidRPr="00D108B6">
        <w:rPr>
          <w:sz w:val="16"/>
          <w:szCs w:val="16"/>
          <w:lang w:val="es-CR"/>
        </w:rPr>
        <w:t>PAR</w:t>
      </w:r>
      <w:r w:rsidRPr="00115440">
        <w:rPr>
          <w:sz w:val="16"/>
          <w:szCs w:val="16"/>
          <w:lang w:val="es-CR"/>
        </w:rPr>
        <w:t xml:space="preserve"> </w:t>
      </w:r>
      <w:r>
        <w:rPr>
          <w:sz w:val="16"/>
          <w:szCs w:val="16"/>
          <w:lang w:val="es-CR"/>
        </w:rPr>
        <w:t>que fue remitida a la Comisión junto con la petición inicial, y aportada ante la Corte como prueba documental (expediente de prueba, anexo 3 al Informe de Fondo folios 15 a 18).</w:t>
      </w:r>
    </w:p>
  </w:footnote>
  <w:footnote w:id="4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i/>
          <w:sz w:val="16"/>
          <w:szCs w:val="16"/>
          <w:lang w:val="es-CR"/>
        </w:rPr>
        <w:t>Cfr.</w:t>
      </w:r>
      <w:r>
        <w:rPr>
          <w:sz w:val="16"/>
          <w:szCs w:val="16"/>
          <w:lang w:val="es-CR"/>
        </w:rPr>
        <w:t xml:space="preserve"> s</w:t>
      </w:r>
      <w:r w:rsidRPr="00637508">
        <w:rPr>
          <w:sz w:val="16"/>
          <w:szCs w:val="16"/>
          <w:lang w:val="es-CR"/>
        </w:rPr>
        <w:t>entencia de</w:t>
      </w:r>
      <w:r>
        <w:rPr>
          <w:sz w:val="16"/>
          <w:szCs w:val="16"/>
          <w:lang w:val="es-CR"/>
        </w:rPr>
        <w:t xml:space="preserve"> 8 de julio de 2004, </w:t>
      </w:r>
      <w:r w:rsidRPr="00745BF3">
        <w:rPr>
          <w:i/>
          <w:sz w:val="16"/>
          <w:szCs w:val="16"/>
          <w:lang w:val="es-CR"/>
        </w:rPr>
        <w:t>supra</w:t>
      </w:r>
      <w:r>
        <w:rPr>
          <w:sz w:val="16"/>
          <w:szCs w:val="16"/>
          <w:lang w:val="es-ES_tradnl"/>
        </w:rPr>
        <w:t xml:space="preserve">. </w:t>
      </w:r>
      <w:r w:rsidRPr="00637508">
        <w:rPr>
          <w:sz w:val="16"/>
          <w:szCs w:val="16"/>
          <w:lang w:val="es-CR"/>
        </w:rPr>
        <w:t xml:space="preserve">Distintas declaraciones de sobrevivientes de la masacre señalaron que se les indicó a los soldados que se llamaría a </w:t>
      </w:r>
      <w:r>
        <w:rPr>
          <w:sz w:val="16"/>
          <w:szCs w:val="16"/>
          <w:lang w:val="es-CR"/>
        </w:rPr>
        <w:t>MINUGUA a fin de determinar si podía o no ingresar. Puede confrontarse, en ese sentido, la d</w:t>
      </w:r>
      <w:proofErr w:type="spellStart"/>
      <w:r>
        <w:rPr>
          <w:sz w:val="16"/>
          <w:szCs w:val="16"/>
          <w:lang w:val="es-ES_tradnl"/>
        </w:rPr>
        <w:t>eclaración</w:t>
      </w:r>
      <w:proofErr w:type="spellEnd"/>
      <w:r>
        <w:rPr>
          <w:sz w:val="16"/>
          <w:szCs w:val="16"/>
          <w:lang w:val="es-ES_tradnl"/>
        </w:rPr>
        <w:t xml:space="preserve"> Testimonial ante el Organismo Judicial Guatemala, C.A, de Efraín Grave </w:t>
      </w:r>
      <w:proofErr w:type="spellStart"/>
      <w:r>
        <w:rPr>
          <w:sz w:val="16"/>
          <w:szCs w:val="16"/>
          <w:lang w:val="es-ES_tradnl"/>
        </w:rPr>
        <w:t>Morente</w:t>
      </w:r>
      <w:proofErr w:type="spellEnd"/>
      <w:r>
        <w:rPr>
          <w:sz w:val="16"/>
          <w:szCs w:val="16"/>
          <w:lang w:val="es-ES_tradnl"/>
        </w:rPr>
        <w:t xml:space="preserve">, </w:t>
      </w:r>
      <w:r>
        <w:rPr>
          <w:i/>
          <w:sz w:val="16"/>
          <w:szCs w:val="16"/>
          <w:lang w:val="es-ES_tradnl"/>
        </w:rPr>
        <w:t>supra</w:t>
      </w:r>
      <w:r>
        <w:rPr>
          <w:sz w:val="16"/>
          <w:szCs w:val="16"/>
          <w:lang w:val="es-ES_tradnl"/>
        </w:rPr>
        <w:t>,</w:t>
      </w:r>
      <w:r w:rsidRPr="00767F34">
        <w:rPr>
          <w:sz w:val="16"/>
          <w:szCs w:val="16"/>
          <w:lang w:val="es-ES_tradnl"/>
        </w:rPr>
        <w:t xml:space="preserve"> </w:t>
      </w:r>
      <w:r>
        <w:rPr>
          <w:sz w:val="16"/>
          <w:szCs w:val="16"/>
          <w:lang w:val="es-ES_tradnl"/>
        </w:rPr>
        <w:t xml:space="preserve">y su declaración ante la Corte, </w:t>
      </w:r>
      <w:r w:rsidRPr="00D43974">
        <w:rPr>
          <w:i/>
          <w:sz w:val="16"/>
          <w:szCs w:val="16"/>
          <w:lang w:val="es-ES_tradnl"/>
        </w:rPr>
        <w:t>supra</w:t>
      </w:r>
      <w:r>
        <w:rPr>
          <w:sz w:val="16"/>
          <w:szCs w:val="16"/>
          <w:lang w:val="es-ES_tradnl"/>
        </w:rPr>
        <w:t>.</w:t>
      </w:r>
    </w:p>
  </w:footnote>
  <w:footnote w:id="47">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CR"/>
        </w:rPr>
        <w:t xml:space="preserve"> </w:t>
      </w:r>
      <w:r>
        <w:rPr>
          <w:i/>
          <w:sz w:val="16"/>
          <w:szCs w:val="16"/>
          <w:lang w:val="es-CR"/>
        </w:rPr>
        <w:t>Cfr.</w:t>
      </w:r>
      <w:r>
        <w:rPr>
          <w:sz w:val="16"/>
          <w:szCs w:val="16"/>
          <w:lang w:val="es-CR"/>
        </w:rPr>
        <w:t xml:space="preserve"> s</w:t>
      </w:r>
      <w:r w:rsidRPr="00637508">
        <w:rPr>
          <w:sz w:val="16"/>
          <w:szCs w:val="16"/>
          <w:lang w:val="es-CR"/>
        </w:rPr>
        <w:t xml:space="preserve">entencia </w:t>
      </w:r>
      <w:r>
        <w:rPr>
          <w:sz w:val="16"/>
          <w:szCs w:val="16"/>
          <w:lang w:val="es-CR"/>
        </w:rPr>
        <w:t xml:space="preserve">de 8 de julio de 2004, </w:t>
      </w:r>
      <w:r w:rsidRPr="00745BF3">
        <w:rPr>
          <w:i/>
          <w:sz w:val="16"/>
          <w:szCs w:val="16"/>
          <w:lang w:val="es-CR"/>
        </w:rPr>
        <w:t>supra</w:t>
      </w:r>
      <w:r>
        <w:rPr>
          <w:sz w:val="16"/>
          <w:szCs w:val="16"/>
          <w:lang w:val="es-CR"/>
        </w:rPr>
        <w:t xml:space="preserve">. </w:t>
      </w:r>
    </w:p>
  </w:footnote>
  <w:footnote w:id="48">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w:t>
      </w:r>
      <w:r>
        <w:rPr>
          <w:sz w:val="16"/>
          <w:szCs w:val="16"/>
          <w:lang w:val="es-ES_tradnl"/>
        </w:rPr>
        <w:t xml:space="preserve">Declaración Testimonial de Efraín Grave </w:t>
      </w:r>
      <w:proofErr w:type="spellStart"/>
      <w:r>
        <w:rPr>
          <w:sz w:val="16"/>
          <w:szCs w:val="16"/>
          <w:lang w:val="es-ES_tradnl"/>
        </w:rPr>
        <w:t>Morente</w:t>
      </w:r>
      <w:proofErr w:type="spellEnd"/>
      <w:r>
        <w:rPr>
          <w:sz w:val="16"/>
          <w:szCs w:val="16"/>
          <w:lang w:val="es-ES_tradnl"/>
        </w:rPr>
        <w:t xml:space="preserve"> ante el Organismo Judicial Guatemala, C.A, </w:t>
      </w:r>
      <w:r w:rsidRPr="00676759">
        <w:rPr>
          <w:i/>
          <w:sz w:val="16"/>
          <w:szCs w:val="16"/>
          <w:lang w:val="es-ES_tradnl"/>
        </w:rPr>
        <w:t>supra</w:t>
      </w:r>
      <w:r>
        <w:rPr>
          <w:sz w:val="16"/>
          <w:szCs w:val="16"/>
          <w:lang w:val="es-ES_tradnl"/>
        </w:rPr>
        <w:t xml:space="preserve">, en la que indica que intentó salir, pero en principio no pudo, porque toda la gente estaba corriendo rápidamente y que, cuando logró salir, recibió un disparo en el estómago. En el mismo sentido se manifestó Tomás Grave </w:t>
      </w:r>
      <w:proofErr w:type="spellStart"/>
      <w:r>
        <w:rPr>
          <w:sz w:val="16"/>
          <w:szCs w:val="16"/>
          <w:lang w:val="es-ES_tradnl"/>
        </w:rPr>
        <w:t>Morente</w:t>
      </w:r>
      <w:proofErr w:type="spellEnd"/>
      <w:r>
        <w:rPr>
          <w:sz w:val="16"/>
          <w:szCs w:val="16"/>
          <w:lang w:val="es-ES_tradnl"/>
        </w:rPr>
        <w:t xml:space="preserve">, tanto en su declaración ante el Organismo Judicial Guatemala, C.A </w:t>
      </w:r>
      <w:r w:rsidRPr="00676759">
        <w:rPr>
          <w:sz w:val="16"/>
          <w:szCs w:val="16"/>
          <w:lang w:val="es-ES_tradnl"/>
        </w:rPr>
        <w:t>(expediente</w:t>
      </w:r>
      <w:r>
        <w:rPr>
          <w:b/>
          <w:sz w:val="16"/>
          <w:szCs w:val="16"/>
          <w:lang w:val="es-ES_tradnl"/>
        </w:rPr>
        <w:t xml:space="preserve"> </w:t>
      </w:r>
      <w:r w:rsidRPr="00676759">
        <w:rPr>
          <w:sz w:val="16"/>
          <w:szCs w:val="16"/>
          <w:lang w:val="es-ES_tradnl"/>
        </w:rPr>
        <w:t>de prueba,</w:t>
      </w:r>
      <w:r>
        <w:rPr>
          <w:b/>
          <w:sz w:val="16"/>
          <w:szCs w:val="16"/>
          <w:lang w:val="es-ES_tradnl"/>
        </w:rPr>
        <w:t xml:space="preserve"> </w:t>
      </w:r>
      <w:r w:rsidRPr="00CC0B84">
        <w:rPr>
          <w:sz w:val="16"/>
          <w:szCs w:val="16"/>
          <w:lang w:val="es-ES_tradnl"/>
        </w:rPr>
        <w:t>a</w:t>
      </w:r>
      <w:r>
        <w:rPr>
          <w:sz w:val="16"/>
          <w:szCs w:val="16"/>
          <w:lang w:val="es-ES_tradnl"/>
        </w:rPr>
        <w:t>nexos a</w:t>
      </w:r>
      <w:r w:rsidRPr="00CC0B84">
        <w:rPr>
          <w:sz w:val="16"/>
          <w:szCs w:val="16"/>
          <w:lang w:val="es-ES_tradnl"/>
        </w:rPr>
        <w:t xml:space="preserve"> los alegatos finales escritos</w:t>
      </w:r>
      <w:r>
        <w:rPr>
          <w:sz w:val="16"/>
          <w:szCs w:val="16"/>
          <w:lang w:val="es-ES_tradnl"/>
        </w:rPr>
        <w:t xml:space="preserve"> del Estado</w:t>
      </w:r>
      <w:r w:rsidRPr="00676759">
        <w:rPr>
          <w:sz w:val="16"/>
          <w:szCs w:val="16"/>
          <w:lang w:val="es-ES_tradnl"/>
        </w:rPr>
        <w:t>,</w:t>
      </w:r>
      <w:r>
        <w:rPr>
          <w:b/>
          <w:sz w:val="16"/>
          <w:szCs w:val="16"/>
          <w:lang w:val="es-ES_tradnl"/>
        </w:rPr>
        <w:t xml:space="preserve"> </w:t>
      </w:r>
      <w:r w:rsidRPr="00676759">
        <w:rPr>
          <w:sz w:val="16"/>
          <w:szCs w:val="16"/>
          <w:lang w:val="es-ES_tradnl"/>
        </w:rPr>
        <w:t>folio</w:t>
      </w:r>
      <w:r>
        <w:rPr>
          <w:sz w:val="16"/>
          <w:szCs w:val="16"/>
          <w:lang w:val="es-ES_tradnl"/>
        </w:rPr>
        <w:t>s</w:t>
      </w:r>
      <w:r w:rsidRPr="00676759">
        <w:rPr>
          <w:sz w:val="16"/>
          <w:szCs w:val="16"/>
          <w:lang w:val="es-ES_tradnl"/>
        </w:rPr>
        <w:t xml:space="preserve"> 5522</w:t>
      </w:r>
      <w:r>
        <w:rPr>
          <w:sz w:val="16"/>
          <w:szCs w:val="16"/>
          <w:lang w:val="es-ES_tradnl"/>
        </w:rPr>
        <w:t xml:space="preserve"> a 5528</w:t>
      </w:r>
      <w:r w:rsidRPr="00676759">
        <w:rPr>
          <w:sz w:val="16"/>
          <w:szCs w:val="16"/>
          <w:lang w:val="es-ES_tradnl"/>
        </w:rPr>
        <w:t>)</w:t>
      </w:r>
      <w:r>
        <w:rPr>
          <w:sz w:val="16"/>
          <w:szCs w:val="16"/>
          <w:lang w:val="es-ES_tradnl"/>
        </w:rPr>
        <w:t>,</w:t>
      </w:r>
      <w:r>
        <w:rPr>
          <w:b/>
          <w:sz w:val="16"/>
          <w:szCs w:val="16"/>
          <w:lang w:val="es-ES_tradnl"/>
        </w:rPr>
        <w:t xml:space="preserve"> </w:t>
      </w:r>
      <w:r>
        <w:rPr>
          <w:sz w:val="16"/>
          <w:szCs w:val="16"/>
          <w:lang w:val="es-ES_tradnl"/>
        </w:rPr>
        <w:t xml:space="preserve">como en su declaración ante la Corte Interamericana, </w:t>
      </w:r>
      <w:r w:rsidRPr="00E24DF8">
        <w:rPr>
          <w:i/>
          <w:sz w:val="16"/>
          <w:szCs w:val="16"/>
          <w:lang w:val="es-ES_tradnl"/>
        </w:rPr>
        <w:t>supra</w:t>
      </w:r>
      <w:r>
        <w:rPr>
          <w:sz w:val="16"/>
          <w:szCs w:val="16"/>
          <w:lang w:val="es-ES_tradnl"/>
        </w:rPr>
        <w:t>.</w:t>
      </w:r>
    </w:p>
  </w:footnote>
  <w:footnote w:id="49">
    <w:p w:rsidR="00785921" w:rsidRPr="00D108B6" w:rsidRDefault="00785921" w:rsidP="00126E97">
      <w:pPr>
        <w:pStyle w:val="FootnoteText"/>
        <w:spacing w:line="20" w:lineRule="atLeast"/>
        <w:rPr>
          <w:sz w:val="16"/>
          <w:szCs w:val="16"/>
          <w:lang w:val="es-CR"/>
        </w:rPr>
      </w:pPr>
      <w:r>
        <w:rPr>
          <w:rStyle w:val="FootnoteReference"/>
          <w:sz w:val="16"/>
          <w:szCs w:val="16"/>
          <w:lang w:eastAsia="x-none"/>
        </w:rPr>
        <w:footnoteRef/>
      </w:r>
      <w:r>
        <w:rPr>
          <w:sz w:val="16"/>
          <w:szCs w:val="16"/>
          <w:lang w:val="es-CR"/>
        </w:rPr>
        <w:t xml:space="preserve"> Declaración rendida por A</w:t>
      </w:r>
      <w:r w:rsidRPr="00D108B6">
        <w:rPr>
          <w:sz w:val="16"/>
          <w:szCs w:val="16"/>
          <w:lang w:val="es-CR"/>
        </w:rPr>
        <w:t xml:space="preserve">, </w:t>
      </w:r>
      <w:r w:rsidRPr="00D108B6">
        <w:rPr>
          <w:i/>
          <w:sz w:val="16"/>
          <w:szCs w:val="16"/>
          <w:lang w:val="es-CR"/>
        </w:rPr>
        <w:t>supra</w:t>
      </w:r>
      <w:r w:rsidRPr="00D108B6">
        <w:rPr>
          <w:sz w:val="16"/>
          <w:szCs w:val="16"/>
          <w:lang w:val="es-CR"/>
        </w:rPr>
        <w:t xml:space="preserve">; </w:t>
      </w:r>
      <w:r w:rsidRPr="00D108B6">
        <w:rPr>
          <w:sz w:val="16"/>
          <w:szCs w:val="16"/>
          <w:lang w:val="es-ES_tradnl"/>
        </w:rPr>
        <w:t xml:space="preserve">Declaración de Tomás Grave </w:t>
      </w:r>
      <w:proofErr w:type="spellStart"/>
      <w:r w:rsidRPr="00D108B6">
        <w:rPr>
          <w:sz w:val="16"/>
          <w:szCs w:val="16"/>
          <w:lang w:val="es-ES_tradnl"/>
        </w:rPr>
        <w:t>Morente</w:t>
      </w:r>
      <w:proofErr w:type="spellEnd"/>
      <w:r w:rsidRPr="00D108B6">
        <w:rPr>
          <w:sz w:val="16"/>
          <w:szCs w:val="16"/>
          <w:lang w:val="es-ES_tradnl"/>
        </w:rPr>
        <w:t xml:space="preserve"> ante el Organismo Judicial Guatemala, C.A, </w:t>
      </w:r>
      <w:r w:rsidRPr="00D108B6">
        <w:rPr>
          <w:i/>
          <w:sz w:val="16"/>
          <w:szCs w:val="16"/>
          <w:lang w:val="es-ES_tradnl"/>
        </w:rPr>
        <w:t>supra</w:t>
      </w:r>
      <w:r w:rsidRPr="00D108B6">
        <w:rPr>
          <w:sz w:val="16"/>
          <w:szCs w:val="16"/>
          <w:lang w:val="es-ES_tradnl"/>
        </w:rPr>
        <w:t>.</w:t>
      </w:r>
    </w:p>
  </w:footnote>
  <w:footnote w:id="50">
    <w:p w:rsidR="00785921" w:rsidRDefault="00785921" w:rsidP="00126E97">
      <w:pPr>
        <w:pStyle w:val="FootnoteText"/>
        <w:spacing w:line="20" w:lineRule="atLeast"/>
        <w:rPr>
          <w:sz w:val="16"/>
          <w:szCs w:val="16"/>
          <w:lang w:val="es-CR"/>
        </w:rPr>
      </w:pPr>
      <w:r w:rsidRPr="00D108B6">
        <w:rPr>
          <w:rStyle w:val="FootnoteReference"/>
          <w:sz w:val="16"/>
          <w:szCs w:val="16"/>
          <w:lang w:val="es-CR" w:eastAsia="x-none"/>
        </w:rPr>
        <w:footnoteRef/>
      </w:r>
      <w:r w:rsidRPr="00D108B6">
        <w:rPr>
          <w:sz w:val="16"/>
          <w:szCs w:val="16"/>
          <w:lang w:val="es-CR"/>
        </w:rPr>
        <w:t xml:space="preserve"> </w:t>
      </w:r>
      <w:r w:rsidRPr="00D108B6">
        <w:rPr>
          <w:i/>
          <w:sz w:val="16"/>
          <w:szCs w:val="16"/>
          <w:lang w:val="es-CR"/>
        </w:rPr>
        <w:t>Cfr.</w:t>
      </w:r>
      <w:r w:rsidRPr="00D108B6">
        <w:rPr>
          <w:sz w:val="16"/>
          <w:szCs w:val="16"/>
          <w:lang w:val="es-CR"/>
        </w:rPr>
        <w:t xml:space="preserve">, en ese sentido, la declaración rendida por </w:t>
      </w:r>
      <w:r>
        <w:rPr>
          <w:sz w:val="16"/>
          <w:szCs w:val="16"/>
          <w:lang w:val="es-CR"/>
        </w:rPr>
        <w:t xml:space="preserve">A, </w:t>
      </w:r>
      <w:r w:rsidRPr="00D43974">
        <w:rPr>
          <w:i/>
          <w:sz w:val="16"/>
          <w:szCs w:val="16"/>
          <w:lang w:val="es-CR"/>
        </w:rPr>
        <w:t>supra</w:t>
      </w:r>
      <w:r>
        <w:rPr>
          <w:sz w:val="16"/>
          <w:szCs w:val="16"/>
          <w:lang w:val="es-CR"/>
        </w:rPr>
        <w:t>.</w:t>
      </w:r>
    </w:p>
  </w:footnote>
  <w:footnote w:id="51">
    <w:p w:rsidR="00785921" w:rsidRPr="00B80378" w:rsidRDefault="00785921" w:rsidP="00126E97">
      <w:pPr>
        <w:pStyle w:val="FootnoteText"/>
        <w:spacing w:line="20" w:lineRule="atLeast"/>
        <w:rPr>
          <w:sz w:val="16"/>
          <w:szCs w:val="16"/>
          <w:lang w:val="es-CR"/>
        </w:rPr>
      </w:pPr>
      <w:r w:rsidRPr="00B80378">
        <w:rPr>
          <w:rStyle w:val="FootnoteReference"/>
          <w:sz w:val="16"/>
          <w:szCs w:val="16"/>
          <w:lang w:eastAsia="x-none"/>
        </w:rPr>
        <w:footnoteRef/>
      </w:r>
      <w:r w:rsidRPr="00B80378">
        <w:rPr>
          <w:sz w:val="16"/>
          <w:szCs w:val="16"/>
          <w:lang w:val="es-CR"/>
        </w:rPr>
        <w:t xml:space="preserve"> </w:t>
      </w:r>
      <w:r w:rsidRPr="00B80378">
        <w:rPr>
          <w:i/>
          <w:sz w:val="16"/>
          <w:szCs w:val="16"/>
          <w:lang w:val="es-CR"/>
        </w:rPr>
        <w:t>Cfr.</w:t>
      </w:r>
      <w:r w:rsidRPr="00B80378">
        <w:rPr>
          <w:sz w:val="16"/>
          <w:szCs w:val="16"/>
          <w:lang w:val="es-CR"/>
        </w:rPr>
        <w:t xml:space="preserve"> </w:t>
      </w:r>
      <w:r>
        <w:rPr>
          <w:sz w:val="16"/>
          <w:szCs w:val="16"/>
          <w:lang w:val="es-CR"/>
        </w:rPr>
        <w:t>s</w:t>
      </w:r>
      <w:r w:rsidRPr="00B80378">
        <w:rPr>
          <w:sz w:val="16"/>
          <w:szCs w:val="16"/>
          <w:lang w:val="es-CR"/>
        </w:rPr>
        <w:t>entencia de 8 de julio de 2004</w:t>
      </w:r>
      <w:r>
        <w:rPr>
          <w:sz w:val="16"/>
          <w:szCs w:val="16"/>
          <w:lang w:val="es-CR"/>
        </w:rPr>
        <w:t xml:space="preserve">, </w:t>
      </w:r>
      <w:r w:rsidRPr="00745BF3">
        <w:rPr>
          <w:i/>
          <w:sz w:val="16"/>
          <w:szCs w:val="16"/>
          <w:lang w:val="es-CR"/>
        </w:rPr>
        <w:t>supra</w:t>
      </w:r>
      <w:r w:rsidRPr="00B80378">
        <w:rPr>
          <w:sz w:val="16"/>
          <w:szCs w:val="16"/>
          <w:lang w:val="es-ES_tradnl"/>
        </w:rPr>
        <w:t xml:space="preserve">. Respecto al apellido del niño, </w:t>
      </w:r>
      <w:r w:rsidRPr="00B80378">
        <w:rPr>
          <w:sz w:val="16"/>
          <w:szCs w:val="16"/>
          <w:lang w:val="es-ES"/>
        </w:rPr>
        <w:t xml:space="preserve">consta como </w:t>
      </w:r>
      <w:r>
        <w:rPr>
          <w:sz w:val="16"/>
          <w:szCs w:val="16"/>
          <w:lang w:val="es-ES"/>
        </w:rPr>
        <w:t>“</w:t>
      </w:r>
      <w:proofErr w:type="spellStart"/>
      <w:r w:rsidRPr="00B80378">
        <w:rPr>
          <w:sz w:val="16"/>
          <w:szCs w:val="16"/>
          <w:lang w:val="es-ES"/>
        </w:rPr>
        <w:t>Coc</w:t>
      </w:r>
      <w:proofErr w:type="spellEnd"/>
      <w:r>
        <w:rPr>
          <w:sz w:val="16"/>
          <w:szCs w:val="16"/>
          <w:lang w:val="es-ES"/>
        </w:rPr>
        <w:t>”</w:t>
      </w:r>
      <w:r w:rsidRPr="00B80378">
        <w:rPr>
          <w:sz w:val="16"/>
          <w:szCs w:val="16"/>
          <w:lang w:val="es-ES"/>
        </w:rPr>
        <w:t xml:space="preserve"> en el Anexo único del Informe de Fondo</w:t>
      </w:r>
      <w:r>
        <w:rPr>
          <w:sz w:val="16"/>
          <w:szCs w:val="16"/>
          <w:lang w:val="es-ES"/>
        </w:rPr>
        <w:t xml:space="preserve">; </w:t>
      </w:r>
      <w:r w:rsidRPr="00B80378">
        <w:rPr>
          <w:sz w:val="16"/>
          <w:szCs w:val="16"/>
          <w:lang w:val="es-ES"/>
        </w:rPr>
        <w:t xml:space="preserve">como </w:t>
      </w:r>
      <w:r>
        <w:rPr>
          <w:sz w:val="16"/>
          <w:szCs w:val="16"/>
          <w:lang w:val="es-ES"/>
        </w:rPr>
        <w:t>“</w:t>
      </w:r>
      <w:proofErr w:type="spellStart"/>
      <w:r w:rsidRPr="00B80378">
        <w:rPr>
          <w:sz w:val="16"/>
          <w:szCs w:val="16"/>
          <w:lang w:val="es-ES"/>
        </w:rPr>
        <w:t>Coc</w:t>
      </w:r>
      <w:proofErr w:type="spellEnd"/>
      <w:r w:rsidRPr="00B80378">
        <w:rPr>
          <w:sz w:val="16"/>
          <w:szCs w:val="16"/>
          <w:lang w:val="es-ES"/>
        </w:rPr>
        <w:t xml:space="preserve"> Pop</w:t>
      </w:r>
      <w:r>
        <w:rPr>
          <w:sz w:val="16"/>
          <w:szCs w:val="16"/>
          <w:lang w:val="es-ES"/>
        </w:rPr>
        <w:t>”</w:t>
      </w:r>
      <w:r w:rsidRPr="00B80378">
        <w:rPr>
          <w:sz w:val="16"/>
          <w:szCs w:val="16"/>
          <w:lang w:val="es-ES"/>
        </w:rPr>
        <w:t xml:space="preserve"> en el párr. 54 del Informe de Fondo; como </w:t>
      </w:r>
      <w:r>
        <w:rPr>
          <w:sz w:val="16"/>
          <w:szCs w:val="16"/>
          <w:lang w:val="es-ES"/>
        </w:rPr>
        <w:t>“</w:t>
      </w:r>
      <w:proofErr w:type="spellStart"/>
      <w:r w:rsidRPr="00B80378">
        <w:rPr>
          <w:sz w:val="16"/>
          <w:szCs w:val="16"/>
          <w:lang w:val="es-ES"/>
        </w:rPr>
        <w:t>Coc</w:t>
      </w:r>
      <w:proofErr w:type="spellEnd"/>
      <w:r w:rsidRPr="00B80378">
        <w:rPr>
          <w:sz w:val="16"/>
          <w:szCs w:val="16"/>
          <w:lang w:val="es-ES"/>
        </w:rPr>
        <w:t xml:space="preserve"> </w:t>
      </w:r>
      <w:proofErr w:type="spellStart"/>
      <w:r w:rsidRPr="00B80378">
        <w:rPr>
          <w:sz w:val="16"/>
          <w:szCs w:val="16"/>
          <w:lang w:val="es-ES"/>
        </w:rPr>
        <w:t>Tut</w:t>
      </w:r>
      <w:proofErr w:type="spellEnd"/>
      <w:r>
        <w:rPr>
          <w:sz w:val="16"/>
          <w:szCs w:val="16"/>
          <w:lang w:val="es-ES"/>
        </w:rPr>
        <w:t>”</w:t>
      </w:r>
      <w:r w:rsidRPr="00B80378">
        <w:rPr>
          <w:sz w:val="16"/>
          <w:szCs w:val="16"/>
          <w:lang w:val="es-ES"/>
        </w:rPr>
        <w:t xml:space="preserve"> en el </w:t>
      </w:r>
      <w:r>
        <w:rPr>
          <w:sz w:val="16"/>
          <w:szCs w:val="16"/>
          <w:lang w:val="es-ES"/>
        </w:rPr>
        <w:t>e</w:t>
      </w:r>
      <w:r w:rsidRPr="00B80378">
        <w:rPr>
          <w:sz w:val="16"/>
          <w:szCs w:val="16"/>
          <w:lang w:val="es-ES"/>
        </w:rPr>
        <w:t>scrito de solicitudes</w:t>
      </w:r>
      <w:r>
        <w:rPr>
          <w:sz w:val="16"/>
          <w:szCs w:val="16"/>
          <w:lang w:val="es-ES"/>
        </w:rPr>
        <w:t xml:space="preserve"> y</w:t>
      </w:r>
      <w:r w:rsidRPr="00B80378">
        <w:rPr>
          <w:sz w:val="16"/>
          <w:szCs w:val="16"/>
          <w:lang w:val="es-ES"/>
        </w:rPr>
        <w:t xml:space="preserve"> argumentos</w:t>
      </w:r>
      <w:r>
        <w:rPr>
          <w:sz w:val="16"/>
          <w:szCs w:val="16"/>
          <w:lang w:val="es-ES"/>
        </w:rPr>
        <w:t>;</w:t>
      </w:r>
      <w:r w:rsidRPr="00084859">
        <w:rPr>
          <w:sz w:val="16"/>
          <w:szCs w:val="16"/>
          <w:lang w:val="es-ES"/>
        </w:rPr>
        <w:t xml:space="preserve"> “Pop </w:t>
      </w:r>
      <w:proofErr w:type="spellStart"/>
      <w:r w:rsidRPr="00084859">
        <w:rPr>
          <w:sz w:val="16"/>
          <w:szCs w:val="16"/>
          <w:lang w:val="es-ES"/>
        </w:rPr>
        <w:t>Tut</w:t>
      </w:r>
      <w:proofErr w:type="spellEnd"/>
      <w:r w:rsidRPr="00084859">
        <w:rPr>
          <w:sz w:val="16"/>
          <w:szCs w:val="16"/>
          <w:lang w:val="es-ES"/>
        </w:rPr>
        <w:t>” en la comunicación del Estado a la Comisión de 24 de mayo de 1996 (</w:t>
      </w:r>
      <w:r w:rsidRPr="00676759">
        <w:rPr>
          <w:i/>
          <w:sz w:val="16"/>
          <w:szCs w:val="16"/>
          <w:lang w:val="es-ES"/>
        </w:rPr>
        <w:t>cfr</w:t>
      </w:r>
      <w:r>
        <w:rPr>
          <w:sz w:val="16"/>
          <w:szCs w:val="16"/>
          <w:lang w:val="es-ES"/>
        </w:rPr>
        <w:t>. e</w:t>
      </w:r>
      <w:r w:rsidRPr="00084859">
        <w:rPr>
          <w:sz w:val="16"/>
          <w:szCs w:val="16"/>
          <w:lang w:val="es-ES"/>
        </w:rPr>
        <w:t xml:space="preserve">xpediente de prueba, </w:t>
      </w:r>
      <w:r>
        <w:rPr>
          <w:sz w:val="16"/>
          <w:szCs w:val="16"/>
          <w:lang w:val="es-ES"/>
        </w:rPr>
        <w:t>a</w:t>
      </w:r>
      <w:r w:rsidRPr="00084859">
        <w:rPr>
          <w:sz w:val="16"/>
          <w:szCs w:val="16"/>
          <w:lang w:val="es-ES"/>
        </w:rPr>
        <w:t>nexo 13 al Informe de Fondo, f</w:t>
      </w:r>
      <w:r>
        <w:rPr>
          <w:sz w:val="16"/>
          <w:szCs w:val="16"/>
          <w:lang w:val="es-ES"/>
        </w:rPr>
        <w:t>olio</w:t>
      </w:r>
      <w:r w:rsidRPr="00084859">
        <w:rPr>
          <w:sz w:val="16"/>
          <w:szCs w:val="16"/>
          <w:lang w:val="es-ES"/>
        </w:rPr>
        <w:t xml:space="preserve"> 209</w:t>
      </w:r>
      <w:r>
        <w:rPr>
          <w:sz w:val="16"/>
          <w:szCs w:val="16"/>
          <w:lang w:val="es-ES"/>
        </w:rPr>
        <w:t xml:space="preserve">); </w:t>
      </w:r>
      <w:r w:rsidRPr="00B80378">
        <w:rPr>
          <w:sz w:val="16"/>
          <w:szCs w:val="16"/>
          <w:lang w:val="es-ES"/>
        </w:rPr>
        <w:t xml:space="preserve">como </w:t>
      </w:r>
      <w:r>
        <w:rPr>
          <w:sz w:val="16"/>
          <w:szCs w:val="16"/>
          <w:lang w:val="es-ES"/>
        </w:rPr>
        <w:t>“</w:t>
      </w:r>
      <w:proofErr w:type="spellStart"/>
      <w:r w:rsidRPr="00B80378">
        <w:rPr>
          <w:sz w:val="16"/>
          <w:szCs w:val="16"/>
          <w:lang w:val="es-ES"/>
        </w:rPr>
        <w:t>Tut</w:t>
      </w:r>
      <w:proofErr w:type="spellEnd"/>
      <w:r>
        <w:rPr>
          <w:sz w:val="16"/>
          <w:szCs w:val="16"/>
          <w:lang w:val="es-ES"/>
        </w:rPr>
        <w:t>”</w:t>
      </w:r>
      <w:r w:rsidRPr="00B80378">
        <w:rPr>
          <w:sz w:val="16"/>
          <w:szCs w:val="16"/>
          <w:lang w:val="es-ES"/>
        </w:rPr>
        <w:t xml:space="preserve"> en el informe de necropsia del Departamento Médico Forense, de la República de Guatemala</w:t>
      </w:r>
      <w:r>
        <w:rPr>
          <w:sz w:val="16"/>
          <w:szCs w:val="16"/>
          <w:lang w:val="es-ES"/>
        </w:rPr>
        <w:t xml:space="preserve"> de 10 de octubre de 1995</w:t>
      </w:r>
      <w:r w:rsidRPr="00B80378">
        <w:rPr>
          <w:sz w:val="16"/>
          <w:szCs w:val="16"/>
          <w:lang w:val="es-ES"/>
        </w:rPr>
        <w:t xml:space="preserve"> </w:t>
      </w:r>
      <w:r w:rsidRPr="00676759">
        <w:rPr>
          <w:bCs/>
          <w:sz w:val="16"/>
          <w:szCs w:val="16"/>
          <w:lang w:val="es-ES_tradnl"/>
        </w:rPr>
        <w:t xml:space="preserve">(expediente de prueba, </w:t>
      </w:r>
      <w:r>
        <w:rPr>
          <w:bCs/>
          <w:sz w:val="16"/>
          <w:szCs w:val="16"/>
          <w:lang w:val="es-ES_tradnl"/>
        </w:rPr>
        <w:t>trámite ante la Comisión</w:t>
      </w:r>
      <w:r w:rsidRPr="00676759">
        <w:rPr>
          <w:bCs/>
          <w:sz w:val="16"/>
          <w:szCs w:val="16"/>
          <w:lang w:val="es-ES_tradnl"/>
        </w:rPr>
        <w:t xml:space="preserve">, folios 1754 </w:t>
      </w:r>
      <w:r>
        <w:rPr>
          <w:bCs/>
          <w:sz w:val="16"/>
          <w:szCs w:val="16"/>
          <w:lang w:val="es-ES_tradnl"/>
        </w:rPr>
        <w:t>a</w:t>
      </w:r>
      <w:r w:rsidRPr="00676759">
        <w:rPr>
          <w:bCs/>
          <w:sz w:val="16"/>
          <w:szCs w:val="16"/>
          <w:lang w:val="es-ES_tradnl"/>
        </w:rPr>
        <w:t xml:space="preserve"> 2877)</w:t>
      </w:r>
      <w:r>
        <w:rPr>
          <w:bCs/>
          <w:sz w:val="16"/>
          <w:szCs w:val="16"/>
          <w:lang w:val="es-ES_tradnl"/>
        </w:rPr>
        <w:t xml:space="preserve">, y como “Pop </w:t>
      </w:r>
      <w:proofErr w:type="spellStart"/>
      <w:r>
        <w:rPr>
          <w:bCs/>
          <w:sz w:val="16"/>
          <w:szCs w:val="16"/>
          <w:lang w:val="es-ES_tradnl"/>
        </w:rPr>
        <w:t>Tut</w:t>
      </w:r>
      <w:proofErr w:type="spellEnd"/>
      <w:r>
        <w:rPr>
          <w:bCs/>
          <w:sz w:val="16"/>
          <w:szCs w:val="16"/>
          <w:lang w:val="es-ES_tradnl"/>
        </w:rPr>
        <w:t xml:space="preserve"> […] o </w:t>
      </w:r>
      <w:proofErr w:type="spellStart"/>
      <w:r>
        <w:rPr>
          <w:bCs/>
          <w:sz w:val="16"/>
          <w:szCs w:val="16"/>
          <w:lang w:val="es-ES_tradnl"/>
        </w:rPr>
        <w:t>Tut</w:t>
      </w:r>
      <w:proofErr w:type="spellEnd"/>
      <w:r>
        <w:rPr>
          <w:bCs/>
          <w:sz w:val="16"/>
          <w:szCs w:val="16"/>
          <w:lang w:val="es-ES_tradnl"/>
        </w:rPr>
        <w:t xml:space="preserve">” en la </w:t>
      </w:r>
      <w:r>
        <w:rPr>
          <w:sz w:val="16"/>
          <w:szCs w:val="16"/>
          <w:lang w:val="es-CR"/>
        </w:rPr>
        <w:t>s</w:t>
      </w:r>
      <w:r w:rsidRPr="00B80378">
        <w:rPr>
          <w:sz w:val="16"/>
          <w:szCs w:val="16"/>
          <w:lang w:val="es-CR"/>
        </w:rPr>
        <w:t>entencia de 8 de julio de 2004</w:t>
      </w:r>
      <w:r w:rsidRPr="00676759">
        <w:rPr>
          <w:bCs/>
          <w:sz w:val="16"/>
          <w:szCs w:val="16"/>
          <w:lang w:val="es-ES_tradnl"/>
        </w:rPr>
        <w:t>.</w:t>
      </w:r>
      <w:r>
        <w:rPr>
          <w:b/>
          <w:bCs/>
          <w:sz w:val="16"/>
          <w:szCs w:val="16"/>
          <w:lang w:val="es-ES_tradnl"/>
        </w:rPr>
        <w:t xml:space="preserve"> </w:t>
      </w:r>
      <w:r w:rsidRPr="00B80378">
        <w:rPr>
          <w:bCs/>
          <w:sz w:val="16"/>
          <w:szCs w:val="16"/>
          <w:lang w:val="es-ES_tradnl"/>
        </w:rPr>
        <w:t xml:space="preserve">La Corte se referirá a </w:t>
      </w:r>
      <w:r>
        <w:rPr>
          <w:bCs/>
          <w:sz w:val="16"/>
          <w:szCs w:val="16"/>
          <w:lang w:val="es-ES_tradnl"/>
        </w:rPr>
        <w:t>e</w:t>
      </w:r>
      <w:r w:rsidRPr="00B80378">
        <w:rPr>
          <w:bCs/>
          <w:sz w:val="16"/>
          <w:szCs w:val="16"/>
          <w:lang w:val="es-ES_tradnl"/>
        </w:rPr>
        <w:t xml:space="preserve">sta persona como “Santiago </w:t>
      </w:r>
      <w:proofErr w:type="spellStart"/>
      <w:r w:rsidRPr="00B80378">
        <w:rPr>
          <w:bCs/>
          <w:sz w:val="16"/>
          <w:szCs w:val="16"/>
          <w:lang w:val="es-ES_tradnl"/>
        </w:rPr>
        <w:t>Coc</w:t>
      </w:r>
      <w:proofErr w:type="spellEnd"/>
      <w:r w:rsidRPr="00B80378">
        <w:rPr>
          <w:bCs/>
          <w:sz w:val="16"/>
          <w:szCs w:val="16"/>
          <w:lang w:val="es-ES_tradnl"/>
        </w:rPr>
        <w:t xml:space="preserve">”, dejando aclarado que, como surge de lo expuesto, su apellido puede ser distinto.  </w:t>
      </w:r>
    </w:p>
  </w:footnote>
  <w:footnote w:id="52">
    <w:p w:rsidR="00785921" w:rsidRDefault="00785921" w:rsidP="00126E97">
      <w:pPr>
        <w:pStyle w:val="FootnoteText"/>
        <w:spacing w:line="20" w:lineRule="atLeast"/>
        <w:rPr>
          <w:sz w:val="16"/>
          <w:szCs w:val="16"/>
          <w:lang w:val="es-ES_tradnl"/>
        </w:rPr>
      </w:pPr>
      <w:r w:rsidRPr="00892B5E">
        <w:rPr>
          <w:rStyle w:val="FootnoteReference"/>
          <w:sz w:val="16"/>
          <w:szCs w:val="16"/>
          <w:lang w:val="es-ES_tradnl" w:eastAsia="x-none"/>
        </w:rPr>
        <w:footnoteRef/>
      </w:r>
      <w:r w:rsidRPr="00892B5E">
        <w:rPr>
          <w:rFonts w:eastAsia="Times New Roman" w:cs="Times New Roman"/>
          <w:color w:val="000000"/>
          <w:sz w:val="16"/>
          <w:szCs w:val="16"/>
          <w:lang w:val="es-CR"/>
        </w:rPr>
        <w:t xml:space="preserve"> La identificación de las personas muertas y heridas aludidas se hace siguiendo señalamientos efectuados por la Comisión y las partes, y se enuncia en los Anexos B.2, B.3 y B.4 </w:t>
      </w:r>
      <w:r>
        <w:rPr>
          <w:rFonts w:eastAsia="Times New Roman" w:cs="Times New Roman"/>
          <w:color w:val="000000"/>
          <w:sz w:val="16"/>
          <w:szCs w:val="16"/>
          <w:lang w:val="es-CR"/>
        </w:rPr>
        <w:t>de</w:t>
      </w:r>
      <w:r w:rsidRPr="00892B5E">
        <w:rPr>
          <w:rFonts w:eastAsia="Times New Roman" w:cs="Times New Roman"/>
          <w:color w:val="000000"/>
          <w:sz w:val="16"/>
          <w:szCs w:val="16"/>
          <w:lang w:val="es-CR"/>
        </w:rPr>
        <w:t xml:space="preserve"> la presente Sentencia, que integran la misma.</w:t>
      </w:r>
    </w:p>
  </w:footnote>
  <w:footnote w:id="53">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CR"/>
        </w:rPr>
        <w:t xml:space="preserve"> </w:t>
      </w:r>
      <w:r w:rsidRPr="00676759">
        <w:rPr>
          <w:i/>
          <w:sz w:val="16"/>
          <w:szCs w:val="16"/>
          <w:lang w:val="es-CR"/>
        </w:rPr>
        <w:t>Cfr.</w:t>
      </w:r>
      <w:r>
        <w:rPr>
          <w:sz w:val="16"/>
          <w:szCs w:val="16"/>
          <w:lang w:val="es-CR"/>
        </w:rPr>
        <w:t xml:space="preserve"> Comunicación de los peticionarios a la Comisión de 30 de septiembre de 1996 (expediente de prueba, trámite ante la Comisión, folios 2212 a 2214). </w:t>
      </w:r>
      <w:r>
        <w:rPr>
          <w:sz w:val="16"/>
          <w:szCs w:val="16"/>
          <w:lang w:val="es-ES_tradnl"/>
        </w:rPr>
        <w:t xml:space="preserve">Efraín Grave </w:t>
      </w:r>
      <w:proofErr w:type="spellStart"/>
      <w:r>
        <w:rPr>
          <w:sz w:val="16"/>
          <w:szCs w:val="16"/>
          <w:lang w:val="es-ES_tradnl"/>
        </w:rPr>
        <w:t>Morente</w:t>
      </w:r>
      <w:proofErr w:type="spellEnd"/>
      <w:r>
        <w:rPr>
          <w:sz w:val="16"/>
          <w:szCs w:val="16"/>
          <w:lang w:val="es-ES_tradnl"/>
        </w:rPr>
        <w:t xml:space="preserve">, en su declaración ante la Corte Interamericana, </w:t>
      </w:r>
      <w:r w:rsidRPr="00E24DF8">
        <w:rPr>
          <w:i/>
          <w:sz w:val="16"/>
          <w:szCs w:val="16"/>
          <w:lang w:val="es-ES_tradnl"/>
        </w:rPr>
        <w:t>supra</w:t>
      </w:r>
      <w:r>
        <w:rPr>
          <w:sz w:val="16"/>
          <w:szCs w:val="16"/>
          <w:lang w:val="es-ES_tradnl"/>
        </w:rPr>
        <w:t xml:space="preserve">, señaló que una vez herido por una bala fue llevado al centro de salud, el que fue puesto por Médicos del Mundo, organización que estaba ahí al momento de los hechos. Tomás Grave </w:t>
      </w:r>
      <w:proofErr w:type="spellStart"/>
      <w:r>
        <w:rPr>
          <w:sz w:val="16"/>
          <w:szCs w:val="16"/>
          <w:lang w:val="es-ES_tradnl"/>
        </w:rPr>
        <w:t>Morente</w:t>
      </w:r>
      <w:proofErr w:type="spellEnd"/>
      <w:r>
        <w:rPr>
          <w:sz w:val="16"/>
          <w:szCs w:val="16"/>
          <w:lang w:val="es-ES_tradnl"/>
        </w:rPr>
        <w:t xml:space="preserve"> en su declaración ante este Tribunal, </w:t>
      </w:r>
      <w:r>
        <w:rPr>
          <w:i/>
          <w:sz w:val="16"/>
          <w:szCs w:val="16"/>
          <w:lang w:val="es-ES_tradnl"/>
        </w:rPr>
        <w:t xml:space="preserve">supra, </w:t>
      </w:r>
      <w:r w:rsidRPr="00E24DF8">
        <w:rPr>
          <w:sz w:val="16"/>
          <w:szCs w:val="16"/>
          <w:lang w:val="es-ES_tradnl"/>
        </w:rPr>
        <w:t xml:space="preserve">expresó </w:t>
      </w:r>
      <w:r>
        <w:rPr>
          <w:sz w:val="16"/>
          <w:szCs w:val="16"/>
          <w:lang w:val="es-ES_tradnl"/>
        </w:rPr>
        <w:t xml:space="preserve">que </w:t>
      </w:r>
      <w:r w:rsidRPr="00637508">
        <w:rPr>
          <w:sz w:val="16"/>
          <w:szCs w:val="16"/>
          <w:lang w:val="es-CR"/>
        </w:rPr>
        <w:t>MINUGUA</w:t>
      </w:r>
      <w:r>
        <w:rPr>
          <w:sz w:val="16"/>
          <w:szCs w:val="16"/>
          <w:lang w:val="es-ES_tradnl"/>
        </w:rPr>
        <w:t xml:space="preserve"> trasladó a algunos heridos al Hospital de </w:t>
      </w:r>
      <w:r w:rsidRPr="00637508">
        <w:rPr>
          <w:sz w:val="16"/>
          <w:szCs w:val="16"/>
          <w:lang w:val="es-CR"/>
        </w:rPr>
        <w:t xml:space="preserve">San Juan de Dios en Guatemala, mientras que a otros heridos, como el declarante, fueron atendidos por Médicos del Mundo en la misma </w:t>
      </w:r>
      <w:r>
        <w:rPr>
          <w:sz w:val="16"/>
          <w:szCs w:val="16"/>
          <w:lang w:val="es-CR"/>
        </w:rPr>
        <w:t>C</w:t>
      </w:r>
      <w:r w:rsidRPr="00637508">
        <w:rPr>
          <w:sz w:val="16"/>
          <w:szCs w:val="16"/>
          <w:lang w:val="es-CR"/>
        </w:rPr>
        <w:t>omunidad</w:t>
      </w:r>
      <w:r>
        <w:rPr>
          <w:sz w:val="16"/>
          <w:szCs w:val="16"/>
          <w:lang w:val="es-CR"/>
        </w:rPr>
        <w:t>.</w:t>
      </w:r>
      <w:r w:rsidRPr="00637508">
        <w:rPr>
          <w:sz w:val="16"/>
          <w:szCs w:val="16"/>
          <w:lang w:val="es-CR"/>
        </w:rPr>
        <w:t xml:space="preserve"> Natividad Sales</w:t>
      </w:r>
      <w:r>
        <w:rPr>
          <w:sz w:val="16"/>
          <w:szCs w:val="16"/>
          <w:lang w:val="es-CR"/>
        </w:rPr>
        <w:t xml:space="preserve"> Calmo, por su parte,</w:t>
      </w:r>
      <w:r w:rsidRPr="00637508">
        <w:rPr>
          <w:sz w:val="16"/>
          <w:szCs w:val="16"/>
          <w:lang w:val="es-CR"/>
        </w:rPr>
        <w:t xml:space="preserve"> declaró </w:t>
      </w:r>
      <w:r>
        <w:rPr>
          <w:sz w:val="16"/>
          <w:szCs w:val="16"/>
          <w:lang w:val="es-CR"/>
        </w:rPr>
        <w:t xml:space="preserve">en la </w:t>
      </w:r>
      <w:r>
        <w:rPr>
          <w:sz w:val="16"/>
          <w:szCs w:val="16"/>
          <w:lang w:val="es-ES_tradnl"/>
        </w:rPr>
        <w:t>audiencia pública celebrada el 9 de febrero de 2018, que su hijo f</w:t>
      </w:r>
      <w:proofErr w:type="spellStart"/>
      <w:r w:rsidRPr="00637508">
        <w:rPr>
          <w:sz w:val="16"/>
          <w:szCs w:val="16"/>
          <w:lang w:val="es-CR"/>
        </w:rPr>
        <w:t>ue</w:t>
      </w:r>
      <w:proofErr w:type="spellEnd"/>
      <w:r w:rsidRPr="00637508">
        <w:rPr>
          <w:sz w:val="16"/>
          <w:szCs w:val="16"/>
          <w:lang w:val="es-CR"/>
        </w:rPr>
        <w:t xml:space="preserve"> atendido por Médicos del Mundo</w:t>
      </w:r>
      <w:r>
        <w:rPr>
          <w:sz w:val="16"/>
          <w:szCs w:val="16"/>
          <w:lang w:val="es-CR"/>
        </w:rPr>
        <w:t>,</w:t>
      </w:r>
      <w:r w:rsidRPr="00637508">
        <w:rPr>
          <w:sz w:val="16"/>
          <w:szCs w:val="16"/>
          <w:lang w:val="es-CR"/>
        </w:rPr>
        <w:t xml:space="preserve"> que estaban en la </w:t>
      </w:r>
      <w:r>
        <w:rPr>
          <w:sz w:val="16"/>
          <w:szCs w:val="16"/>
          <w:lang w:val="es-CR"/>
        </w:rPr>
        <w:t>C</w:t>
      </w:r>
      <w:r w:rsidRPr="00637508">
        <w:rPr>
          <w:sz w:val="16"/>
          <w:szCs w:val="16"/>
          <w:lang w:val="es-CR"/>
        </w:rPr>
        <w:t xml:space="preserve">omunidad. </w:t>
      </w:r>
    </w:p>
  </w:footnote>
  <w:footnote w:id="54">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Observaciones del Estado a la petición inicial, presentadas a la Comisión el 8 de diciembre de 1995 (expediente de prueba, anexo 8 al Informe de Fondo, folios. 86 a 91).</w:t>
      </w:r>
    </w:p>
  </w:footnote>
  <w:footnote w:id="5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 xml:space="preserve">Cfr. </w:t>
      </w:r>
      <w:r>
        <w:rPr>
          <w:sz w:val="16"/>
          <w:szCs w:val="16"/>
          <w:lang w:val="es-CR"/>
        </w:rPr>
        <w:t xml:space="preserve">Observaciones del Estado a la petición inicial, presentadas a la Comisión el 8 de diciembre de 1995, </w:t>
      </w:r>
      <w:r w:rsidRPr="0088070D">
        <w:rPr>
          <w:i/>
          <w:sz w:val="16"/>
          <w:szCs w:val="16"/>
          <w:lang w:val="es-CR"/>
        </w:rPr>
        <w:t>supra</w:t>
      </w:r>
      <w:r>
        <w:rPr>
          <w:sz w:val="16"/>
          <w:szCs w:val="16"/>
          <w:lang w:val="es-CR"/>
        </w:rPr>
        <w:t>.</w:t>
      </w:r>
    </w:p>
  </w:footnote>
  <w:footnote w:id="5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Al respecto, es pertinente destacar que desde sus primeras presentaciones ante la Comisión el Estado informó que </w:t>
      </w:r>
      <w:r>
        <w:rPr>
          <w:sz w:val="16"/>
          <w:szCs w:val="16"/>
          <w:lang w:val="es-CR"/>
        </w:rPr>
        <w:t>la Fiscalía General de la República nombró un Fiscal Especial para el caso (c</w:t>
      </w:r>
      <w:r w:rsidRPr="00676759">
        <w:rPr>
          <w:i/>
          <w:sz w:val="16"/>
          <w:szCs w:val="16"/>
          <w:lang w:val="es-CR"/>
        </w:rPr>
        <w:t xml:space="preserve">fr. </w:t>
      </w:r>
      <w:r>
        <w:rPr>
          <w:sz w:val="16"/>
          <w:szCs w:val="16"/>
          <w:lang w:val="es-CR"/>
        </w:rPr>
        <w:t xml:space="preserve">Observaciones del Estado a la petición inicial, presentadas a la Comisión el 8 de diciembre de 1995, </w:t>
      </w:r>
      <w:r w:rsidRPr="0088070D">
        <w:rPr>
          <w:i/>
          <w:sz w:val="16"/>
          <w:szCs w:val="16"/>
          <w:lang w:val="es-CR"/>
        </w:rPr>
        <w:t>supra</w:t>
      </w:r>
      <w:r w:rsidRPr="0088070D">
        <w:rPr>
          <w:sz w:val="16"/>
          <w:szCs w:val="16"/>
          <w:lang w:val="es-CR"/>
        </w:rPr>
        <w:t>)</w:t>
      </w:r>
      <w:r>
        <w:rPr>
          <w:sz w:val="16"/>
          <w:szCs w:val="16"/>
          <w:lang w:val="es-CR"/>
        </w:rPr>
        <w:t>.</w:t>
      </w:r>
    </w:p>
  </w:footnote>
  <w:footnote w:id="57">
    <w:p w:rsidR="00785921" w:rsidRPr="005509B3" w:rsidRDefault="00785921" w:rsidP="00126E97">
      <w:pPr>
        <w:pStyle w:val="FootnoteText"/>
        <w:spacing w:line="20" w:lineRule="atLeast"/>
        <w:rPr>
          <w:sz w:val="16"/>
          <w:szCs w:val="16"/>
          <w:lang w:val="es-CR"/>
        </w:rPr>
      </w:pPr>
      <w:r w:rsidRPr="005509B3">
        <w:rPr>
          <w:rStyle w:val="FootnoteReference"/>
          <w:sz w:val="16"/>
          <w:szCs w:val="16"/>
        </w:rPr>
        <w:footnoteRef/>
      </w:r>
      <w:r w:rsidRPr="005509B3">
        <w:rPr>
          <w:sz w:val="16"/>
          <w:szCs w:val="16"/>
          <w:lang w:val="es-CR"/>
        </w:rPr>
        <w:t xml:space="preserve"> Las acciones judiciales civiles se refieren más adelante (</w:t>
      </w:r>
      <w:r w:rsidRPr="005509B3">
        <w:rPr>
          <w:i/>
          <w:sz w:val="16"/>
          <w:szCs w:val="16"/>
          <w:lang w:val="es-CR"/>
        </w:rPr>
        <w:t>infra</w:t>
      </w:r>
      <w:r w:rsidRPr="005509B3">
        <w:rPr>
          <w:sz w:val="16"/>
          <w:szCs w:val="16"/>
          <w:lang w:val="es-CR"/>
        </w:rPr>
        <w:t xml:space="preserve"> nota a pie de página </w:t>
      </w:r>
      <w:r>
        <w:rPr>
          <w:sz w:val="16"/>
          <w:szCs w:val="16"/>
          <w:lang w:val="es-CR"/>
        </w:rPr>
        <w:t>223</w:t>
      </w:r>
      <w:r w:rsidRPr="005509B3">
        <w:rPr>
          <w:sz w:val="16"/>
          <w:szCs w:val="16"/>
          <w:lang w:val="es-CR"/>
        </w:rPr>
        <w:t>)</w:t>
      </w:r>
      <w:r>
        <w:rPr>
          <w:sz w:val="16"/>
          <w:szCs w:val="16"/>
          <w:lang w:val="es-CR"/>
        </w:rPr>
        <w:t>.</w:t>
      </w:r>
      <w:r w:rsidRPr="005509B3">
        <w:rPr>
          <w:sz w:val="16"/>
          <w:szCs w:val="16"/>
          <w:lang w:val="es-CR"/>
        </w:rPr>
        <w:t xml:space="preserve"> </w:t>
      </w:r>
    </w:p>
  </w:footnote>
  <w:footnote w:id="5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Observaciones del Estado a la petición inicial, presentadas a la Comisión el 8 de diciembre de 1995, </w:t>
      </w:r>
      <w:r w:rsidRPr="0088070D">
        <w:rPr>
          <w:i/>
          <w:sz w:val="16"/>
          <w:szCs w:val="16"/>
          <w:lang w:val="es-CR"/>
        </w:rPr>
        <w:t>supra</w:t>
      </w:r>
      <w:r>
        <w:rPr>
          <w:sz w:val="16"/>
          <w:szCs w:val="16"/>
          <w:lang w:val="es-CR"/>
        </w:rPr>
        <w:t xml:space="preserve">. </w:t>
      </w:r>
    </w:p>
  </w:footnote>
  <w:footnote w:id="59">
    <w:p w:rsidR="00785921" w:rsidRDefault="00785921" w:rsidP="00126E97">
      <w:pPr>
        <w:pStyle w:val="FootnoteText"/>
        <w:spacing w:line="20" w:lineRule="atLeast"/>
        <w:rPr>
          <w:sz w:val="16"/>
          <w:szCs w:val="16"/>
          <w:highlight w:val="yellow"/>
          <w:lang w:val="es-CR"/>
        </w:rPr>
      </w:pPr>
      <w:r w:rsidRPr="00393463">
        <w:rPr>
          <w:rStyle w:val="FootnoteReference"/>
          <w:sz w:val="16"/>
          <w:szCs w:val="16"/>
          <w:lang w:val="es-CR" w:eastAsia="x-none"/>
        </w:rPr>
        <w:footnoteRef/>
      </w:r>
      <w:r w:rsidRPr="00393463">
        <w:rPr>
          <w:sz w:val="16"/>
          <w:szCs w:val="16"/>
          <w:lang w:val="es-CR"/>
        </w:rPr>
        <w:t xml:space="preserve"> </w:t>
      </w:r>
      <w:r>
        <w:rPr>
          <w:sz w:val="16"/>
          <w:szCs w:val="16"/>
          <w:lang w:val="es-CR"/>
        </w:rPr>
        <w:t xml:space="preserve">Observaciones del Estado a la petición inicial, presentadas a la Comisión el 8 de diciembre de 1995, </w:t>
      </w:r>
      <w:r w:rsidRPr="0088070D">
        <w:rPr>
          <w:i/>
          <w:sz w:val="16"/>
          <w:szCs w:val="16"/>
          <w:lang w:val="es-CR"/>
        </w:rPr>
        <w:t>supra</w:t>
      </w:r>
      <w:r>
        <w:rPr>
          <w:sz w:val="16"/>
          <w:szCs w:val="16"/>
          <w:lang w:val="es-CR"/>
        </w:rPr>
        <w:t>.</w:t>
      </w:r>
    </w:p>
  </w:footnote>
  <w:footnote w:id="60">
    <w:p w:rsidR="00785921" w:rsidRPr="0057574C" w:rsidRDefault="00785921" w:rsidP="00126E97">
      <w:pPr>
        <w:pStyle w:val="FootnoteText"/>
        <w:spacing w:line="20" w:lineRule="atLeast"/>
        <w:rPr>
          <w:sz w:val="16"/>
          <w:szCs w:val="16"/>
          <w:lang w:val="es-CR"/>
        </w:rPr>
      </w:pPr>
      <w:r w:rsidRPr="00162E78">
        <w:rPr>
          <w:rStyle w:val="FootnoteReference"/>
          <w:sz w:val="16"/>
          <w:szCs w:val="16"/>
        </w:rPr>
        <w:footnoteRef/>
      </w:r>
      <w:r w:rsidRPr="00162E78">
        <w:rPr>
          <w:sz w:val="16"/>
          <w:szCs w:val="16"/>
          <w:lang w:val="es-CR"/>
        </w:rPr>
        <w:t xml:space="preserve"> Las</w:t>
      </w:r>
      <w:r w:rsidRPr="00C03C13">
        <w:rPr>
          <w:sz w:val="16"/>
          <w:szCs w:val="16"/>
          <w:lang w:val="es-CR"/>
        </w:rPr>
        <w:t xml:space="preserve"> autoridades judiciales, en el proceso interno, utilizaron la expresión “querellante adhesiva” (</w:t>
      </w:r>
      <w:r w:rsidRPr="00C03C13">
        <w:rPr>
          <w:i/>
          <w:sz w:val="16"/>
          <w:szCs w:val="16"/>
          <w:lang w:val="es-CR"/>
        </w:rPr>
        <w:t>cfr.</w:t>
      </w:r>
      <w:r w:rsidRPr="00C03C13">
        <w:rPr>
          <w:sz w:val="16"/>
          <w:szCs w:val="16"/>
          <w:lang w:val="es-CR"/>
        </w:rPr>
        <w:t xml:space="preserve"> </w:t>
      </w:r>
      <w:r>
        <w:rPr>
          <w:sz w:val="16"/>
          <w:szCs w:val="16"/>
          <w:lang w:val="es-CR"/>
        </w:rPr>
        <w:t>A</w:t>
      </w:r>
      <w:r w:rsidRPr="00C03C13">
        <w:rPr>
          <w:sz w:val="16"/>
          <w:szCs w:val="16"/>
          <w:lang w:val="es-CR"/>
        </w:rPr>
        <w:t xml:space="preserve">cta de </w:t>
      </w:r>
      <w:r>
        <w:rPr>
          <w:sz w:val="16"/>
          <w:szCs w:val="16"/>
          <w:lang w:val="es-CR"/>
        </w:rPr>
        <w:t xml:space="preserve">verificación de </w:t>
      </w:r>
      <w:r w:rsidRPr="00C03C13">
        <w:rPr>
          <w:sz w:val="16"/>
          <w:szCs w:val="16"/>
          <w:lang w:val="es-CR"/>
        </w:rPr>
        <w:t>debate de 25 de noviembre de 1998</w:t>
      </w:r>
      <w:r>
        <w:rPr>
          <w:sz w:val="16"/>
          <w:szCs w:val="16"/>
          <w:lang w:val="es-CR"/>
        </w:rPr>
        <w:t xml:space="preserve"> (e</w:t>
      </w:r>
      <w:r w:rsidRPr="00C03C13">
        <w:rPr>
          <w:sz w:val="16"/>
          <w:szCs w:val="16"/>
          <w:lang w:val="es-CR"/>
        </w:rPr>
        <w:t xml:space="preserve">xpediente de prueba, </w:t>
      </w:r>
      <w:r>
        <w:rPr>
          <w:sz w:val="16"/>
          <w:szCs w:val="16"/>
          <w:lang w:val="es-CR"/>
        </w:rPr>
        <w:t xml:space="preserve">anexo 24 al Informe de Fondo, </w:t>
      </w:r>
      <w:r w:rsidRPr="00C03C13">
        <w:rPr>
          <w:sz w:val="16"/>
          <w:szCs w:val="16"/>
          <w:lang w:val="es-CR"/>
        </w:rPr>
        <w:t>f</w:t>
      </w:r>
      <w:r>
        <w:rPr>
          <w:sz w:val="16"/>
          <w:szCs w:val="16"/>
          <w:lang w:val="es-CR"/>
        </w:rPr>
        <w:t>olio</w:t>
      </w:r>
      <w:r w:rsidRPr="00C03C13">
        <w:rPr>
          <w:sz w:val="16"/>
          <w:szCs w:val="16"/>
          <w:lang w:val="es-CR"/>
        </w:rPr>
        <w:t>s 329 a 701)</w:t>
      </w:r>
      <w:r>
        <w:rPr>
          <w:sz w:val="16"/>
          <w:szCs w:val="16"/>
          <w:lang w:val="es-CR"/>
        </w:rPr>
        <w:t>)</w:t>
      </w:r>
      <w:r w:rsidRPr="00C03C13">
        <w:rPr>
          <w:sz w:val="16"/>
          <w:szCs w:val="16"/>
          <w:lang w:val="es-CR"/>
        </w:rPr>
        <w:t>. También lo hicieron las partes en diversas ocasiones (</w:t>
      </w:r>
      <w:r w:rsidRPr="00416FFE">
        <w:rPr>
          <w:sz w:val="16"/>
          <w:szCs w:val="16"/>
          <w:lang w:val="es-CR"/>
        </w:rPr>
        <w:t>cfr</w:t>
      </w:r>
      <w:r w:rsidRPr="00C03C13">
        <w:rPr>
          <w:sz w:val="16"/>
          <w:szCs w:val="16"/>
          <w:lang w:val="es-CR"/>
        </w:rPr>
        <w:t xml:space="preserve">. escrito de los peticionarios a la Comisión de 11 de mayo de 2010 </w:t>
      </w:r>
      <w:r>
        <w:rPr>
          <w:sz w:val="16"/>
          <w:szCs w:val="16"/>
          <w:lang w:val="es-CR"/>
        </w:rPr>
        <w:t>(e</w:t>
      </w:r>
      <w:r w:rsidRPr="00C03C13">
        <w:rPr>
          <w:sz w:val="16"/>
          <w:szCs w:val="16"/>
          <w:lang w:val="es-CR"/>
        </w:rPr>
        <w:t xml:space="preserve">xpediente de prueba, </w:t>
      </w:r>
      <w:r>
        <w:rPr>
          <w:sz w:val="16"/>
          <w:szCs w:val="16"/>
          <w:lang w:val="es-CR"/>
        </w:rPr>
        <w:t xml:space="preserve">anexo 6 al Informe de Fondo, </w:t>
      </w:r>
      <w:r w:rsidRPr="00C03C13">
        <w:rPr>
          <w:sz w:val="16"/>
          <w:szCs w:val="16"/>
          <w:lang w:val="es-CR"/>
        </w:rPr>
        <w:t>f</w:t>
      </w:r>
      <w:r>
        <w:rPr>
          <w:sz w:val="16"/>
          <w:szCs w:val="16"/>
          <w:lang w:val="es-CR"/>
        </w:rPr>
        <w:t>olios</w:t>
      </w:r>
      <w:r w:rsidRPr="00C03C13">
        <w:rPr>
          <w:sz w:val="16"/>
          <w:szCs w:val="16"/>
          <w:lang w:val="es-CR"/>
        </w:rPr>
        <w:t>. 63 a 84</w:t>
      </w:r>
      <w:r>
        <w:rPr>
          <w:sz w:val="16"/>
          <w:szCs w:val="16"/>
          <w:lang w:val="es-CR"/>
        </w:rPr>
        <w:t>)</w:t>
      </w:r>
      <w:r w:rsidRPr="00C03C13">
        <w:rPr>
          <w:sz w:val="16"/>
          <w:szCs w:val="16"/>
          <w:lang w:val="es-CR"/>
        </w:rPr>
        <w:t xml:space="preserve"> y </w:t>
      </w:r>
      <w:r>
        <w:rPr>
          <w:sz w:val="16"/>
          <w:szCs w:val="16"/>
          <w:lang w:val="es-CR"/>
        </w:rPr>
        <w:t>comunicación</w:t>
      </w:r>
      <w:r w:rsidRPr="00C03C13">
        <w:rPr>
          <w:sz w:val="16"/>
          <w:szCs w:val="16"/>
          <w:lang w:val="es-CR"/>
        </w:rPr>
        <w:t xml:space="preserve"> del Estado a la Comisión de 24 de mayo de 1996</w:t>
      </w:r>
      <w:r>
        <w:rPr>
          <w:sz w:val="16"/>
          <w:szCs w:val="16"/>
          <w:lang w:val="es-CR"/>
        </w:rPr>
        <w:t xml:space="preserve">, </w:t>
      </w:r>
      <w:r w:rsidRPr="00416FFE">
        <w:rPr>
          <w:sz w:val="16"/>
          <w:szCs w:val="16"/>
          <w:lang w:val="es-CR"/>
        </w:rPr>
        <w:t>supra</w:t>
      </w:r>
      <w:r>
        <w:rPr>
          <w:sz w:val="16"/>
          <w:szCs w:val="16"/>
          <w:lang w:val="es-CR"/>
        </w:rPr>
        <w:t>).</w:t>
      </w:r>
      <w:r w:rsidRPr="00C03C13">
        <w:rPr>
          <w:sz w:val="16"/>
          <w:szCs w:val="16"/>
          <w:lang w:val="es-CR"/>
        </w:rPr>
        <w:t xml:space="preserve"> La señora Rigoberta </w:t>
      </w:r>
      <w:proofErr w:type="spellStart"/>
      <w:r w:rsidRPr="00C03C13">
        <w:rPr>
          <w:sz w:val="16"/>
          <w:szCs w:val="16"/>
          <w:lang w:val="es-CR"/>
        </w:rPr>
        <w:t>Mechú</w:t>
      </w:r>
      <w:proofErr w:type="spellEnd"/>
      <w:r w:rsidRPr="00C03C13">
        <w:rPr>
          <w:sz w:val="16"/>
          <w:szCs w:val="16"/>
          <w:lang w:val="es-CR"/>
        </w:rPr>
        <w:t xml:space="preserve"> </w:t>
      </w:r>
      <w:proofErr w:type="spellStart"/>
      <w:r>
        <w:rPr>
          <w:sz w:val="16"/>
          <w:szCs w:val="16"/>
          <w:lang w:val="es-CR"/>
        </w:rPr>
        <w:t>Tum</w:t>
      </w:r>
      <w:proofErr w:type="spellEnd"/>
      <w:r>
        <w:rPr>
          <w:sz w:val="16"/>
          <w:szCs w:val="16"/>
          <w:lang w:val="es-CR"/>
        </w:rPr>
        <w:t xml:space="preserve"> </w:t>
      </w:r>
      <w:r w:rsidRPr="00C03C13">
        <w:rPr>
          <w:sz w:val="16"/>
          <w:szCs w:val="16"/>
          <w:lang w:val="es-CR"/>
        </w:rPr>
        <w:t>también utilizó la misma terminología en presentaciones ante autoridades judiciales internas (</w:t>
      </w:r>
      <w:r w:rsidRPr="00416FFE">
        <w:rPr>
          <w:sz w:val="16"/>
          <w:szCs w:val="16"/>
          <w:lang w:val="es-CR"/>
        </w:rPr>
        <w:t>cfr</w:t>
      </w:r>
      <w:r w:rsidRPr="00C03C13">
        <w:rPr>
          <w:sz w:val="16"/>
          <w:szCs w:val="16"/>
          <w:lang w:val="es-CR"/>
        </w:rPr>
        <w:t xml:space="preserve">. </w:t>
      </w:r>
      <w:r w:rsidRPr="00416FFE">
        <w:rPr>
          <w:sz w:val="16"/>
          <w:szCs w:val="16"/>
          <w:lang w:val="es-CR"/>
        </w:rPr>
        <w:t xml:space="preserve">Causa No. JM-028.95. Escrito de Rigoberta Menchú </w:t>
      </w:r>
      <w:proofErr w:type="spellStart"/>
      <w:r w:rsidRPr="00416FFE">
        <w:rPr>
          <w:sz w:val="16"/>
          <w:szCs w:val="16"/>
          <w:lang w:val="es-CR"/>
        </w:rPr>
        <w:t>Tum</w:t>
      </w:r>
      <w:proofErr w:type="spellEnd"/>
      <w:r w:rsidRPr="00416FFE">
        <w:rPr>
          <w:sz w:val="16"/>
          <w:szCs w:val="16"/>
          <w:lang w:val="es-CR"/>
        </w:rPr>
        <w:t xml:space="preserve"> de 31 de octubre de 1995 (expediente de prueba, anexo 9 al Informe Fondo, folios 93 a 136)).</w:t>
      </w:r>
      <w:r w:rsidRPr="00C03C13">
        <w:rPr>
          <w:sz w:val="16"/>
          <w:szCs w:val="16"/>
          <w:lang w:val="es-CR"/>
        </w:rPr>
        <w:t xml:space="preserve"> </w:t>
      </w:r>
      <w:r w:rsidRPr="00416FFE">
        <w:rPr>
          <w:sz w:val="16"/>
          <w:szCs w:val="16"/>
          <w:lang w:val="es-CR"/>
        </w:rPr>
        <w:t>De acuerdo al artículo 116 del Código Procesal Penal de Guatemala, “dado” por el “organismo legislativo” el 28 de septiembre de 1992,</w:t>
      </w:r>
      <w:r w:rsidRPr="00C03C13">
        <w:rPr>
          <w:sz w:val="16"/>
          <w:szCs w:val="16"/>
          <w:lang w:val="es-CR"/>
        </w:rPr>
        <w:t xml:space="preserve"> “[e]</w:t>
      </w:r>
      <w:r w:rsidRPr="00416FFE">
        <w:rPr>
          <w:sz w:val="16"/>
          <w:szCs w:val="16"/>
          <w:lang w:val="es-CR"/>
        </w:rPr>
        <w:t>n los delitos de acción pública, el agraviado con capacidad civil o su representante o guardador en caso de incapacidad podrán provocar la persecución penal o adherirse a la ya iniciada por el Ministerio Público. El mismo derecho podrá ser ejercido por cualquier ciudadano o asociación de ciudadanos, contra funcionarios o empleados públicos que hubieren violado directamente derechos humanos, en ejercicio de su función o con ocasión de ella, o cuando se trate de delitos cometidos por funcionarios públicos que abusen de su cargo. Los órganos del Estado solamente podrán querellarse por medio del Ministerio Público. Se exceptúan las entidades autónomas con personalidad jurídica”. (cfr.</w:t>
      </w:r>
      <w:hyperlink r:id="rId3" w:history="1">
        <w:r w:rsidRPr="00416FFE">
          <w:rPr>
            <w:sz w:val="16"/>
            <w:szCs w:val="16"/>
            <w:lang w:val="es-CR"/>
          </w:rPr>
          <w:t>http://www.cicad.oas.org/fortalecimiento_institucional/legislations/PDF/GT/decreto_congresional_51-92_codigo_procesal_penal.pdf</w:t>
        </w:r>
      </w:hyperlink>
      <w:r w:rsidRPr="00416FFE">
        <w:rPr>
          <w:color w:val="000000"/>
          <w:sz w:val="16"/>
          <w:szCs w:val="16"/>
          <w:lang w:val="es-CR"/>
        </w:rPr>
        <w:t>)</w:t>
      </w:r>
    </w:p>
  </w:footnote>
  <w:footnote w:id="61">
    <w:p w:rsidR="00785921" w:rsidRPr="0057574C" w:rsidRDefault="00785921" w:rsidP="00126E97">
      <w:pPr>
        <w:spacing w:after="0" w:line="20" w:lineRule="atLeast"/>
        <w:jc w:val="both"/>
        <w:rPr>
          <w:rFonts w:ascii="Verdana" w:eastAsia="Calibri" w:hAnsi="Verdana" w:cs="Times New Roman"/>
          <w:sz w:val="16"/>
          <w:szCs w:val="16"/>
        </w:rPr>
      </w:pPr>
      <w:r w:rsidRPr="0057574C">
        <w:rPr>
          <w:rStyle w:val="FootnoteReference"/>
          <w:rFonts w:ascii="Verdana" w:eastAsia="Calibri" w:hAnsi="Verdana"/>
          <w:sz w:val="16"/>
          <w:szCs w:val="16"/>
          <w:lang w:eastAsia="x-none"/>
        </w:rPr>
        <w:footnoteRef/>
      </w:r>
      <w:r w:rsidRPr="0057574C">
        <w:rPr>
          <w:rFonts w:ascii="Verdana" w:hAnsi="Verdana"/>
          <w:sz w:val="16"/>
          <w:szCs w:val="16"/>
        </w:rPr>
        <w:t xml:space="preserve">Causa No. JM-028.95. Escrito de </w:t>
      </w:r>
      <w:r w:rsidRPr="0057574C">
        <w:rPr>
          <w:rFonts w:ascii="Verdana" w:eastAsia="Calibri" w:hAnsi="Verdana" w:cs="Times New Roman"/>
          <w:sz w:val="16"/>
          <w:szCs w:val="16"/>
        </w:rPr>
        <w:t xml:space="preserve">Rigoberta Menchú </w:t>
      </w:r>
      <w:proofErr w:type="spellStart"/>
      <w:r w:rsidRPr="0057574C">
        <w:rPr>
          <w:rFonts w:ascii="Verdana" w:eastAsia="Calibri" w:hAnsi="Verdana" w:cs="Times New Roman"/>
          <w:sz w:val="16"/>
          <w:szCs w:val="16"/>
        </w:rPr>
        <w:t>Tum</w:t>
      </w:r>
      <w:proofErr w:type="spellEnd"/>
      <w:r w:rsidRPr="0057574C">
        <w:rPr>
          <w:rFonts w:ascii="Verdana" w:eastAsia="Calibri" w:hAnsi="Verdana" w:cs="Times New Roman"/>
          <w:sz w:val="16"/>
          <w:szCs w:val="16"/>
        </w:rPr>
        <w:t xml:space="preserve"> de 31 de octubre de 1995</w:t>
      </w:r>
      <w:r>
        <w:rPr>
          <w:rFonts w:ascii="Verdana" w:eastAsia="Calibri" w:hAnsi="Verdana" w:cs="Times New Roman"/>
          <w:sz w:val="16"/>
          <w:szCs w:val="16"/>
        </w:rPr>
        <w:t xml:space="preserve">, </w:t>
      </w:r>
      <w:r w:rsidRPr="007F44F4">
        <w:rPr>
          <w:rFonts w:ascii="Verdana" w:eastAsia="Calibri" w:hAnsi="Verdana" w:cs="Times New Roman"/>
          <w:i/>
          <w:sz w:val="16"/>
          <w:szCs w:val="16"/>
        </w:rPr>
        <w:t>supra</w:t>
      </w:r>
      <w:r w:rsidRPr="0057574C">
        <w:rPr>
          <w:rFonts w:ascii="Verdana" w:hAnsi="Verdana"/>
          <w:sz w:val="16"/>
          <w:szCs w:val="16"/>
        </w:rPr>
        <w:t xml:space="preserve">. </w:t>
      </w:r>
    </w:p>
  </w:footnote>
  <w:footnote w:id="62">
    <w:p w:rsidR="00785921" w:rsidRDefault="00785921" w:rsidP="00126E97">
      <w:pPr>
        <w:spacing w:after="0" w:line="20" w:lineRule="atLeast"/>
        <w:jc w:val="both"/>
        <w:rPr>
          <w:rFonts w:ascii="Times New Roman" w:eastAsia="Calibri" w:hAnsi="Times New Roman" w:cs="Times New Roman"/>
        </w:rPr>
      </w:pPr>
      <w:r w:rsidRPr="0057574C">
        <w:rPr>
          <w:rStyle w:val="FootnoteReference"/>
          <w:rFonts w:ascii="Verdana" w:eastAsia="Calibri" w:hAnsi="Verdana"/>
          <w:sz w:val="16"/>
          <w:szCs w:val="16"/>
          <w:lang w:eastAsia="x-none"/>
        </w:rPr>
        <w:footnoteRef/>
      </w:r>
      <w:r w:rsidRPr="0057574C">
        <w:rPr>
          <w:rFonts w:ascii="Verdana" w:hAnsi="Verdana"/>
          <w:sz w:val="16"/>
          <w:szCs w:val="16"/>
        </w:rPr>
        <w:t xml:space="preserve"> Esto fue señalado en el párrafo 68 del Informe de Fondo como uno de los hechos que la Comisión entendió “probados”. La Comisión, como prueba de tal hecho</w:t>
      </w:r>
      <w:r w:rsidRPr="0057574C">
        <w:rPr>
          <w:rFonts w:ascii="Verdana" w:eastAsia="Calibri" w:hAnsi="Verdana" w:cs="Times New Roman"/>
          <w:sz w:val="16"/>
          <w:szCs w:val="16"/>
        </w:rPr>
        <w:t>, remitió al documento “Auto de 2 de noviembre de 1995 del Juzgado Militar de Primera Instancia del Departamento de Jalapa en la Causa Penal No. 028-95”, cuya copia acompaño como anexo 10 al Informe de Fondo (expediente de prueba</w:t>
      </w:r>
      <w:r w:rsidRPr="0057574C">
        <w:rPr>
          <w:rFonts w:ascii="Verdana" w:hAnsi="Verdana"/>
          <w:sz w:val="16"/>
          <w:szCs w:val="16"/>
        </w:rPr>
        <w:t>, folios 138 a 144). La misma, no obstante, se encuentra parcialmente ilegible.</w:t>
      </w:r>
      <w:r>
        <w:rPr>
          <w:sz w:val="16"/>
          <w:szCs w:val="16"/>
        </w:rPr>
        <w:t xml:space="preserve"> </w:t>
      </w:r>
    </w:p>
  </w:footnote>
  <w:footnote w:id="63">
    <w:p w:rsidR="00785921" w:rsidRDefault="00785921" w:rsidP="00126E97">
      <w:pPr>
        <w:pStyle w:val="FootnoteText"/>
        <w:spacing w:line="20" w:lineRule="atLeast"/>
        <w:rPr>
          <w:sz w:val="16"/>
          <w:szCs w:val="16"/>
          <w:lang w:val="es-CR"/>
        </w:rPr>
      </w:pPr>
      <w:r>
        <w:rPr>
          <w:rStyle w:val="FootnoteReference"/>
          <w:sz w:val="16"/>
          <w:szCs w:val="16"/>
          <w:lang w:val="es-ES_tradnl" w:eastAsia="x-none"/>
        </w:rPr>
        <w:footnoteRef/>
      </w:r>
      <w:r>
        <w:rPr>
          <w:sz w:val="16"/>
          <w:szCs w:val="16"/>
          <w:lang w:val="es-ES_tradnl"/>
        </w:rPr>
        <w:t xml:space="preserve"> </w:t>
      </w:r>
      <w:r>
        <w:rPr>
          <w:i/>
          <w:sz w:val="16"/>
          <w:szCs w:val="16"/>
          <w:lang w:val="es-CR"/>
        </w:rPr>
        <w:t>C</w:t>
      </w:r>
      <w:r w:rsidRPr="00676759">
        <w:rPr>
          <w:i/>
          <w:sz w:val="16"/>
          <w:szCs w:val="16"/>
          <w:lang w:val="es-CR"/>
        </w:rPr>
        <w:t>fr</w:t>
      </w:r>
      <w:r>
        <w:rPr>
          <w:sz w:val="16"/>
          <w:szCs w:val="16"/>
          <w:lang w:val="es-CR"/>
        </w:rPr>
        <w:t xml:space="preserve">. CEH, Guatemala: Memoria del Silencio, </w:t>
      </w:r>
      <w:r w:rsidRPr="00676759">
        <w:rPr>
          <w:i/>
          <w:sz w:val="16"/>
          <w:szCs w:val="16"/>
          <w:lang w:val="es-CR"/>
        </w:rPr>
        <w:t>supra</w:t>
      </w:r>
      <w:r>
        <w:rPr>
          <w:sz w:val="16"/>
          <w:szCs w:val="16"/>
          <w:lang w:val="es-CR"/>
        </w:rPr>
        <w:t xml:space="preserve">, Tomo VI, Casos Ilustrativos, Anexo 1, Caso Ilustrativo 3: Masacre de </w:t>
      </w:r>
      <w:proofErr w:type="spellStart"/>
      <w:r>
        <w:rPr>
          <w:sz w:val="16"/>
          <w:szCs w:val="16"/>
          <w:lang w:val="es-CR"/>
        </w:rPr>
        <w:t>Xamán</w:t>
      </w:r>
      <w:proofErr w:type="spellEnd"/>
      <w:r>
        <w:rPr>
          <w:sz w:val="16"/>
          <w:szCs w:val="16"/>
          <w:lang w:val="es-CR"/>
        </w:rPr>
        <w:t xml:space="preserve">, pág. 41 y </w:t>
      </w:r>
      <w:r>
        <w:rPr>
          <w:sz w:val="16"/>
          <w:szCs w:val="16"/>
          <w:lang w:val="es-ES_tradnl"/>
        </w:rPr>
        <w:t>Comunicación de los peticionarios de 10 de septiembre de 1996 dirigida a la Comisión Interamericana (expediente de</w:t>
      </w:r>
      <w:r>
        <w:rPr>
          <w:sz w:val="16"/>
          <w:szCs w:val="16"/>
          <w:lang w:val="es-CR"/>
        </w:rPr>
        <w:t xml:space="preserve"> prueba, anexo 11 al Informe de Fondo, folios 146 a 165).</w:t>
      </w:r>
    </w:p>
  </w:footnote>
  <w:footnote w:id="64">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 xml:space="preserve">Cfr. </w:t>
      </w:r>
      <w:r>
        <w:rPr>
          <w:sz w:val="16"/>
          <w:szCs w:val="16"/>
          <w:lang w:val="es-CR"/>
        </w:rPr>
        <w:t xml:space="preserve">Comunicación de los peticionarios de 10 de septiembre de 1996 dirigida a la Comisión Interamericana, </w:t>
      </w:r>
      <w:r w:rsidRPr="007F44F4">
        <w:rPr>
          <w:i/>
          <w:sz w:val="16"/>
          <w:szCs w:val="16"/>
          <w:lang w:val="es-CR"/>
        </w:rPr>
        <w:t>supra</w:t>
      </w:r>
      <w:r>
        <w:rPr>
          <w:sz w:val="16"/>
          <w:szCs w:val="16"/>
          <w:lang w:val="es-CR"/>
        </w:rPr>
        <w:t xml:space="preserve">. </w:t>
      </w:r>
    </w:p>
  </w:footnote>
  <w:footnote w:id="6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Comunicación del Estado a la Comisión de 24 de mayo de 1996, </w:t>
      </w:r>
      <w:r w:rsidRPr="0088070D">
        <w:rPr>
          <w:i/>
          <w:sz w:val="16"/>
          <w:szCs w:val="16"/>
          <w:lang w:val="es-CR"/>
        </w:rPr>
        <w:t>supra</w:t>
      </w:r>
      <w:r>
        <w:rPr>
          <w:sz w:val="16"/>
          <w:szCs w:val="16"/>
          <w:lang w:val="es-CR"/>
        </w:rPr>
        <w:t>.</w:t>
      </w:r>
    </w:p>
  </w:footnote>
  <w:footnote w:id="66">
    <w:p w:rsidR="00785921" w:rsidRPr="0057574C" w:rsidRDefault="00785921" w:rsidP="00126E97">
      <w:pPr>
        <w:spacing w:after="0" w:line="20" w:lineRule="atLeast"/>
        <w:ind w:right="-138"/>
        <w:jc w:val="both"/>
        <w:rPr>
          <w:rFonts w:ascii="Verdana" w:hAnsi="Verdana"/>
          <w:sz w:val="16"/>
          <w:szCs w:val="16"/>
        </w:rPr>
      </w:pPr>
      <w:r w:rsidRPr="0057574C">
        <w:rPr>
          <w:rStyle w:val="FootnoteReference"/>
          <w:rFonts w:ascii="Verdana" w:hAnsi="Verdana"/>
          <w:sz w:val="16"/>
          <w:szCs w:val="16"/>
          <w:lang w:eastAsia="x-none"/>
        </w:rPr>
        <w:footnoteRef/>
      </w:r>
      <w:r w:rsidRPr="0057574C">
        <w:rPr>
          <w:rFonts w:ascii="Verdana" w:hAnsi="Verdana"/>
          <w:sz w:val="16"/>
          <w:szCs w:val="16"/>
        </w:rPr>
        <w:t xml:space="preserve"> </w:t>
      </w:r>
      <w:r w:rsidRPr="0057574C">
        <w:rPr>
          <w:rFonts w:ascii="Verdana" w:hAnsi="Verdana"/>
          <w:i/>
          <w:sz w:val="16"/>
          <w:szCs w:val="16"/>
        </w:rPr>
        <w:t>Cfr.</w:t>
      </w:r>
      <w:r w:rsidRPr="0057574C">
        <w:rPr>
          <w:rFonts w:ascii="Verdana" w:hAnsi="Verdana"/>
          <w:sz w:val="16"/>
          <w:szCs w:val="16"/>
        </w:rPr>
        <w:t xml:space="preserve"> Acusación del Agente Fiscal del Ministerio Público de 29 de mayo de 1996 (expediente de prueba, trámite ante la Comisión, f</w:t>
      </w:r>
      <w:r>
        <w:rPr>
          <w:rFonts w:ascii="Verdana" w:hAnsi="Verdana"/>
          <w:sz w:val="16"/>
          <w:szCs w:val="16"/>
        </w:rPr>
        <w:t>olio</w:t>
      </w:r>
      <w:r w:rsidRPr="0057574C">
        <w:rPr>
          <w:rFonts w:ascii="Verdana" w:hAnsi="Verdana"/>
          <w:sz w:val="16"/>
          <w:szCs w:val="16"/>
        </w:rPr>
        <w:t xml:space="preserve">s 4175 a 4243). De acuerdo a la CEH, fue el </w:t>
      </w:r>
      <w:r w:rsidRPr="0057574C">
        <w:rPr>
          <w:rFonts w:ascii="Verdana" w:hAnsi="Verdana"/>
          <w:sz w:val="16"/>
          <w:szCs w:val="16"/>
          <w:lang w:val="es-CR"/>
        </w:rPr>
        <w:t>29 de junio de 1996 cuando el Ministerio Público presentó acusación (</w:t>
      </w:r>
      <w:r w:rsidRPr="0057574C">
        <w:rPr>
          <w:rFonts w:ascii="Verdana" w:hAnsi="Verdana"/>
          <w:i/>
          <w:sz w:val="16"/>
          <w:szCs w:val="16"/>
          <w:lang w:val="es-CR"/>
        </w:rPr>
        <w:t>cfr.</w:t>
      </w:r>
      <w:r w:rsidRPr="0057574C">
        <w:rPr>
          <w:rFonts w:ascii="Verdana" w:hAnsi="Verdana"/>
          <w:sz w:val="16"/>
          <w:szCs w:val="16"/>
          <w:lang w:val="es-CR"/>
        </w:rPr>
        <w:t xml:space="preserve"> CEH, Guatemala: Memoria del Silencio, </w:t>
      </w:r>
      <w:r w:rsidRPr="0057574C">
        <w:rPr>
          <w:rFonts w:ascii="Verdana" w:hAnsi="Verdana"/>
          <w:i/>
          <w:sz w:val="16"/>
          <w:szCs w:val="16"/>
          <w:lang w:val="es-CR"/>
        </w:rPr>
        <w:t>supra</w:t>
      </w:r>
      <w:r w:rsidRPr="0057574C">
        <w:rPr>
          <w:rFonts w:ascii="Verdana" w:hAnsi="Verdana"/>
          <w:sz w:val="16"/>
          <w:szCs w:val="16"/>
          <w:lang w:val="es-CR"/>
        </w:rPr>
        <w:t xml:space="preserve">, Tomo VI, Casos Ilustrativos, Anexo 1, Caso Ilustrativo 3: Masacre de </w:t>
      </w:r>
      <w:proofErr w:type="spellStart"/>
      <w:r w:rsidRPr="0057574C">
        <w:rPr>
          <w:rFonts w:ascii="Verdana" w:hAnsi="Verdana"/>
          <w:sz w:val="16"/>
          <w:szCs w:val="16"/>
          <w:lang w:val="es-CR"/>
        </w:rPr>
        <w:t>Xamán</w:t>
      </w:r>
      <w:proofErr w:type="spellEnd"/>
      <w:r w:rsidRPr="0057574C">
        <w:rPr>
          <w:rFonts w:ascii="Verdana" w:hAnsi="Verdana"/>
          <w:sz w:val="16"/>
          <w:szCs w:val="16"/>
          <w:lang w:val="es-CR"/>
        </w:rPr>
        <w:t>).</w:t>
      </w:r>
    </w:p>
  </w:footnote>
  <w:footnote w:id="67">
    <w:p w:rsidR="00785921" w:rsidRPr="00C03C13" w:rsidRDefault="00785921" w:rsidP="00126E97">
      <w:pPr>
        <w:pStyle w:val="FootnoteText"/>
        <w:spacing w:line="20" w:lineRule="atLeast"/>
        <w:rPr>
          <w:lang w:val="es-CR"/>
        </w:rPr>
      </w:pPr>
      <w:r w:rsidRPr="0057574C">
        <w:rPr>
          <w:rStyle w:val="FootnoteReference"/>
          <w:sz w:val="16"/>
          <w:szCs w:val="16"/>
        </w:rPr>
        <w:footnoteRef/>
      </w:r>
      <w:r w:rsidRPr="0057574C">
        <w:rPr>
          <w:sz w:val="16"/>
          <w:szCs w:val="16"/>
          <w:lang w:val="es-CR"/>
        </w:rPr>
        <w:t xml:space="preserve"> Este hecho fue señalado en el párrafo 72 del Informe de Fondo</w:t>
      </w:r>
      <w:r w:rsidRPr="0057574C">
        <w:rPr>
          <w:sz w:val="16"/>
          <w:szCs w:val="16"/>
          <w:lang w:val="es-ES_tradnl"/>
        </w:rPr>
        <w:t xml:space="preserve"> como uno de los hechos que la Comisión entendió “probados”</w:t>
      </w:r>
      <w:r w:rsidRPr="0057574C">
        <w:rPr>
          <w:sz w:val="16"/>
          <w:szCs w:val="16"/>
          <w:lang w:val="es-CR"/>
        </w:rPr>
        <w:t>, y no fue controvertido por las partes. La Comisión, como prueba de tal hecho, remitió a documentos que indicó como “Resoluciones del juzgado</w:t>
      </w:r>
      <w:r>
        <w:rPr>
          <w:sz w:val="16"/>
          <w:szCs w:val="16"/>
          <w:lang w:val="es-CR"/>
        </w:rPr>
        <w:t xml:space="preserve"> de primera instancia penal, narcoactividad y delitos contra el ambiente del departamentos de Alta Verapaz, de fechas 30 y 31 de mayo de 1996”,</w:t>
      </w:r>
      <w:r w:rsidRPr="00C54649">
        <w:rPr>
          <w:sz w:val="16"/>
          <w:szCs w:val="16"/>
          <w:lang w:val="es-CR"/>
        </w:rPr>
        <w:t xml:space="preserve"> cuya copia acompaño como anexo 1</w:t>
      </w:r>
      <w:r>
        <w:rPr>
          <w:sz w:val="16"/>
          <w:szCs w:val="16"/>
          <w:lang w:val="es-CR"/>
        </w:rPr>
        <w:t>4</w:t>
      </w:r>
      <w:r w:rsidRPr="00C54649">
        <w:rPr>
          <w:sz w:val="16"/>
          <w:szCs w:val="16"/>
          <w:lang w:val="es-CR"/>
        </w:rPr>
        <w:t xml:space="preserve"> al Informe de Fondo (expediente de prueba, folios </w:t>
      </w:r>
      <w:r>
        <w:rPr>
          <w:sz w:val="16"/>
          <w:szCs w:val="16"/>
          <w:lang w:val="es-CR"/>
        </w:rPr>
        <w:t>212</w:t>
      </w:r>
      <w:r w:rsidRPr="00C54649">
        <w:rPr>
          <w:sz w:val="16"/>
          <w:szCs w:val="16"/>
          <w:lang w:val="es-CR"/>
        </w:rPr>
        <w:t xml:space="preserve"> a </w:t>
      </w:r>
      <w:r>
        <w:rPr>
          <w:sz w:val="16"/>
          <w:szCs w:val="16"/>
          <w:lang w:val="es-CR"/>
        </w:rPr>
        <w:t>215</w:t>
      </w:r>
      <w:r w:rsidRPr="00C54649">
        <w:rPr>
          <w:sz w:val="16"/>
          <w:szCs w:val="16"/>
          <w:lang w:val="es-CR"/>
        </w:rPr>
        <w:t>). La misma, no obst</w:t>
      </w:r>
      <w:r>
        <w:rPr>
          <w:sz w:val="16"/>
          <w:szCs w:val="16"/>
          <w:lang w:val="es-CR"/>
        </w:rPr>
        <w:t xml:space="preserve">ante, se encuentra </w:t>
      </w:r>
      <w:r w:rsidRPr="00C54649">
        <w:rPr>
          <w:sz w:val="16"/>
          <w:szCs w:val="16"/>
          <w:lang w:val="es-CR"/>
        </w:rPr>
        <w:t>ilegible.</w:t>
      </w:r>
    </w:p>
  </w:footnote>
  <w:footnote w:id="68">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w:t>
      </w:r>
      <w:r w:rsidRPr="00637508">
        <w:rPr>
          <w:sz w:val="16"/>
          <w:szCs w:val="16"/>
          <w:lang w:val="es-CR"/>
        </w:rPr>
        <w:t>Informe del Gobierno de Guatemala a la Comisión de 24 de mayo de 2004</w:t>
      </w:r>
      <w:r>
        <w:rPr>
          <w:sz w:val="16"/>
          <w:szCs w:val="16"/>
          <w:lang w:val="es-CR"/>
        </w:rPr>
        <w:t xml:space="preserve"> (e</w:t>
      </w:r>
      <w:r w:rsidRPr="00637508">
        <w:rPr>
          <w:sz w:val="16"/>
          <w:szCs w:val="16"/>
          <w:lang w:val="es-CR"/>
        </w:rPr>
        <w:t xml:space="preserve">xpediente de prueba, </w:t>
      </w:r>
      <w:r>
        <w:rPr>
          <w:sz w:val="16"/>
          <w:szCs w:val="16"/>
          <w:lang w:val="es-CR"/>
        </w:rPr>
        <w:t>a</w:t>
      </w:r>
      <w:r w:rsidRPr="00637508">
        <w:rPr>
          <w:sz w:val="16"/>
          <w:szCs w:val="16"/>
          <w:lang w:val="es-CR"/>
        </w:rPr>
        <w:t>nexo 28 al Informe de Fondo, f</w:t>
      </w:r>
      <w:r>
        <w:rPr>
          <w:sz w:val="16"/>
          <w:szCs w:val="16"/>
          <w:lang w:val="es-CR"/>
        </w:rPr>
        <w:t>olio</w:t>
      </w:r>
      <w:r w:rsidRPr="00637508">
        <w:rPr>
          <w:sz w:val="16"/>
          <w:szCs w:val="16"/>
          <w:lang w:val="es-CR"/>
        </w:rPr>
        <w:t>s 927 a 931</w:t>
      </w:r>
      <w:r>
        <w:rPr>
          <w:sz w:val="16"/>
          <w:szCs w:val="16"/>
          <w:lang w:val="es-CR"/>
        </w:rPr>
        <w:t>)</w:t>
      </w:r>
      <w:r w:rsidRPr="00637508">
        <w:rPr>
          <w:sz w:val="16"/>
          <w:szCs w:val="16"/>
          <w:lang w:val="es-CR"/>
        </w:rPr>
        <w:t>.</w:t>
      </w:r>
    </w:p>
  </w:footnote>
  <w:footnote w:id="6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Acusación </w:t>
      </w:r>
      <w:r>
        <w:rPr>
          <w:sz w:val="16"/>
          <w:szCs w:val="16"/>
          <w:lang w:val="es-ES_tradnl"/>
        </w:rPr>
        <w:t xml:space="preserve">presentada por la “querellante adhesiva” Rigoberta Menchú </w:t>
      </w:r>
      <w:proofErr w:type="spellStart"/>
      <w:r>
        <w:rPr>
          <w:sz w:val="16"/>
          <w:szCs w:val="16"/>
          <w:lang w:val="es-ES_tradnl"/>
        </w:rPr>
        <w:t>Tum</w:t>
      </w:r>
      <w:proofErr w:type="spellEnd"/>
      <w:r>
        <w:rPr>
          <w:sz w:val="16"/>
          <w:szCs w:val="16"/>
          <w:lang w:val="es-ES_tradnl"/>
        </w:rPr>
        <w:t>, de fecha 12 de noviembre de 1992 (expediente de prueba, trámite ante la Comisión, folios 4246 a 4289).</w:t>
      </w:r>
      <w:r w:rsidRPr="00676759">
        <w:rPr>
          <w:lang w:val="es-CR"/>
        </w:rPr>
        <w:t xml:space="preserve"> </w:t>
      </w:r>
      <w:r w:rsidRPr="001F1B19">
        <w:rPr>
          <w:sz w:val="16"/>
          <w:szCs w:val="16"/>
          <w:lang w:val="es-ES_tradnl"/>
        </w:rPr>
        <w:t>Por otra parte, los peticionarios informaron a la Comisión que la querellante y el Ministerio Público presentaron una queja por actuaciones del juez, quien para septiembre de 1996 había sido removido del caso por decisión de la Corte Suprema de Justicia (</w:t>
      </w:r>
      <w:r w:rsidRPr="00E64872">
        <w:rPr>
          <w:i/>
          <w:sz w:val="16"/>
          <w:szCs w:val="16"/>
          <w:lang w:val="es-ES_tradnl"/>
        </w:rPr>
        <w:t>cfr</w:t>
      </w:r>
      <w:r w:rsidRPr="001F1B19">
        <w:rPr>
          <w:sz w:val="16"/>
          <w:szCs w:val="16"/>
          <w:lang w:val="es-ES_tradnl"/>
        </w:rPr>
        <w:t>. Comunicación de los peticionarios de 10 de septiembre de 1996 dirigida a la Comisión Interamericana</w:t>
      </w:r>
      <w:r>
        <w:rPr>
          <w:sz w:val="16"/>
          <w:szCs w:val="16"/>
          <w:lang w:val="es-ES_tradnl"/>
        </w:rPr>
        <w:t xml:space="preserve">, </w:t>
      </w:r>
      <w:r w:rsidRPr="007F44F4">
        <w:rPr>
          <w:i/>
          <w:sz w:val="16"/>
          <w:szCs w:val="16"/>
          <w:lang w:val="es-ES_tradnl"/>
        </w:rPr>
        <w:t>supra</w:t>
      </w:r>
      <w:r>
        <w:rPr>
          <w:sz w:val="16"/>
          <w:szCs w:val="16"/>
          <w:lang w:val="es-ES_tradnl"/>
        </w:rPr>
        <w:t>)</w:t>
      </w:r>
      <w:r w:rsidRPr="001F1B19">
        <w:rPr>
          <w:sz w:val="16"/>
          <w:szCs w:val="16"/>
          <w:lang w:val="es-ES_tradnl"/>
        </w:rPr>
        <w:t>.</w:t>
      </w:r>
    </w:p>
  </w:footnote>
  <w:footnote w:id="70">
    <w:p w:rsidR="00785921" w:rsidRPr="0057574C" w:rsidRDefault="00785921" w:rsidP="00126E97">
      <w:pPr>
        <w:spacing w:after="0" w:line="20" w:lineRule="atLeast"/>
        <w:jc w:val="both"/>
        <w:rPr>
          <w:rFonts w:ascii="Verdana" w:hAnsi="Verdana"/>
          <w:sz w:val="16"/>
          <w:szCs w:val="16"/>
          <w:lang w:val="es-CR"/>
        </w:rPr>
      </w:pPr>
      <w:r w:rsidRPr="0057574C">
        <w:rPr>
          <w:rStyle w:val="FootnoteReference"/>
          <w:rFonts w:ascii="Verdana" w:hAnsi="Verdana"/>
          <w:sz w:val="16"/>
          <w:szCs w:val="16"/>
          <w:lang w:eastAsia="x-none"/>
        </w:rPr>
        <w:footnoteRef/>
      </w:r>
      <w:r w:rsidRPr="0057574C">
        <w:rPr>
          <w:rFonts w:ascii="Verdana" w:hAnsi="Verdana"/>
          <w:sz w:val="16"/>
          <w:szCs w:val="16"/>
          <w:lang w:val="es-CR"/>
        </w:rPr>
        <w:t xml:space="preserve"> De acuerdo a información presentada por los peticionarios a la Comisión, en agosto de 1996 la defensa presentó un recurso de inconstitucionalidad, como incidente dentro de la causa, reclamando, entre otras cosas, la inaplicabilidad de la figura de “ejecución extrajudicial”. El “Juez” se inhibió de conocer el recurso, y lo en</w:t>
      </w:r>
      <w:r>
        <w:rPr>
          <w:rFonts w:ascii="Verdana" w:hAnsi="Verdana"/>
          <w:sz w:val="16"/>
          <w:szCs w:val="16"/>
          <w:lang w:val="es-CR"/>
        </w:rPr>
        <w:t>vió a “un tribunal de alzada”. É</w:t>
      </w:r>
      <w:r w:rsidRPr="0057574C">
        <w:rPr>
          <w:rFonts w:ascii="Verdana" w:hAnsi="Verdana"/>
          <w:sz w:val="16"/>
          <w:szCs w:val="16"/>
          <w:lang w:val="es-CR"/>
        </w:rPr>
        <w:t>ste, a su vez, lo devolvió al Juez, con la indicación de que se avoque al asunto. El “Juez” remitió la cuestión a la Corte Suprema de Justicia, planteando dudas sobre si tenía o no competencia para conocer. La Corte Suprema de Justicia devolvió el asunto al “Juez”, avalando lo antes decidido por el tribunal de alzada. El “Juez” desestimó lo alegado por la defensa, pero suspendió el proceso hasta que se resolvieran apelaciones que había planteado la misma defensa. Por otra parte, para marzo de 1997, la defensa había planteado varios amparos. (</w:t>
      </w:r>
      <w:r w:rsidRPr="0057574C">
        <w:rPr>
          <w:rFonts w:ascii="Verdana" w:hAnsi="Verdana"/>
          <w:i/>
          <w:sz w:val="16"/>
          <w:szCs w:val="16"/>
          <w:lang w:val="es-CR"/>
        </w:rPr>
        <w:t>Cfr.</w:t>
      </w:r>
      <w:r w:rsidRPr="0057574C">
        <w:rPr>
          <w:rFonts w:ascii="Verdana" w:hAnsi="Verdana"/>
          <w:sz w:val="16"/>
          <w:szCs w:val="16"/>
          <w:lang w:val="es-CR"/>
        </w:rPr>
        <w:t xml:space="preserve"> Comunicación de los peticionarios a la Comisión de 7 de marzo de 1997 (expediente de prueba, trámite ante la Comisión, folios 2103 a 2109). En su comunicación los peticionarios se refirieron al “Juez”, sin otras especificaciones.) </w:t>
      </w:r>
    </w:p>
  </w:footnote>
  <w:footnote w:id="71">
    <w:p w:rsidR="00785921" w:rsidRDefault="00785921" w:rsidP="00126E97">
      <w:pPr>
        <w:pStyle w:val="FootnoteText"/>
        <w:spacing w:line="20" w:lineRule="atLeast"/>
        <w:rPr>
          <w:sz w:val="16"/>
          <w:szCs w:val="16"/>
          <w:lang w:val="es-CR"/>
        </w:rPr>
      </w:pPr>
      <w:r w:rsidRPr="0057574C">
        <w:rPr>
          <w:rStyle w:val="FootnoteReference"/>
          <w:sz w:val="16"/>
          <w:szCs w:val="16"/>
          <w:lang w:val="es-CR" w:eastAsia="x-none"/>
        </w:rPr>
        <w:footnoteRef/>
      </w:r>
      <w:r w:rsidRPr="0057574C">
        <w:rPr>
          <w:sz w:val="16"/>
          <w:szCs w:val="16"/>
          <w:lang w:val="es-CR"/>
        </w:rPr>
        <w:t xml:space="preserve"> </w:t>
      </w:r>
      <w:r w:rsidRPr="0057574C">
        <w:rPr>
          <w:i/>
          <w:sz w:val="16"/>
          <w:szCs w:val="16"/>
          <w:lang w:val="es-CR"/>
        </w:rPr>
        <w:t>Cfr.</w:t>
      </w:r>
      <w:r w:rsidRPr="0057574C">
        <w:rPr>
          <w:sz w:val="16"/>
          <w:szCs w:val="16"/>
          <w:lang w:val="es-CR"/>
        </w:rPr>
        <w:t xml:space="preserve"> Documentos anexos a la comunicación de los peticionarios de 26 de febrero de 1998 dirigida a la Comisión (expediente de prueba, trámite</w:t>
      </w:r>
      <w:r>
        <w:rPr>
          <w:sz w:val="16"/>
          <w:szCs w:val="16"/>
          <w:lang w:val="es-CR"/>
        </w:rPr>
        <w:t xml:space="preserve"> ante la Comisión, folios 2062 a 2071).</w:t>
      </w:r>
    </w:p>
  </w:footnote>
  <w:footnote w:id="72">
    <w:p w:rsidR="00785921" w:rsidRPr="00E64872"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CR"/>
        </w:rPr>
        <w:t xml:space="preserve"> </w:t>
      </w:r>
      <w:r w:rsidRPr="00273559">
        <w:rPr>
          <w:i/>
          <w:sz w:val="16"/>
          <w:szCs w:val="16"/>
          <w:lang w:val="es-CR"/>
        </w:rPr>
        <w:t>Cfr.</w:t>
      </w:r>
      <w:r>
        <w:rPr>
          <w:sz w:val="16"/>
          <w:szCs w:val="16"/>
          <w:lang w:val="es-CR"/>
        </w:rPr>
        <w:t xml:space="preserve"> Documentos anexos a la comunicación de los peticionarios de 26 de febrero de 1998 dirigida a la </w:t>
      </w:r>
      <w:r w:rsidRPr="00E64872">
        <w:rPr>
          <w:sz w:val="16"/>
          <w:szCs w:val="16"/>
          <w:lang w:val="es-CR"/>
        </w:rPr>
        <w:t>Comisión</w:t>
      </w:r>
      <w:r>
        <w:rPr>
          <w:sz w:val="16"/>
          <w:szCs w:val="16"/>
          <w:lang w:val="es-CR"/>
        </w:rPr>
        <w:t xml:space="preserve">, </w:t>
      </w:r>
      <w:r w:rsidRPr="00990E65">
        <w:rPr>
          <w:i/>
          <w:sz w:val="16"/>
          <w:szCs w:val="16"/>
          <w:lang w:val="es-CR"/>
        </w:rPr>
        <w:t>supra</w:t>
      </w:r>
      <w:r w:rsidRPr="00E64872">
        <w:rPr>
          <w:sz w:val="16"/>
          <w:szCs w:val="16"/>
          <w:lang w:val="es-CR"/>
        </w:rPr>
        <w:t>.</w:t>
      </w:r>
    </w:p>
  </w:footnote>
  <w:footnote w:id="73">
    <w:p w:rsidR="00785921" w:rsidRPr="00E64872" w:rsidRDefault="00785921" w:rsidP="00126E97">
      <w:pPr>
        <w:pStyle w:val="FootnoteText"/>
        <w:spacing w:line="20" w:lineRule="atLeast"/>
        <w:rPr>
          <w:lang w:val="es-CR"/>
        </w:rPr>
      </w:pPr>
      <w:r w:rsidRPr="00E64872">
        <w:rPr>
          <w:rStyle w:val="FootnoteReference"/>
          <w:sz w:val="16"/>
          <w:szCs w:val="16"/>
        </w:rPr>
        <w:footnoteRef/>
      </w:r>
      <w:r w:rsidRPr="00E64872">
        <w:rPr>
          <w:sz w:val="16"/>
          <w:szCs w:val="16"/>
          <w:lang w:val="es-CR"/>
        </w:rPr>
        <w:t xml:space="preserve"> En el</w:t>
      </w:r>
      <w:r w:rsidRPr="00676759">
        <w:rPr>
          <w:sz w:val="16"/>
          <w:szCs w:val="16"/>
          <w:lang w:val="es-CR"/>
        </w:rPr>
        <w:t xml:space="preserve"> párrafo 75 del Informe de Fondo, dentro de los hechos que la Comisión consi</w:t>
      </w:r>
      <w:r>
        <w:rPr>
          <w:sz w:val="16"/>
          <w:szCs w:val="16"/>
          <w:lang w:val="es-CR"/>
        </w:rPr>
        <w:t>d</w:t>
      </w:r>
      <w:r w:rsidRPr="00676759">
        <w:rPr>
          <w:sz w:val="16"/>
          <w:szCs w:val="16"/>
          <w:lang w:val="es-CR"/>
        </w:rPr>
        <w:t>eró “probados”, se indica que los peticionarios informaron el hecho referido</w:t>
      </w:r>
      <w:r>
        <w:rPr>
          <w:sz w:val="16"/>
          <w:szCs w:val="16"/>
          <w:lang w:val="es-CR"/>
        </w:rPr>
        <w:t>.</w:t>
      </w:r>
    </w:p>
  </w:footnote>
  <w:footnote w:id="74">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Documento anexo a la comunicación de los peticionarios de 23 de marzo de 1998, dirigida a la Comisión Interamericana (expediente de prueba, trámite ante la Comisión, folios 2020 a 2023).  </w:t>
      </w:r>
    </w:p>
  </w:footnote>
  <w:footnote w:id="7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Comunicación de los peticionarios de 23 de marzo de 1998, dirigida a la Comisión Interamericana (expediente de prueba, trámite ante la Comisión, folios 2007 a 2011).  </w:t>
      </w:r>
    </w:p>
  </w:footnote>
  <w:footnote w:id="76">
    <w:p w:rsidR="00785921" w:rsidRPr="0057574C" w:rsidRDefault="00785921" w:rsidP="00126E97">
      <w:pPr>
        <w:pStyle w:val="FootnoteText"/>
        <w:spacing w:line="20" w:lineRule="atLeast"/>
        <w:rPr>
          <w:lang w:val="es-CR"/>
        </w:rPr>
      </w:pPr>
      <w:r>
        <w:rPr>
          <w:rStyle w:val="FootnoteReference"/>
          <w:sz w:val="16"/>
          <w:szCs w:val="16"/>
          <w:lang w:eastAsia="x-none"/>
        </w:rPr>
        <w:footnoteRef/>
      </w:r>
      <w:r w:rsidRPr="00637508">
        <w:rPr>
          <w:sz w:val="16"/>
          <w:szCs w:val="16"/>
          <w:lang w:val="es-CR"/>
        </w:rPr>
        <w:t xml:space="preserve"> </w:t>
      </w:r>
      <w:r>
        <w:rPr>
          <w:sz w:val="16"/>
          <w:szCs w:val="16"/>
          <w:lang w:val="es-CR"/>
        </w:rPr>
        <w:t xml:space="preserve">Por medio de un escrito de </w:t>
      </w:r>
      <w:r w:rsidRPr="00637508">
        <w:rPr>
          <w:sz w:val="16"/>
          <w:szCs w:val="16"/>
          <w:lang w:val="es-CR"/>
        </w:rPr>
        <w:t>13 de febrero de 1998 el Fiscal Especial del Ministerio Público ofrec</w:t>
      </w:r>
      <w:r>
        <w:rPr>
          <w:sz w:val="16"/>
          <w:szCs w:val="16"/>
          <w:lang w:val="es-CR"/>
        </w:rPr>
        <w:t>ió</w:t>
      </w:r>
      <w:r w:rsidRPr="00637508">
        <w:rPr>
          <w:sz w:val="16"/>
          <w:szCs w:val="16"/>
          <w:lang w:val="es-CR"/>
        </w:rPr>
        <w:t xml:space="preserve"> prueba en el proceso; también lo hicieron los abogados defensores (</w:t>
      </w:r>
      <w:r>
        <w:rPr>
          <w:i/>
          <w:sz w:val="16"/>
          <w:szCs w:val="16"/>
          <w:lang w:val="es-ES_tradnl"/>
        </w:rPr>
        <w:t>cfr.</w:t>
      </w:r>
      <w:r>
        <w:rPr>
          <w:sz w:val="16"/>
          <w:szCs w:val="16"/>
          <w:lang w:val="es-ES_tradnl"/>
        </w:rPr>
        <w:t xml:space="preserve"> Escrito del Fiscal Especial del Ministerio Público de 13 de febrero de 1998 </w:t>
      </w:r>
      <w:r>
        <w:rPr>
          <w:sz w:val="16"/>
          <w:szCs w:val="16"/>
          <w:lang w:val="es-CR"/>
        </w:rPr>
        <w:t>(expediente de prueba, trámite ante la Comisión, folios 4324 a 4370)</w:t>
      </w:r>
      <w:r>
        <w:rPr>
          <w:sz w:val="16"/>
          <w:szCs w:val="16"/>
          <w:lang w:val="es-ES_tradnl"/>
        </w:rPr>
        <w:t xml:space="preserve"> y escritos de abogados defensores de 13 de febrero de 1998 (e</w:t>
      </w:r>
      <w:proofErr w:type="spellStart"/>
      <w:r>
        <w:rPr>
          <w:sz w:val="16"/>
          <w:szCs w:val="16"/>
          <w:lang w:val="es-CR"/>
        </w:rPr>
        <w:t>xpediente</w:t>
      </w:r>
      <w:proofErr w:type="spellEnd"/>
      <w:r>
        <w:rPr>
          <w:sz w:val="16"/>
          <w:szCs w:val="16"/>
          <w:lang w:val="es-CR"/>
        </w:rPr>
        <w:t xml:space="preserve"> de prueba, trámite ante la Comisión, folios 4372 a 4438; 4440 a 4446, y 4448 a </w:t>
      </w:r>
      <w:r>
        <w:rPr>
          <w:sz w:val="16"/>
          <w:szCs w:val="16"/>
          <w:lang w:val="es-ES_tradnl"/>
        </w:rPr>
        <w:t>4472)). Además, en la Resolución el Tribunal de Sentencia hace referencia a los medios de prueba presentados por la “querellante adhesiva” (</w:t>
      </w:r>
      <w:r w:rsidRPr="00676759">
        <w:rPr>
          <w:i/>
          <w:sz w:val="16"/>
          <w:szCs w:val="16"/>
          <w:lang w:val="es-ES_tradnl"/>
        </w:rPr>
        <w:t>cfr.</w:t>
      </w:r>
      <w:r>
        <w:rPr>
          <w:sz w:val="16"/>
          <w:szCs w:val="16"/>
          <w:lang w:val="es-ES_tradnl"/>
        </w:rPr>
        <w:t xml:space="preserve"> Resolución del Tribunal de Sentencia de </w:t>
      </w:r>
      <w:r w:rsidRPr="0057574C">
        <w:rPr>
          <w:sz w:val="16"/>
          <w:szCs w:val="16"/>
          <w:lang w:val="es-ES_tradnl"/>
        </w:rPr>
        <w:t>6 de abril de 1998 (expediente de prueba, trámite ante la Comisión, folios 4485 a 4566</w:t>
      </w:r>
      <w:r w:rsidRPr="0057574C">
        <w:rPr>
          <w:sz w:val="16"/>
          <w:szCs w:val="16"/>
          <w:lang w:val="es-CR"/>
        </w:rPr>
        <w:t>))</w:t>
      </w:r>
      <w:r w:rsidRPr="0057574C">
        <w:rPr>
          <w:sz w:val="16"/>
          <w:szCs w:val="16"/>
          <w:lang w:val="es-ES_tradnl"/>
        </w:rPr>
        <w:t>.</w:t>
      </w:r>
    </w:p>
  </w:footnote>
  <w:footnote w:id="77">
    <w:p w:rsidR="00785921" w:rsidRPr="0057574C" w:rsidRDefault="00785921" w:rsidP="00126E97">
      <w:pPr>
        <w:pStyle w:val="FootnoteText"/>
        <w:spacing w:line="20" w:lineRule="atLeast"/>
        <w:rPr>
          <w:lang w:val="es-CR"/>
        </w:rPr>
      </w:pPr>
      <w:r w:rsidRPr="0057574C">
        <w:rPr>
          <w:rStyle w:val="FootnoteReference"/>
          <w:sz w:val="16"/>
          <w:szCs w:val="16"/>
          <w:lang w:val="es-ES_tradnl" w:eastAsia="x-none"/>
        </w:rPr>
        <w:footnoteRef/>
      </w:r>
      <w:r w:rsidRPr="0057574C">
        <w:rPr>
          <w:sz w:val="16"/>
          <w:szCs w:val="16"/>
          <w:lang w:val="es-ES_tradnl"/>
        </w:rPr>
        <w:t xml:space="preserve"> </w:t>
      </w:r>
      <w:r w:rsidRPr="0057574C">
        <w:rPr>
          <w:i/>
          <w:sz w:val="16"/>
          <w:szCs w:val="16"/>
          <w:lang w:val="es-ES_tradnl"/>
        </w:rPr>
        <w:t>Cfr.</w:t>
      </w:r>
      <w:r w:rsidRPr="0057574C">
        <w:rPr>
          <w:sz w:val="16"/>
          <w:szCs w:val="16"/>
          <w:lang w:val="es-ES_tradnl"/>
        </w:rPr>
        <w:t xml:space="preserve"> Resolución del Tribunal de Sentencia de 6 de abril de 1998</w:t>
      </w:r>
      <w:r>
        <w:rPr>
          <w:sz w:val="16"/>
          <w:szCs w:val="16"/>
          <w:lang w:val="es-ES_tradnl"/>
        </w:rPr>
        <w:t xml:space="preserve">, </w:t>
      </w:r>
      <w:r w:rsidRPr="00990E65">
        <w:rPr>
          <w:i/>
          <w:sz w:val="16"/>
          <w:szCs w:val="16"/>
          <w:lang w:val="es-ES_tradnl"/>
        </w:rPr>
        <w:t>supra</w:t>
      </w:r>
      <w:r w:rsidRPr="0057574C">
        <w:rPr>
          <w:sz w:val="16"/>
          <w:szCs w:val="16"/>
          <w:lang w:val="es-ES_tradnl"/>
        </w:rPr>
        <w:t>.</w:t>
      </w:r>
    </w:p>
  </w:footnote>
  <w:footnote w:id="78">
    <w:p w:rsidR="00785921" w:rsidRPr="0057574C" w:rsidRDefault="00785921" w:rsidP="00126E97">
      <w:pPr>
        <w:spacing w:after="0" w:line="20" w:lineRule="atLeast"/>
        <w:jc w:val="both"/>
        <w:rPr>
          <w:rFonts w:ascii="Verdana" w:eastAsia="Calibri" w:hAnsi="Verdana" w:cs="Times New Roman"/>
          <w:sz w:val="16"/>
          <w:szCs w:val="16"/>
          <w:lang w:val="es-CR"/>
        </w:rPr>
      </w:pPr>
      <w:r w:rsidRPr="0057574C">
        <w:rPr>
          <w:rStyle w:val="FootnoteReference"/>
          <w:rFonts w:ascii="Verdana" w:eastAsia="Calibri" w:hAnsi="Verdana"/>
          <w:sz w:val="16"/>
          <w:szCs w:val="16"/>
          <w:lang w:eastAsia="x-none"/>
        </w:rPr>
        <w:footnoteRef/>
      </w:r>
      <w:r w:rsidRPr="0057574C">
        <w:rPr>
          <w:rFonts w:ascii="Verdana" w:hAnsi="Verdana"/>
        </w:rPr>
        <w:t xml:space="preserve"> </w:t>
      </w:r>
      <w:r w:rsidRPr="0057574C">
        <w:rPr>
          <w:rFonts w:ascii="Verdana" w:hAnsi="Verdana"/>
          <w:i/>
          <w:sz w:val="16"/>
          <w:szCs w:val="16"/>
        </w:rPr>
        <w:t xml:space="preserve">Cfr. </w:t>
      </w:r>
      <w:r w:rsidRPr="0057574C">
        <w:rPr>
          <w:rFonts w:ascii="Verdana" w:eastAsia="Calibri" w:hAnsi="Verdana" w:cs="Times New Roman"/>
          <w:sz w:val="16"/>
          <w:szCs w:val="16"/>
        </w:rPr>
        <w:t>Auto de 16 de abril de 1998 del Tribunal de Sentencia (expediente de prueba, a</w:t>
      </w:r>
      <w:r w:rsidRPr="0057574C">
        <w:rPr>
          <w:rFonts w:ascii="Verdana" w:hAnsi="Verdana"/>
          <w:sz w:val="16"/>
          <w:szCs w:val="16"/>
        </w:rPr>
        <w:t>nexo 18 al Informe Fondo, folios 249 a 273).</w:t>
      </w:r>
    </w:p>
  </w:footnote>
  <w:footnote w:id="79">
    <w:p w:rsidR="00785921" w:rsidRPr="0057574C" w:rsidRDefault="00785921" w:rsidP="00126E97">
      <w:pPr>
        <w:spacing w:after="0" w:line="20" w:lineRule="atLeast"/>
        <w:jc w:val="both"/>
        <w:rPr>
          <w:rFonts w:ascii="Verdana" w:eastAsia="Calibri" w:hAnsi="Verdana" w:cs="Times New Roman"/>
          <w:lang w:val="es-CR"/>
        </w:rPr>
      </w:pPr>
      <w:r w:rsidRPr="0057574C">
        <w:rPr>
          <w:rStyle w:val="FootnoteReference"/>
          <w:rFonts w:ascii="Verdana" w:eastAsia="Calibri" w:hAnsi="Verdana"/>
          <w:sz w:val="16"/>
          <w:szCs w:val="16"/>
          <w:lang w:val="es-CR" w:eastAsia="x-none"/>
        </w:rPr>
        <w:footnoteRef/>
      </w:r>
      <w:r w:rsidRPr="0057574C">
        <w:rPr>
          <w:rFonts w:ascii="Verdana" w:hAnsi="Verdana"/>
          <w:sz w:val="16"/>
          <w:szCs w:val="16"/>
          <w:lang w:val="es-CR"/>
        </w:rPr>
        <w:t xml:space="preserve"> </w:t>
      </w:r>
      <w:r w:rsidRPr="0057574C">
        <w:rPr>
          <w:rFonts w:ascii="Verdana" w:hAnsi="Verdana"/>
          <w:i/>
          <w:sz w:val="16"/>
          <w:szCs w:val="16"/>
        </w:rPr>
        <w:t>Cfr.</w:t>
      </w:r>
      <w:r w:rsidRPr="0057574C">
        <w:rPr>
          <w:rFonts w:ascii="Verdana" w:hAnsi="Verdana"/>
          <w:sz w:val="16"/>
          <w:szCs w:val="16"/>
        </w:rPr>
        <w:t xml:space="preserve"> </w:t>
      </w:r>
      <w:r w:rsidRPr="0057574C">
        <w:rPr>
          <w:rFonts w:ascii="Verdana" w:eastAsia="Calibri" w:hAnsi="Verdana" w:cs="Times New Roman"/>
          <w:sz w:val="16"/>
          <w:szCs w:val="16"/>
        </w:rPr>
        <w:t>Recurso de amparo presentado contra la Resolución de 16 de abril de 1998 del Tribunal de Sentencia, recibido por la “Sala Duodécima de la Corte de Apelaciones” el 20 de abril de 1998 (e</w:t>
      </w:r>
      <w:r w:rsidRPr="0057574C">
        <w:rPr>
          <w:rFonts w:ascii="Verdana" w:hAnsi="Verdana"/>
          <w:sz w:val="16"/>
          <w:szCs w:val="16"/>
        </w:rPr>
        <w:t xml:space="preserve">xpediente de prueba, anexo 19 al Informe de Fondo, folios 275 a 310). En el escrito consta que la abogada señaló actuar “en representación” de Rigoberta Menchú </w:t>
      </w:r>
      <w:proofErr w:type="spellStart"/>
      <w:r w:rsidRPr="0057574C">
        <w:rPr>
          <w:rFonts w:ascii="Verdana" w:hAnsi="Verdana"/>
          <w:sz w:val="16"/>
          <w:szCs w:val="16"/>
        </w:rPr>
        <w:t>Tum</w:t>
      </w:r>
      <w:proofErr w:type="spellEnd"/>
      <w:r w:rsidRPr="0057574C">
        <w:rPr>
          <w:rFonts w:ascii="Verdana" w:hAnsi="Verdana"/>
          <w:sz w:val="16"/>
          <w:szCs w:val="16"/>
        </w:rPr>
        <w:t xml:space="preserve"> “y en [su] propio auxilio” (de la abogada), “en [su] carácter de mandataria judicial”. El escrito explica, entre los motivos para la “interposición” del amparo, el entendimiento de que el rechazo de determinadas medidas probatorias resultó en una vulneración del “derecho de defensa en juicio”.  </w:t>
      </w:r>
    </w:p>
  </w:footnote>
  <w:footnote w:id="80">
    <w:p w:rsidR="00785921" w:rsidRPr="0057574C" w:rsidRDefault="00785921" w:rsidP="00126E97">
      <w:pPr>
        <w:spacing w:after="0" w:line="20" w:lineRule="atLeast"/>
        <w:jc w:val="both"/>
        <w:rPr>
          <w:rFonts w:ascii="Verdana" w:eastAsia="Calibri" w:hAnsi="Verdana" w:cs="Times New Roman"/>
          <w:sz w:val="16"/>
          <w:szCs w:val="16"/>
          <w:lang w:val="es-CR"/>
        </w:rPr>
      </w:pPr>
      <w:r w:rsidRPr="0057574C">
        <w:rPr>
          <w:rStyle w:val="FootnoteReference"/>
          <w:rFonts w:ascii="Verdana" w:eastAsia="Calibri" w:hAnsi="Verdana"/>
          <w:sz w:val="16"/>
          <w:szCs w:val="16"/>
          <w:lang w:val="es-CR" w:eastAsia="x-none"/>
        </w:rPr>
        <w:footnoteRef/>
      </w:r>
      <w:r w:rsidRPr="0057574C">
        <w:rPr>
          <w:rFonts w:ascii="Verdana" w:hAnsi="Verdana"/>
          <w:sz w:val="16"/>
          <w:szCs w:val="16"/>
          <w:lang w:val="es-CR"/>
        </w:rPr>
        <w:t xml:space="preserve"> </w:t>
      </w:r>
      <w:r w:rsidRPr="0057574C">
        <w:rPr>
          <w:rFonts w:ascii="Verdana" w:hAnsi="Verdana"/>
          <w:i/>
          <w:sz w:val="16"/>
          <w:szCs w:val="16"/>
          <w:lang w:val="es-CR"/>
        </w:rPr>
        <w:t>Cfr.</w:t>
      </w:r>
      <w:r w:rsidRPr="0057574C">
        <w:rPr>
          <w:rFonts w:ascii="Verdana" w:hAnsi="Verdana"/>
          <w:sz w:val="16"/>
          <w:szCs w:val="16"/>
          <w:lang w:val="es-CR"/>
        </w:rPr>
        <w:t xml:space="preserve"> </w:t>
      </w:r>
      <w:r w:rsidRPr="0057574C">
        <w:rPr>
          <w:rFonts w:ascii="Verdana" w:eastAsia="Calibri" w:hAnsi="Verdana" w:cs="Times New Roman"/>
          <w:sz w:val="16"/>
          <w:szCs w:val="16"/>
          <w:lang w:val="es-CR"/>
        </w:rPr>
        <w:t>Sala Duodécima de la Corte de Apelaciones constituida en Tribunal de Amparo. Amparo 77-98. Resolución de 20 de abril de 1998</w:t>
      </w:r>
      <w:r w:rsidRPr="0057574C">
        <w:rPr>
          <w:rFonts w:ascii="Verdana" w:hAnsi="Verdana"/>
          <w:sz w:val="16"/>
          <w:szCs w:val="16"/>
          <w:lang w:val="es-CR"/>
        </w:rPr>
        <w:t xml:space="preserve"> (expediente de prueba, anexo 20 al Informe de Fondo, folios 312 y 313).</w:t>
      </w:r>
    </w:p>
  </w:footnote>
  <w:footnote w:id="81">
    <w:p w:rsidR="00785921" w:rsidRDefault="00785921" w:rsidP="00126E97">
      <w:pPr>
        <w:spacing w:after="0" w:line="20" w:lineRule="atLeast"/>
        <w:jc w:val="both"/>
        <w:rPr>
          <w:rFonts w:ascii="Times New Roman" w:eastAsia="Calibri" w:hAnsi="Times New Roman" w:cs="Times New Roman"/>
          <w:lang w:val="es-CR"/>
        </w:rPr>
      </w:pPr>
      <w:r w:rsidRPr="0057574C">
        <w:rPr>
          <w:rStyle w:val="FootnoteReference"/>
          <w:rFonts w:ascii="Verdana" w:eastAsia="Calibri" w:hAnsi="Verdana"/>
          <w:sz w:val="16"/>
          <w:szCs w:val="16"/>
          <w:lang w:val="es-CR" w:eastAsia="x-none"/>
        </w:rPr>
        <w:footnoteRef/>
      </w:r>
      <w:r w:rsidRPr="0057574C">
        <w:rPr>
          <w:rFonts w:ascii="Verdana" w:hAnsi="Verdana"/>
          <w:sz w:val="16"/>
          <w:szCs w:val="16"/>
          <w:lang w:val="es-CR"/>
        </w:rPr>
        <w:t xml:space="preserve"> </w:t>
      </w:r>
      <w:r w:rsidRPr="0057574C">
        <w:rPr>
          <w:rFonts w:ascii="Verdana" w:hAnsi="Verdana"/>
          <w:i/>
          <w:sz w:val="16"/>
          <w:szCs w:val="16"/>
          <w:lang w:val="es-CR"/>
        </w:rPr>
        <w:t>Cfr.</w:t>
      </w:r>
      <w:r w:rsidRPr="0057574C">
        <w:rPr>
          <w:rFonts w:ascii="Verdana" w:hAnsi="Verdana"/>
          <w:sz w:val="16"/>
          <w:szCs w:val="16"/>
          <w:lang w:val="es-CR"/>
        </w:rPr>
        <w:t xml:space="preserve"> Corte de Constitucionalidad. Expediente 225-98. </w:t>
      </w:r>
      <w:r w:rsidRPr="0057574C">
        <w:rPr>
          <w:rFonts w:ascii="Verdana" w:eastAsia="Calibri" w:hAnsi="Verdana" w:cs="Times New Roman"/>
          <w:sz w:val="16"/>
          <w:szCs w:val="16"/>
          <w:lang w:val="es-CR"/>
        </w:rPr>
        <w:t>Resolución de 22 de abril de 1998</w:t>
      </w:r>
      <w:r w:rsidRPr="0057574C">
        <w:rPr>
          <w:rFonts w:ascii="Verdana" w:hAnsi="Verdana"/>
          <w:sz w:val="16"/>
          <w:szCs w:val="16"/>
          <w:lang w:val="es-CR"/>
        </w:rPr>
        <w:t xml:space="preserve"> (expediente de prueba, anexo 21 al Informe de Fondo, folios 315 y 316).</w:t>
      </w:r>
    </w:p>
  </w:footnote>
  <w:footnote w:id="82">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Comunicación del Estado de 30 de abril de 1998, dirigida a la Comisión Interamericana (expediente de prueba, trámite ante la Comisión, folios 1968 a 1970). </w:t>
      </w:r>
    </w:p>
  </w:footnote>
  <w:footnote w:id="83">
    <w:p w:rsidR="00785921" w:rsidRPr="0057574C" w:rsidRDefault="00785921" w:rsidP="00126E97">
      <w:pPr>
        <w:spacing w:after="0" w:line="20" w:lineRule="atLeast"/>
        <w:jc w:val="both"/>
        <w:rPr>
          <w:rFonts w:ascii="Verdana" w:hAnsi="Verdana"/>
          <w:sz w:val="16"/>
          <w:szCs w:val="16"/>
          <w:lang w:val="es-CR"/>
        </w:rPr>
      </w:pPr>
      <w:r w:rsidRPr="0057574C">
        <w:rPr>
          <w:rStyle w:val="FootnoteReference"/>
          <w:rFonts w:ascii="Verdana" w:hAnsi="Verdana"/>
          <w:sz w:val="16"/>
          <w:szCs w:val="16"/>
          <w:lang w:val="es-CR" w:eastAsia="x-none"/>
        </w:rPr>
        <w:footnoteRef/>
      </w:r>
      <w:r w:rsidRPr="0057574C">
        <w:rPr>
          <w:rFonts w:ascii="Verdana" w:hAnsi="Verdana"/>
          <w:sz w:val="16"/>
          <w:szCs w:val="16"/>
          <w:lang w:val="es-CR"/>
        </w:rPr>
        <w:t xml:space="preserve"> Además de lo señalado antes, información presentada por los peticionarios a la Comisión interamericana indica las siguientes actuaciones</w:t>
      </w:r>
      <w:r>
        <w:rPr>
          <w:rFonts w:ascii="Verdana" w:hAnsi="Verdana"/>
          <w:sz w:val="16"/>
          <w:szCs w:val="16"/>
          <w:lang w:val="es-CR"/>
        </w:rPr>
        <w:t>.</w:t>
      </w:r>
      <w:r w:rsidRPr="0057574C">
        <w:rPr>
          <w:rFonts w:ascii="Verdana" w:hAnsi="Verdana"/>
          <w:sz w:val="16"/>
          <w:szCs w:val="16"/>
          <w:lang w:val="es-CR"/>
        </w:rPr>
        <w:t xml:space="preserve"> </w:t>
      </w:r>
      <w:r w:rsidRPr="0057574C">
        <w:rPr>
          <w:rFonts w:ascii="Verdana" w:hAnsi="Verdana"/>
          <w:sz w:val="16"/>
          <w:szCs w:val="16"/>
          <w:lang w:val="es-EC"/>
        </w:rPr>
        <w:t xml:space="preserve">El 6 de marzo de 1998, como consecuencia de los convenido en una audiencia pública celebrada en la Comisión Interamericana el 26 de febrero del mismo año, representantes de COPREDEH, la Fiscal del caso y los peticionarios, tuvieron una reunión en la que surgió la “necesidad de activar ante la Corte Suprema de Justicia […] el pedido de soluciones concretas”. Luego de diversas gestiones, se les concedió audiencia con el Presidente de la Cámara Penal de la Suprema Corte de Justicia para el 17 de marzo de 1998. Ese día, no obstante, no fueron recibidos, y se les informó que ese mismo día, por la mañana, el funcionario indicado había recibido a abogados defensores de militares. Por otra parte, El 11 de marzo de 1998 la “querellante adhesiva” presentó un escrito al Tribunal de Sentencia, con peticiones para el desarrollo del debate. El mismo día, el Presidente del Tribunal de Sentencia citó a las partes a una reunión, en la que expuso problemas logísticos para la realización del debate. Adujo que había hecho presentaciones a la Suprema Corte requiriendo soluciones de infraestructura, y preguntó a las partes </w:t>
      </w:r>
      <w:proofErr w:type="spellStart"/>
      <w:r w:rsidRPr="0057574C">
        <w:rPr>
          <w:rFonts w:ascii="Verdana" w:hAnsi="Verdana"/>
          <w:sz w:val="16"/>
          <w:szCs w:val="16"/>
          <w:lang w:val="es-EC"/>
        </w:rPr>
        <w:t>si</w:t>
      </w:r>
      <w:proofErr w:type="spellEnd"/>
      <w:r w:rsidRPr="0057574C">
        <w:rPr>
          <w:rFonts w:ascii="Verdana" w:hAnsi="Verdana"/>
          <w:sz w:val="16"/>
          <w:szCs w:val="16"/>
          <w:lang w:val="es-EC"/>
        </w:rPr>
        <w:t xml:space="preserve"> podrían afrontar ciertos gastos de traslado y hospedaje de testigo, a lo que la “querellante adhesiva” respondió que tal obligación competía al Estado</w:t>
      </w:r>
      <w:r>
        <w:rPr>
          <w:rFonts w:ascii="Verdana" w:hAnsi="Verdana"/>
          <w:sz w:val="16"/>
          <w:szCs w:val="16"/>
          <w:lang w:val="es-EC"/>
        </w:rPr>
        <w:t>.</w:t>
      </w:r>
      <w:r w:rsidRPr="0057574C">
        <w:rPr>
          <w:rFonts w:ascii="Verdana" w:hAnsi="Verdana"/>
          <w:sz w:val="16"/>
          <w:szCs w:val="16"/>
          <w:lang w:val="es-EC"/>
        </w:rPr>
        <w:t xml:space="preserve"> </w:t>
      </w:r>
      <w:r>
        <w:rPr>
          <w:rFonts w:ascii="Verdana" w:hAnsi="Verdana"/>
          <w:sz w:val="16"/>
          <w:szCs w:val="16"/>
          <w:lang w:val="es-EC"/>
        </w:rPr>
        <w:t>(</w:t>
      </w:r>
      <w:r w:rsidRPr="0057574C">
        <w:rPr>
          <w:rFonts w:ascii="Verdana" w:hAnsi="Verdana"/>
          <w:i/>
          <w:sz w:val="16"/>
          <w:szCs w:val="16"/>
          <w:lang w:val="es-EC"/>
        </w:rPr>
        <w:t>Cfr.</w:t>
      </w:r>
      <w:r w:rsidRPr="0057574C">
        <w:rPr>
          <w:rFonts w:ascii="Verdana" w:hAnsi="Verdana"/>
          <w:sz w:val="16"/>
          <w:szCs w:val="16"/>
          <w:lang w:val="es-EC"/>
        </w:rPr>
        <w:t xml:space="preserve"> </w:t>
      </w:r>
      <w:r w:rsidRPr="0057574C">
        <w:rPr>
          <w:rFonts w:ascii="Verdana" w:hAnsi="Verdana"/>
          <w:sz w:val="16"/>
          <w:szCs w:val="16"/>
          <w:lang w:val="es-CR"/>
        </w:rPr>
        <w:t>Comunicación de los peticionarios de 23 de marzo de 1998, dirigida a la Comisión Interamericana, y documentación anexa</w:t>
      </w:r>
      <w:r>
        <w:rPr>
          <w:rFonts w:ascii="Verdana" w:hAnsi="Verdana"/>
          <w:sz w:val="16"/>
          <w:szCs w:val="16"/>
          <w:lang w:val="es-CR"/>
        </w:rPr>
        <w:t xml:space="preserve">, </w:t>
      </w:r>
      <w:r w:rsidRPr="00990E65">
        <w:rPr>
          <w:rFonts w:ascii="Verdana" w:hAnsi="Verdana"/>
          <w:i/>
          <w:sz w:val="16"/>
          <w:szCs w:val="16"/>
          <w:lang w:val="es-CR"/>
        </w:rPr>
        <w:t>supra</w:t>
      </w:r>
      <w:r w:rsidRPr="0057574C">
        <w:rPr>
          <w:rFonts w:ascii="Verdana" w:hAnsi="Verdana"/>
          <w:sz w:val="16"/>
          <w:szCs w:val="16"/>
          <w:lang w:val="es-CR"/>
        </w:rPr>
        <w:t>.</w:t>
      </w:r>
      <w:r>
        <w:rPr>
          <w:rFonts w:ascii="Verdana" w:hAnsi="Verdana"/>
          <w:sz w:val="16"/>
          <w:szCs w:val="16"/>
          <w:lang w:val="es-CR"/>
        </w:rPr>
        <w:t>)</w:t>
      </w:r>
      <w:r w:rsidRPr="0057574C">
        <w:rPr>
          <w:rFonts w:ascii="Verdana" w:hAnsi="Verdana"/>
          <w:sz w:val="16"/>
          <w:szCs w:val="16"/>
          <w:lang w:val="es-CR"/>
        </w:rPr>
        <w:t xml:space="preserve"> </w:t>
      </w:r>
    </w:p>
  </w:footnote>
  <w:footnote w:id="84">
    <w:p w:rsidR="00785921" w:rsidRPr="0057574C" w:rsidRDefault="00785921" w:rsidP="00126E97">
      <w:pPr>
        <w:spacing w:after="0" w:line="20" w:lineRule="atLeast"/>
        <w:jc w:val="both"/>
        <w:rPr>
          <w:rFonts w:ascii="Verdana" w:hAnsi="Verdana"/>
          <w:sz w:val="16"/>
          <w:szCs w:val="16"/>
          <w:lang w:val="es-CR"/>
        </w:rPr>
      </w:pPr>
      <w:r w:rsidRPr="0057574C">
        <w:rPr>
          <w:rStyle w:val="FootnoteReference"/>
          <w:rFonts w:ascii="Verdana" w:hAnsi="Verdana"/>
          <w:sz w:val="16"/>
          <w:szCs w:val="16"/>
          <w:lang w:val="es-CR" w:eastAsia="x-none"/>
        </w:rPr>
        <w:footnoteRef/>
      </w:r>
      <w:r w:rsidRPr="0057574C">
        <w:rPr>
          <w:rFonts w:ascii="Verdana" w:hAnsi="Verdana"/>
          <w:sz w:val="16"/>
          <w:szCs w:val="16"/>
          <w:lang w:val="es-CR"/>
        </w:rPr>
        <w:t xml:space="preserve"> </w:t>
      </w:r>
      <w:r w:rsidRPr="0057574C">
        <w:rPr>
          <w:rFonts w:ascii="Verdana" w:hAnsi="Verdana"/>
          <w:i/>
          <w:sz w:val="16"/>
          <w:szCs w:val="16"/>
          <w:lang w:val="es-EC"/>
        </w:rPr>
        <w:t xml:space="preserve">Cfr. </w:t>
      </w:r>
      <w:r w:rsidRPr="0057574C">
        <w:rPr>
          <w:rFonts w:ascii="Verdana" w:hAnsi="Verdana"/>
          <w:bCs/>
          <w:color w:val="000000"/>
          <w:sz w:val="16"/>
          <w:szCs w:val="16"/>
          <w:lang w:val="es-CR"/>
        </w:rPr>
        <w:t>Comunicación de los peticionarios de 10 de agosto de 1998, dirigida a la Comisión Interam</w:t>
      </w:r>
      <w:r>
        <w:rPr>
          <w:rFonts w:ascii="Verdana" w:hAnsi="Verdana"/>
          <w:bCs/>
          <w:color w:val="000000"/>
          <w:sz w:val="16"/>
          <w:szCs w:val="16"/>
          <w:lang w:val="es-CR"/>
        </w:rPr>
        <w:t>ericana (expediente de prueba, a</w:t>
      </w:r>
      <w:r w:rsidRPr="0057574C">
        <w:rPr>
          <w:rFonts w:ascii="Verdana" w:hAnsi="Verdana"/>
          <w:bCs/>
          <w:color w:val="000000"/>
          <w:sz w:val="16"/>
          <w:szCs w:val="16"/>
          <w:lang w:val="es-CR"/>
        </w:rPr>
        <w:t xml:space="preserve">nexo 22 al </w:t>
      </w:r>
      <w:r>
        <w:rPr>
          <w:rFonts w:ascii="Verdana" w:hAnsi="Verdana"/>
          <w:bCs/>
          <w:color w:val="000000"/>
          <w:sz w:val="16"/>
          <w:szCs w:val="16"/>
          <w:lang w:val="es-CR"/>
        </w:rPr>
        <w:t>I</w:t>
      </w:r>
      <w:r w:rsidRPr="0057574C">
        <w:rPr>
          <w:rFonts w:ascii="Verdana" w:hAnsi="Verdana"/>
          <w:bCs/>
          <w:color w:val="000000"/>
          <w:sz w:val="16"/>
          <w:szCs w:val="16"/>
          <w:lang w:val="es-CR"/>
        </w:rPr>
        <w:t>nforme de Fondo, folios 318 a 323).</w:t>
      </w:r>
    </w:p>
  </w:footnote>
  <w:footnote w:id="85">
    <w:p w:rsidR="00785921" w:rsidRPr="00637508" w:rsidRDefault="00785921" w:rsidP="00126E97">
      <w:pPr>
        <w:pStyle w:val="FootnoteText"/>
        <w:spacing w:line="20" w:lineRule="atLeast"/>
        <w:rPr>
          <w:lang w:val="es-CR"/>
        </w:rPr>
      </w:pPr>
      <w:r w:rsidRPr="0057574C">
        <w:rPr>
          <w:rStyle w:val="FootnoteReference"/>
          <w:sz w:val="16"/>
          <w:szCs w:val="16"/>
          <w:lang w:eastAsia="x-none"/>
        </w:rPr>
        <w:footnoteRef/>
      </w:r>
      <w:r w:rsidRPr="0057574C">
        <w:rPr>
          <w:sz w:val="16"/>
          <w:szCs w:val="16"/>
          <w:lang w:val="es-CR"/>
        </w:rPr>
        <w:t xml:space="preserve"> Los peticionaros señalaron a la Comisión</w:t>
      </w:r>
      <w:r>
        <w:rPr>
          <w:sz w:val="16"/>
          <w:szCs w:val="16"/>
          <w:lang w:val="es-CR"/>
        </w:rPr>
        <w:t xml:space="preserve"> Interamericana </w:t>
      </w:r>
      <w:r w:rsidRPr="00637508">
        <w:rPr>
          <w:sz w:val="16"/>
          <w:szCs w:val="16"/>
          <w:lang w:val="es-CR"/>
        </w:rPr>
        <w:t>que e</w:t>
      </w:r>
      <w:r>
        <w:rPr>
          <w:sz w:val="16"/>
          <w:szCs w:val="16"/>
          <w:lang w:val="es-CR"/>
        </w:rPr>
        <w:t xml:space="preserve">l 23 de julio de 1998 se notificó que “se </w:t>
      </w:r>
      <w:proofErr w:type="gramStart"/>
      <w:r>
        <w:rPr>
          <w:sz w:val="16"/>
          <w:szCs w:val="16"/>
          <w:lang w:val="es-CR"/>
        </w:rPr>
        <w:t>integra[</w:t>
      </w:r>
      <w:proofErr w:type="gramEnd"/>
      <w:r>
        <w:rPr>
          <w:sz w:val="16"/>
          <w:szCs w:val="16"/>
          <w:lang w:val="es-CR"/>
        </w:rPr>
        <w:t xml:space="preserve">ría] el tribunal con los jueces vocales del tribunal de </w:t>
      </w:r>
      <w:proofErr w:type="spellStart"/>
      <w:r>
        <w:rPr>
          <w:sz w:val="16"/>
          <w:szCs w:val="16"/>
          <w:lang w:val="es-CR"/>
        </w:rPr>
        <w:t>Salama</w:t>
      </w:r>
      <w:proofErr w:type="spellEnd"/>
      <w:r>
        <w:rPr>
          <w:sz w:val="16"/>
          <w:szCs w:val="16"/>
          <w:lang w:val="es-CR"/>
        </w:rPr>
        <w:t>”.</w:t>
      </w:r>
      <w:r>
        <w:rPr>
          <w:lang w:val="es-CR"/>
        </w:rPr>
        <w:t xml:space="preserve"> </w:t>
      </w:r>
      <w:r>
        <w:rPr>
          <w:sz w:val="16"/>
          <w:szCs w:val="16"/>
          <w:lang w:val="es-EC"/>
        </w:rPr>
        <w:t xml:space="preserve">No obstante, también indicaron que para el 8 de agosto de 1998 todavía “no se [había] iniciado el </w:t>
      </w:r>
      <w:proofErr w:type="spellStart"/>
      <w:r>
        <w:rPr>
          <w:sz w:val="16"/>
          <w:szCs w:val="16"/>
          <w:lang w:val="es-EC"/>
        </w:rPr>
        <w:t>tr</w:t>
      </w:r>
      <w:proofErr w:type="spellEnd"/>
      <w:r>
        <w:rPr>
          <w:sz w:val="16"/>
          <w:szCs w:val="16"/>
          <w:lang w:val="es-EC"/>
        </w:rPr>
        <w:t>[á]mite respectivo” a la recusación presentada el 8 de junio de ese año.</w:t>
      </w:r>
      <w:r>
        <w:rPr>
          <w:b/>
          <w:sz w:val="16"/>
          <w:szCs w:val="16"/>
          <w:lang w:val="es-EC"/>
        </w:rPr>
        <w:t xml:space="preserve"> </w:t>
      </w:r>
      <w:r w:rsidRPr="00990E65">
        <w:rPr>
          <w:sz w:val="16"/>
          <w:szCs w:val="16"/>
          <w:lang w:val="es-EC"/>
        </w:rPr>
        <w:t>(</w:t>
      </w:r>
      <w:r>
        <w:rPr>
          <w:i/>
          <w:sz w:val="16"/>
          <w:szCs w:val="16"/>
          <w:lang w:val="es-EC"/>
        </w:rPr>
        <w:t xml:space="preserve">Cfr. </w:t>
      </w:r>
      <w:r w:rsidRPr="00637508">
        <w:rPr>
          <w:bCs/>
          <w:color w:val="000000"/>
          <w:sz w:val="16"/>
          <w:szCs w:val="16"/>
          <w:lang w:val="es-CR"/>
        </w:rPr>
        <w:t>Comunicación de los peticionarios de 10 de agosto de 1998</w:t>
      </w:r>
      <w:r>
        <w:rPr>
          <w:bCs/>
          <w:color w:val="000000"/>
          <w:sz w:val="16"/>
          <w:szCs w:val="16"/>
          <w:lang w:val="es-CR"/>
        </w:rPr>
        <w:t xml:space="preserve">, dirigida a la Comisión Interamericana, </w:t>
      </w:r>
      <w:r w:rsidRPr="00990E65">
        <w:rPr>
          <w:bCs/>
          <w:i/>
          <w:color w:val="000000"/>
          <w:sz w:val="16"/>
          <w:szCs w:val="16"/>
          <w:lang w:val="es-CR"/>
        </w:rPr>
        <w:t>supra</w:t>
      </w:r>
      <w:r w:rsidRPr="00637508">
        <w:rPr>
          <w:bCs/>
          <w:color w:val="000000"/>
          <w:sz w:val="16"/>
          <w:szCs w:val="16"/>
          <w:lang w:val="es-CR"/>
        </w:rPr>
        <w:t>.</w:t>
      </w:r>
      <w:r>
        <w:rPr>
          <w:bCs/>
          <w:color w:val="000000"/>
          <w:sz w:val="16"/>
          <w:szCs w:val="16"/>
          <w:lang w:val="es-CR"/>
        </w:rPr>
        <w:t>)</w:t>
      </w:r>
    </w:p>
  </w:footnote>
  <w:footnote w:id="86">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Comunicación de los peticionarios de 7 de septiembre de 1998, dirigida a la Comisión Interamericana (expediente de prueba, trámite ante la Comisión, folios 1960 y 1961).</w:t>
      </w:r>
    </w:p>
  </w:footnote>
  <w:footnote w:id="87">
    <w:p w:rsidR="00785921" w:rsidRPr="00FB5ADE" w:rsidRDefault="00785921" w:rsidP="00126E97">
      <w:pPr>
        <w:pStyle w:val="FootnoteText"/>
        <w:spacing w:line="20" w:lineRule="atLeast"/>
        <w:rPr>
          <w:i/>
          <w:sz w:val="16"/>
          <w:szCs w:val="16"/>
          <w:lang w:val="es-CR"/>
        </w:rPr>
      </w:pPr>
      <w:r w:rsidRPr="00FB5ADE">
        <w:rPr>
          <w:rStyle w:val="FootnoteReference"/>
          <w:sz w:val="16"/>
          <w:szCs w:val="16"/>
          <w:lang w:val="es-CR" w:eastAsia="x-none"/>
        </w:rPr>
        <w:footnoteRef/>
      </w:r>
      <w:r w:rsidRPr="00FB5ADE">
        <w:rPr>
          <w:sz w:val="16"/>
          <w:szCs w:val="16"/>
          <w:lang w:val="es-CR"/>
        </w:rPr>
        <w:t xml:space="preserve"> </w:t>
      </w:r>
      <w:r>
        <w:rPr>
          <w:sz w:val="16"/>
          <w:szCs w:val="16"/>
          <w:lang w:val="es-CR"/>
        </w:rPr>
        <w:t xml:space="preserve">El 14 de octubre de 1998 los peticionarios remitieron a la Comisión una copia de la carta de renuncia suscrita por el Fiscal. En ella, él adujo, entre otras consideraciones, problemas con el pago de viáticos, falta de respuesta a pedidos de audiencia por parte del Fiscal General y recorte de personal. </w:t>
      </w:r>
      <w:r w:rsidRPr="00FB5ADE">
        <w:rPr>
          <w:i/>
          <w:sz w:val="16"/>
          <w:szCs w:val="16"/>
          <w:lang w:val="es-CR"/>
        </w:rPr>
        <w:t xml:space="preserve">Cfr. </w:t>
      </w:r>
      <w:r>
        <w:rPr>
          <w:sz w:val="16"/>
          <w:szCs w:val="16"/>
          <w:lang w:val="es-CR"/>
        </w:rPr>
        <w:t>Comunicación de los peticionarios a la Comisión de 14 de octubre de 1998 y anexo (expediente de prueba, trámite ante la Comisión, folios. 1943 a 1948). También el Estado informó a la Comisión el hecho (</w:t>
      </w:r>
      <w:r w:rsidRPr="00FB5ADE">
        <w:rPr>
          <w:i/>
          <w:sz w:val="16"/>
          <w:szCs w:val="16"/>
          <w:lang w:val="es-CR"/>
        </w:rPr>
        <w:t>cfr.</w:t>
      </w:r>
      <w:r>
        <w:rPr>
          <w:sz w:val="16"/>
          <w:szCs w:val="16"/>
          <w:lang w:val="es-CR"/>
        </w:rPr>
        <w:t xml:space="preserve"> Comunicación del Estado de 1 de diciembre de 1998 (expediente de prueba, anexo 23 al Informe de Fondo, folios. 325 y 326). </w:t>
      </w:r>
      <w:r w:rsidRPr="00FB5ADE">
        <w:rPr>
          <w:sz w:val="16"/>
          <w:szCs w:val="16"/>
          <w:lang w:val="es-CR"/>
        </w:rPr>
        <w:t>No obstante, el Estado dijo que constató que el Fiscal sí recibía “apoyo institucional”.</w:t>
      </w:r>
    </w:p>
  </w:footnote>
  <w:footnote w:id="88">
    <w:p w:rsidR="00785921" w:rsidRPr="00FB5ADE" w:rsidRDefault="00785921" w:rsidP="00126E97">
      <w:pPr>
        <w:pStyle w:val="FootnoteText"/>
        <w:spacing w:line="20" w:lineRule="atLeast"/>
        <w:rPr>
          <w:sz w:val="16"/>
          <w:szCs w:val="16"/>
          <w:lang w:val="es-CR"/>
        </w:rPr>
      </w:pPr>
      <w:r w:rsidRPr="00FB5ADE">
        <w:rPr>
          <w:rStyle w:val="FootnoteReference"/>
          <w:sz w:val="16"/>
          <w:szCs w:val="16"/>
        </w:rPr>
        <w:footnoteRef/>
      </w:r>
      <w:r w:rsidRPr="00FB5ADE">
        <w:rPr>
          <w:sz w:val="16"/>
          <w:szCs w:val="16"/>
          <w:lang w:val="es-CR"/>
        </w:rPr>
        <w:t xml:space="preserve"> </w:t>
      </w:r>
      <w:r w:rsidRPr="00FB5ADE">
        <w:rPr>
          <w:i/>
          <w:sz w:val="16"/>
          <w:szCs w:val="16"/>
          <w:lang w:val="es-CR"/>
        </w:rPr>
        <w:t>Cfr</w:t>
      </w:r>
      <w:r w:rsidRPr="00FB5ADE">
        <w:rPr>
          <w:sz w:val="16"/>
          <w:szCs w:val="16"/>
          <w:lang w:val="es-CR"/>
        </w:rPr>
        <w:t xml:space="preserve">. CEH, Guatemala: Memoria del Silencio, </w:t>
      </w:r>
      <w:r w:rsidRPr="00FB5ADE">
        <w:rPr>
          <w:i/>
          <w:sz w:val="16"/>
          <w:szCs w:val="16"/>
          <w:lang w:val="es-CR"/>
        </w:rPr>
        <w:t>supra</w:t>
      </w:r>
      <w:r w:rsidRPr="00FB5ADE">
        <w:rPr>
          <w:sz w:val="16"/>
          <w:szCs w:val="16"/>
          <w:lang w:val="es-CR"/>
        </w:rPr>
        <w:t xml:space="preserve">, Tomo VI, Casos Ilustrativos, Anexo 1, Caso Ilustrativo 3: Masacre de </w:t>
      </w:r>
      <w:proofErr w:type="spellStart"/>
      <w:r w:rsidRPr="00FB5ADE">
        <w:rPr>
          <w:sz w:val="16"/>
          <w:szCs w:val="16"/>
          <w:lang w:val="es-CR"/>
        </w:rPr>
        <w:t>Xamán</w:t>
      </w:r>
      <w:proofErr w:type="spellEnd"/>
      <w:r w:rsidRPr="00FB5ADE">
        <w:rPr>
          <w:sz w:val="16"/>
          <w:szCs w:val="16"/>
          <w:lang w:val="es-CR"/>
        </w:rPr>
        <w:t>, pág. 42.</w:t>
      </w:r>
    </w:p>
  </w:footnote>
  <w:footnote w:id="89">
    <w:p w:rsidR="00785921" w:rsidRPr="00FB5ADE" w:rsidRDefault="00785921" w:rsidP="00126E97">
      <w:pPr>
        <w:pStyle w:val="FootnoteText"/>
        <w:spacing w:line="20" w:lineRule="atLeast"/>
        <w:rPr>
          <w:sz w:val="16"/>
          <w:szCs w:val="16"/>
          <w:lang w:val="es-CR"/>
        </w:rPr>
      </w:pPr>
      <w:r w:rsidRPr="00FB5ADE">
        <w:rPr>
          <w:rStyle w:val="FootnoteReference"/>
          <w:sz w:val="16"/>
          <w:szCs w:val="16"/>
          <w:lang w:val="es-CR" w:eastAsia="x-none"/>
        </w:rPr>
        <w:footnoteRef/>
      </w:r>
      <w:r w:rsidRPr="00FB5ADE">
        <w:rPr>
          <w:sz w:val="16"/>
          <w:szCs w:val="16"/>
          <w:lang w:val="es-CR"/>
        </w:rPr>
        <w:t xml:space="preserve"> </w:t>
      </w:r>
      <w:r w:rsidRPr="00FB5ADE">
        <w:rPr>
          <w:i/>
          <w:sz w:val="16"/>
          <w:szCs w:val="16"/>
          <w:lang w:val="es-CR"/>
        </w:rPr>
        <w:t xml:space="preserve">Cfr. </w:t>
      </w:r>
      <w:r w:rsidRPr="00FB5ADE">
        <w:rPr>
          <w:sz w:val="16"/>
          <w:szCs w:val="16"/>
          <w:lang w:val="es-CR"/>
        </w:rPr>
        <w:t>Comunicación del Estado de 1 de diciembre de 1998, dirigida a la Comisión Interamericana</w:t>
      </w:r>
      <w:r>
        <w:rPr>
          <w:sz w:val="16"/>
          <w:szCs w:val="16"/>
          <w:lang w:val="es-CR"/>
        </w:rPr>
        <w:t xml:space="preserve">, </w:t>
      </w:r>
      <w:r w:rsidRPr="00990E65">
        <w:rPr>
          <w:i/>
          <w:sz w:val="16"/>
          <w:szCs w:val="16"/>
          <w:lang w:val="es-CR"/>
        </w:rPr>
        <w:t>supra</w:t>
      </w:r>
      <w:r>
        <w:rPr>
          <w:sz w:val="16"/>
          <w:szCs w:val="16"/>
          <w:lang w:val="es-CR"/>
        </w:rPr>
        <w:t>.</w:t>
      </w:r>
    </w:p>
  </w:footnote>
  <w:footnote w:id="90">
    <w:p w:rsidR="00785921" w:rsidRPr="00FB5ADE" w:rsidRDefault="00785921" w:rsidP="00126E97">
      <w:pPr>
        <w:pStyle w:val="FootnoteText"/>
        <w:spacing w:line="20" w:lineRule="atLeast"/>
        <w:rPr>
          <w:sz w:val="16"/>
          <w:szCs w:val="16"/>
          <w:lang w:val="es-CR"/>
        </w:rPr>
      </w:pPr>
      <w:r w:rsidRPr="00FB5ADE">
        <w:rPr>
          <w:rStyle w:val="FootnoteReference"/>
          <w:sz w:val="16"/>
          <w:szCs w:val="16"/>
        </w:rPr>
        <w:footnoteRef/>
      </w:r>
      <w:r w:rsidRPr="00FB5ADE">
        <w:rPr>
          <w:sz w:val="16"/>
          <w:szCs w:val="16"/>
          <w:lang w:val="es-CR"/>
        </w:rPr>
        <w:t xml:space="preserve"> </w:t>
      </w:r>
      <w:r w:rsidRPr="00FB5ADE">
        <w:rPr>
          <w:i/>
          <w:sz w:val="16"/>
          <w:szCs w:val="16"/>
          <w:lang w:val="es-CR"/>
        </w:rPr>
        <w:t xml:space="preserve">Cfr. </w:t>
      </w:r>
      <w:r w:rsidRPr="00FB5ADE">
        <w:rPr>
          <w:sz w:val="16"/>
          <w:szCs w:val="16"/>
          <w:lang w:val="es-CR"/>
        </w:rPr>
        <w:t>Comunicación del Estado de 1 de diciembre de 1998, dirigida a la Comisión Interamericana</w:t>
      </w:r>
      <w:r>
        <w:rPr>
          <w:sz w:val="16"/>
          <w:szCs w:val="16"/>
          <w:lang w:val="es-CR"/>
        </w:rPr>
        <w:t xml:space="preserve">, </w:t>
      </w:r>
      <w:r w:rsidRPr="00990E65">
        <w:rPr>
          <w:i/>
          <w:sz w:val="16"/>
          <w:szCs w:val="16"/>
          <w:lang w:val="es-CR"/>
        </w:rPr>
        <w:t>supra</w:t>
      </w:r>
      <w:r>
        <w:rPr>
          <w:sz w:val="16"/>
          <w:szCs w:val="16"/>
          <w:lang w:val="es-CR"/>
        </w:rPr>
        <w:t>.</w:t>
      </w:r>
    </w:p>
  </w:footnote>
  <w:footnote w:id="91">
    <w:p w:rsidR="00785921" w:rsidRPr="0057574C" w:rsidRDefault="00785921" w:rsidP="00126E97">
      <w:pPr>
        <w:spacing w:after="0" w:line="20" w:lineRule="atLeast"/>
        <w:ind w:right="-138"/>
        <w:jc w:val="both"/>
        <w:rPr>
          <w:rFonts w:ascii="Verdana" w:hAnsi="Verdana"/>
          <w:sz w:val="16"/>
          <w:szCs w:val="16"/>
          <w:lang w:val="es-CR"/>
        </w:rPr>
      </w:pPr>
      <w:r w:rsidRPr="00FB5ADE">
        <w:rPr>
          <w:rStyle w:val="FootnoteReference"/>
          <w:rFonts w:ascii="Verdana" w:hAnsi="Verdana"/>
          <w:sz w:val="16"/>
          <w:szCs w:val="16"/>
          <w:lang w:eastAsia="x-none"/>
        </w:rPr>
        <w:footnoteRef/>
      </w:r>
      <w:r w:rsidRPr="00FB5ADE">
        <w:rPr>
          <w:rFonts w:ascii="Verdana" w:hAnsi="Verdana"/>
          <w:sz w:val="16"/>
          <w:szCs w:val="16"/>
          <w:lang w:val="es-CR"/>
        </w:rPr>
        <w:t xml:space="preserve"> </w:t>
      </w:r>
      <w:r w:rsidRPr="00FB5ADE">
        <w:rPr>
          <w:rFonts w:ascii="Verdana" w:hAnsi="Verdana"/>
          <w:i/>
          <w:sz w:val="16"/>
          <w:szCs w:val="16"/>
          <w:lang w:val="es-CR"/>
        </w:rPr>
        <w:t>Cfr</w:t>
      </w:r>
      <w:r w:rsidRPr="0057574C">
        <w:rPr>
          <w:rFonts w:ascii="Verdana" w:hAnsi="Verdana"/>
          <w:i/>
          <w:sz w:val="16"/>
          <w:szCs w:val="16"/>
          <w:lang w:val="es-CR"/>
        </w:rPr>
        <w:t>.</w:t>
      </w:r>
      <w:r w:rsidRPr="0057574C">
        <w:rPr>
          <w:rFonts w:ascii="Verdana" w:hAnsi="Verdana"/>
          <w:sz w:val="16"/>
          <w:szCs w:val="16"/>
          <w:lang w:val="es-CR"/>
        </w:rPr>
        <w:t xml:space="preserve"> Acta de verificación de debate de 25 de noviembre de 1998</w:t>
      </w:r>
      <w:r>
        <w:rPr>
          <w:rFonts w:ascii="Verdana" w:hAnsi="Verdana"/>
          <w:sz w:val="16"/>
          <w:szCs w:val="16"/>
          <w:lang w:val="es-CR"/>
        </w:rPr>
        <w:t xml:space="preserve">, </w:t>
      </w:r>
      <w:r>
        <w:rPr>
          <w:rFonts w:ascii="Verdana" w:hAnsi="Verdana"/>
          <w:i/>
          <w:sz w:val="16"/>
          <w:szCs w:val="16"/>
          <w:lang w:val="es-CR"/>
        </w:rPr>
        <w:t>supra</w:t>
      </w:r>
      <w:r w:rsidRPr="0057574C">
        <w:rPr>
          <w:rFonts w:ascii="Verdana" w:hAnsi="Verdana"/>
          <w:sz w:val="16"/>
          <w:szCs w:val="16"/>
          <w:lang w:val="es-CR"/>
        </w:rPr>
        <w:t>.</w:t>
      </w:r>
    </w:p>
  </w:footnote>
  <w:footnote w:id="92">
    <w:p w:rsidR="00785921" w:rsidRPr="0057574C" w:rsidRDefault="00785921" w:rsidP="00126E97">
      <w:pPr>
        <w:pStyle w:val="FootnoteText"/>
        <w:spacing w:line="20" w:lineRule="atLeast"/>
        <w:rPr>
          <w:strike/>
          <w:sz w:val="16"/>
          <w:szCs w:val="16"/>
          <w:lang w:val="es-CR"/>
        </w:rPr>
      </w:pPr>
      <w:r w:rsidRPr="0057574C">
        <w:rPr>
          <w:rStyle w:val="FootnoteReference"/>
          <w:sz w:val="16"/>
          <w:szCs w:val="16"/>
          <w:lang w:val="es-CR" w:eastAsia="x-none"/>
        </w:rPr>
        <w:footnoteRef/>
      </w:r>
      <w:r w:rsidRPr="0057574C">
        <w:rPr>
          <w:sz w:val="16"/>
          <w:szCs w:val="16"/>
          <w:lang w:val="es-CR"/>
        </w:rPr>
        <w:t xml:space="preserve"> </w:t>
      </w:r>
      <w:r w:rsidRPr="00CC7B08">
        <w:rPr>
          <w:i/>
          <w:sz w:val="16"/>
          <w:szCs w:val="16"/>
          <w:lang w:val="es-CR"/>
        </w:rPr>
        <w:t xml:space="preserve">Cfr. </w:t>
      </w:r>
      <w:r w:rsidRPr="0057574C">
        <w:rPr>
          <w:sz w:val="16"/>
          <w:szCs w:val="16"/>
          <w:lang w:val="es-CR"/>
        </w:rPr>
        <w:t xml:space="preserve">Comunicación de los peticionarios de 4 de marzo de 1999, dirigida a la Comisión Interamericana </w:t>
      </w:r>
      <w:r>
        <w:rPr>
          <w:sz w:val="16"/>
          <w:szCs w:val="16"/>
          <w:lang w:val="es-CR"/>
        </w:rPr>
        <w:t xml:space="preserve">(expediente de prueba, anexo 25 al Informe de Fondo, folios 703 a 767) </w:t>
      </w:r>
      <w:r w:rsidRPr="0057574C">
        <w:rPr>
          <w:sz w:val="16"/>
          <w:szCs w:val="16"/>
          <w:lang w:val="es-CR"/>
        </w:rPr>
        <w:t>y Acta de verificación</w:t>
      </w:r>
      <w:r>
        <w:rPr>
          <w:sz w:val="16"/>
          <w:szCs w:val="16"/>
          <w:lang w:val="es-CR"/>
        </w:rPr>
        <w:t xml:space="preserve"> de debate de 25 de noviembre de 1998, </w:t>
      </w:r>
      <w:r w:rsidRPr="007F44F4">
        <w:rPr>
          <w:i/>
          <w:sz w:val="16"/>
          <w:szCs w:val="16"/>
          <w:lang w:val="es-CR"/>
        </w:rPr>
        <w:t>supra</w:t>
      </w:r>
      <w:r>
        <w:rPr>
          <w:sz w:val="16"/>
          <w:szCs w:val="16"/>
          <w:lang w:val="es-CR"/>
        </w:rPr>
        <w:t xml:space="preserve">. </w:t>
      </w:r>
      <w:r w:rsidRPr="00C03C13">
        <w:rPr>
          <w:sz w:val="16"/>
          <w:szCs w:val="16"/>
          <w:lang w:val="es-CR"/>
        </w:rPr>
        <w:t xml:space="preserve">Los peticionarios señalaron que el Tribunal no permitió a la señora Menchú presentar observaciones y que ella sostuvo que “en nombre de la justicia en Guatemala, y para no dar lugar a la impunidad en este país nos retiramos de este tribunal, y nos </w:t>
      </w:r>
      <w:r w:rsidRPr="0057574C">
        <w:rPr>
          <w:sz w:val="16"/>
          <w:szCs w:val="16"/>
          <w:lang w:val="es-CR"/>
        </w:rPr>
        <w:t>retiramos para decirles señores miembros de este tribunal, que no vamos a deponer nuestra actitud de búsqueda de justicia. […N</w:t>
      </w:r>
      <w:proofErr w:type="gramStart"/>
      <w:r w:rsidRPr="0057574C">
        <w:rPr>
          <w:sz w:val="16"/>
          <w:szCs w:val="16"/>
          <w:lang w:val="es-CR"/>
        </w:rPr>
        <w:t>]o</w:t>
      </w:r>
      <w:proofErr w:type="gramEnd"/>
      <w:r w:rsidRPr="0057574C">
        <w:rPr>
          <w:sz w:val="16"/>
          <w:szCs w:val="16"/>
          <w:lang w:val="es-CR"/>
        </w:rPr>
        <w:t xml:space="preserve"> somos nosotros quienes vamos a convalidar un tribunal parcializado”. </w:t>
      </w:r>
      <w:r w:rsidRPr="0057574C">
        <w:rPr>
          <w:strike/>
          <w:sz w:val="16"/>
          <w:szCs w:val="16"/>
          <w:lang w:val="es-CR"/>
        </w:rPr>
        <w:t xml:space="preserve">  </w:t>
      </w:r>
    </w:p>
  </w:footnote>
  <w:footnote w:id="93">
    <w:p w:rsidR="00785921" w:rsidRPr="0057574C" w:rsidRDefault="00785921" w:rsidP="00126E97">
      <w:pPr>
        <w:spacing w:after="0" w:line="20" w:lineRule="atLeast"/>
        <w:ind w:right="-138"/>
        <w:rPr>
          <w:sz w:val="16"/>
          <w:szCs w:val="16"/>
          <w:lang w:val="es-CR"/>
        </w:rPr>
      </w:pPr>
      <w:r w:rsidRPr="0057574C">
        <w:rPr>
          <w:rStyle w:val="FootnoteReference"/>
          <w:rFonts w:ascii="Verdana" w:hAnsi="Verdana"/>
          <w:sz w:val="16"/>
          <w:szCs w:val="16"/>
          <w:lang w:eastAsia="x-none"/>
        </w:rPr>
        <w:footnoteRef/>
      </w:r>
      <w:r w:rsidRPr="0057574C">
        <w:rPr>
          <w:rFonts w:ascii="Verdana" w:hAnsi="Verdana"/>
          <w:sz w:val="16"/>
          <w:szCs w:val="16"/>
          <w:lang w:val="es-CR"/>
        </w:rPr>
        <w:t xml:space="preserve"> </w:t>
      </w:r>
      <w:r w:rsidRPr="00CC7B08">
        <w:rPr>
          <w:rFonts w:ascii="Verdana" w:hAnsi="Verdana"/>
          <w:i/>
          <w:sz w:val="16"/>
          <w:szCs w:val="16"/>
          <w:lang w:val="es-CR"/>
        </w:rPr>
        <w:t>Cfr.</w:t>
      </w:r>
      <w:r>
        <w:rPr>
          <w:rFonts w:ascii="Verdana" w:hAnsi="Verdana"/>
          <w:sz w:val="16"/>
          <w:szCs w:val="16"/>
          <w:lang w:val="es-CR"/>
        </w:rPr>
        <w:t xml:space="preserve"> </w:t>
      </w:r>
      <w:r w:rsidRPr="0057574C">
        <w:rPr>
          <w:rFonts w:ascii="Verdana" w:hAnsi="Verdana"/>
          <w:sz w:val="16"/>
          <w:szCs w:val="16"/>
          <w:lang w:val="es-CR"/>
        </w:rPr>
        <w:t>Acta de verificación de deb</w:t>
      </w:r>
      <w:r>
        <w:rPr>
          <w:rFonts w:ascii="Verdana" w:hAnsi="Verdana"/>
          <w:sz w:val="16"/>
          <w:szCs w:val="16"/>
          <w:lang w:val="es-CR"/>
        </w:rPr>
        <w:t xml:space="preserve">ate de 25 de noviembre de 1998, </w:t>
      </w:r>
      <w:r w:rsidRPr="007F44F4">
        <w:rPr>
          <w:rFonts w:ascii="Verdana" w:hAnsi="Verdana"/>
          <w:i/>
          <w:sz w:val="16"/>
          <w:szCs w:val="16"/>
          <w:lang w:val="es-CR"/>
        </w:rPr>
        <w:t>supra</w:t>
      </w:r>
      <w:r w:rsidRPr="0057574C">
        <w:rPr>
          <w:rFonts w:ascii="Verdana" w:hAnsi="Verdana"/>
          <w:sz w:val="16"/>
          <w:szCs w:val="16"/>
          <w:lang w:val="es-CR"/>
        </w:rPr>
        <w:t>.</w:t>
      </w:r>
    </w:p>
  </w:footnote>
  <w:footnote w:id="94">
    <w:p w:rsidR="00785921" w:rsidRPr="00637508" w:rsidRDefault="00785921" w:rsidP="00126E97">
      <w:pPr>
        <w:pStyle w:val="FootnoteText"/>
        <w:spacing w:line="20" w:lineRule="atLeast"/>
        <w:rPr>
          <w:lang w:val="es-CR"/>
        </w:rPr>
      </w:pPr>
      <w:r w:rsidRPr="0057574C">
        <w:rPr>
          <w:rStyle w:val="FootnoteReference"/>
          <w:sz w:val="16"/>
          <w:szCs w:val="16"/>
          <w:lang w:eastAsia="x-none"/>
        </w:rPr>
        <w:footnoteRef/>
      </w:r>
      <w:r w:rsidRPr="0057574C">
        <w:rPr>
          <w:sz w:val="16"/>
          <w:szCs w:val="16"/>
          <w:lang w:val="es-CR"/>
        </w:rPr>
        <w:t xml:space="preserve"> </w:t>
      </w:r>
      <w:r w:rsidRPr="0057574C">
        <w:rPr>
          <w:i/>
          <w:sz w:val="16"/>
          <w:szCs w:val="16"/>
          <w:lang w:val="es-CR"/>
        </w:rPr>
        <w:t xml:space="preserve">Cfr. </w:t>
      </w:r>
      <w:r w:rsidRPr="0057574C">
        <w:rPr>
          <w:sz w:val="16"/>
          <w:szCs w:val="16"/>
          <w:lang w:val="es-CR"/>
        </w:rPr>
        <w:t>Acta de verificación de debate de 25 de noviembre de 1998</w:t>
      </w:r>
      <w:r>
        <w:rPr>
          <w:sz w:val="16"/>
          <w:szCs w:val="16"/>
          <w:lang w:val="es-CR"/>
        </w:rPr>
        <w:t xml:space="preserve">, </w:t>
      </w:r>
      <w:r w:rsidRPr="007F44F4">
        <w:rPr>
          <w:i/>
          <w:sz w:val="16"/>
          <w:szCs w:val="16"/>
          <w:lang w:val="es-CR"/>
        </w:rPr>
        <w:t>supra</w:t>
      </w:r>
      <w:r>
        <w:rPr>
          <w:sz w:val="16"/>
          <w:szCs w:val="16"/>
          <w:lang w:val="es-CR"/>
        </w:rPr>
        <w:t xml:space="preserve"> y s</w:t>
      </w:r>
      <w:r w:rsidRPr="00637508">
        <w:rPr>
          <w:sz w:val="16"/>
          <w:szCs w:val="16"/>
          <w:lang w:val="es-CR"/>
        </w:rPr>
        <w:t xml:space="preserve">entencia del </w:t>
      </w:r>
      <w:r>
        <w:rPr>
          <w:sz w:val="16"/>
          <w:szCs w:val="16"/>
          <w:lang w:val="es-CR"/>
        </w:rPr>
        <w:t>Tribunal de Sentencia de 12 de agosto de 1999 (expediente de prueba, anexo 26 al Informe de Fondo, folios 769 a 913).</w:t>
      </w:r>
      <w:r w:rsidRPr="00676759">
        <w:rPr>
          <w:sz w:val="16"/>
          <w:szCs w:val="16"/>
          <w:lang w:val="es-CR"/>
        </w:rPr>
        <w:t xml:space="preserve"> </w:t>
      </w:r>
    </w:p>
  </w:footnote>
  <w:footnote w:id="9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 xml:space="preserve">Cfr. </w:t>
      </w:r>
      <w:r>
        <w:rPr>
          <w:sz w:val="16"/>
          <w:szCs w:val="16"/>
          <w:lang w:val="es-CR"/>
        </w:rPr>
        <w:t>s</w:t>
      </w:r>
      <w:r w:rsidRPr="00637508">
        <w:rPr>
          <w:sz w:val="16"/>
          <w:szCs w:val="16"/>
          <w:lang w:val="es-CR"/>
        </w:rPr>
        <w:t xml:space="preserve">entencia del </w:t>
      </w:r>
      <w:r>
        <w:rPr>
          <w:sz w:val="16"/>
          <w:szCs w:val="16"/>
          <w:lang w:val="es-CR"/>
        </w:rPr>
        <w:t xml:space="preserve">Tribunal de Sentencia de 12 de agosto de 1999, </w:t>
      </w:r>
      <w:r w:rsidRPr="007335F2">
        <w:rPr>
          <w:i/>
          <w:sz w:val="16"/>
          <w:szCs w:val="16"/>
          <w:lang w:val="es-CR"/>
        </w:rPr>
        <w:t>supra</w:t>
      </w:r>
      <w:r>
        <w:rPr>
          <w:sz w:val="16"/>
          <w:szCs w:val="16"/>
          <w:lang w:val="es-CR"/>
        </w:rPr>
        <w:t>.</w:t>
      </w:r>
      <w:r>
        <w:rPr>
          <w:bCs/>
          <w:color w:val="000000"/>
          <w:sz w:val="16"/>
          <w:szCs w:val="16"/>
          <w:lang w:val="es-CR"/>
        </w:rPr>
        <w:t xml:space="preserve"> </w:t>
      </w:r>
    </w:p>
  </w:footnote>
  <w:footnote w:id="9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w:t>
      </w:r>
      <w:r w:rsidRPr="00637508">
        <w:rPr>
          <w:sz w:val="16"/>
          <w:szCs w:val="16"/>
          <w:lang w:val="es-CR"/>
        </w:rPr>
        <w:t xml:space="preserve">Informe del </w:t>
      </w:r>
      <w:r>
        <w:rPr>
          <w:sz w:val="16"/>
          <w:szCs w:val="16"/>
          <w:lang w:val="es-CR"/>
        </w:rPr>
        <w:t xml:space="preserve">Estado de </w:t>
      </w:r>
      <w:r w:rsidRPr="00637508">
        <w:rPr>
          <w:sz w:val="16"/>
          <w:szCs w:val="16"/>
          <w:lang w:val="es-CR"/>
        </w:rPr>
        <w:t>24 de mayo de 2004</w:t>
      </w:r>
      <w:r>
        <w:rPr>
          <w:sz w:val="16"/>
          <w:szCs w:val="16"/>
          <w:lang w:val="es-CR"/>
        </w:rPr>
        <w:t xml:space="preserve">, dirigido a la Comisión Interamericana, </w:t>
      </w:r>
      <w:r w:rsidRPr="007F44F4">
        <w:rPr>
          <w:i/>
          <w:sz w:val="16"/>
          <w:szCs w:val="16"/>
          <w:lang w:val="es-CR"/>
        </w:rPr>
        <w:t>supra</w:t>
      </w:r>
      <w:r>
        <w:rPr>
          <w:sz w:val="16"/>
          <w:szCs w:val="16"/>
          <w:lang w:val="es-CR"/>
        </w:rPr>
        <w:t>.</w:t>
      </w:r>
    </w:p>
  </w:footnote>
  <w:footnote w:id="97">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w:t>
      </w:r>
      <w:r w:rsidRPr="00637508">
        <w:rPr>
          <w:sz w:val="16"/>
          <w:szCs w:val="16"/>
          <w:lang w:val="es-CR"/>
        </w:rPr>
        <w:t xml:space="preserve">Informe del </w:t>
      </w:r>
      <w:r>
        <w:rPr>
          <w:sz w:val="16"/>
          <w:szCs w:val="16"/>
          <w:lang w:val="es-CR"/>
        </w:rPr>
        <w:t xml:space="preserve">Estado de </w:t>
      </w:r>
      <w:r w:rsidRPr="00637508">
        <w:rPr>
          <w:sz w:val="16"/>
          <w:szCs w:val="16"/>
          <w:lang w:val="es-CR"/>
        </w:rPr>
        <w:t>24 de mayo de 2004</w:t>
      </w:r>
      <w:r>
        <w:rPr>
          <w:sz w:val="16"/>
          <w:szCs w:val="16"/>
          <w:lang w:val="es-CR"/>
        </w:rPr>
        <w:t xml:space="preserve">, dirigido a la Comisión Interamericana, </w:t>
      </w:r>
      <w:r w:rsidRPr="007F44F4">
        <w:rPr>
          <w:i/>
          <w:sz w:val="16"/>
          <w:szCs w:val="16"/>
          <w:lang w:val="es-CR"/>
        </w:rPr>
        <w:t>supra</w:t>
      </w:r>
      <w:r>
        <w:rPr>
          <w:sz w:val="16"/>
          <w:szCs w:val="16"/>
          <w:lang w:val="es-CR"/>
        </w:rPr>
        <w:t>.</w:t>
      </w:r>
    </w:p>
  </w:footnote>
  <w:footnote w:id="9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37508">
        <w:rPr>
          <w:i/>
          <w:sz w:val="16"/>
          <w:szCs w:val="16"/>
          <w:lang w:val="es-CR"/>
        </w:rPr>
        <w:t xml:space="preserve">Cfr. </w:t>
      </w:r>
      <w:r w:rsidRPr="00637508">
        <w:rPr>
          <w:sz w:val="16"/>
          <w:szCs w:val="16"/>
          <w:lang w:val="es-CR"/>
        </w:rPr>
        <w:t xml:space="preserve">Informe del </w:t>
      </w:r>
      <w:r>
        <w:rPr>
          <w:sz w:val="16"/>
          <w:szCs w:val="16"/>
          <w:lang w:val="es-CR"/>
        </w:rPr>
        <w:t xml:space="preserve">Estado de </w:t>
      </w:r>
      <w:r w:rsidRPr="00637508">
        <w:rPr>
          <w:sz w:val="16"/>
          <w:szCs w:val="16"/>
          <w:lang w:val="es-CR"/>
        </w:rPr>
        <w:t>24 de mayo de 2004</w:t>
      </w:r>
      <w:r>
        <w:rPr>
          <w:sz w:val="16"/>
          <w:szCs w:val="16"/>
          <w:lang w:val="es-CR"/>
        </w:rPr>
        <w:t xml:space="preserve">, dirigido a la Comisión Interamericana, </w:t>
      </w:r>
      <w:r w:rsidRPr="007F44F4">
        <w:rPr>
          <w:i/>
          <w:sz w:val="16"/>
          <w:szCs w:val="16"/>
          <w:lang w:val="es-CR"/>
        </w:rPr>
        <w:t>supra</w:t>
      </w:r>
      <w:r>
        <w:rPr>
          <w:sz w:val="16"/>
          <w:szCs w:val="16"/>
          <w:lang w:val="es-CR"/>
        </w:rPr>
        <w:t>.</w:t>
      </w:r>
    </w:p>
  </w:footnote>
  <w:footnote w:id="9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37508">
        <w:rPr>
          <w:sz w:val="16"/>
          <w:szCs w:val="16"/>
          <w:lang w:val="es-CR"/>
        </w:rPr>
        <w:t xml:space="preserve">Informe del </w:t>
      </w:r>
      <w:r>
        <w:rPr>
          <w:sz w:val="16"/>
          <w:szCs w:val="16"/>
          <w:lang w:val="es-CR"/>
        </w:rPr>
        <w:t xml:space="preserve">Estado de </w:t>
      </w:r>
      <w:r w:rsidRPr="00637508">
        <w:rPr>
          <w:sz w:val="16"/>
          <w:szCs w:val="16"/>
          <w:lang w:val="es-CR"/>
        </w:rPr>
        <w:t>24 de mayo de 2004</w:t>
      </w:r>
      <w:r>
        <w:rPr>
          <w:sz w:val="16"/>
          <w:szCs w:val="16"/>
          <w:lang w:val="es-CR"/>
        </w:rPr>
        <w:t xml:space="preserve">, dirigido a la Comisión Interamericana, </w:t>
      </w:r>
      <w:r w:rsidRPr="007F44F4">
        <w:rPr>
          <w:i/>
          <w:sz w:val="16"/>
          <w:szCs w:val="16"/>
          <w:lang w:val="es-CR"/>
        </w:rPr>
        <w:t>supra</w:t>
      </w:r>
      <w:r>
        <w:rPr>
          <w:sz w:val="16"/>
          <w:szCs w:val="16"/>
          <w:lang w:val="es-CR"/>
        </w:rPr>
        <w:t>.</w:t>
      </w:r>
      <w:r w:rsidRPr="00676759">
        <w:rPr>
          <w:sz w:val="16"/>
          <w:szCs w:val="16"/>
          <w:lang w:val="es-CR"/>
        </w:rPr>
        <w:t xml:space="preserve"> </w:t>
      </w:r>
      <w:r w:rsidRPr="00676759">
        <w:rPr>
          <w:i/>
          <w:sz w:val="16"/>
          <w:szCs w:val="16"/>
          <w:lang w:val="es-CR"/>
        </w:rPr>
        <w:t>Cfr</w:t>
      </w:r>
      <w:r>
        <w:rPr>
          <w:sz w:val="16"/>
          <w:szCs w:val="16"/>
          <w:lang w:val="es-CR"/>
        </w:rPr>
        <w:t>. también</w:t>
      </w:r>
      <w:r w:rsidRPr="00676759">
        <w:rPr>
          <w:sz w:val="16"/>
          <w:szCs w:val="16"/>
          <w:lang w:val="es-CR"/>
        </w:rPr>
        <w:t xml:space="preserve"> </w:t>
      </w:r>
      <w:r>
        <w:rPr>
          <w:sz w:val="16"/>
          <w:szCs w:val="16"/>
          <w:lang w:val="es-CR"/>
        </w:rPr>
        <w:t>la comunicación de los peticionarios de 26 de julio de 2002, dirigida a la Comisión Interamericana (expediente de Prueba, anexo 27 al Informe de Fondo, folios 915 a 925).</w:t>
      </w:r>
    </w:p>
  </w:footnote>
  <w:footnote w:id="100">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676759">
        <w:rPr>
          <w:i/>
          <w:sz w:val="16"/>
          <w:szCs w:val="16"/>
          <w:lang w:val="es-CR"/>
        </w:rPr>
        <w:t>Cfr.</w:t>
      </w:r>
      <w:r>
        <w:rPr>
          <w:sz w:val="16"/>
          <w:szCs w:val="16"/>
          <w:lang w:val="es-CR"/>
        </w:rPr>
        <w:t xml:space="preserve"> Comunicación de los peticionarios de 26 de julio de 2002, dirigida a la Comisión Interamericana, </w:t>
      </w:r>
      <w:r w:rsidRPr="007335F2">
        <w:rPr>
          <w:i/>
          <w:sz w:val="16"/>
          <w:szCs w:val="16"/>
          <w:lang w:val="es-CR"/>
        </w:rPr>
        <w:t>supra</w:t>
      </w:r>
      <w:r>
        <w:rPr>
          <w:sz w:val="16"/>
          <w:szCs w:val="16"/>
          <w:lang w:val="es-CR"/>
        </w:rPr>
        <w:t>.</w:t>
      </w:r>
    </w:p>
  </w:footnote>
  <w:footnote w:id="10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w:t>
      </w:r>
      <w:r w:rsidRPr="00637508">
        <w:rPr>
          <w:sz w:val="16"/>
          <w:szCs w:val="16"/>
          <w:lang w:val="es-CR"/>
        </w:rPr>
        <w:t xml:space="preserve">Informe del </w:t>
      </w:r>
      <w:r>
        <w:rPr>
          <w:sz w:val="16"/>
          <w:szCs w:val="16"/>
          <w:lang w:val="es-CR"/>
        </w:rPr>
        <w:t>Estado de</w:t>
      </w:r>
      <w:r w:rsidRPr="00637508">
        <w:rPr>
          <w:sz w:val="16"/>
          <w:szCs w:val="16"/>
          <w:lang w:val="es-CR"/>
        </w:rPr>
        <w:t xml:space="preserve"> 24 de mayo de 2004</w:t>
      </w:r>
      <w:r>
        <w:rPr>
          <w:sz w:val="16"/>
          <w:szCs w:val="16"/>
          <w:lang w:val="es-CR"/>
        </w:rPr>
        <w:t xml:space="preserve">, dirigido a la Comisión Interamericana, </w:t>
      </w:r>
      <w:r w:rsidRPr="007F44F4">
        <w:rPr>
          <w:i/>
          <w:sz w:val="16"/>
          <w:szCs w:val="16"/>
          <w:lang w:val="es-CR"/>
        </w:rPr>
        <w:t>supra</w:t>
      </w:r>
      <w:r>
        <w:rPr>
          <w:sz w:val="16"/>
          <w:szCs w:val="16"/>
          <w:lang w:val="es-CR"/>
        </w:rPr>
        <w:t>.</w:t>
      </w:r>
    </w:p>
  </w:footnote>
  <w:footnote w:id="102">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sidRPr="00676759">
        <w:rPr>
          <w:i/>
          <w:sz w:val="16"/>
          <w:szCs w:val="16"/>
          <w:lang w:val="es-CR"/>
        </w:rPr>
        <w:t>Cfr.</w:t>
      </w:r>
      <w:r>
        <w:rPr>
          <w:sz w:val="16"/>
          <w:szCs w:val="16"/>
          <w:lang w:val="es-CR"/>
        </w:rPr>
        <w:t xml:space="preserve"> sentencia de 8 de julio de 2004, </w:t>
      </w:r>
      <w:r w:rsidRPr="00464CB5">
        <w:rPr>
          <w:i/>
          <w:sz w:val="16"/>
          <w:szCs w:val="16"/>
          <w:lang w:val="es-CR"/>
        </w:rPr>
        <w:t>supra</w:t>
      </w:r>
      <w:r>
        <w:rPr>
          <w:sz w:val="16"/>
          <w:szCs w:val="16"/>
          <w:lang w:val="es-CR"/>
        </w:rPr>
        <w:t xml:space="preserve">. </w:t>
      </w:r>
    </w:p>
  </w:footnote>
  <w:footnote w:id="103">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Recurso</w:t>
      </w:r>
      <w:r>
        <w:rPr>
          <w:sz w:val="16"/>
          <w:szCs w:val="16"/>
          <w:lang w:val="es-CR"/>
        </w:rPr>
        <w:t>s de apelación especial de la s</w:t>
      </w:r>
      <w:r w:rsidRPr="00637508">
        <w:rPr>
          <w:sz w:val="16"/>
          <w:szCs w:val="16"/>
          <w:lang w:val="es-CR"/>
        </w:rPr>
        <w:t>entencia de 8 de julio de 2004, presentado</w:t>
      </w:r>
      <w:r>
        <w:rPr>
          <w:sz w:val="16"/>
          <w:szCs w:val="16"/>
          <w:lang w:val="es-CR"/>
        </w:rPr>
        <w:t>s</w:t>
      </w:r>
      <w:r w:rsidRPr="00637508">
        <w:rPr>
          <w:sz w:val="16"/>
          <w:szCs w:val="16"/>
          <w:lang w:val="es-CR"/>
        </w:rPr>
        <w:t xml:space="preserve"> por </w:t>
      </w:r>
      <w:r>
        <w:rPr>
          <w:sz w:val="16"/>
          <w:szCs w:val="16"/>
          <w:lang w:val="es-CR"/>
        </w:rPr>
        <w:t xml:space="preserve">tres abogados </w:t>
      </w:r>
      <w:r w:rsidRPr="00637508">
        <w:rPr>
          <w:sz w:val="16"/>
          <w:szCs w:val="16"/>
          <w:lang w:val="es-CR"/>
        </w:rPr>
        <w:t>defensor</w:t>
      </w:r>
      <w:r>
        <w:rPr>
          <w:sz w:val="16"/>
          <w:szCs w:val="16"/>
          <w:lang w:val="es-CR"/>
        </w:rPr>
        <w:t>es, uno del 28 y dos del 30 de julio de 2004, y escritos de “correcciones” al primero y a uno de los segundos, de 17 de octubre de 2004 y de 15 de agosto de 2004, respectivamente (</w:t>
      </w:r>
      <w:r>
        <w:rPr>
          <w:sz w:val="16"/>
          <w:szCs w:val="16"/>
          <w:lang w:val="es-ES_tradnl"/>
        </w:rPr>
        <w:t>expediente de prueba, trámite ante la Comisión, folios 3803 a 3997).</w:t>
      </w:r>
    </w:p>
  </w:footnote>
  <w:footnote w:id="104">
    <w:p w:rsidR="00785921" w:rsidRDefault="00785921" w:rsidP="00126E97">
      <w:pPr>
        <w:pStyle w:val="FootnoteText"/>
        <w:spacing w:line="20" w:lineRule="atLeast"/>
        <w:rPr>
          <w:sz w:val="16"/>
          <w:szCs w:val="16"/>
          <w:lang w:val="es-CR"/>
        </w:rPr>
      </w:pPr>
      <w:r>
        <w:rPr>
          <w:rStyle w:val="FootnoteReference"/>
          <w:sz w:val="16"/>
          <w:szCs w:val="16"/>
          <w:lang w:val="es-ES_tradnl" w:eastAsia="x-none"/>
        </w:rPr>
        <w:footnoteRef/>
      </w:r>
      <w:r>
        <w:rPr>
          <w:sz w:val="16"/>
          <w:szCs w:val="16"/>
          <w:lang w:val="es-ES_tradnl"/>
        </w:rPr>
        <w:t xml:space="preserve"> </w:t>
      </w:r>
      <w:r w:rsidRPr="00637508">
        <w:rPr>
          <w:i/>
          <w:sz w:val="16"/>
          <w:szCs w:val="16"/>
          <w:lang w:val="es-CR"/>
        </w:rPr>
        <w:t>Cfr.</w:t>
      </w:r>
      <w:r w:rsidRPr="00637508">
        <w:rPr>
          <w:sz w:val="16"/>
          <w:szCs w:val="16"/>
          <w:lang w:val="es-CR"/>
        </w:rPr>
        <w:t xml:space="preserve"> </w:t>
      </w:r>
      <w:r>
        <w:rPr>
          <w:sz w:val="16"/>
          <w:szCs w:val="16"/>
          <w:lang w:val="es-ES_tradnl"/>
        </w:rPr>
        <w:t xml:space="preserve">Sala Regional Mixta de la Corte de Apelaciones de </w:t>
      </w:r>
      <w:proofErr w:type="spellStart"/>
      <w:r>
        <w:rPr>
          <w:sz w:val="16"/>
          <w:szCs w:val="16"/>
          <w:lang w:val="es-ES_tradnl"/>
        </w:rPr>
        <w:t>Coban</w:t>
      </w:r>
      <w:proofErr w:type="spellEnd"/>
      <w:r>
        <w:rPr>
          <w:sz w:val="16"/>
          <w:szCs w:val="16"/>
          <w:lang w:val="es-ES_tradnl"/>
        </w:rPr>
        <w:t>. Sentencia de 22 de diciembre de 2004 (expediente de prueba, anexo 31 al Informe de Fondo, folios 1432 a 1445).</w:t>
      </w:r>
      <w:r>
        <w:rPr>
          <w:sz w:val="16"/>
          <w:szCs w:val="16"/>
          <w:lang w:val="es-CR"/>
        </w:rPr>
        <w:t xml:space="preserve"> </w:t>
      </w:r>
    </w:p>
  </w:footnote>
  <w:footnote w:id="105">
    <w:p w:rsidR="00785921" w:rsidRDefault="00785921" w:rsidP="00126E97">
      <w:pPr>
        <w:pStyle w:val="FootnoteText"/>
        <w:spacing w:line="20" w:lineRule="atLeast"/>
        <w:rPr>
          <w:lang w:val="es-CR"/>
        </w:rPr>
      </w:pPr>
      <w:r>
        <w:rPr>
          <w:rStyle w:val="FootnoteReference"/>
          <w:sz w:val="16"/>
          <w:szCs w:val="16"/>
          <w:lang w:val="es-CR"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Recurso</w:t>
      </w:r>
      <w:r>
        <w:rPr>
          <w:sz w:val="16"/>
          <w:szCs w:val="16"/>
          <w:lang w:val="es-CR"/>
        </w:rPr>
        <w:t>s</w:t>
      </w:r>
      <w:r w:rsidRPr="00637508">
        <w:rPr>
          <w:sz w:val="16"/>
          <w:szCs w:val="16"/>
          <w:lang w:val="es-CR"/>
        </w:rPr>
        <w:t xml:space="preserve"> de casación interpuesto</w:t>
      </w:r>
      <w:r>
        <w:rPr>
          <w:sz w:val="16"/>
          <w:szCs w:val="16"/>
          <w:lang w:val="es-CR"/>
        </w:rPr>
        <w:t>s</w:t>
      </w:r>
      <w:r w:rsidRPr="00637508">
        <w:rPr>
          <w:sz w:val="16"/>
          <w:szCs w:val="16"/>
          <w:lang w:val="es-CR"/>
        </w:rPr>
        <w:t xml:space="preserve"> por </w:t>
      </w:r>
      <w:r>
        <w:rPr>
          <w:sz w:val="16"/>
          <w:szCs w:val="16"/>
          <w:lang w:val="es-CR"/>
        </w:rPr>
        <w:t xml:space="preserve">tres abogados </w:t>
      </w:r>
      <w:r w:rsidRPr="00637508">
        <w:rPr>
          <w:sz w:val="16"/>
          <w:szCs w:val="16"/>
          <w:lang w:val="es-CR"/>
        </w:rPr>
        <w:t>defensor</w:t>
      </w:r>
      <w:r>
        <w:rPr>
          <w:sz w:val="16"/>
          <w:szCs w:val="16"/>
          <w:lang w:val="es-CR"/>
        </w:rPr>
        <w:t xml:space="preserve">es, dos el 11 y uno el 12 de enero de 2005, y escritos de “corrección” de uno de los primeros (sin fecha) y del escrito de 12 de enero de 2015 (de 17 de febrero de 2005) </w:t>
      </w:r>
      <w:r>
        <w:rPr>
          <w:sz w:val="16"/>
          <w:szCs w:val="16"/>
          <w:lang w:val="es-ES_tradnl"/>
        </w:rPr>
        <w:t>(expediente de prueba, trámite ante la Comisión, folios 4013 a 4158).</w:t>
      </w:r>
    </w:p>
  </w:footnote>
  <w:footnote w:id="106">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Informe del </w:t>
      </w:r>
      <w:r>
        <w:rPr>
          <w:sz w:val="16"/>
          <w:szCs w:val="16"/>
          <w:lang w:val="es-CR"/>
        </w:rPr>
        <w:t xml:space="preserve">Estado de 7 de junio de 2005, dirigido a la </w:t>
      </w:r>
      <w:r w:rsidRPr="00637508">
        <w:rPr>
          <w:sz w:val="16"/>
          <w:szCs w:val="16"/>
          <w:lang w:val="es-CR"/>
        </w:rPr>
        <w:t xml:space="preserve">Comisión </w:t>
      </w:r>
      <w:r>
        <w:rPr>
          <w:sz w:val="16"/>
          <w:szCs w:val="16"/>
          <w:lang w:val="es-CR"/>
        </w:rPr>
        <w:t>Interamericana (e</w:t>
      </w:r>
      <w:r w:rsidRPr="00637508">
        <w:rPr>
          <w:sz w:val="16"/>
          <w:szCs w:val="16"/>
          <w:lang w:val="es-CR"/>
        </w:rPr>
        <w:t xml:space="preserve">xpediente de prueba, </w:t>
      </w:r>
      <w:r>
        <w:rPr>
          <w:sz w:val="16"/>
          <w:szCs w:val="16"/>
          <w:lang w:val="es-CR"/>
        </w:rPr>
        <w:t>a</w:t>
      </w:r>
      <w:r w:rsidRPr="00637508">
        <w:rPr>
          <w:sz w:val="16"/>
          <w:szCs w:val="16"/>
          <w:lang w:val="es-CR"/>
        </w:rPr>
        <w:t>nexo 30 al Informe de Fondo, f</w:t>
      </w:r>
      <w:r>
        <w:rPr>
          <w:sz w:val="16"/>
          <w:szCs w:val="16"/>
          <w:lang w:val="es-CR"/>
        </w:rPr>
        <w:t>olio</w:t>
      </w:r>
      <w:r w:rsidRPr="00637508">
        <w:rPr>
          <w:sz w:val="16"/>
          <w:szCs w:val="16"/>
          <w:lang w:val="es-CR"/>
        </w:rPr>
        <w:t>s 1427 a 1430</w:t>
      </w:r>
      <w:r>
        <w:rPr>
          <w:sz w:val="16"/>
          <w:szCs w:val="16"/>
          <w:lang w:val="es-CR"/>
        </w:rPr>
        <w:t>)</w:t>
      </w:r>
      <w:r w:rsidRPr="00637508">
        <w:rPr>
          <w:b/>
          <w:sz w:val="16"/>
          <w:szCs w:val="16"/>
          <w:lang w:val="es-CR"/>
        </w:rPr>
        <w:t xml:space="preserve"> </w:t>
      </w:r>
      <w:r w:rsidRPr="00637508">
        <w:rPr>
          <w:sz w:val="16"/>
          <w:szCs w:val="16"/>
          <w:lang w:val="es-CR"/>
        </w:rPr>
        <w:t xml:space="preserve">De acuerdo a lo informado por el Estado a la Comisión, todos los recursos fueron admitidos para su trámite menos uno, por lo que se planteó un recurso de </w:t>
      </w:r>
      <w:r>
        <w:rPr>
          <w:sz w:val="16"/>
          <w:szCs w:val="16"/>
          <w:lang w:val="es-CR"/>
        </w:rPr>
        <w:t>“</w:t>
      </w:r>
      <w:r w:rsidRPr="00637508">
        <w:rPr>
          <w:sz w:val="16"/>
          <w:szCs w:val="16"/>
          <w:lang w:val="es-CR"/>
        </w:rPr>
        <w:t>reposición</w:t>
      </w:r>
      <w:r>
        <w:rPr>
          <w:sz w:val="16"/>
          <w:szCs w:val="16"/>
          <w:lang w:val="es-CR"/>
        </w:rPr>
        <w:t>”</w:t>
      </w:r>
      <w:r w:rsidRPr="00637508">
        <w:rPr>
          <w:sz w:val="16"/>
          <w:szCs w:val="16"/>
          <w:lang w:val="es-CR"/>
        </w:rPr>
        <w:t xml:space="preserve">. Esto hizo que se suspendiera la “vista” que se había fijado para el 28 de abril de 2005. El 9 de mayo de ese año la Corte Suprema </w:t>
      </w:r>
      <w:r>
        <w:rPr>
          <w:sz w:val="16"/>
          <w:szCs w:val="16"/>
          <w:lang w:val="es-CR"/>
        </w:rPr>
        <w:t xml:space="preserve">de Justicia </w:t>
      </w:r>
      <w:r w:rsidRPr="00637508">
        <w:rPr>
          <w:sz w:val="16"/>
          <w:szCs w:val="16"/>
          <w:lang w:val="es-CR"/>
        </w:rPr>
        <w:t>rechazó el recurso de reposición planteado</w:t>
      </w:r>
      <w:r>
        <w:rPr>
          <w:sz w:val="16"/>
          <w:szCs w:val="16"/>
          <w:lang w:val="es-CR"/>
        </w:rPr>
        <w:t xml:space="preserve"> y e</w:t>
      </w:r>
      <w:r w:rsidRPr="00637508">
        <w:rPr>
          <w:sz w:val="16"/>
          <w:szCs w:val="16"/>
          <w:lang w:val="es-CR"/>
        </w:rPr>
        <w:t>l 16 de</w:t>
      </w:r>
      <w:r>
        <w:rPr>
          <w:sz w:val="16"/>
          <w:szCs w:val="16"/>
          <w:lang w:val="es-CR"/>
        </w:rPr>
        <w:t>l mismo mes</w:t>
      </w:r>
      <w:r w:rsidRPr="00637508">
        <w:rPr>
          <w:sz w:val="16"/>
          <w:szCs w:val="16"/>
          <w:lang w:val="es-CR"/>
        </w:rPr>
        <w:t xml:space="preserve"> fijó fecha de audiencia para el 5 de julio </w:t>
      </w:r>
      <w:r>
        <w:rPr>
          <w:sz w:val="16"/>
          <w:szCs w:val="16"/>
          <w:lang w:val="es-CR"/>
        </w:rPr>
        <w:t>siguiente</w:t>
      </w:r>
      <w:r w:rsidRPr="00637508">
        <w:rPr>
          <w:sz w:val="16"/>
          <w:szCs w:val="16"/>
          <w:lang w:val="es-CR"/>
        </w:rPr>
        <w:t>.</w:t>
      </w:r>
    </w:p>
  </w:footnote>
  <w:footnote w:id="107">
    <w:p w:rsidR="00785921" w:rsidRDefault="00785921" w:rsidP="00126E97">
      <w:pPr>
        <w:pStyle w:val="FootnoteText"/>
        <w:spacing w:line="20" w:lineRule="atLeast"/>
        <w:rPr>
          <w:lang w:val="es-CR"/>
        </w:rPr>
      </w:pPr>
      <w:r>
        <w:rPr>
          <w:rStyle w:val="FootnoteReference"/>
          <w:sz w:val="16"/>
          <w:szCs w:val="16"/>
          <w:lang w:val="es-CR"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w:t>
      </w:r>
      <w:r>
        <w:rPr>
          <w:sz w:val="16"/>
          <w:szCs w:val="16"/>
          <w:lang w:val="es-CR"/>
        </w:rPr>
        <w:t xml:space="preserve">Corte Suprema de Justicia, Cámara Penal. </w:t>
      </w:r>
      <w:r w:rsidRPr="00637508">
        <w:rPr>
          <w:sz w:val="16"/>
          <w:szCs w:val="16"/>
          <w:lang w:val="es-CR"/>
        </w:rPr>
        <w:t xml:space="preserve">Sentencia de </w:t>
      </w:r>
      <w:r>
        <w:rPr>
          <w:sz w:val="16"/>
          <w:szCs w:val="16"/>
          <w:lang w:val="es-CR"/>
        </w:rPr>
        <w:t>23 de septiembre de 2005</w:t>
      </w:r>
      <w:r w:rsidRPr="00637508">
        <w:rPr>
          <w:sz w:val="16"/>
          <w:szCs w:val="16"/>
          <w:lang w:val="es-CR"/>
        </w:rPr>
        <w:t xml:space="preserve"> </w:t>
      </w:r>
      <w:r>
        <w:rPr>
          <w:sz w:val="16"/>
          <w:szCs w:val="16"/>
          <w:lang w:val="es-CR"/>
        </w:rPr>
        <w:t>(e</w:t>
      </w:r>
      <w:r w:rsidRPr="00637508">
        <w:rPr>
          <w:sz w:val="16"/>
          <w:szCs w:val="16"/>
          <w:lang w:val="es-CR"/>
        </w:rPr>
        <w:t xml:space="preserve">xpediente de prueba, </w:t>
      </w:r>
      <w:r>
        <w:rPr>
          <w:sz w:val="16"/>
          <w:szCs w:val="16"/>
          <w:lang w:val="es-CR"/>
        </w:rPr>
        <w:t>a</w:t>
      </w:r>
      <w:r w:rsidRPr="00637508">
        <w:rPr>
          <w:sz w:val="16"/>
          <w:szCs w:val="16"/>
          <w:lang w:val="es-CR"/>
        </w:rPr>
        <w:t>nexo 3</w:t>
      </w:r>
      <w:r>
        <w:rPr>
          <w:sz w:val="16"/>
          <w:szCs w:val="16"/>
          <w:lang w:val="es-CR"/>
        </w:rPr>
        <w:t>4</w:t>
      </w:r>
      <w:r w:rsidRPr="00637508">
        <w:rPr>
          <w:sz w:val="16"/>
          <w:szCs w:val="16"/>
          <w:lang w:val="es-CR"/>
        </w:rPr>
        <w:t xml:space="preserve"> al Informe de Fondo, f</w:t>
      </w:r>
      <w:r>
        <w:rPr>
          <w:sz w:val="16"/>
          <w:szCs w:val="16"/>
          <w:lang w:val="es-CR"/>
        </w:rPr>
        <w:t>olios</w:t>
      </w:r>
      <w:r w:rsidRPr="00637508">
        <w:rPr>
          <w:sz w:val="16"/>
          <w:szCs w:val="16"/>
          <w:lang w:val="es-CR"/>
        </w:rPr>
        <w:t xml:space="preserve"> 14</w:t>
      </w:r>
      <w:r>
        <w:rPr>
          <w:sz w:val="16"/>
          <w:szCs w:val="16"/>
          <w:lang w:val="es-CR"/>
        </w:rPr>
        <w:t>47</w:t>
      </w:r>
      <w:r w:rsidRPr="00637508">
        <w:rPr>
          <w:sz w:val="16"/>
          <w:szCs w:val="16"/>
          <w:lang w:val="es-CR"/>
        </w:rPr>
        <w:t xml:space="preserve"> a 14</w:t>
      </w:r>
      <w:r>
        <w:rPr>
          <w:sz w:val="16"/>
          <w:szCs w:val="16"/>
          <w:lang w:val="es-CR"/>
        </w:rPr>
        <w:t>80)</w:t>
      </w:r>
      <w:r w:rsidRPr="00637508">
        <w:rPr>
          <w:sz w:val="16"/>
          <w:szCs w:val="16"/>
          <w:lang w:val="es-CR"/>
        </w:rPr>
        <w:t>.</w:t>
      </w:r>
    </w:p>
  </w:footnote>
  <w:footnote w:id="10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La Comisión Interamericana indicó, en el párrafo 98 del Informe de Fondo, que el 7 de junio de 2005 el Estado había presentado a la Comisión información en el mismo sentido, señalando que 11 personas todavía estaban pendientes de ser aprehendidas y sometidas a juicio oral público, por lo que continuaba abierta la investigación.</w:t>
      </w:r>
    </w:p>
  </w:footnote>
  <w:footnote w:id="109">
    <w:p w:rsidR="00785921" w:rsidRPr="00637508" w:rsidRDefault="00785921" w:rsidP="00126E97">
      <w:pPr>
        <w:pStyle w:val="FootnoteText"/>
        <w:spacing w:line="20" w:lineRule="atLeast"/>
        <w:rPr>
          <w:lang w:val="es-CR"/>
        </w:rPr>
      </w:pPr>
      <w:r>
        <w:rPr>
          <w:rStyle w:val="FootnoteReference"/>
          <w:lang w:eastAsia="x-none"/>
        </w:rPr>
        <w:footnoteRef/>
      </w:r>
      <w:r w:rsidRPr="00637508">
        <w:rPr>
          <w:lang w:val="es-CR"/>
        </w:rPr>
        <w:t xml:space="preserve"> </w:t>
      </w:r>
      <w:r w:rsidRPr="00637508">
        <w:rPr>
          <w:i/>
          <w:sz w:val="16"/>
          <w:szCs w:val="16"/>
          <w:lang w:val="es-CR"/>
        </w:rPr>
        <w:t>Caso Masacre de Santo Domingo Vs. Colombia. Excepciones Preliminares, Fondo y Reparaciones.</w:t>
      </w:r>
      <w:r w:rsidRPr="00637508">
        <w:rPr>
          <w:sz w:val="16"/>
          <w:szCs w:val="16"/>
          <w:lang w:val="es-CR"/>
        </w:rPr>
        <w:t xml:space="preserve"> Sentencia de 30 de noviembre de </w:t>
      </w:r>
      <w:r>
        <w:rPr>
          <w:sz w:val="16"/>
          <w:szCs w:val="16"/>
          <w:lang w:val="es-CR"/>
        </w:rPr>
        <w:t xml:space="preserve">2012. Serie C No. 259, párr. 142, y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 Excepciones Preliminares, Fondo, Reparaciones y Costas</w:t>
      </w:r>
      <w:r w:rsidRPr="00637508">
        <w:rPr>
          <w:sz w:val="16"/>
          <w:szCs w:val="16"/>
          <w:lang w:val="es-CR"/>
        </w:rPr>
        <w:t>. Sentencia de 25 de abril de 2018. Serie C No. 35</w:t>
      </w:r>
      <w:r>
        <w:rPr>
          <w:sz w:val="16"/>
          <w:szCs w:val="16"/>
          <w:lang w:val="es-CR"/>
        </w:rPr>
        <w:t>4</w:t>
      </w:r>
      <w:r w:rsidRPr="00637508">
        <w:rPr>
          <w:sz w:val="16"/>
          <w:szCs w:val="16"/>
          <w:lang w:val="es-CR"/>
        </w:rPr>
        <w:t>, párr. 100</w:t>
      </w:r>
      <w:r>
        <w:rPr>
          <w:sz w:val="16"/>
          <w:szCs w:val="16"/>
          <w:lang w:val="es-CR"/>
        </w:rPr>
        <w:t>.</w:t>
      </w:r>
    </w:p>
  </w:footnote>
  <w:footnote w:id="110">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Caso</w:t>
      </w:r>
      <w:r>
        <w:rPr>
          <w:i/>
          <w:sz w:val="16"/>
          <w:szCs w:val="16"/>
          <w:lang w:val="es-CR"/>
        </w:rPr>
        <w:t xml:space="preserve"> </w:t>
      </w:r>
      <w:proofErr w:type="spellStart"/>
      <w:r>
        <w:rPr>
          <w:i/>
          <w:sz w:val="16"/>
          <w:szCs w:val="16"/>
          <w:lang w:val="es-CR"/>
        </w:rPr>
        <w:t>Amrhein</w:t>
      </w:r>
      <w:proofErr w:type="spellEnd"/>
      <w:r>
        <w:rPr>
          <w:i/>
          <w:sz w:val="16"/>
          <w:szCs w:val="16"/>
          <w:lang w:val="es-CR"/>
        </w:rPr>
        <w:t xml:space="preserve"> y otros vs. Costa Rica, supra</w:t>
      </w:r>
      <w:r w:rsidRPr="00637508">
        <w:rPr>
          <w:sz w:val="16"/>
          <w:szCs w:val="16"/>
          <w:lang w:val="es-CR"/>
        </w:rPr>
        <w:t xml:space="preserve">, párr. 99. En el mismo sentido, </w:t>
      </w:r>
      <w:r w:rsidRPr="00637508">
        <w:rPr>
          <w:i/>
          <w:sz w:val="16"/>
          <w:szCs w:val="16"/>
          <w:lang w:val="es-CR"/>
        </w:rPr>
        <w:t>Caso Masacre de Santo Domingo Vs. Colombia. Excepciones Preliminares, Fondo y Reparaciones</w:t>
      </w:r>
      <w:r>
        <w:rPr>
          <w:i/>
          <w:sz w:val="16"/>
          <w:szCs w:val="16"/>
          <w:lang w:val="es-CR"/>
        </w:rPr>
        <w:t>, supra</w:t>
      </w:r>
      <w:r w:rsidRPr="00637508">
        <w:rPr>
          <w:sz w:val="16"/>
          <w:szCs w:val="16"/>
          <w:lang w:val="es-CR"/>
        </w:rPr>
        <w:t xml:space="preserve">, párr. 171; </w:t>
      </w:r>
      <w:r>
        <w:rPr>
          <w:i/>
          <w:sz w:val="16"/>
          <w:szCs w:val="16"/>
          <w:lang w:val="es-CR"/>
        </w:rPr>
        <w:t>Caso Tarazona Arrieta y otros Vs. Perú. Excepción Preliminar, Fondo, Reparaciones y Costas.</w:t>
      </w:r>
      <w:r>
        <w:rPr>
          <w:sz w:val="16"/>
          <w:szCs w:val="16"/>
          <w:lang w:val="es-CR"/>
        </w:rPr>
        <w:t xml:space="preserve"> Sentencia de 15 de octubre de 2014. Serie C No. 286, párr. 140 </w:t>
      </w:r>
      <w:r w:rsidRPr="00637508">
        <w:rPr>
          <w:sz w:val="16"/>
          <w:szCs w:val="16"/>
          <w:lang w:val="es-CR"/>
        </w:rPr>
        <w:t xml:space="preserve">y </w:t>
      </w:r>
      <w:r w:rsidRPr="00637508">
        <w:rPr>
          <w:i/>
          <w:sz w:val="16"/>
          <w:szCs w:val="16"/>
          <w:lang w:val="es-CR"/>
        </w:rPr>
        <w:t>Caso Andrade Salmón Vs. Bolivia. Fondo, Reparaciones y Costas.</w:t>
      </w:r>
      <w:r w:rsidRPr="00637508">
        <w:rPr>
          <w:sz w:val="16"/>
          <w:szCs w:val="16"/>
          <w:lang w:val="es-CR"/>
        </w:rPr>
        <w:t xml:space="preserve"> Sentencia de 1 de diciembre de 2016, Serie C No. 330, párr. </w:t>
      </w:r>
      <w:r w:rsidRPr="00927D95">
        <w:rPr>
          <w:sz w:val="16"/>
          <w:szCs w:val="16"/>
          <w:lang w:val="es-CR"/>
        </w:rPr>
        <w:t xml:space="preserve">96. </w:t>
      </w:r>
    </w:p>
  </w:footnote>
  <w:footnote w:id="11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Estado manifestó que “[r]</w:t>
      </w:r>
      <w:proofErr w:type="spellStart"/>
      <w:r w:rsidRPr="00637508">
        <w:rPr>
          <w:sz w:val="16"/>
          <w:szCs w:val="16"/>
          <w:lang w:val="es-CR"/>
        </w:rPr>
        <w:t>esponsabilidad</w:t>
      </w:r>
      <w:proofErr w:type="spellEnd"/>
      <w:r w:rsidRPr="00637508">
        <w:rPr>
          <w:sz w:val="16"/>
          <w:szCs w:val="16"/>
          <w:lang w:val="es-CR"/>
        </w:rPr>
        <w:t xml:space="preserve"> institucional es la articulación y concreción de todas las acciones, mecanismos, normativa y/o políticas encaminadas a evitar ocasionar daño a todo ser humano sin distinción alguna, por medio de las instituciones responsables de velar por el bien común y el desarrollo integral de las personas”, y que la “[r]</w:t>
      </w:r>
      <w:proofErr w:type="spellStart"/>
      <w:r w:rsidRPr="00637508">
        <w:rPr>
          <w:sz w:val="16"/>
          <w:szCs w:val="16"/>
          <w:lang w:val="es-CR"/>
        </w:rPr>
        <w:t>esponsabilidad</w:t>
      </w:r>
      <w:proofErr w:type="spellEnd"/>
      <w:r w:rsidRPr="00637508">
        <w:rPr>
          <w:sz w:val="16"/>
          <w:szCs w:val="16"/>
          <w:lang w:val="es-CR"/>
        </w:rPr>
        <w:t xml:space="preserve"> internacional consiste en el incumplimiento por parte del Estado de una obligación establecida en una norma de carácter internacional por acción y omisión que da como resultado lesionar los derechos de las personas a quienes debe tutelar, responsabilidad que se encuentra consagrada en los artículos 1 y 2 de la Convención Americana sobre Derechos Humanos y otros instrumentos de carácter internacional a los cuales Guatemala se ha adherido”.</w:t>
      </w:r>
    </w:p>
  </w:footnote>
  <w:footnote w:id="112">
    <w:p w:rsidR="00785921" w:rsidRPr="00AA52A6" w:rsidRDefault="00785921" w:rsidP="00126E97">
      <w:pPr>
        <w:pStyle w:val="FootnoteText"/>
        <w:spacing w:line="20" w:lineRule="atLeast"/>
        <w:rPr>
          <w:sz w:val="16"/>
          <w:szCs w:val="16"/>
          <w:lang w:val="es-CR"/>
        </w:rPr>
      </w:pPr>
      <w:r w:rsidRPr="00AA52A6">
        <w:rPr>
          <w:rStyle w:val="FootnoteReference"/>
          <w:sz w:val="16"/>
          <w:szCs w:val="16"/>
        </w:rPr>
        <w:footnoteRef/>
      </w:r>
      <w:r w:rsidRPr="00AA52A6">
        <w:rPr>
          <w:sz w:val="16"/>
          <w:szCs w:val="16"/>
          <w:lang w:val="es-CR"/>
        </w:rPr>
        <w:t xml:space="preserve"> </w:t>
      </w:r>
      <w:proofErr w:type="spellStart"/>
      <w:r w:rsidRPr="00AA52A6">
        <w:rPr>
          <w:i/>
          <w:sz w:val="16"/>
          <w:szCs w:val="16"/>
          <w:lang w:val="es-CR"/>
        </w:rPr>
        <w:t>Cfr</w:t>
      </w:r>
      <w:proofErr w:type="spellEnd"/>
      <w:r w:rsidRPr="00AA52A6">
        <w:rPr>
          <w:i/>
          <w:sz w:val="16"/>
          <w:szCs w:val="16"/>
          <w:lang w:val="es-CR"/>
        </w:rPr>
        <w:t>,</w:t>
      </w:r>
      <w:r w:rsidRPr="00AA52A6">
        <w:rPr>
          <w:sz w:val="16"/>
          <w:szCs w:val="16"/>
          <w:lang w:val="es-CR"/>
        </w:rPr>
        <w:t xml:space="preserve"> por ejemplo, </w:t>
      </w:r>
      <w:r w:rsidRPr="00AA52A6">
        <w:rPr>
          <w:i/>
          <w:sz w:val="16"/>
          <w:szCs w:val="16"/>
          <w:lang w:val="es-CR"/>
        </w:rPr>
        <w:t xml:space="preserve">Caso de la "Masacre de </w:t>
      </w:r>
      <w:proofErr w:type="spellStart"/>
      <w:r w:rsidRPr="00AA52A6">
        <w:rPr>
          <w:i/>
          <w:sz w:val="16"/>
          <w:szCs w:val="16"/>
          <w:lang w:val="es-CR"/>
        </w:rPr>
        <w:t>Mapiripán</w:t>
      </w:r>
      <w:proofErr w:type="spellEnd"/>
      <w:r w:rsidRPr="00AA52A6">
        <w:rPr>
          <w:i/>
          <w:sz w:val="16"/>
          <w:szCs w:val="16"/>
          <w:lang w:val="es-CR"/>
        </w:rPr>
        <w:t>" Vs. Colombia.</w:t>
      </w:r>
      <w:r w:rsidRPr="00AA52A6">
        <w:rPr>
          <w:sz w:val="16"/>
          <w:szCs w:val="16"/>
          <w:lang w:val="es-CR"/>
        </w:rPr>
        <w:t xml:space="preserve"> Sentencia de 15 de septiembre de 2005. Serie C No. 134, y </w:t>
      </w:r>
      <w:r w:rsidRPr="00AA52A6">
        <w:rPr>
          <w:i/>
          <w:sz w:val="16"/>
          <w:szCs w:val="16"/>
          <w:lang w:val="es-CR"/>
        </w:rPr>
        <w:t xml:space="preserve">Caso Miembros de la Aldea </w:t>
      </w:r>
      <w:proofErr w:type="spellStart"/>
      <w:r w:rsidRPr="00AA52A6">
        <w:rPr>
          <w:i/>
          <w:sz w:val="16"/>
          <w:szCs w:val="16"/>
          <w:lang w:val="es-CR"/>
        </w:rPr>
        <w:t>Chichupac</w:t>
      </w:r>
      <w:proofErr w:type="spellEnd"/>
      <w:r w:rsidRPr="00AA52A6">
        <w:rPr>
          <w:i/>
          <w:sz w:val="16"/>
          <w:szCs w:val="16"/>
          <w:lang w:val="es-CR"/>
        </w:rPr>
        <w:t xml:space="preserve"> y comunidades vecinas del Municipio de Rabinal Vs. Guatemala</w:t>
      </w:r>
      <w:r>
        <w:rPr>
          <w:i/>
          <w:sz w:val="16"/>
          <w:szCs w:val="16"/>
          <w:lang w:val="es-CR"/>
        </w:rPr>
        <w:t>, supra</w:t>
      </w:r>
      <w:r w:rsidRPr="00AA52A6">
        <w:rPr>
          <w:sz w:val="16"/>
          <w:szCs w:val="16"/>
          <w:lang w:val="es-CR"/>
        </w:rPr>
        <w:t xml:space="preserve">. </w:t>
      </w:r>
    </w:p>
  </w:footnote>
  <w:footnote w:id="113">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artículo 8 de la Convención establece</w:t>
      </w:r>
      <w:r>
        <w:rPr>
          <w:sz w:val="16"/>
          <w:szCs w:val="16"/>
          <w:lang w:val="es-CR"/>
        </w:rPr>
        <w:t xml:space="preserve"> en lo pertinente</w:t>
      </w:r>
      <w:r w:rsidRPr="00637508">
        <w:rPr>
          <w:sz w:val="16"/>
          <w:szCs w:val="16"/>
          <w:lang w:val="es-CR"/>
        </w:rPr>
        <w:t xml:space="preserve">: “Garantías Judiciales. 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w:t>
      </w:r>
    </w:p>
  </w:footnote>
  <w:footnote w:id="114">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rFonts w:cs="Arial"/>
          <w:sz w:val="16"/>
          <w:szCs w:val="16"/>
          <w:lang w:val="es-CR"/>
        </w:rPr>
        <w:t>El artículo 25 de la Convención establece: “Protección Judicial</w:t>
      </w:r>
      <w:r>
        <w:rPr>
          <w:rFonts w:cs="Arial"/>
          <w:sz w:val="16"/>
          <w:szCs w:val="16"/>
          <w:lang w:val="es-CR"/>
        </w:rPr>
        <w:t>.</w:t>
      </w:r>
      <w:r w:rsidRPr="00637508">
        <w:rPr>
          <w:rFonts w:cs="Arial"/>
          <w:sz w:val="16"/>
          <w:szCs w:val="16"/>
          <w:lang w:val="es-CR"/>
        </w:rPr>
        <w:t xml:space="preserve"> 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15">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CR"/>
        </w:rPr>
        <w:t xml:space="preserve"> </w:t>
      </w:r>
      <w:r>
        <w:rPr>
          <w:rFonts w:eastAsia="Times New Roman" w:cs="Times New Roman"/>
          <w:bCs/>
          <w:color w:val="000000"/>
          <w:sz w:val="16"/>
          <w:szCs w:val="16"/>
          <w:lang w:val="es-CR"/>
        </w:rPr>
        <w:t xml:space="preserve">La Comisión destacó que a lo </w:t>
      </w:r>
      <w:r>
        <w:rPr>
          <w:sz w:val="16"/>
          <w:szCs w:val="16"/>
          <w:lang w:val="es-CR"/>
        </w:rPr>
        <w:t xml:space="preserve">largo del proceso hubo períodos de inactividad: a) la demora de casi dos años de ocurridos los hechos hasta que se decretó la apertura a juicio; b) la pérdida del expediente durante un par de meses a fines de 1997, y c) la demora de más de tres años para iniciar un nuevo debate oral conforme a los ordenado por la cámara penal de la corte suprema de justicia en abril de 2000. </w:t>
      </w:r>
      <w:r>
        <w:rPr>
          <w:rFonts w:eastAsia="Times New Roman" w:cs="Times New Roman"/>
          <w:bCs/>
          <w:color w:val="000000"/>
          <w:sz w:val="16"/>
          <w:szCs w:val="16"/>
          <w:lang w:val="es-CR"/>
        </w:rPr>
        <w:t xml:space="preserve">Además, entendió que la demora no podía justificarse por la complejidad del asunto ya que los miembros de la patrulla se encontraban identificados y hubo testigos de los hechos. </w:t>
      </w:r>
    </w:p>
  </w:footnote>
  <w:footnote w:id="11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En el escrito de alegatos finales explicaron que por una resolución de la Corte Suprema de Justicia de 8 de julio de 2015, se rebajó 10 años a la condena de 40 años de prisión que, de ese modo, quedó reducida a 30 años de pena privativa de libertad. Señalaron que “ocho” personas estaban ya libres</w:t>
      </w:r>
      <w:r>
        <w:rPr>
          <w:sz w:val="16"/>
          <w:szCs w:val="16"/>
          <w:lang w:val="es-CR"/>
        </w:rPr>
        <w:t xml:space="preserve"> </w:t>
      </w:r>
      <w:r w:rsidRPr="00637508">
        <w:rPr>
          <w:sz w:val="16"/>
          <w:szCs w:val="16"/>
          <w:lang w:val="es-CR"/>
        </w:rPr>
        <w:t>pero en el mismo documento, al detallar qué condenados estaban ya en libertad, mencionaron a tres personas en esa situación y señalaron que 12 personas “podrán solicitar su libertad”, cuatro a partir del 20 de septiembre de 2019 y el resto durante 20</w:t>
      </w:r>
      <w:r w:rsidRPr="00CA1EB2">
        <w:rPr>
          <w:sz w:val="16"/>
          <w:szCs w:val="16"/>
          <w:lang w:val="es-CR"/>
        </w:rPr>
        <w:t>1</w:t>
      </w:r>
      <w:r w:rsidRPr="00676759">
        <w:rPr>
          <w:sz w:val="16"/>
          <w:szCs w:val="16"/>
          <w:lang w:val="es-CR"/>
        </w:rPr>
        <w:t>8</w:t>
      </w:r>
      <w:r w:rsidRPr="00637508">
        <w:rPr>
          <w:sz w:val="16"/>
          <w:szCs w:val="16"/>
          <w:lang w:val="es-CR"/>
        </w:rPr>
        <w:t>. Indicaron la “buena conducta” como la causal de las liberaciones ya efectivizadas o de aquellas posibles de ser concretadas. Respecto de una persona condenada mencionaron tanto que podría ser liberada el 5 de abril de 2018 como que salió en libertad el 27 de octubre de 2015. Además, aun cuando los representantes efectuaron estas manifestaciones el 9 de marzo de 2018, al indicar la fecha en la que dos de las 12 personas aludidas podrían solicitar su liberación, señalaron una fecha anterior: 5 de enero de 2018.</w:t>
      </w:r>
    </w:p>
  </w:footnote>
  <w:footnote w:id="117">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Pr>
          <w:sz w:val="16"/>
          <w:szCs w:val="16"/>
          <w:lang w:val="es-CR"/>
        </w:rPr>
        <w:t xml:space="preserve">En la audiencia pública se solicitó a los representantes precisar las omisiones y falencias a que aludieron. En respuesta, en sus alegatos finales escritos, además de reiterar consideraciones ya reseñadas, señalaron los siguientes “hechos que denotan la ausencia de interés por parte de las autoridades”: a) “[e]l Ministro de la Defensa […] </w:t>
      </w:r>
      <w:proofErr w:type="spellStart"/>
      <w:r>
        <w:rPr>
          <w:sz w:val="16"/>
          <w:szCs w:val="16"/>
          <w:lang w:val="es-CR"/>
        </w:rPr>
        <w:t>responsabiliz</w:t>
      </w:r>
      <w:proofErr w:type="spellEnd"/>
      <w:r>
        <w:rPr>
          <w:sz w:val="16"/>
          <w:szCs w:val="16"/>
          <w:lang w:val="es-CR"/>
        </w:rPr>
        <w:t>[</w:t>
      </w:r>
      <w:proofErr w:type="spellStart"/>
      <w:r>
        <w:rPr>
          <w:sz w:val="16"/>
          <w:szCs w:val="16"/>
          <w:lang w:val="es-CR"/>
        </w:rPr>
        <w:t>ó</w:t>
      </w:r>
      <w:proofErr w:type="spellEnd"/>
      <w:r>
        <w:rPr>
          <w:sz w:val="16"/>
          <w:szCs w:val="16"/>
          <w:lang w:val="es-CR"/>
        </w:rPr>
        <w:t>] de la masacre a la misma [C]</w:t>
      </w:r>
      <w:proofErr w:type="spellStart"/>
      <w:r>
        <w:rPr>
          <w:sz w:val="16"/>
          <w:szCs w:val="16"/>
          <w:lang w:val="es-CR"/>
        </w:rPr>
        <w:t>omunidad</w:t>
      </w:r>
      <w:proofErr w:type="spellEnd"/>
      <w:r>
        <w:rPr>
          <w:sz w:val="16"/>
          <w:szCs w:val="16"/>
          <w:lang w:val="es-CR"/>
        </w:rPr>
        <w:t>, señalando que los militares fueron engañados para ingresar a la [misma, y b)</w:t>
      </w:r>
      <w:r w:rsidDel="00B07F11">
        <w:rPr>
          <w:sz w:val="16"/>
          <w:szCs w:val="16"/>
          <w:lang w:val="es-CR"/>
        </w:rPr>
        <w:t xml:space="preserve"> </w:t>
      </w:r>
      <w:r>
        <w:rPr>
          <w:sz w:val="16"/>
          <w:szCs w:val="16"/>
          <w:lang w:val="es-CR"/>
        </w:rPr>
        <w:t xml:space="preserve">s]e </w:t>
      </w:r>
      <w:proofErr w:type="spellStart"/>
      <w:r>
        <w:rPr>
          <w:sz w:val="16"/>
          <w:szCs w:val="16"/>
          <w:lang w:val="es-CR"/>
        </w:rPr>
        <w:t>gener</w:t>
      </w:r>
      <w:proofErr w:type="spellEnd"/>
      <w:r>
        <w:rPr>
          <w:sz w:val="16"/>
          <w:szCs w:val="16"/>
          <w:lang w:val="es-CR"/>
        </w:rPr>
        <w:t>[</w:t>
      </w:r>
      <w:proofErr w:type="spellStart"/>
      <w:r>
        <w:rPr>
          <w:sz w:val="16"/>
          <w:szCs w:val="16"/>
          <w:lang w:val="es-CR"/>
        </w:rPr>
        <w:t>ó</w:t>
      </w:r>
      <w:proofErr w:type="spellEnd"/>
      <w:r>
        <w:rPr>
          <w:sz w:val="16"/>
          <w:szCs w:val="16"/>
          <w:lang w:val="es-CR"/>
        </w:rPr>
        <w:t xml:space="preserve">] el rumor de golpe de Estado como consecuencia del descontento generado en el Ejército luego de la destitución del comandante de la base militar [..] 21 y de haberse aceptado la renuncia del Ministro de la Defensa”. </w:t>
      </w:r>
    </w:p>
  </w:footnote>
  <w:footnote w:id="118">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Destacó que “para la época en que se desarrollaron los hechos del presente caso </w:t>
      </w:r>
      <w:r w:rsidRPr="00637508">
        <w:rPr>
          <w:rFonts w:eastAsia="Times New Roman" w:cs="Times New Roman"/>
          <w:sz w:val="16"/>
          <w:szCs w:val="16"/>
          <w:lang w:val="es-CR"/>
        </w:rPr>
        <w:t xml:space="preserve">no se </w:t>
      </w:r>
      <w:r w:rsidRPr="00637508">
        <w:rPr>
          <w:rFonts w:eastAsia="Times New Roman" w:cs="Times New Roman"/>
          <w:w w:val="113"/>
          <w:sz w:val="16"/>
          <w:szCs w:val="16"/>
          <w:lang w:val="es-CR"/>
        </w:rPr>
        <w:t xml:space="preserve">contaba </w:t>
      </w:r>
      <w:r w:rsidRPr="00637508">
        <w:rPr>
          <w:rFonts w:eastAsia="Times New Roman" w:cs="Times New Roman"/>
          <w:sz w:val="16"/>
          <w:szCs w:val="16"/>
          <w:lang w:val="es-CR"/>
        </w:rPr>
        <w:t xml:space="preserve">aun </w:t>
      </w:r>
      <w:r w:rsidRPr="00637508">
        <w:rPr>
          <w:rFonts w:eastAsia="Times New Roman" w:cs="Times New Roman"/>
          <w:w w:val="105"/>
          <w:sz w:val="16"/>
          <w:szCs w:val="16"/>
          <w:lang w:val="es-CR"/>
        </w:rPr>
        <w:t xml:space="preserve">con </w:t>
      </w:r>
      <w:r w:rsidRPr="00637508">
        <w:rPr>
          <w:rFonts w:eastAsia="Times New Roman" w:cs="Times New Roman"/>
          <w:sz w:val="16"/>
          <w:szCs w:val="16"/>
          <w:lang w:val="es-CR"/>
        </w:rPr>
        <w:t xml:space="preserve">los </w:t>
      </w:r>
      <w:r w:rsidRPr="00637508">
        <w:rPr>
          <w:rFonts w:eastAsia="Times New Roman" w:cs="Times New Roman"/>
          <w:w w:val="112"/>
          <w:sz w:val="16"/>
          <w:szCs w:val="16"/>
          <w:lang w:val="es-CR"/>
        </w:rPr>
        <w:t xml:space="preserve">principios rectores </w:t>
      </w:r>
      <w:r w:rsidRPr="00637508">
        <w:rPr>
          <w:rFonts w:eastAsia="Times New Roman" w:cs="Times New Roman"/>
          <w:sz w:val="16"/>
          <w:szCs w:val="16"/>
          <w:lang w:val="es-CR"/>
        </w:rPr>
        <w:t>del Manual sobre la Prevención e Investigación Eficaces de Ejecuciones Extrajudiciales, Arbitrarias y Sumarias de las Naciones  Unidas</w:t>
      </w:r>
      <w:r w:rsidRPr="00637508">
        <w:rPr>
          <w:rFonts w:eastAsia="Times New Roman" w:cs="Times New Roman"/>
          <w:w w:val="114"/>
          <w:sz w:val="16"/>
          <w:szCs w:val="16"/>
          <w:lang w:val="es-CR"/>
        </w:rPr>
        <w:t xml:space="preserve">; </w:t>
      </w:r>
      <w:r w:rsidRPr="00637508">
        <w:rPr>
          <w:rFonts w:eastAsia="Times New Roman" w:cs="Times New Roman"/>
          <w:sz w:val="16"/>
          <w:szCs w:val="16"/>
          <w:lang w:val="es-CR"/>
        </w:rPr>
        <w:t xml:space="preserve">sin </w:t>
      </w:r>
      <w:r w:rsidRPr="00637508">
        <w:rPr>
          <w:rFonts w:eastAsia="Times New Roman" w:cs="Times New Roman"/>
          <w:w w:val="110"/>
          <w:sz w:val="16"/>
          <w:szCs w:val="16"/>
          <w:lang w:val="es-CR"/>
        </w:rPr>
        <w:t xml:space="preserve">embargo, […] </w:t>
      </w:r>
      <w:r w:rsidRPr="00637508">
        <w:rPr>
          <w:rFonts w:eastAsia="Times New Roman" w:cs="Times New Roman"/>
          <w:sz w:val="16"/>
          <w:szCs w:val="16"/>
          <w:lang w:val="es-CR"/>
        </w:rPr>
        <w:t xml:space="preserve">el Estado […] </w:t>
      </w:r>
      <w:r w:rsidRPr="00637508">
        <w:rPr>
          <w:rFonts w:eastAsia="Times New Roman" w:cs="Times New Roman"/>
          <w:w w:val="114"/>
          <w:sz w:val="16"/>
          <w:szCs w:val="16"/>
          <w:lang w:val="es-CR"/>
        </w:rPr>
        <w:t xml:space="preserve">desarrolló </w:t>
      </w:r>
      <w:r w:rsidRPr="00637508">
        <w:rPr>
          <w:rFonts w:eastAsia="Times New Roman" w:cs="Times New Roman"/>
          <w:sz w:val="16"/>
          <w:szCs w:val="16"/>
          <w:lang w:val="es-CR"/>
        </w:rPr>
        <w:t xml:space="preserve">un sin </w:t>
      </w:r>
      <w:r w:rsidRPr="00637508">
        <w:rPr>
          <w:rFonts w:eastAsia="Times New Roman" w:cs="Times New Roman"/>
          <w:w w:val="113"/>
          <w:sz w:val="16"/>
          <w:szCs w:val="16"/>
          <w:lang w:val="es-CR"/>
        </w:rPr>
        <w:t xml:space="preserve">número </w:t>
      </w:r>
      <w:r w:rsidRPr="00637508">
        <w:rPr>
          <w:rFonts w:eastAsia="Times New Roman" w:cs="Times New Roman"/>
          <w:sz w:val="16"/>
          <w:szCs w:val="16"/>
          <w:lang w:val="es-CR"/>
        </w:rPr>
        <w:t xml:space="preserve">de </w:t>
      </w:r>
      <w:r w:rsidRPr="00637508">
        <w:rPr>
          <w:rFonts w:eastAsia="Times New Roman" w:cs="Times New Roman"/>
          <w:w w:val="111"/>
          <w:sz w:val="16"/>
          <w:szCs w:val="16"/>
          <w:lang w:val="es-CR"/>
        </w:rPr>
        <w:t xml:space="preserve">acciones </w:t>
      </w:r>
      <w:r w:rsidRPr="00637508">
        <w:rPr>
          <w:rFonts w:eastAsia="Times New Roman" w:cs="Times New Roman"/>
          <w:sz w:val="16"/>
          <w:szCs w:val="16"/>
          <w:lang w:val="es-CR"/>
        </w:rPr>
        <w:t xml:space="preserve">y </w:t>
      </w:r>
      <w:r w:rsidRPr="00637508">
        <w:rPr>
          <w:rFonts w:eastAsia="Times New Roman" w:cs="Times New Roman"/>
          <w:w w:val="112"/>
          <w:sz w:val="16"/>
          <w:szCs w:val="16"/>
          <w:lang w:val="es-CR"/>
        </w:rPr>
        <w:t xml:space="preserve">se </w:t>
      </w:r>
      <w:r w:rsidRPr="00637508">
        <w:rPr>
          <w:rFonts w:eastAsia="Times New Roman" w:cs="Times New Roman"/>
          <w:w w:val="111"/>
          <w:sz w:val="16"/>
          <w:szCs w:val="16"/>
          <w:lang w:val="es-CR"/>
        </w:rPr>
        <w:t xml:space="preserve">siguieron </w:t>
      </w:r>
      <w:r w:rsidRPr="00637508">
        <w:rPr>
          <w:rFonts w:eastAsia="Times New Roman" w:cs="Times New Roman"/>
          <w:sz w:val="16"/>
          <w:szCs w:val="16"/>
          <w:lang w:val="es-CR"/>
        </w:rPr>
        <w:t xml:space="preserve">líneas lógicas de </w:t>
      </w:r>
      <w:r w:rsidRPr="00637508">
        <w:rPr>
          <w:rFonts w:eastAsia="Times New Roman" w:cs="Times New Roman"/>
          <w:w w:val="109"/>
          <w:sz w:val="16"/>
          <w:szCs w:val="16"/>
          <w:lang w:val="es-CR"/>
        </w:rPr>
        <w:t xml:space="preserve">investigación </w:t>
      </w:r>
      <w:r w:rsidRPr="00637508">
        <w:rPr>
          <w:rFonts w:eastAsia="Times New Roman" w:cs="Times New Roman"/>
          <w:sz w:val="16"/>
          <w:szCs w:val="16"/>
          <w:lang w:val="es-CR"/>
        </w:rPr>
        <w:t xml:space="preserve">para </w:t>
      </w:r>
      <w:r w:rsidRPr="00637508">
        <w:rPr>
          <w:rFonts w:eastAsia="Times New Roman" w:cs="Times New Roman"/>
          <w:w w:val="110"/>
          <w:sz w:val="16"/>
          <w:szCs w:val="16"/>
          <w:lang w:val="es-CR"/>
        </w:rPr>
        <w:t xml:space="preserve">cumplir </w:t>
      </w:r>
      <w:r w:rsidRPr="00637508">
        <w:rPr>
          <w:rFonts w:eastAsia="Times New Roman" w:cs="Times New Roman"/>
          <w:sz w:val="16"/>
          <w:szCs w:val="16"/>
          <w:lang w:val="es-CR"/>
        </w:rPr>
        <w:t xml:space="preserve">con la </w:t>
      </w:r>
      <w:r w:rsidRPr="00637508">
        <w:rPr>
          <w:rFonts w:eastAsia="Times New Roman" w:cs="Times New Roman"/>
          <w:w w:val="107"/>
          <w:sz w:val="16"/>
          <w:szCs w:val="16"/>
          <w:lang w:val="es-CR"/>
        </w:rPr>
        <w:t xml:space="preserve">finalidad del </w:t>
      </w:r>
      <w:r w:rsidRPr="00637508">
        <w:rPr>
          <w:rFonts w:eastAsia="Times New Roman" w:cs="Times New Roman"/>
          <w:w w:val="112"/>
          <w:sz w:val="16"/>
          <w:szCs w:val="16"/>
          <w:lang w:val="es-CR"/>
        </w:rPr>
        <w:t xml:space="preserve">proceso </w:t>
      </w:r>
      <w:r w:rsidRPr="00637508">
        <w:rPr>
          <w:rFonts w:eastAsia="Times New Roman" w:cs="Times New Roman"/>
          <w:sz w:val="16"/>
          <w:szCs w:val="16"/>
          <w:lang w:val="es-CR"/>
        </w:rPr>
        <w:t>penal”.</w:t>
      </w:r>
    </w:p>
  </w:footnote>
  <w:footnote w:id="119">
    <w:p w:rsidR="00785921" w:rsidRPr="00AB6711" w:rsidRDefault="00785921" w:rsidP="00126E97">
      <w:pPr>
        <w:tabs>
          <w:tab w:val="left" w:pos="567"/>
        </w:tabs>
        <w:spacing w:after="0" w:line="20" w:lineRule="atLeast"/>
        <w:jc w:val="both"/>
        <w:rPr>
          <w:rFonts w:ascii="Verdana" w:hAnsi="Verdana"/>
          <w:i/>
          <w:sz w:val="16"/>
          <w:szCs w:val="16"/>
          <w:lang w:val="es-CR"/>
        </w:rPr>
      </w:pPr>
      <w:r w:rsidRPr="0057574C">
        <w:rPr>
          <w:rStyle w:val="FootnoteReference"/>
          <w:rFonts w:ascii="Verdana" w:eastAsia="MS Mincho" w:hAnsi="Verdana"/>
          <w:sz w:val="16"/>
          <w:szCs w:val="16"/>
          <w:lang w:eastAsia="x-none"/>
        </w:rPr>
        <w:footnoteRef/>
      </w:r>
      <w:r w:rsidRPr="0057574C">
        <w:rPr>
          <w:rFonts w:ascii="Verdana" w:hAnsi="Verdana"/>
          <w:sz w:val="16"/>
          <w:szCs w:val="16"/>
          <w:lang w:val="es-CR"/>
        </w:rPr>
        <w:t xml:space="preserve"> </w:t>
      </w:r>
      <w:r w:rsidRPr="0057574C">
        <w:rPr>
          <w:rFonts w:ascii="Verdana" w:hAnsi="Verdana"/>
          <w:i/>
          <w:sz w:val="16"/>
          <w:szCs w:val="16"/>
          <w:lang w:val="es-CR"/>
        </w:rPr>
        <w:t xml:space="preserve">Cfr. Caso Velásquez Rodríguez Vs. Honduras. Excepciones Preliminares. </w:t>
      </w:r>
      <w:r w:rsidRPr="0057574C">
        <w:rPr>
          <w:rFonts w:ascii="Verdana" w:eastAsia="Times New Roman" w:hAnsi="Verdana" w:cs="Times New Roman"/>
          <w:sz w:val="16"/>
          <w:szCs w:val="16"/>
          <w:lang w:val="es-CR"/>
        </w:rPr>
        <w:t>Sentencia de 26 de junio de 1987. Serie C No. 1</w:t>
      </w:r>
      <w:r w:rsidRPr="0057574C">
        <w:rPr>
          <w:rFonts w:ascii="Verdana" w:hAnsi="Verdana"/>
          <w:i/>
          <w:sz w:val="16"/>
          <w:szCs w:val="16"/>
          <w:lang w:val="es-CR"/>
        </w:rPr>
        <w:t xml:space="preserve">, </w:t>
      </w:r>
      <w:r w:rsidRPr="0057574C">
        <w:rPr>
          <w:rFonts w:ascii="Verdana" w:hAnsi="Verdana"/>
          <w:sz w:val="16"/>
          <w:szCs w:val="16"/>
          <w:lang w:val="es-CR"/>
        </w:rPr>
        <w:t>párr. 91,</w:t>
      </w:r>
      <w:r w:rsidRPr="0057574C">
        <w:rPr>
          <w:rFonts w:ascii="Verdana" w:hAnsi="Verdana"/>
          <w:i/>
          <w:sz w:val="16"/>
          <w:szCs w:val="16"/>
          <w:lang w:val="es-CR"/>
        </w:rPr>
        <w:t xml:space="preserve"> </w:t>
      </w:r>
      <w:r w:rsidRPr="0057574C">
        <w:rPr>
          <w:rFonts w:ascii="Verdana" w:hAnsi="Verdana"/>
          <w:sz w:val="16"/>
          <w:szCs w:val="16"/>
          <w:lang w:val="es-CR"/>
        </w:rPr>
        <w:t>y</w:t>
      </w:r>
      <w:r w:rsidRPr="0057574C">
        <w:rPr>
          <w:rFonts w:ascii="Verdana" w:hAnsi="Verdana"/>
          <w:i/>
          <w:sz w:val="16"/>
          <w:szCs w:val="16"/>
          <w:lang w:val="es-CR"/>
        </w:rPr>
        <w:t xml:space="preserve"> Caso V.R.P., V.P.C. y otros Vs. Nicaragua. Excepciones Preliminares, Fondo, Reparaciones y Costas. </w:t>
      </w:r>
      <w:r w:rsidRPr="0057574C">
        <w:rPr>
          <w:rFonts w:ascii="Verdana" w:hAnsi="Verdana"/>
          <w:sz w:val="16"/>
          <w:szCs w:val="16"/>
          <w:lang w:val="es-CR"/>
        </w:rPr>
        <w:t>Sentencia de 8 de marzo de 2018. Serie C No. 350, párr. 150</w:t>
      </w:r>
      <w:r w:rsidRPr="0057574C">
        <w:rPr>
          <w:rFonts w:ascii="Verdana" w:hAnsi="Verdana"/>
          <w:i/>
          <w:sz w:val="16"/>
          <w:szCs w:val="16"/>
          <w:lang w:val="es-CR"/>
        </w:rPr>
        <w:t>.</w:t>
      </w:r>
      <w:r>
        <w:rPr>
          <w:rFonts w:ascii="Verdana" w:hAnsi="Verdana"/>
          <w:i/>
          <w:sz w:val="16"/>
          <w:szCs w:val="16"/>
          <w:lang w:val="es-CR"/>
        </w:rPr>
        <w:t xml:space="preserve"> </w:t>
      </w:r>
      <w:r w:rsidRPr="00AB6711">
        <w:rPr>
          <w:rFonts w:ascii="Verdana" w:hAnsi="Verdana"/>
          <w:sz w:val="16"/>
          <w:szCs w:val="16"/>
          <w:lang w:val="es-CR"/>
        </w:rPr>
        <w:t>En cuanto al artículo 1 de la Convención, en lo pertinente, establece:</w:t>
      </w:r>
      <w:r w:rsidRPr="00AB6711">
        <w:rPr>
          <w:rFonts w:ascii="Verdana" w:hAnsi="Verdana"/>
          <w:i/>
          <w:sz w:val="16"/>
          <w:szCs w:val="16"/>
          <w:lang w:val="es-CR"/>
        </w:rPr>
        <w:t xml:space="preserve"> </w:t>
      </w:r>
      <w:r>
        <w:rPr>
          <w:rFonts w:ascii="Verdana" w:hAnsi="Verdana" w:cs="Tahoma"/>
          <w:color w:val="000000"/>
          <w:sz w:val="16"/>
          <w:szCs w:val="16"/>
        </w:rPr>
        <w:t>“Obligación de Respetar los Derechos</w:t>
      </w:r>
      <w:r w:rsidRPr="00AB6711">
        <w:rPr>
          <w:rFonts w:ascii="Verdana" w:hAnsi="Verdana" w:cs="Tahoma"/>
          <w:color w:val="000000"/>
          <w:sz w:val="16"/>
          <w:szCs w:val="16"/>
        </w:rPr>
        <w:t>.</w:t>
      </w:r>
      <w:r>
        <w:rPr>
          <w:rFonts w:ascii="Verdana" w:hAnsi="Verdana" w:cs="Tahoma"/>
          <w:color w:val="000000"/>
          <w:sz w:val="16"/>
          <w:szCs w:val="16"/>
        </w:rPr>
        <w:t xml:space="preserve">1. </w:t>
      </w:r>
      <w:r w:rsidRPr="00AB6711">
        <w:rPr>
          <w:rFonts w:ascii="Verdana" w:hAnsi="Verdana" w:cs="Tahoma"/>
          <w:color w:val="000000"/>
          <w:sz w:val="16"/>
          <w:szCs w:val="16"/>
        </w:rPr>
        <w:t>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r>
        <w:rPr>
          <w:rFonts w:ascii="Verdana" w:hAnsi="Verdana" w:cs="Tahoma"/>
          <w:color w:val="000000"/>
          <w:sz w:val="16"/>
          <w:szCs w:val="16"/>
        </w:rPr>
        <w:t>”</w:t>
      </w:r>
      <w:r w:rsidRPr="00AB6711">
        <w:rPr>
          <w:rFonts w:ascii="Verdana" w:hAnsi="Verdana" w:cs="Tahoma"/>
          <w:color w:val="000000"/>
          <w:sz w:val="16"/>
          <w:szCs w:val="16"/>
        </w:rPr>
        <w:t>.</w:t>
      </w:r>
      <w:r w:rsidRPr="00AB6711">
        <w:rPr>
          <w:rFonts w:ascii="Verdana" w:hAnsi="Verdana"/>
          <w:sz w:val="16"/>
          <w:szCs w:val="16"/>
        </w:rPr>
        <w:t xml:space="preserve"> </w:t>
      </w:r>
      <w:r w:rsidRPr="00AB6711">
        <w:rPr>
          <w:rFonts w:ascii="Verdana" w:hAnsi="Verdana" w:cs="Tahoma"/>
          <w:color w:val="000000"/>
          <w:sz w:val="16"/>
          <w:szCs w:val="16"/>
        </w:rPr>
        <w:t xml:space="preserve"> </w:t>
      </w:r>
    </w:p>
  </w:footnote>
  <w:footnote w:id="120">
    <w:p w:rsidR="00785921" w:rsidRDefault="00785921" w:rsidP="00126E97">
      <w:pPr>
        <w:pStyle w:val="FootnoteText"/>
        <w:spacing w:line="20" w:lineRule="atLeast"/>
        <w:rPr>
          <w:i/>
          <w:sz w:val="16"/>
          <w:szCs w:val="16"/>
          <w:lang w:val="es-ES_tradnl"/>
        </w:rPr>
      </w:pPr>
      <w:r w:rsidRPr="00B649D8">
        <w:rPr>
          <w:rStyle w:val="FootnoteReference"/>
          <w:sz w:val="16"/>
          <w:szCs w:val="16"/>
          <w:lang w:val="es-ES_tradnl" w:eastAsia="x-none"/>
        </w:rPr>
        <w:footnoteRef/>
      </w:r>
      <w:r w:rsidRPr="00B649D8">
        <w:rPr>
          <w:sz w:val="16"/>
          <w:szCs w:val="16"/>
          <w:lang w:val="es-ES_tradnl"/>
        </w:rPr>
        <w:t xml:space="preserve"> </w:t>
      </w:r>
      <w:r>
        <w:rPr>
          <w:i/>
          <w:sz w:val="16"/>
          <w:szCs w:val="16"/>
          <w:lang w:val="es-ES_tradnl"/>
        </w:rPr>
        <w:t>Cfr. Caso Velásquez Rodríguez Vs. Honduras.</w:t>
      </w:r>
      <w:r>
        <w:rPr>
          <w:sz w:val="16"/>
          <w:szCs w:val="16"/>
          <w:lang w:val="es-ES_tradnl"/>
        </w:rPr>
        <w:t xml:space="preserve"> </w:t>
      </w:r>
      <w:r>
        <w:rPr>
          <w:i/>
          <w:sz w:val="16"/>
          <w:szCs w:val="16"/>
          <w:lang w:val="es-ES_tradnl"/>
        </w:rPr>
        <w:t>Fondo, supra</w:t>
      </w:r>
      <w:r>
        <w:rPr>
          <w:sz w:val="16"/>
          <w:szCs w:val="16"/>
          <w:lang w:val="es-ES_tradnl"/>
        </w:rPr>
        <w:t>, párr. 166;</w:t>
      </w:r>
      <w:r>
        <w:rPr>
          <w:i/>
          <w:sz w:val="16"/>
          <w:szCs w:val="16"/>
          <w:lang w:val="es-ES_tradnl"/>
        </w:rPr>
        <w:t xml:space="preserve"> Caso Vásquez Durand y otros Vs. Ecuador. </w:t>
      </w:r>
      <w:r w:rsidRPr="00251A8B">
        <w:rPr>
          <w:i/>
          <w:sz w:val="16"/>
          <w:szCs w:val="16"/>
          <w:lang w:val="es-ES_tradnl"/>
        </w:rPr>
        <w:t>Excepciones Preliminares, Fondo, Reparaciones y Costas</w:t>
      </w:r>
      <w:r>
        <w:rPr>
          <w:sz w:val="16"/>
          <w:szCs w:val="16"/>
          <w:lang w:val="es-ES_tradnl"/>
        </w:rPr>
        <w:t xml:space="preserve">. Sentencia de 15 de febrero de 2017. Serie C No. 332, párr. 141. </w:t>
      </w:r>
    </w:p>
  </w:footnote>
  <w:footnote w:id="12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Caso Perozo y otros Vs. Venezuela. Excepciones Preliminares, Fondo, Reparaciones y Costas. </w:t>
      </w:r>
      <w:r w:rsidRPr="00637508">
        <w:rPr>
          <w:sz w:val="16"/>
          <w:szCs w:val="16"/>
          <w:lang w:val="es-CR"/>
        </w:rPr>
        <w:t xml:space="preserve">Sentencia de 28 de enero de 2009. Serie C No. 195, párr. 358, y </w:t>
      </w:r>
      <w:r w:rsidRPr="00637508">
        <w:rPr>
          <w:i/>
          <w:sz w:val="16"/>
          <w:szCs w:val="16"/>
          <w:lang w:val="es-CR"/>
        </w:rPr>
        <w:t xml:space="preserve">Caso Miembros de la Aldea </w:t>
      </w:r>
      <w:proofErr w:type="spellStart"/>
      <w:r w:rsidRPr="00637508">
        <w:rPr>
          <w:i/>
          <w:sz w:val="16"/>
          <w:szCs w:val="16"/>
          <w:lang w:val="es-CR"/>
        </w:rPr>
        <w:t>Chichupac</w:t>
      </w:r>
      <w:proofErr w:type="spellEnd"/>
      <w:r w:rsidRPr="00637508">
        <w:rPr>
          <w:i/>
          <w:sz w:val="16"/>
          <w:szCs w:val="16"/>
          <w:lang w:val="es-CR"/>
        </w:rPr>
        <w:t xml:space="preserve"> y comunidades vecinas del Municipio de Rabinal Vs. Guatemala</w:t>
      </w:r>
      <w:r>
        <w:rPr>
          <w:i/>
          <w:sz w:val="16"/>
          <w:szCs w:val="16"/>
          <w:lang w:val="es-CR"/>
        </w:rPr>
        <w:t>, supra</w:t>
      </w:r>
      <w:r w:rsidRPr="00637508">
        <w:rPr>
          <w:sz w:val="16"/>
          <w:szCs w:val="16"/>
          <w:lang w:val="es-CR"/>
        </w:rPr>
        <w:t xml:space="preserve">, párr. 210. </w:t>
      </w:r>
    </w:p>
  </w:footnote>
  <w:footnote w:id="122">
    <w:p w:rsidR="00785921" w:rsidRDefault="00785921" w:rsidP="00126E97">
      <w:pPr>
        <w:pStyle w:val="FootnoteText"/>
        <w:spacing w:line="20" w:lineRule="atLeast"/>
        <w:rPr>
          <w:b/>
          <w:sz w:val="16"/>
          <w:szCs w:val="16"/>
          <w:lang w:val="es-CR"/>
        </w:rPr>
      </w:pPr>
      <w:r w:rsidRPr="00641A62">
        <w:rPr>
          <w:rStyle w:val="FootnoteReference"/>
          <w:sz w:val="16"/>
          <w:szCs w:val="16"/>
          <w:lang w:val="es-CR" w:eastAsia="x-none"/>
        </w:rPr>
        <w:footnoteRef/>
      </w:r>
      <w:r w:rsidRPr="00641A62">
        <w:rPr>
          <w:sz w:val="16"/>
          <w:szCs w:val="16"/>
          <w:lang w:val="es-CR"/>
        </w:rPr>
        <w:t xml:space="preserve"> </w:t>
      </w:r>
      <w:r w:rsidRPr="006A40AD">
        <w:rPr>
          <w:i/>
          <w:sz w:val="16"/>
          <w:szCs w:val="16"/>
          <w:lang w:val="es-ES_tradnl"/>
        </w:rPr>
        <w:t>Cfr</w:t>
      </w:r>
      <w:r>
        <w:rPr>
          <w:i/>
          <w:sz w:val="16"/>
          <w:szCs w:val="16"/>
          <w:lang w:val="es-ES_tradnl"/>
        </w:rPr>
        <w:t>. Caso Velásquez Rodríguez Vs. Honduras.</w:t>
      </w:r>
      <w:r>
        <w:rPr>
          <w:sz w:val="16"/>
          <w:szCs w:val="16"/>
          <w:lang w:val="es-ES_tradnl"/>
        </w:rPr>
        <w:t xml:space="preserve"> </w:t>
      </w:r>
      <w:r>
        <w:rPr>
          <w:i/>
          <w:sz w:val="16"/>
          <w:szCs w:val="16"/>
          <w:lang w:val="es-ES_tradnl"/>
        </w:rPr>
        <w:t>Fondo, supra,</w:t>
      </w:r>
      <w:r>
        <w:rPr>
          <w:sz w:val="16"/>
          <w:szCs w:val="16"/>
          <w:lang w:val="es-ES_tradnl"/>
        </w:rPr>
        <w:t xml:space="preserve"> párr. 177, y </w:t>
      </w:r>
      <w:r>
        <w:rPr>
          <w:bCs/>
          <w:i/>
          <w:sz w:val="16"/>
          <w:szCs w:val="16"/>
          <w:lang w:val="es-CR"/>
        </w:rPr>
        <w:t>Caso Acosta y otros Vs. Nicaragua. Excepciones Preliminares, Fondo, Reparaciones y Costas.</w:t>
      </w:r>
      <w:r>
        <w:rPr>
          <w:b/>
          <w:bCs/>
          <w:sz w:val="16"/>
          <w:szCs w:val="16"/>
          <w:lang w:val="es-CR"/>
        </w:rPr>
        <w:t xml:space="preserve"> </w:t>
      </w:r>
      <w:r>
        <w:rPr>
          <w:bCs/>
          <w:sz w:val="16"/>
          <w:szCs w:val="16"/>
          <w:lang w:val="es-CR"/>
        </w:rPr>
        <w:t xml:space="preserve">Sentencia de 25 de marzo de 2017. Serie C No. 334, párr. 132. </w:t>
      </w:r>
    </w:p>
  </w:footnote>
  <w:footnote w:id="123">
    <w:p w:rsidR="00785921" w:rsidRPr="00467331" w:rsidRDefault="00785921" w:rsidP="00126E97">
      <w:pPr>
        <w:pStyle w:val="FootnoteText"/>
        <w:spacing w:line="20" w:lineRule="atLeast"/>
        <w:rPr>
          <w:sz w:val="16"/>
          <w:szCs w:val="16"/>
          <w:lang w:val="es-CR"/>
        </w:rPr>
      </w:pPr>
      <w:r w:rsidRPr="00467331">
        <w:rPr>
          <w:rStyle w:val="FootnoteReference"/>
          <w:sz w:val="16"/>
          <w:szCs w:val="16"/>
          <w:lang w:val="es-CR" w:eastAsia="x-none"/>
        </w:rPr>
        <w:footnoteRef/>
      </w:r>
      <w:r w:rsidRPr="00467331">
        <w:rPr>
          <w:sz w:val="16"/>
          <w:szCs w:val="16"/>
          <w:lang w:val="es-CR"/>
        </w:rPr>
        <w:t xml:space="preserve"> </w:t>
      </w:r>
      <w:r w:rsidRPr="00467331">
        <w:rPr>
          <w:i/>
          <w:iCs/>
          <w:sz w:val="16"/>
          <w:szCs w:val="16"/>
          <w:lang w:val="es-CR"/>
        </w:rPr>
        <w:t>C</w:t>
      </w:r>
      <w:r>
        <w:rPr>
          <w:i/>
          <w:iCs/>
          <w:sz w:val="16"/>
          <w:szCs w:val="16"/>
          <w:lang w:val="es-CR"/>
        </w:rPr>
        <w:t>fr. C</w:t>
      </w:r>
      <w:r w:rsidRPr="00467331">
        <w:rPr>
          <w:i/>
          <w:iCs/>
          <w:sz w:val="16"/>
          <w:szCs w:val="16"/>
          <w:lang w:val="es-CR"/>
        </w:rPr>
        <w:t xml:space="preserve">aso de la Masacre de Pueblo Bello Vs. Colombia. </w:t>
      </w:r>
      <w:r w:rsidRPr="00467331">
        <w:rPr>
          <w:sz w:val="16"/>
          <w:szCs w:val="16"/>
          <w:lang w:val="es-CR"/>
        </w:rPr>
        <w:t>Sentencia de 31 de enero de 2006. Serie C No. 140</w:t>
      </w:r>
      <w:r w:rsidRPr="00467331">
        <w:rPr>
          <w:i/>
          <w:iCs/>
          <w:sz w:val="16"/>
          <w:szCs w:val="16"/>
          <w:lang w:val="es-CR"/>
        </w:rPr>
        <w:t xml:space="preserve">, </w:t>
      </w:r>
      <w:r w:rsidRPr="00467331">
        <w:rPr>
          <w:sz w:val="16"/>
          <w:szCs w:val="16"/>
          <w:lang w:val="es-CR"/>
        </w:rPr>
        <w:t>p</w:t>
      </w:r>
      <w:r>
        <w:rPr>
          <w:sz w:val="16"/>
          <w:szCs w:val="16"/>
          <w:lang w:val="es-CR"/>
        </w:rPr>
        <w:t xml:space="preserve">árr. 143; </w:t>
      </w:r>
      <w:r w:rsidRPr="00467331">
        <w:rPr>
          <w:i/>
          <w:sz w:val="16"/>
          <w:szCs w:val="16"/>
          <w:lang w:val="es-CR" w:eastAsia="x-none"/>
        </w:rPr>
        <w:t xml:space="preserve">Caso Miembros de la Aldea </w:t>
      </w:r>
      <w:proofErr w:type="spellStart"/>
      <w:r w:rsidRPr="00467331">
        <w:rPr>
          <w:i/>
          <w:sz w:val="16"/>
          <w:szCs w:val="16"/>
          <w:lang w:val="es-CR" w:eastAsia="x-none"/>
        </w:rPr>
        <w:t>Chichupac</w:t>
      </w:r>
      <w:proofErr w:type="spellEnd"/>
      <w:r w:rsidRPr="00467331">
        <w:rPr>
          <w:i/>
          <w:sz w:val="16"/>
          <w:szCs w:val="16"/>
          <w:lang w:val="es-CR" w:eastAsia="x-none"/>
        </w:rPr>
        <w:t xml:space="preserve"> y </w:t>
      </w:r>
      <w:r>
        <w:rPr>
          <w:i/>
          <w:sz w:val="16"/>
          <w:szCs w:val="16"/>
          <w:lang w:val="es-CR" w:eastAsia="x-none"/>
        </w:rPr>
        <w:t>c</w:t>
      </w:r>
      <w:r w:rsidRPr="00467331">
        <w:rPr>
          <w:i/>
          <w:sz w:val="16"/>
          <w:szCs w:val="16"/>
          <w:lang w:val="es-CR" w:eastAsia="x-none"/>
        </w:rPr>
        <w:t xml:space="preserve">omunidades </w:t>
      </w:r>
      <w:r>
        <w:rPr>
          <w:i/>
          <w:sz w:val="16"/>
          <w:szCs w:val="16"/>
          <w:lang w:val="es-CR" w:eastAsia="x-none"/>
        </w:rPr>
        <w:t>v</w:t>
      </w:r>
      <w:r w:rsidRPr="00467331">
        <w:rPr>
          <w:i/>
          <w:sz w:val="16"/>
          <w:szCs w:val="16"/>
          <w:lang w:val="es-CR" w:eastAsia="x-none"/>
        </w:rPr>
        <w:t>ecinas del Municipio de Rabinal Vs Guatemala</w:t>
      </w:r>
      <w:r>
        <w:rPr>
          <w:i/>
          <w:sz w:val="16"/>
          <w:szCs w:val="16"/>
          <w:lang w:val="es-CR" w:eastAsia="x-none"/>
        </w:rPr>
        <w:t>, supra,</w:t>
      </w:r>
      <w:r>
        <w:rPr>
          <w:bCs/>
          <w:sz w:val="16"/>
          <w:szCs w:val="16"/>
          <w:lang w:val="es-CR"/>
        </w:rPr>
        <w:t xml:space="preserve"> párr. 210, </w:t>
      </w:r>
      <w:r w:rsidRPr="00467331">
        <w:rPr>
          <w:sz w:val="16"/>
          <w:szCs w:val="16"/>
          <w:lang w:val="es-CR"/>
        </w:rPr>
        <w:t xml:space="preserve">y </w:t>
      </w:r>
      <w:r w:rsidRPr="00467331">
        <w:rPr>
          <w:bCs/>
          <w:i/>
          <w:sz w:val="16"/>
          <w:szCs w:val="16"/>
          <w:lang w:val="es-CR"/>
        </w:rPr>
        <w:t>Caso Favela Nova Bras</w:t>
      </w:r>
      <w:r>
        <w:rPr>
          <w:bCs/>
          <w:i/>
          <w:sz w:val="16"/>
          <w:szCs w:val="16"/>
          <w:lang w:val="es-CR"/>
        </w:rPr>
        <w:t>i</w:t>
      </w:r>
      <w:r w:rsidRPr="00467331">
        <w:rPr>
          <w:bCs/>
          <w:i/>
          <w:sz w:val="16"/>
          <w:szCs w:val="16"/>
          <w:lang w:val="es-CR"/>
        </w:rPr>
        <w:t>lia Vs. Brasil. Excepciones Preliminares, Fondo, Reparaciones y Costas.</w:t>
      </w:r>
      <w:r w:rsidRPr="00467331">
        <w:rPr>
          <w:bCs/>
          <w:sz w:val="16"/>
          <w:szCs w:val="16"/>
          <w:lang w:val="es-CR"/>
        </w:rPr>
        <w:t xml:space="preserve"> Sentencia de 16 de febrero de 2017. Serie C No. 333, </w:t>
      </w:r>
      <w:proofErr w:type="spellStart"/>
      <w:r w:rsidRPr="00467331">
        <w:rPr>
          <w:bCs/>
          <w:sz w:val="16"/>
          <w:szCs w:val="16"/>
          <w:lang w:val="es-CR"/>
        </w:rPr>
        <w:t>párrs</w:t>
      </w:r>
      <w:proofErr w:type="spellEnd"/>
      <w:r w:rsidRPr="00467331">
        <w:rPr>
          <w:bCs/>
          <w:sz w:val="16"/>
          <w:szCs w:val="16"/>
          <w:lang w:val="es-CR"/>
        </w:rPr>
        <w:t>. 176 y 177.</w:t>
      </w:r>
    </w:p>
  </w:footnote>
  <w:footnote w:id="124">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Cfr</w:t>
      </w:r>
      <w:r w:rsidRPr="00637508">
        <w:rPr>
          <w:sz w:val="16"/>
          <w:szCs w:val="16"/>
          <w:lang w:val="es-CR"/>
        </w:rPr>
        <w:t xml:space="preserve">. Sala Regional Mixta de la Corte de Apelaciones de </w:t>
      </w:r>
      <w:proofErr w:type="spellStart"/>
      <w:r w:rsidRPr="00637508">
        <w:rPr>
          <w:sz w:val="16"/>
          <w:szCs w:val="16"/>
          <w:lang w:val="es-CR"/>
        </w:rPr>
        <w:t>Coban</w:t>
      </w:r>
      <w:proofErr w:type="spellEnd"/>
      <w:r w:rsidRPr="00637508">
        <w:rPr>
          <w:sz w:val="16"/>
          <w:szCs w:val="16"/>
          <w:lang w:val="es-CR"/>
        </w:rPr>
        <w:t>, Sentencia de 22 de diciembre de 2004</w:t>
      </w:r>
      <w:r>
        <w:rPr>
          <w:sz w:val="16"/>
          <w:szCs w:val="16"/>
          <w:lang w:val="es-CR"/>
        </w:rPr>
        <w:t xml:space="preserve">, </w:t>
      </w:r>
      <w:r w:rsidRPr="007335F2">
        <w:rPr>
          <w:i/>
          <w:sz w:val="16"/>
          <w:szCs w:val="16"/>
          <w:lang w:val="es-CR"/>
        </w:rPr>
        <w:t>supra</w:t>
      </w:r>
      <w:r w:rsidRPr="00637508">
        <w:rPr>
          <w:sz w:val="16"/>
          <w:szCs w:val="16"/>
          <w:lang w:val="es-CR"/>
        </w:rPr>
        <w:t>.</w:t>
      </w:r>
    </w:p>
  </w:footnote>
  <w:footnote w:id="125">
    <w:p w:rsidR="00785921" w:rsidRPr="00467331" w:rsidRDefault="00785921" w:rsidP="00126E97">
      <w:pPr>
        <w:tabs>
          <w:tab w:val="left" w:pos="567"/>
        </w:tabs>
        <w:spacing w:after="0" w:line="20" w:lineRule="atLeast"/>
        <w:jc w:val="both"/>
        <w:rPr>
          <w:rFonts w:ascii="Verdana" w:hAnsi="Verdana"/>
          <w:sz w:val="16"/>
          <w:szCs w:val="16"/>
          <w:lang w:val="es-CR"/>
        </w:rPr>
      </w:pPr>
      <w:r w:rsidRPr="00467331">
        <w:rPr>
          <w:rStyle w:val="FootnoteReference"/>
          <w:rFonts w:ascii="Verdana" w:eastAsia="MS Mincho" w:hAnsi="Verdana"/>
          <w:sz w:val="16"/>
          <w:szCs w:val="16"/>
          <w:lang w:eastAsia="x-none"/>
        </w:rPr>
        <w:footnoteRef/>
      </w:r>
      <w:r w:rsidRPr="00467331">
        <w:rPr>
          <w:rFonts w:ascii="Verdana" w:hAnsi="Verdana"/>
          <w:sz w:val="16"/>
          <w:szCs w:val="16"/>
          <w:lang w:val="es-CR"/>
        </w:rPr>
        <w:t xml:space="preserve"> </w:t>
      </w:r>
      <w:r w:rsidRPr="00467331">
        <w:rPr>
          <w:rFonts w:ascii="Verdana" w:hAnsi="Verdana"/>
          <w:i/>
          <w:sz w:val="16"/>
          <w:szCs w:val="16"/>
          <w:lang w:val="es-CR"/>
        </w:rPr>
        <w:t>Cfr.</w:t>
      </w:r>
      <w:r w:rsidRPr="00467331">
        <w:rPr>
          <w:rFonts w:ascii="Verdana" w:hAnsi="Verdana"/>
          <w:sz w:val="16"/>
          <w:szCs w:val="16"/>
          <w:lang w:val="es-CR"/>
        </w:rPr>
        <w:t xml:space="preserve"> </w:t>
      </w:r>
      <w:r w:rsidRPr="00467331">
        <w:rPr>
          <w:rFonts w:ascii="Verdana" w:hAnsi="Verdana"/>
          <w:i/>
          <w:iCs/>
          <w:sz w:val="16"/>
          <w:szCs w:val="16"/>
          <w:lang w:val="es-CR"/>
        </w:rPr>
        <w:t xml:space="preserve">Caso </w:t>
      </w:r>
      <w:proofErr w:type="spellStart"/>
      <w:r w:rsidRPr="00467331">
        <w:rPr>
          <w:rFonts w:ascii="Verdana" w:hAnsi="Verdana"/>
          <w:i/>
          <w:iCs/>
          <w:sz w:val="16"/>
          <w:szCs w:val="16"/>
          <w:lang w:val="es-CR"/>
        </w:rPr>
        <w:t>Bulacio</w:t>
      </w:r>
      <w:proofErr w:type="spellEnd"/>
      <w:r w:rsidRPr="00467331">
        <w:rPr>
          <w:rFonts w:ascii="Verdana" w:hAnsi="Verdana"/>
          <w:i/>
          <w:iCs/>
          <w:sz w:val="16"/>
          <w:szCs w:val="16"/>
          <w:lang w:val="es-CR"/>
        </w:rPr>
        <w:t xml:space="preserve"> Vs. Argentina. Fondo, Reparaciones y Costas. </w:t>
      </w:r>
      <w:r w:rsidRPr="00467331">
        <w:rPr>
          <w:rFonts w:ascii="Verdana" w:hAnsi="Verdana"/>
          <w:iCs/>
          <w:sz w:val="16"/>
          <w:szCs w:val="16"/>
          <w:lang w:val="es-CR"/>
        </w:rPr>
        <w:t>Sentencia de 18 de Septiembre de 2003. Serie C No. 100,</w:t>
      </w:r>
      <w:r w:rsidRPr="00467331">
        <w:rPr>
          <w:rFonts w:ascii="Verdana" w:hAnsi="Verdana"/>
          <w:i/>
          <w:iCs/>
          <w:sz w:val="16"/>
          <w:szCs w:val="16"/>
          <w:lang w:val="es-CR"/>
        </w:rPr>
        <w:t xml:space="preserve"> </w:t>
      </w:r>
      <w:r w:rsidRPr="00467331">
        <w:rPr>
          <w:rFonts w:ascii="Verdana" w:hAnsi="Verdana"/>
          <w:sz w:val="16"/>
          <w:szCs w:val="16"/>
          <w:lang w:val="es-CR"/>
        </w:rPr>
        <w:t>párr. 114, y</w:t>
      </w:r>
      <w:r w:rsidRPr="00467331">
        <w:rPr>
          <w:rFonts w:ascii="Verdana" w:hAnsi="Verdana"/>
          <w:i/>
          <w:sz w:val="16"/>
          <w:szCs w:val="16"/>
          <w:lang w:val="es-CR"/>
        </w:rPr>
        <w:t xml:space="preserve"> Caso V.R.P</w:t>
      </w:r>
      <w:r>
        <w:rPr>
          <w:rFonts w:ascii="Verdana" w:hAnsi="Verdana"/>
          <w:i/>
          <w:sz w:val="16"/>
          <w:szCs w:val="16"/>
          <w:lang w:val="es-CR"/>
        </w:rPr>
        <w:t>., V.P.C. y otros Vs. Nicaragua,</w:t>
      </w:r>
      <w:r w:rsidRPr="00467331">
        <w:rPr>
          <w:rFonts w:ascii="Verdana" w:hAnsi="Verdana"/>
          <w:i/>
          <w:sz w:val="16"/>
          <w:szCs w:val="16"/>
          <w:lang w:val="es-CR"/>
        </w:rPr>
        <w:t xml:space="preserve"> </w:t>
      </w:r>
      <w:r>
        <w:rPr>
          <w:rFonts w:ascii="Verdana" w:hAnsi="Verdana"/>
          <w:i/>
          <w:sz w:val="16"/>
          <w:szCs w:val="16"/>
          <w:lang w:val="es-CR"/>
        </w:rPr>
        <w:t>supra</w:t>
      </w:r>
      <w:r w:rsidRPr="00467331">
        <w:rPr>
          <w:rFonts w:ascii="Verdana" w:hAnsi="Verdana"/>
          <w:sz w:val="16"/>
          <w:szCs w:val="16"/>
          <w:lang w:val="es-CR"/>
        </w:rPr>
        <w:t>, párr. 150</w:t>
      </w:r>
      <w:r w:rsidRPr="00467331">
        <w:rPr>
          <w:rFonts w:ascii="Verdana" w:hAnsi="Verdana"/>
          <w:i/>
          <w:sz w:val="16"/>
          <w:szCs w:val="16"/>
          <w:lang w:val="es-CR"/>
        </w:rPr>
        <w:t>.</w:t>
      </w:r>
    </w:p>
  </w:footnote>
  <w:footnote w:id="126">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Cfr. Caso de los “Niños de la Calle” (Villagrán Morales y otros) vs. Guatemala. Fondo</w:t>
      </w:r>
      <w:r>
        <w:rPr>
          <w:sz w:val="16"/>
          <w:szCs w:val="16"/>
          <w:lang w:val="es-CR"/>
        </w:rPr>
        <w:t xml:space="preserve">. Sentencia de 19 de noviembre de 1999. Serie C No. 63, párr. 222, y </w:t>
      </w:r>
      <w:r>
        <w:rPr>
          <w:i/>
          <w:sz w:val="16"/>
          <w:szCs w:val="16"/>
          <w:lang w:val="es-CR"/>
        </w:rPr>
        <w:t xml:space="preserve">Caso Carvajal </w:t>
      </w:r>
      <w:proofErr w:type="spellStart"/>
      <w:r>
        <w:rPr>
          <w:i/>
          <w:sz w:val="16"/>
          <w:szCs w:val="16"/>
          <w:lang w:val="es-CR"/>
        </w:rPr>
        <w:t>Carvajal</w:t>
      </w:r>
      <w:proofErr w:type="spellEnd"/>
      <w:r>
        <w:rPr>
          <w:i/>
          <w:sz w:val="16"/>
          <w:szCs w:val="16"/>
          <w:lang w:val="es-CR"/>
        </w:rPr>
        <w:t xml:space="preserve"> y otros Vs. Colombia. Fondo, Reparaciones y Costas.</w:t>
      </w:r>
      <w:r>
        <w:rPr>
          <w:sz w:val="16"/>
          <w:szCs w:val="16"/>
          <w:lang w:val="es-CR"/>
        </w:rPr>
        <w:t xml:space="preserve"> Sentencia de 13 de marzo de 2018. Serie C No. 352., párr. 117.</w:t>
      </w:r>
    </w:p>
  </w:footnote>
  <w:footnote w:id="127">
    <w:p w:rsidR="00785921" w:rsidRDefault="00785921" w:rsidP="00126E97">
      <w:pPr>
        <w:pStyle w:val="FootnoteText"/>
        <w:spacing w:line="20" w:lineRule="atLeast"/>
        <w:rPr>
          <w:spacing w:val="-3"/>
          <w:sz w:val="16"/>
          <w:szCs w:val="16"/>
          <w:lang w:val="es-CR"/>
        </w:rPr>
      </w:pPr>
      <w:r>
        <w:rPr>
          <w:rStyle w:val="FootnoteReference"/>
          <w:spacing w:val="-3"/>
          <w:sz w:val="16"/>
          <w:szCs w:val="16"/>
          <w:lang w:val="es-CR" w:eastAsia="x-none"/>
        </w:rPr>
        <w:footnoteRef/>
      </w:r>
      <w:r>
        <w:rPr>
          <w:i/>
          <w:spacing w:val="-3"/>
          <w:sz w:val="16"/>
          <w:szCs w:val="16"/>
          <w:lang w:val="es-CR"/>
        </w:rPr>
        <w:t xml:space="preserve"> Cfr</w:t>
      </w:r>
      <w:r>
        <w:rPr>
          <w:spacing w:val="-3"/>
          <w:sz w:val="16"/>
          <w:szCs w:val="16"/>
          <w:lang w:val="es-CR"/>
        </w:rPr>
        <w:t xml:space="preserve">. </w:t>
      </w:r>
      <w:r>
        <w:rPr>
          <w:rFonts w:cs="Arial"/>
          <w:i/>
          <w:spacing w:val="-3"/>
          <w:sz w:val="16"/>
          <w:szCs w:val="16"/>
          <w:lang w:val="es-CR"/>
        </w:rPr>
        <w:t xml:space="preserve">Caso </w:t>
      </w:r>
      <w:proofErr w:type="spellStart"/>
      <w:r>
        <w:rPr>
          <w:rFonts w:cs="Arial"/>
          <w:i/>
          <w:spacing w:val="-3"/>
          <w:sz w:val="16"/>
          <w:szCs w:val="16"/>
          <w:lang w:val="es-CR"/>
        </w:rPr>
        <w:t>Ibsen</w:t>
      </w:r>
      <w:proofErr w:type="spellEnd"/>
      <w:r>
        <w:rPr>
          <w:rFonts w:cs="Arial"/>
          <w:i/>
          <w:spacing w:val="-3"/>
          <w:sz w:val="16"/>
          <w:szCs w:val="16"/>
          <w:lang w:val="es-CR"/>
        </w:rPr>
        <w:t xml:space="preserve"> </w:t>
      </w:r>
      <w:r>
        <w:rPr>
          <w:bCs/>
          <w:i/>
          <w:spacing w:val="-3"/>
          <w:sz w:val="16"/>
          <w:szCs w:val="16"/>
          <w:lang w:val="es-GT"/>
        </w:rPr>
        <w:t>Cárdenas</w:t>
      </w:r>
      <w:r>
        <w:rPr>
          <w:rFonts w:cs="Arial"/>
          <w:i/>
          <w:spacing w:val="-3"/>
          <w:sz w:val="16"/>
          <w:szCs w:val="16"/>
          <w:lang w:val="es-CR"/>
        </w:rPr>
        <w:t xml:space="preserve"> e </w:t>
      </w:r>
      <w:proofErr w:type="spellStart"/>
      <w:r>
        <w:rPr>
          <w:rFonts w:cs="Arial"/>
          <w:i/>
          <w:spacing w:val="-3"/>
          <w:sz w:val="16"/>
          <w:szCs w:val="16"/>
          <w:lang w:val="es-CR"/>
        </w:rPr>
        <w:t>Ibsen</w:t>
      </w:r>
      <w:proofErr w:type="spellEnd"/>
      <w:r>
        <w:rPr>
          <w:rFonts w:cs="Arial"/>
          <w:i/>
          <w:spacing w:val="-3"/>
          <w:sz w:val="16"/>
          <w:szCs w:val="16"/>
          <w:lang w:val="es-CR"/>
        </w:rPr>
        <w:t xml:space="preserve"> Peña Vs. Bolivia. Fondo, Reparaciones y Costas.</w:t>
      </w:r>
      <w:r>
        <w:rPr>
          <w:rFonts w:cs="Arial"/>
          <w:spacing w:val="-3"/>
          <w:sz w:val="16"/>
          <w:szCs w:val="16"/>
          <w:lang w:val="es-CR"/>
        </w:rPr>
        <w:t xml:space="preserve"> Sentencia de 1 de septiembre de 2010. Serie C No. 217</w:t>
      </w:r>
      <w:r>
        <w:rPr>
          <w:spacing w:val="-3"/>
          <w:sz w:val="16"/>
          <w:szCs w:val="16"/>
          <w:lang w:val="es-CR"/>
        </w:rPr>
        <w:t xml:space="preserve">, párr. 172, y </w:t>
      </w:r>
      <w:r>
        <w:rPr>
          <w:i/>
          <w:sz w:val="16"/>
          <w:szCs w:val="16"/>
          <w:lang w:val="es-CR"/>
        </w:rPr>
        <w:t xml:space="preserve">Caso 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párr. 117.</w:t>
      </w:r>
    </w:p>
  </w:footnote>
  <w:footnote w:id="128">
    <w:p w:rsidR="00785921" w:rsidRDefault="00785921" w:rsidP="00126E97">
      <w:pPr>
        <w:pStyle w:val="FootnoteText"/>
        <w:spacing w:line="20" w:lineRule="atLeast"/>
        <w:rPr>
          <w:b/>
          <w:spacing w:val="-1"/>
          <w:sz w:val="16"/>
          <w:szCs w:val="16"/>
          <w:lang w:val="es-CR"/>
        </w:rPr>
      </w:pPr>
      <w:r w:rsidRPr="000C769B">
        <w:rPr>
          <w:rStyle w:val="FootnoteReference"/>
          <w:spacing w:val="-1"/>
          <w:sz w:val="16"/>
          <w:szCs w:val="16"/>
          <w:lang w:val="es-CR" w:eastAsia="x-none"/>
        </w:rPr>
        <w:footnoteRef/>
      </w:r>
      <w:r w:rsidRPr="000C769B">
        <w:rPr>
          <w:i/>
          <w:spacing w:val="-4"/>
          <w:sz w:val="16"/>
          <w:szCs w:val="16"/>
          <w:lang w:val="es-GT"/>
        </w:rPr>
        <w:t xml:space="preserve"> </w:t>
      </w:r>
      <w:r>
        <w:rPr>
          <w:i/>
          <w:spacing w:val="-4"/>
          <w:sz w:val="16"/>
          <w:szCs w:val="16"/>
          <w:lang w:val="es-GT"/>
        </w:rPr>
        <w:t xml:space="preserve">Cfr. </w:t>
      </w:r>
      <w:r>
        <w:rPr>
          <w:bCs/>
          <w:i/>
          <w:spacing w:val="-4"/>
          <w:sz w:val="16"/>
          <w:szCs w:val="16"/>
          <w:lang w:val="es-GT"/>
        </w:rPr>
        <w:t xml:space="preserve">Caso </w:t>
      </w:r>
      <w:r>
        <w:rPr>
          <w:i/>
          <w:spacing w:val="-4"/>
          <w:sz w:val="16"/>
          <w:szCs w:val="16"/>
          <w:lang w:val="es-CR"/>
        </w:rPr>
        <w:t>de</w:t>
      </w:r>
      <w:r>
        <w:rPr>
          <w:bCs/>
          <w:i/>
          <w:spacing w:val="-4"/>
          <w:sz w:val="16"/>
          <w:szCs w:val="16"/>
          <w:lang w:val="es-GT"/>
        </w:rPr>
        <w:t xml:space="preserve"> las Hermanas Serrano Cruz Vs. El Salvador. Fondo, Reparaciones y Costas. </w:t>
      </w:r>
      <w:r>
        <w:rPr>
          <w:bCs/>
          <w:spacing w:val="-4"/>
          <w:sz w:val="16"/>
          <w:szCs w:val="16"/>
          <w:lang w:val="es-GT"/>
        </w:rPr>
        <w:t>Sentencia de 1 de marzo de 2005. Serie C No. 120</w:t>
      </w:r>
      <w:r>
        <w:rPr>
          <w:bCs/>
          <w:i/>
          <w:spacing w:val="-4"/>
          <w:sz w:val="16"/>
          <w:szCs w:val="16"/>
          <w:lang w:val="es-GT"/>
        </w:rPr>
        <w:t xml:space="preserve">, </w:t>
      </w:r>
      <w:r>
        <w:rPr>
          <w:spacing w:val="-4"/>
          <w:sz w:val="16"/>
          <w:szCs w:val="16"/>
          <w:lang w:val="es-GT"/>
        </w:rPr>
        <w:t xml:space="preserve">párr. 83, </w:t>
      </w:r>
      <w:r>
        <w:rPr>
          <w:bCs/>
          <w:color w:val="000000"/>
          <w:spacing w:val="-1"/>
          <w:sz w:val="16"/>
          <w:szCs w:val="16"/>
          <w:lang w:val="es-CR"/>
        </w:rPr>
        <w:t xml:space="preserve">y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w:t>
      </w:r>
      <w:r>
        <w:rPr>
          <w:i/>
          <w:sz w:val="16"/>
          <w:szCs w:val="16"/>
          <w:lang w:val="es-CR"/>
        </w:rPr>
        <w:t>, supra</w:t>
      </w:r>
      <w:r>
        <w:rPr>
          <w:sz w:val="16"/>
          <w:szCs w:val="16"/>
          <w:lang w:val="es-CR"/>
        </w:rPr>
        <w:t>, párr. 461</w:t>
      </w:r>
      <w:r w:rsidRPr="00637508">
        <w:rPr>
          <w:sz w:val="16"/>
          <w:szCs w:val="16"/>
          <w:lang w:val="es-CR"/>
        </w:rPr>
        <w:t xml:space="preserve">. </w:t>
      </w:r>
    </w:p>
  </w:footnote>
  <w:footnote w:id="129">
    <w:p w:rsidR="00785921" w:rsidRDefault="00785921" w:rsidP="00126E97">
      <w:pPr>
        <w:pStyle w:val="FootnoteText"/>
        <w:spacing w:line="20" w:lineRule="atLeast"/>
        <w:rPr>
          <w:spacing w:val="-3"/>
          <w:sz w:val="16"/>
          <w:szCs w:val="16"/>
          <w:lang w:val="es-CR"/>
        </w:rPr>
      </w:pPr>
      <w:r>
        <w:rPr>
          <w:rStyle w:val="FootnoteReference"/>
          <w:spacing w:val="-3"/>
          <w:sz w:val="16"/>
          <w:szCs w:val="16"/>
          <w:lang w:val="es-CR" w:eastAsia="x-none"/>
        </w:rPr>
        <w:footnoteRef/>
      </w:r>
      <w:r>
        <w:rPr>
          <w:spacing w:val="-3"/>
          <w:sz w:val="16"/>
          <w:szCs w:val="16"/>
          <w:lang w:val="es-ES_tradnl"/>
        </w:rPr>
        <w:t xml:space="preserve"> </w:t>
      </w:r>
      <w:r>
        <w:rPr>
          <w:i/>
          <w:spacing w:val="-3"/>
          <w:sz w:val="16"/>
          <w:szCs w:val="16"/>
          <w:lang w:val="es-ES_tradnl"/>
        </w:rPr>
        <w:t>Cfr.</w:t>
      </w:r>
      <w:r w:rsidRPr="00595E7F">
        <w:rPr>
          <w:bCs/>
          <w:i/>
          <w:spacing w:val="-4"/>
          <w:szCs w:val="16"/>
          <w:lang w:val="es-ES" w:eastAsia="en-US"/>
        </w:rPr>
        <w:t xml:space="preserve"> </w:t>
      </w:r>
      <w:r w:rsidRPr="00595E7F">
        <w:rPr>
          <w:bCs/>
          <w:i/>
          <w:spacing w:val="-3"/>
          <w:sz w:val="16"/>
          <w:szCs w:val="16"/>
          <w:lang w:val="es-ES"/>
        </w:rPr>
        <w:t xml:space="preserve">Caso Nogueira de Carvalho y Otro Vs. Brasil. Excepciones Preliminares y Fondo. Sentencia de 28 de noviembre de 2006. Serie C No. 161, </w:t>
      </w:r>
      <w:r w:rsidRPr="00595E7F">
        <w:rPr>
          <w:i/>
          <w:spacing w:val="-3"/>
          <w:sz w:val="16"/>
          <w:szCs w:val="16"/>
          <w:lang w:val="es-ES"/>
        </w:rPr>
        <w:t xml:space="preserve">párr. </w:t>
      </w:r>
      <w:r w:rsidRPr="00595E7F">
        <w:rPr>
          <w:i/>
          <w:spacing w:val="-3"/>
          <w:sz w:val="16"/>
          <w:szCs w:val="16"/>
          <w:lang w:val="es-CR"/>
        </w:rPr>
        <w:t>80, y</w:t>
      </w:r>
      <w:r>
        <w:rPr>
          <w:i/>
          <w:spacing w:val="-3"/>
          <w:sz w:val="16"/>
          <w:szCs w:val="16"/>
          <w:lang w:val="es-ES_tradnl"/>
        </w:rPr>
        <w:t xml:space="preserve"> </w:t>
      </w:r>
      <w:r w:rsidRPr="00637508">
        <w:rPr>
          <w:i/>
          <w:sz w:val="16"/>
          <w:szCs w:val="16"/>
          <w:lang w:val="es-CR"/>
        </w:rPr>
        <w:t>Caso</w:t>
      </w:r>
      <w:r w:rsidRPr="00637508">
        <w:rPr>
          <w:sz w:val="16"/>
          <w:szCs w:val="16"/>
          <w:lang w:val="es-CR"/>
        </w:rPr>
        <w:t xml:space="preserve"> </w:t>
      </w:r>
      <w:r>
        <w:rPr>
          <w:i/>
          <w:sz w:val="16"/>
          <w:szCs w:val="16"/>
          <w:lang w:val="es-CR"/>
        </w:rPr>
        <w:t xml:space="preserve">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párr. 118.</w:t>
      </w:r>
    </w:p>
  </w:footnote>
  <w:footnote w:id="130">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CR"/>
        </w:rPr>
        <w:t xml:space="preserve"> </w:t>
      </w:r>
      <w:r>
        <w:rPr>
          <w:i/>
          <w:sz w:val="16"/>
          <w:szCs w:val="16"/>
          <w:lang w:val="es-CR"/>
        </w:rPr>
        <w:t>Cfr. Caso</w:t>
      </w:r>
      <w:r>
        <w:rPr>
          <w:sz w:val="16"/>
          <w:szCs w:val="16"/>
          <w:lang w:val="es-CR"/>
        </w:rPr>
        <w:t xml:space="preserve"> </w:t>
      </w:r>
      <w:r>
        <w:rPr>
          <w:i/>
          <w:sz w:val="16"/>
          <w:szCs w:val="16"/>
          <w:lang w:val="es-CR"/>
        </w:rPr>
        <w:t xml:space="preserve">Castillo </w:t>
      </w:r>
      <w:r>
        <w:rPr>
          <w:sz w:val="16"/>
          <w:szCs w:val="16"/>
          <w:lang w:val="es-CR"/>
        </w:rPr>
        <w:t>González</w:t>
      </w:r>
      <w:r>
        <w:rPr>
          <w:i/>
          <w:sz w:val="16"/>
          <w:szCs w:val="16"/>
          <w:lang w:val="es-CR"/>
        </w:rPr>
        <w:t xml:space="preserve"> y otros Vs. Venezuela. Fondo</w:t>
      </w:r>
      <w:r>
        <w:rPr>
          <w:sz w:val="16"/>
          <w:szCs w:val="16"/>
          <w:lang w:val="es-CR"/>
        </w:rPr>
        <w:t xml:space="preserve">. Sentencia de 27 de noviembre de 2012. Serie C No. 256, párr. 153, y </w:t>
      </w:r>
      <w:r w:rsidRPr="00637508">
        <w:rPr>
          <w:i/>
          <w:sz w:val="16"/>
          <w:szCs w:val="16"/>
          <w:lang w:val="es-CR"/>
        </w:rPr>
        <w:t>Caso</w:t>
      </w:r>
      <w:r w:rsidRPr="00637508">
        <w:rPr>
          <w:sz w:val="16"/>
          <w:szCs w:val="16"/>
          <w:lang w:val="es-CR"/>
        </w:rPr>
        <w:t xml:space="preserve"> </w:t>
      </w:r>
      <w:r>
        <w:rPr>
          <w:i/>
          <w:sz w:val="16"/>
          <w:szCs w:val="16"/>
          <w:lang w:val="es-CR"/>
        </w:rPr>
        <w:t xml:space="preserve">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párr. 118.</w:t>
      </w:r>
    </w:p>
  </w:footnote>
  <w:footnote w:id="131">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Cfr.</w:t>
      </w:r>
      <w:r>
        <w:rPr>
          <w:sz w:val="16"/>
          <w:szCs w:val="16"/>
          <w:lang w:val="es-CR"/>
        </w:rPr>
        <w:t xml:space="preserve"> </w:t>
      </w:r>
      <w:r w:rsidRPr="00613DE2">
        <w:rPr>
          <w:i/>
          <w:sz w:val="16"/>
          <w:szCs w:val="16"/>
          <w:lang w:val="es-CR"/>
        </w:rPr>
        <w:t>Caso Luna López Vs. Honduras. Fondo, Reparaciones y Costas.</w:t>
      </w:r>
      <w:r w:rsidRPr="00DD1B52">
        <w:rPr>
          <w:sz w:val="16"/>
          <w:szCs w:val="16"/>
          <w:lang w:val="es-CR"/>
        </w:rPr>
        <w:t xml:space="preserve"> Sentencia de 10 de o</w:t>
      </w:r>
      <w:r>
        <w:rPr>
          <w:sz w:val="16"/>
          <w:szCs w:val="16"/>
          <w:lang w:val="es-CR"/>
        </w:rPr>
        <w:t xml:space="preserve">ctubre de 2013. Serie C No. 269, párr. 167, y </w:t>
      </w:r>
      <w:r>
        <w:rPr>
          <w:i/>
          <w:sz w:val="16"/>
          <w:szCs w:val="16"/>
          <w:lang w:val="es-CR"/>
        </w:rPr>
        <w:t>Caso Pacheco León y otros Vs. Honduras. Fondo, Reparaciones y Costas.</w:t>
      </w:r>
      <w:r>
        <w:rPr>
          <w:sz w:val="16"/>
          <w:szCs w:val="16"/>
          <w:lang w:val="es-CR"/>
        </w:rPr>
        <w:t xml:space="preserve"> Sentencia de 15 de noviembre 2017. Serie C No. 342, párr. 75. </w:t>
      </w:r>
    </w:p>
  </w:footnote>
  <w:footnote w:id="13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i/>
          <w:sz w:val="16"/>
          <w:szCs w:val="16"/>
          <w:lang w:val="es-CR"/>
        </w:rPr>
        <w:t>Cfr.</w:t>
      </w:r>
      <w:r>
        <w:rPr>
          <w:sz w:val="16"/>
          <w:szCs w:val="16"/>
          <w:lang w:val="es-CR"/>
        </w:rPr>
        <w:t xml:space="preserve"> </w:t>
      </w:r>
      <w:r w:rsidRPr="006A40AD">
        <w:rPr>
          <w:i/>
          <w:sz w:val="16"/>
          <w:szCs w:val="16"/>
          <w:lang w:val="es-CR"/>
        </w:rPr>
        <w:t>Caso Castillo González y otros Vs. Venezuela</w:t>
      </w:r>
      <w:r>
        <w:rPr>
          <w:i/>
          <w:sz w:val="16"/>
          <w:szCs w:val="16"/>
          <w:lang w:val="es-CR"/>
        </w:rPr>
        <w:t>, supra</w:t>
      </w:r>
      <w:r>
        <w:rPr>
          <w:sz w:val="16"/>
          <w:szCs w:val="16"/>
          <w:lang w:val="es-CR"/>
        </w:rPr>
        <w:t xml:space="preserve">, párr. 153, y </w:t>
      </w:r>
      <w:r>
        <w:rPr>
          <w:i/>
          <w:sz w:val="16"/>
          <w:szCs w:val="16"/>
          <w:lang w:val="es-CR"/>
        </w:rPr>
        <w:t>Caso Pacheco León y otros Vs. Honduras, supra</w:t>
      </w:r>
      <w:r>
        <w:rPr>
          <w:sz w:val="16"/>
          <w:szCs w:val="16"/>
          <w:lang w:val="es-CR"/>
        </w:rPr>
        <w:t xml:space="preserve">, párr. 76.  </w:t>
      </w:r>
    </w:p>
  </w:footnote>
  <w:footnote w:id="133">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 xml:space="preserve">Cfr. </w:t>
      </w:r>
      <w:r>
        <w:rPr>
          <w:bCs/>
          <w:i/>
          <w:spacing w:val="-4"/>
          <w:sz w:val="16"/>
          <w:szCs w:val="16"/>
          <w:lang w:val="es-CR"/>
        </w:rPr>
        <w:t>Caso Luna López Vs. Honduras, supra</w:t>
      </w:r>
      <w:r>
        <w:rPr>
          <w:bCs/>
          <w:spacing w:val="-4"/>
          <w:sz w:val="16"/>
          <w:szCs w:val="16"/>
          <w:lang w:val="es-CR"/>
        </w:rPr>
        <w:t>,</w:t>
      </w:r>
      <w:r>
        <w:rPr>
          <w:bCs/>
          <w:i/>
          <w:spacing w:val="-4"/>
          <w:sz w:val="16"/>
          <w:szCs w:val="16"/>
          <w:lang w:val="es-CR"/>
        </w:rPr>
        <w:t xml:space="preserve"> </w:t>
      </w:r>
      <w:r>
        <w:rPr>
          <w:sz w:val="16"/>
          <w:szCs w:val="16"/>
          <w:lang w:val="es-CR"/>
        </w:rPr>
        <w:t xml:space="preserve">párr. 167, </w:t>
      </w:r>
      <w:r>
        <w:rPr>
          <w:rFonts w:eastAsia="Cambria"/>
          <w:sz w:val="16"/>
          <w:szCs w:val="16"/>
          <w:lang w:val="es-CR"/>
        </w:rPr>
        <w:t>y</w:t>
      </w:r>
      <w:r>
        <w:rPr>
          <w:sz w:val="16"/>
          <w:szCs w:val="16"/>
          <w:lang w:val="es-CR"/>
        </w:rPr>
        <w:t xml:space="preserve"> </w:t>
      </w:r>
      <w:r>
        <w:rPr>
          <w:i/>
          <w:sz w:val="16"/>
          <w:szCs w:val="16"/>
          <w:lang w:val="es-CR"/>
        </w:rPr>
        <w:t xml:space="preserve">Caso 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xml:space="preserve">, párr. 117. </w:t>
      </w:r>
    </w:p>
  </w:footnote>
  <w:footnote w:id="134">
    <w:p w:rsidR="00785921" w:rsidRPr="00467331" w:rsidRDefault="00785921" w:rsidP="00126E97">
      <w:pPr>
        <w:spacing w:after="0" w:line="20" w:lineRule="atLeast"/>
        <w:ind w:right="-138"/>
        <w:jc w:val="both"/>
        <w:rPr>
          <w:rFonts w:ascii="Verdana" w:hAnsi="Verdana"/>
          <w:lang w:val="es-CR"/>
        </w:rPr>
      </w:pPr>
      <w:r w:rsidRPr="00467331">
        <w:rPr>
          <w:rStyle w:val="FootnoteReference"/>
          <w:rFonts w:ascii="Verdana" w:hAnsi="Verdana"/>
          <w:sz w:val="16"/>
          <w:szCs w:val="16"/>
          <w:lang w:eastAsia="x-none"/>
        </w:rPr>
        <w:footnoteRef/>
      </w:r>
      <w:r w:rsidRPr="00467331">
        <w:rPr>
          <w:rFonts w:ascii="Verdana" w:hAnsi="Verdana"/>
          <w:sz w:val="16"/>
          <w:szCs w:val="16"/>
          <w:lang w:val="es-CR"/>
        </w:rPr>
        <w:t xml:space="preserve"> Por ello, la Corte no tendrá en cuenta argumentos sobre el manejo de la prueba, tales como los señalados por la Comisión respecto al extravío de ropa de las víctimas, el registro de casquillos de bala recogidos o la preservación de la escena del crimen. Tampoco considerará aseveraciones de la Comisión sobre que fue “contraria al marco legal” la aceptación de diversos recursos y pruebas de los procesados, y que no fue motivado el rechazo de pruebas y declaraciones promovido por la querella (</w:t>
      </w:r>
      <w:r w:rsidRPr="00467331">
        <w:rPr>
          <w:rFonts w:ascii="Verdana" w:hAnsi="Verdana"/>
          <w:i/>
          <w:sz w:val="16"/>
          <w:szCs w:val="16"/>
          <w:lang w:val="es-CR"/>
        </w:rPr>
        <w:t>supra</w:t>
      </w:r>
      <w:r w:rsidRPr="00467331">
        <w:rPr>
          <w:rFonts w:ascii="Verdana" w:hAnsi="Verdana"/>
          <w:sz w:val="16"/>
          <w:szCs w:val="16"/>
          <w:lang w:val="es-CR"/>
        </w:rPr>
        <w:t xml:space="preserve"> párr. 76). De igual modo, no resulta necesario analizar alegatos sobre la falta de adopción diligencias, que además fueron planteados en forma genérica, ni sobre la ausencia de medidas respecto de amenazas u hostigamientos, que fueron esbozados en relación con la efectividad de la investigación. En el mismo sentido, no se examinarán alusiones de los representantes sobre la supuesta “falta de interés” de las autoridades en la investigación, los que, además, resultan vagos o imprecisos, en tanto no expresan relación con acciones u omisiones concretas relativas a la investigación. En cuanto a los señalamientos de la Comisión sobre “largos periodos de inactividad”, la Corte remite al examen respecto de la razonabilidad del tiempo transcurrido durante las actuaciones. </w:t>
      </w:r>
    </w:p>
  </w:footnote>
  <w:footnote w:id="13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sidRPr="00637508">
        <w:rPr>
          <w:i/>
          <w:iCs/>
          <w:sz w:val="16"/>
          <w:szCs w:val="16"/>
          <w:lang w:val="es-CR"/>
        </w:rPr>
        <w:t xml:space="preserve">Cfr. Caso La Cantuta Vs. Perú. Fondo, Reparaciones y Costas. </w:t>
      </w:r>
      <w:r w:rsidRPr="00637508">
        <w:rPr>
          <w:sz w:val="16"/>
          <w:szCs w:val="16"/>
          <w:lang w:val="es-CR"/>
        </w:rPr>
        <w:t xml:space="preserve">Sentencia de 29 de noviembre de 2006. Serie C No. 162, párr. 142, y </w:t>
      </w:r>
      <w:r w:rsidRPr="006A40AD">
        <w:rPr>
          <w:i/>
          <w:sz w:val="16"/>
          <w:szCs w:val="16"/>
          <w:lang w:val="es-CR"/>
        </w:rPr>
        <w:t xml:space="preserve">Caso </w:t>
      </w:r>
      <w:proofErr w:type="spellStart"/>
      <w:r w:rsidRPr="006A40AD">
        <w:rPr>
          <w:i/>
          <w:sz w:val="16"/>
          <w:szCs w:val="16"/>
          <w:lang w:val="es-CR"/>
        </w:rPr>
        <w:t>Herzog</w:t>
      </w:r>
      <w:proofErr w:type="spellEnd"/>
      <w:r w:rsidRPr="006A40AD">
        <w:rPr>
          <w:i/>
          <w:sz w:val="16"/>
          <w:szCs w:val="16"/>
          <w:lang w:val="es-CR"/>
        </w:rPr>
        <w:t xml:space="preserve"> y otros Vs. Brasil. Excepciones Preliminares, Fondo, Reparaciones y Costas. </w:t>
      </w:r>
      <w:r w:rsidRPr="00747B5E">
        <w:rPr>
          <w:sz w:val="16"/>
          <w:szCs w:val="16"/>
          <w:lang w:val="es-CR"/>
        </w:rPr>
        <w:t>Sentencia de 15 de</w:t>
      </w:r>
      <w:r>
        <w:rPr>
          <w:sz w:val="16"/>
          <w:szCs w:val="16"/>
          <w:lang w:val="es-CR"/>
        </w:rPr>
        <w:t xml:space="preserve"> marzo de 2018. Serie C No. 353, párr. 248. </w:t>
      </w:r>
    </w:p>
  </w:footnote>
  <w:footnote w:id="136">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La Corte recuerda que la justicia militar</w:t>
      </w:r>
      <w:r w:rsidRPr="00637508">
        <w:rPr>
          <w:rFonts w:cs="Arial"/>
          <w:sz w:val="16"/>
          <w:szCs w:val="16"/>
          <w:lang w:val="es-CR"/>
        </w:rPr>
        <w:t xml:space="preserve"> intervino en el caso cerca desde el inicio de las actuaciones hasta que el 31 de enero de 1996 se ordenó el traslado de las mismas a la justicia ordinaria.</w:t>
      </w:r>
    </w:p>
  </w:footnote>
  <w:footnote w:id="137">
    <w:p w:rsidR="00785921" w:rsidRPr="006A0901" w:rsidRDefault="00785921" w:rsidP="00126E97">
      <w:pPr>
        <w:pStyle w:val="FootnoteText"/>
        <w:spacing w:line="20" w:lineRule="atLeast"/>
        <w:rPr>
          <w:sz w:val="16"/>
          <w:szCs w:val="16"/>
          <w:lang w:val="es-CR"/>
        </w:rPr>
      </w:pPr>
      <w:r w:rsidRPr="006A0901">
        <w:rPr>
          <w:rStyle w:val="FootnoteReference"/>
          <w:sz w:val="16"/>
          <w:szCs w:val="16"/>
        </w:rPr>
        <w:footnoteRef/>
      </w:r>
      <w:r w:rsidRPr="006A0901">
        <w:rPr>
          <w:sz w:val="16"/>
          <w:szCs w:val="16"/>
          <w:lang w:val="es-CR"/>
        </w:rPr>
        <w:t xml:space="preserve"> Respecto a lo determinado, interesa destacar que las circunstancias del caso son distintas a otras conocidas por la Corte, en las que</w:t>
      </w:r>
      <w:r>
        <w:rPr>
          <w:sz w:val="16"/>
          <w:szCs w:val="16"/>
          <w:lang w:val="es-CR"/>
        </w:rPr>
        <w:t xml:space="preserve"> </w:t>
      </w:r>
      <w:r w:rsidRPr="00617817">
        <w:rPr>
          <w:sz w:val="16"/>
          <w:szCs w:val="16"/>
          <w:lang w:val="es-CR"/>
        </w:rPr>
        <w:t>planteamientos</w:t>
      </w:r>
      <w:r>
        <w:rPr>
          <w:sz w:val="16"/>
          <w:szCs w:val="16"/>
          <w:lang w:val="es-CR"/>
        </w:rPr>
        <w:t xml:space="preserve"> </w:t>
      </w:r>
      <w:r w:rsidRPr="006A0901">
        <w:rPr>
          <w:sz w:val="16"/>
          <w:szCs w:val="16"/>
          <w:lang w:val="es-CR"/>
        </w:rPr>
        <w:t xml:space="preserve">de competencia se resolvieron a favor del fuero militar, ámbito en el cual las actuaciones permanecieron varios años. Así, en el caso </w:t>
      </w:r>
      <w:proofErr w:type="spellStart"/>
      <w:r w:rsidRPr="006A0901">
        <w:rPr>
          <w:i/>
          <w:sz w:val="16"/>
          <w:szCs w:val="16"/>
          <w:lang w:val="es-CR"/>
        </w:rPr>
        <w:t>Quispialaya</w:t>
      </w:r>
      <w:proofErr w:type="spellEnd"/>
      <w:r w:rsidRPr="006A0901">
        <w:rPr>
          <w:i/>
          <w:sz w:val="16"/>
          <w:szCs w:val="16"/>
          <w:lang w:val="es-CR"/>
        </w:rPr>
        <w:t xml:space="preserve"> </w:t>
      </w:r>
      <w:proofErr w:type="spellStart"/>
      <w:r w:rsidRPr="006A0901">
        <w:rPr>
          <w:i/>
          <w:sz w:val="16"/>
          <w:szCs w:val="16"/>
          <w:lang w:val="es-CR"/>
        </w:rPr>
        <w:t>Vilcapoma</w:t>
      </w:r>
      <w:proofErr w:type="spellEnd"/>
      <w:r w:rsidRPr="006A0901">
        <w:rPr>
          <w:i/>
          <w:sz w:val="16"/>
          <w:szCs w:val="16"/>
          <w:lang w:val="es-CR"/>
        </w:rPr>
        <w:t xml:space="preserve"> Vs. Perú</w:t>
      </w:r>
      <w:r w:rsidRPr="006A0901">
        <w:rPr>
          <w:sz w:val="16"/>
          <w:szCs w:val="16"/>
          <w:lang w:val="es-CR"/>
        </w:rPr>
        <w:t xml:space="preserve"> la Corte determinó que “la decisión de la Sala Penal Permanente de la Corte Suprema de inhibir a la jurisdicción ordinaria de investigar y juzgar los hechos delictivos del […] caso, aunada al largo período entre los años 2002 y 2007 durante el cual el caso se mantuvo en la jurisdicción militar, vulneró el principio del juez natural” (</w:t>
      </w:r>
      <w:r w:rsidRPr="006A0901">
        <w:rPr>
          <w:i/>
          <w:sz w:val="16"/>
          <w:szCs w:val="16"/>
          <w:lang w:val="es-CR"/>
        </w:rPr>
        <w:t xml:space="preserve">Caso </w:t>
      </w:r>
      <w:proofErr w:type="spellStart"/>
      <w:r w:rsidRPr="006A0901">
        <w:rPr>
          <w:i/>
          <w:sz w:val="16"/>
          <w:szCs w:val="16"/>
          <w:lang w:val="es-CR"/>
        </w:rPr>
        <w:t>Quispialaya</w:t>
      </w:r>
      <w:proofErr w:type="spellEnd"/>
      <w:r w:rsidRPr="006A0901">
        <w:rPr>
          <w:i/>
          <w:sz w:val="16"/>
          <w:szCs w:val="16"/>
          <w:lang w:val="es-CR"/>
        </w:rPr>
        <w:t xml:space="preserve"> </w:t>
      </w:r>
      <w:proofErr w:type="spellStart"/>
      <w:r w:rsidRPr="006A0901">
        <w:rPr>
          <w:i/>
          <w:sz w:val="16"/>
          <w:szCs w:val="16"/>
          <w:lang w:val="es-CR"/>
        </w:rPr>
        <w:t>Vilcapoma</w:t>
      </w:r>
      <w:proofErr w:type="spellEnd"/>
      <w:r w:rsidRPr="006A0901">
        <w:rPr>
          <w:i/>
          <w:sz w:val="16"/>
          <w:szCs w:val="16"/>
          <w:lang w:val="es-CR"/>
        </w:rPr>
        <w:t xml:space="preserve"> Vs. Perú. Excepciones Preliminares, Fondo, Reparaciones y Costas</w:t>
      </w:r>
      <w:r w:rsidRPr="006A0901">
        <w:rPr>
          <w:sz w:val="16"/>
          <w:szCs w:val="16"/>
          <w:lang w:val="es-CR"/>
        </w:rPr>
        <w:t xml:space="preserve">. Sentencia de 23 de noviembre de 2015. Serie C No. 308, párr. 152). Circunstancias como las referidas denotan un impacto en el derecho a las garantías judiciales, que no resulta verificado en el presente caso, dadas las particularidades del mismo. </w:t>
      </w:r>
    </w:p>
  </w:footnote>
  <w:footnote w:id="138">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iCs/>
          <w:sz w:val="16"/>
          <w:szCs w:val="16"/>
          <w:lang w:val="es-CR"/>
        </w:rPr>
        <w:t>Cfr. Caso de la Masacre de la Rochela Vs. Colombia. Fondo, Reparaciones y Costas</w:t>
      </w:r>
      <w:r w:rsidRPr="00637508">
        <w:rPr>
          <w:sz w:val="16"/>
          <w:szCs w:val="16"/>
          <w:lang w:val="es-CR"/>
        </w:rPr>
        <w:t xml:space="preserve">. Sentencia de 11 de mayo de 2007. Serie C No. 163, párr. 158, y </w:t>
      </w:r>
      <w:r w:rsidRPr="00637508">
        <w:rPr>
          <w:i/>
          <w:sz w:val="16"/>
          <w:szCs w:val="16"/>
          <w:lang w:val="es-CR"/>
        </w:rPr>
        <w:t>Caso Pacheco León y otros Vs. Honduras</w:t>
      </w:r>
      <w:r>
        <w:rPr>
          <w:i/>
          <w:sz w:val="16"/>
          <w:szCs w:val="16"/>
          <w:lang w:val="es-CR"/>
        </w:rPr>
        <w:t>, supra</w:t>
      </w:r>
      <w:r w:rsidRPr="00637508">
        <w:rPr>
          <w:sz w:val="16"/>
          <w:szCs w:val="16"/>
          <w:lang w:val="es-CR"/>
        </w:rPr>
        <w:t>, pár</w:t>
      </w:r>
      <w:r>
        <w:rPr>
          <w:sz w:val="16"/>
          <w:szCs w:val="16"/>
          <w:lang w:val="es-CR"/>
        </w:rPr>
        <w:t>r</w:t>
      </w:r>
      <w:r w:rsidRPr="00637508">
        <w:rPr>
          <w:sz w:val="16"/>
          <w:szCs w:val="16"/>
          <w:lang w:val="es-CR"/>
        </w:rPr>
        <w:t xml:space="preserve">. 89. </w:t>
      </w:r>
    </w:p>
  </w:footnote>
  <w:footnote w:id="139">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 xml:space="preserve">Cfr. </w:t>
      </w:r>
      <w:r w:rsidRPr="00310C03">
        <w:rPr>
          <w:i/>
          <w:sz w:val="16"/>
          <w:szCs w:val="16"/>
          <w:lang w:val="es-CR"/>
        </w:rPr>
        <w:t xml:space="preserve">Caso </w:t>
      </w:r>
      <w:proofErr w:type="spellStart"/>
      <w:r w:rsidRPr="00310C03">
        <w:rPr>
          <w:i/>
          <w:sz w:val="16"/>
          <w:szCs w:val="16"/>
          <w:lang w:val="es-CR"/>
        </w:rPr>
        <w:t>Kawas</w:t>
      </w:r>
      <w:proofErr w:type="spellEnd"/>
      <w:r w:rsidRPr="00310C03">
        <w:rPr>
          <w:i/>
          <w:sz w:val="16"/>
          <w:szCs w:val="16"/>
          <w:lang w:val="es-CR"/>
        </w:rPr>
        <w:t xml:space="preserve"> Fernández Vs. Honduras. Fondo, Reparaciones y Costas. Sentencia de 3 de abril de 2009. Serie C No. 196, párr. 96</w:t>
      </w:r>
      <w:r>
        <w:rPr>
          <w:i/>
          <w:sz w:val="16"/>
          <w:szCs w:val="16"/>
          <w:lang w:val="es-CR"/>
        </w:rPr>
        <w:t xml:space="preserve">, y </w:t>
      </w:r>
      <w:r w:rsidRPr="00637508">
        <w:rPr>
          <w:i/>
          <w:sz w:val="16"/>
          <w:szCs w:val="16"/>
          <w:lang w:val="es-CR"/>
        </w:rPr>
        <w:t>Caso Pacheco León y otros Vs. Hondura</w:t>
      </w:r>
      <w:r>
        <w:rPr>
          <w:i/>
          <w:sz w:val="16"/>
          <w:szCs w:val="16"/>
          <w:lang w:val="es-CR"/>
        </w:rPr>
        <w:t>, supra</w:t>
      </w:r>
      <w:r w:rsidRPr="00637508">
        <w:rPr>
          <w:sz w:val="16"/>
          <w:szCs w:val="16"/>
          <w:lang w:val="es-CR"/>
        </w:rPr>
        <w:t>, pár</w:t>
      </w:r>
      <w:r>
        <w:rPr>
          <w:sz w:val="16"/>
          <w:szCs w:val="16"/>
          <w:lang w:val="es-CR"/>
        </w:rPr>
        <w:t>r</w:t>
      </w:r>
      <w:r w:rsidRPr="00637508">
        <w:rPr>
          <w:sz w:val="16"/>
          <w:szCs w:val="16"/>
          <w:lang w:val="es-CR"/>
        </w:rPr>
        <w:t>. 89.</w:t>
      </w:r>
    </w:p>
  </w:footnote>
  <w:footnote w:id="140">
    <w:p w:rsidR="00785921" w:rsidRPr="00637508" w:rsidRDefault="00785921" w:rsidP="00126E97">
      <w:pPr>
        <w:pStyle w:val="FootnoteText"/>
        <w:spacing w:line="20" w:lineRule="atLeast"/>
        <w:rPr>
          <w:lang w:val="es-CR"/>
        </w:rPr>
      </w:pPr>
      <w:r>
        <w:rPr>
          <w:rStyle w:val="FootnoteReference"/>
          <w:sz w:val="16"/>
          <w:szCs w:val="16"/>
          <w:lang w:eastAsia="x-none"/>
        </w:rPr>
        <w:footnoteRef/>
      </w:r>
      <w:r w:rsidRPr="00637508">
        <w:rPr>
          <w:sz w:val="16"/>
          <w:szCs w:val="16"/>
          <w:lang w:val="es-CR"/>
        </w:rPr>
        <w:t xml:space="preserve"> </w:t>
      </w:r>
      <w:r>
        <w:rPr>
          <w:sz w:val="16"/>
          <w:szCs w:val="16"/>
          <w:lang w:val="es-CR"/>
        </w:rPr>
        <w:t>De los hechos del caso surge que el 8 de julio de 2004 se condenó a 14 militares a 40 años de prisión por las muertes y lesiones infringidas, y que el 23 de septiembre de 2005 la sentencia condenatoria quedó firme (</w:t>
      </w:r>
      <w:r>
        <w:rPr>
          <w:i/>
          <w:sz w:val="16"/>
          <w:szCs w:val="16"/>
          <w:lang w:val="es-CR"/>
        </w:rPr>
        <w:t>supra</w:t>
      </w:r>
      <w:r>
        <w:rPr>
          <w:sz w:val="16"/>
          <w:szCs w:val="16"/>
          <w:lang w:val="es-CR"/>
        </w:rPr>
        <w:t xml:space="preserve"> párr. 64).</w:t>
      </w:r>
    </w:p>
  </w:footnote>
  <w:footnote w:id="14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i/>
          <w:sz w:val="16"/>
          <w:szCs w:val="16"/>
          <w:lang w:val="es-CR"/>
        </w:rPr>
        <w:t>Cfr.</w:t>
      </w:r>
      <w:r w:rsidRPr="006A40AD">
        <w:rPr>
          <w:sz w:val="16"/>
          <w:szCs w:val="16"/>
          <w:lang w:val="es-CR"/>
        </w:rPr>
        <w:t xml:space="preserve"> en ese sentido, </w:t>
      </w:r>
      <w:r w:rsidRPr="00637508">
        <w:rPr>
          <w:i/>
          <w:sz w:val="16"/>
          <w:szCs w:val="16"/>
          <w:lang w:val="es-CR"/>
        </w:rPr>
        <w:t xml:space="preserve">Caso Vargas </w:t>
      </w:r>
      <w:proofErr w:type="spellStart"/>
      <w:r w:rsidRPr="00637508">
        <w:rPr>
          <w:i/>
          <w:sz w:val="16"/>
          <w:szCs w:val="16"/>
          <w:lang w:val="es-CR"/>
        </w:rPr>
        <w:t>Areco</w:t>
      </w:r>
      <w:proofErr w:type="spellEnd"/>
      <w:r w:rsidRPr="00637508">
        <w:rPr>
          <w:i/>
          <w:sz w:val="16"/>
          <w:szCs w:val="16"/>
          <w:lang w:val="es-CR"/>
        </w:rPr>
        <w:t xml:space="preserve"> Vs. Paraguay. </w:t>
      </w:r>
      <w:r w:rsidRPr="000E39FE">
        <w:rPr>
          <w:sz w:val="16"/>
          <w:szCs w:val="16"/>
          <w:lang w:val="es-CR"/>
        </w:rPr>
        <w:t>Sentencia de 26 de septiembre de 2006</w:t>
      </w:r>
      <w:r w:rsidRPr="00637508">
        <w:rPr>
          <w:i/>
          <w:sz w:val="16"/>
          <w:szCs w:val="16"/>
          <w:lang w:val="es-CR"/>
        </w:rPr>
        <w:t>.</w:t>
      </w:r>
      <w:r w:rsidRPr="00637508">
        <w:rPr>
          <w:sz w:val="16"/>
          <w:szCs w:val="16"/>
          <w:lang w:val="es-CR"/>
        </w:rPr>
        <w:t xml:space="preserve"> Serie C No. 155, párr. 108, y </w:t>
      </w:r>
      <w:r w:rsidRPr="00637508">
        <w:rPr>
          <w:bCs/>
          <w:i/>
          <w:sz w:val="16"/>
          <w:szCs w:val="16"/>
          <w:lang w:val="es-CR"/>
        </w:rPr>
        <w:t xml:space="preserve">Caso Trabajadores de la Hacienda Brasil Verde Vs. Brasil. Excepciones Preliminares, Fondo, Reparaciones y Costas. </w:t>
      </w:r>
      <w:r w:rsidRPr="00637508">
        <w:rPr>
          <w:bCs/>
          <w:sz w:val="16"/>
          <w:szCs w:val="16"/>
          <w:lang w:val="es-CR"/>
        </w:rPr>
        <w:t>Sentencia de 20 de octubre de 2016. Serie C No. 318, párr. 462.</w:t>
      </w:r>
    </w:p>
  </w:footnote>
  <w:footnote w:id="142">
    <w:p w:rsidR="00785921" w:rsidRPr="006A40AD" w:rsidRDefault="00785921" w:rsidP="00126E97">
      <w:pPr>
        <w:pStyle w:val="FootnoteText"/>
        <w:spacing w:line="20" w:lineRule="atLeast"/>
        <w:rPr>
          <w:sz w:val="16"/>
          <w:szCs w:val="16"/>
          <w:lang w:val="es-CR"/>
        </w:rPr>
      </w:pPr>
      <w:r w:rsidRPr="00863619">
        <w:rPr>
          <w:rStyle w:val="FootnoteReference"/>
          <w:sz w:val="16"/>
          <w:szCs w:val="16"/>
          <w:lang w:eastAsia="x-none"/>
        </w:rPr>
        <w:footnoteRef/>
      </w:r>
      <w:r w:rsidRPr="00637508">
        <w:rPr>
          <w:i/>
          <w:sz w:val="16"/>
          <w:szCs w:val="16"/>
          <w:lang w:val="es-CR"/>
        </w:rPr>
        <w:t xml:space="preserve"> Cfr. </w:t>
      </w:r>
      <w:r w:rsidRPr="00637508">
        <w:rPr>
          <w:bCs/>
          <w:i/>
          <w:sz w:val="16"/>
          <w:szCs w:val="16"/>
          <w:lang w:val="es-CR"/>
        </w:rPr>
        <w:t xml:space="preserve">Caso Ortiz Hernández y otros Vs. Venezuela. Fondo, Reparaciones y Costas. </w:t>
      </w:r>
      <w:r w:rsidRPr="006A40AD">
        <w:rPr>
          <w:bCs/>
          <w:sz w:val="16"/>
          <w:szCs w:val="16"/>
          <w:lang w:val="es-CR"/>
        </w:rPr>
        <w:t xml:space="preserve">Sentencia de 22 de agosto de 2017. Serie C No. 338, </w:t>
      </w:r>
      <w:proofErr w:type="spellStart"/>
      <w:r w:rsidRPr="006A40AD">
        <w:rPr>
          <w:bCs/>
          <w:sz w:val="16"/>
          <w:szCs w:val="16"/>
          <w:lang w:val="es-CR"/>
        </w:rPr>
        <w:t>párrs</w:t>
      </w:r>
      <w:proofErr w:type="spellEnd"/>
      <w:r w:rsidRPr="006A40AD">
        <w:rPr>
          <w:bCs/>
          <w:sz w:val="16"/>
          <w:szCs w:val="16"/>
          <w:lang w:val="es-CR"/>
        </w:rPr>
        <w:t>. 172 a 174.</w:t>
      </w:r>
      <w:r w:rsidRPr="006A40AD">
        <w:rPr>
          <w:b/>
          <w:bCs/>
          <w:sz w:val="16"/>
          <w:szCs w:val="16"/>
          <w:lang w:val="es-CR"/>
        </w:rPr>
        <w:t xml:space="preserve"> </w:t>
      </w:r>
    </w:p>
  </w:footnote>
  <w:footnote w:id="143">
    <w:p w:rsidR="00785921" w:rsidRDefault="00785921" w:rsidP="00126E97">
      <w:pPr>
        <w:pStyle w:val="Default"/>
        <w:spacing w:line="20" w:lineRule="atLeast"/>
        <w:jc w:val="both"/>
        <w:rPr>
          <w:sz w:val="16"/>
          <w:szCs w:val="16"/>
        </w:rPr>
      </w:pPr>
      <w:r>
        <w:rPr>
          <w:rStyle w:val="FootnoteReference"/>
          <w:sz w:val="16"/>
          <w:szCs w:val="16"/>
          <w:lang w:eastAsia="x-none"/>
        </w:rPr>
        <w:footnoteRef/>
      </w:r>
      <w:r>
        <w:rPr>
          <w:sz w:val="16"/>
          <w:szCs w:val="16"/>
        </w:rPr>
        <w:t xml:space="preserve"> Resulta pertinente a este caso la consideración expresada por la Corte en otra oportunidad: “la falta de captura de los responsables, además de perpetuar la incertidumbre de riesgo de las víctimas, evidencia en </w:t>
      </w:r>
    </w:p>
    <w:p w:rsidR="00785921" w:rsidRDefault="00785921" w:rsidP="00126E97">
      <w:pPr>
        <w:pStyle w:val="Default"/>
        <w:spacing w:line="20" w:lineRule="atLeast"/>
        <w:jc w:val="both"/>
        <w:rPr>
          <w:sz w:val="16"/>
          <w:szCs w:val="16"/>
        </w:rPr>
      </w:pPr>
      <w:r>
        <w:rPr>
          <w:sz w:val="16"/>
          <w:szCs w:val="16"/>
        </w:rPr>
        <w:t>este caso que el Estado no ha adoptado las medidas adecuadas para hacer valer sus propias decisiones” (</w:t>
      </w:r>
      <w:r>
        <w:rPr>
          <w:i/>
          <w:iCs/>
          <w:sz w:val="16"/>
          <w:szCs w:val="16"/>
        </w:rPr>
        <w:t xml:space="preserve">Caso Myrna </w:t>
      </w:r>
      <w:proofErr w:type="spellStart"/>
      <w:r>
        <w:rPr>
          <w:i/>
          <w:iCs/>
          <w:sz w:val="16"/>
          <w:szCs w:val="16"/>
        </w:rPr>
        <w:t>Mack</w:t>
      </w:r>
      <w:proofErr w:type="spellEnd"/>
      <w:r>
        <w:rPr>
          <w:i/>
          <w:iCs/>
          <w:sz w:val="16"/>
          <w:szCs w:val="16"/>
        </w:rPr>
        <w:t xml:space="preserve"> Chang Vs. Guatemala. Supervisión de Cumplimiento de Sentencia. </w:t>
      </w:r>
      <w:r>
        <w:rPr>
          <w:sz w:val="16"/>
          <w:szCs w:val="16"/>
        </w:rPr>
        <w:t>Resolución de la Corte Interamericana de Derechos Humanos de 16 de noviembre de 2009, Considerando 11).</w:t>
      </w:r>
    </w:p>
  </w:footnote>
  <w:footnote w:id="144">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C10BBD">
        <w:rPr>
          <w:sz w:val="16"/>
          <w:szCs w:val="16"/>
          <w:lang w:val="es-CR"/>
        </w:rPr>
        <w:t xml:space="preserve">De la información con que cuenta la Corte, ninguna de las personas aludidas murió antes del 12 de abril de 2000. La determinación de víctimas en el presente caso que son familiares de las personas muertas y heridas, que se listan, en lo pertinente, en los </w:t>
      </w:r>
      <w:r>
        <w:rPr>
          <w:sz w:val="16"/>
          <w:szCs w:val="16"/>
          <w:lang w:val="es-CR"/>
        </w:rPr>
        <w:t>A</w:t>
      </w:r>
      <w:r w:rsidRPr="00C10BBD">
        <w:rPr>
          <w:sz w:val="16"/>
          <w:szCs w:val="16"/>
          <w:lang w:val="es-CR"/>
        </w:rPr>
        <w:t>nexos B.1 y B.5 de la presente Sentencia, que integran la misma, se hace a partir de señalamientos de la Comisión y las partes.</w:t>
      </w:r>
      <w:r>
        <w:rPr>
          <w:sz w:val="16"/>
          <w:szCs w:val="16"/>
          <w:lang w:val="es-CR"/>
        </w:rPr>
        <w:t xml:space="preserve"> </w:t>
      </w:r>
    </w:p>
  </w:footnote>
  <w:footnote w:id="145">
    <w:p w:rsidR="00785921" w:rsidRPr="00E9378A" w:rsidRDefault="00785921" w:rsidP="00126E97">
      <w:pPr>
        <w:pStyle w:val="FootnoteText"/>
        <w:spacing w:line="20" w:lineRule="atLeast"/>
        <w:rPr>
          <w:b/>
          <w:lang w:val="es-CR"/>
        </w:rPr>
      </w:pPr>
      <w:r>
        <w:rPr>
          <w:rStyle w:val="FootnoteReference"/>
        </w:rPr>
        <w:footnoteRef/>
      </w:r>
      <w:r w:rsidRPr="00280DA2">
        <w:rPr>
          <w:lang w:val="es-CR"/>
        </w:rPr>
        <w:t xml:space="preserve"> </w:t>
      </w:r>
      <w:r w:rsidRPr="00280DA2">
        <w:rPr>
          <w:sz w:val="16"/>
          <w:szCs w:val="16"/>
          <w:lang w:val="es-CR"/>
        </w:rPr>
        <w:t xml:space="preserve">En otras ocasiones, de acuerdo a las circunstancias del caso, la Corte ha determinado violados derechos a las garantías judiciales en perjuicio de familiares de personas que habían visto lesionado su derecho a la integridad personal. Así ocurrió, por ejemplo, respecto al caso </w:t>
      </w:r>
      <w:proofErr w:type="spellStart"/>
      <w:r w:rsidRPr="00467331">
        <w:rPr>
          <w:rStyle w:val="Strong"/>
          <w:b w:val="0"/>
          <w:bCs/>
          <w:i/>
          <w:color w:val="000000"/>
          <w:sz w:val="16"/>
          <w:szCs w:val="16"/>
          <w:shd w:val="clear" w:color="auto" w:fill="FFFFFF"/>
          <w:lang w:val="es-ES"/>
        </w:rPr>
        <w:t>Quispialaya</w:t>
      </w:r>
      <w:proofErr w:type="spellEnd"/>
      <w:r w:rsidRPr="00467331">
        <w:rPr>
          <w:rStyle w:val="Strong"/>
          <w:b w:val="0"/>
          <w:bCs/>
          <w:i/>
          <w:color w:val="000000"/>
          <w:sz w:val="16"/>
          <w:szCs w:val="16"/>
          <w:shd w:val="clear" w:color="auto" w:fill="FFFFFF"/>
          <w:lang w:val="es-ES"/>
        </w:rPr>
        <w:t xml:space="preserve"> </w:t>
      </w:r>
      <w:proofErr w:type="spellStart"/>
      <w:r w:rsidRPr="00467331">
        <w:rPr>
          <w:rStyle w:val="Strong"/>
          <w:b w:val="0"/>
          <w:bCs/>
          <w:i/>
          <w:color w:val="000000"/>
          <w:sz w:val="16"/>
          <w:szCs w:val="16"/>
          <w:shd w:val="clear" w:color="auto" w:fill="FFFFFF"/>
          <w:lang w:val="es-ES"/>
        </w:rPr>
        <w:t>Vilcapoma</w:t>
      </w:r>
      <w:proofErr w:type="spellEnd"/>
      <w:r w:rsidRPr="00467331">
        <w:rPr>
          <w:rStyle w:val="Strong"/>
          <w:b w:val="0"/>
          <w:bCs/>
          <w:i/>
          <w:color w:val="000000"/>
          <w:sz w:val="16"/>
          <w:szCs w:val="16"/>
          <w:shd w:val="clear" w:color="auto" w:fill="FFFFFF"/>
          <w:lang w:val="es-ES"/>
        </w:rPr>
        <w:t xml:space="preserve"> vs. Perú</w:t>
      </w:r>
      <w:r w:rsidRPr="00467331">
        <w:rPr>
          <w:rStyle w:val="Strong"/>
          <w:b w:val="0"/>
          <w:bCs/>
          <w:color w:val="000000"/>
          <w:sz w:val="16"/>
          <w:szCs w:val="16"/>
          <w:shd w:val="clear" w:color="auto" w:fill="FFFFFF"/>
          <w:lang w:val="es-ES"/>
        </w:rPr>
        <w:t>. En el mismo se concluyó que se violó</w:t>
      </w:r>
      <w:r w:rsidRPr="00280DA2">
        <w:rPr>
          <w:rStyle w:val="Strong"/>
          <w:bCs/>
          <w:color w:val="000000"/>
          <w:sz w:val="16"/>
          <w:szCs w:val="16"/>
          <w:shd w:val="clear" w:color="auto" w:fill="FFFFFF"/>
          <w:lang w:val="es-ES"/>
        </w:rPr>
        <w:t xml:space="preserve"> </w:t>
      </w:r>
      <w:r w:rsidRPr="00280DA2">
        <w:rPr>
          <w:sz w:val="16"/>
          <w:szCs w:val="16"/>
          <w:lang w:val="es-ES"/>
        </w:rPr>
        <w:t xml:space="preserve">el artículo 8.1 de la Convención, en relación con el artículo 1.1 del mismo instrumento, en perjuicio de </w:t>
      </w:r>
      <w:proofErr w:type="spellStart"/>
      <w:r w:rsidRPr="00280DA2">
        <w:rPr>
          <w:sz w:val="16"/>
          <w:szCs w:val="16"/>
          <w:lang w:val="es-ES"/>
        </w:rPr>
        <w:t>Valdemir</w:t>
      </w:r>
      <w:proofErr w:type="spellEnd"/>
      <w:r w:rsidRPr="00280DA2">
        <w:rPr>
          <w:sz w:val="16"/>
          <w:szCs w:val="16"/>
          <w:lang w:val="es-ES"/>
        </w:rPr>
        <w:t xml:space="preserve"> </w:t>
      </w:r>
      <w:proofErr w:type="spellStart"/>
      <w:r w:rsidRPr="00280DA2">
        <w:rPr>
          <w:sz w:val="16"/>
          <w:szCs w:val="16"/>
          <w:lang w:val="es-ES"/>
        </w:rPr>
        <w:t>Quispialaya</w:t>
      </w:r>
      <w:proofErr w:type="spellEnd"/>
      <w:r w:rsidRPr="00280DA2">
        <w:rPr>
          <w:sz w:val="16"/>
          <w:szCs w:val="16"/>
          <w:lang w:val="es-ES"/>
        </w:rPr>
        <w:t xml:space="preserve"> </w:t>
      </w:r>
      <w:proofErr w:type="spellStart"/>
      <w:r w:rsidRPr="00280DA2">
        <w:rPr>
          <w:sz w:val="16"/>
          <w:szCs w:val="16"/>
          <w:lang w:val="es-ES"/>
        </w:rPr>
        <w:t>Vilcapoma</w:t>
      </w:r>
      <w:proofErr w:type="spellEnd"/>
      <w:r w:rsidRPr="00280DA2">
        <w:rPr>
          <w:sz w:val="16"/>
          <w:szCs w:val="16"/>
          <w:lang w:val="es-ES"/>
        </w:rPr>
        <w:t xml:space="preserve">, quien se encontraba vivo y había sufrido lesiones a su integridad personal, como también de Victoria </w:t>
      </w:r>
      <w:proofErr w:type="spellStart"/>
      <w:r w:rsidRPr="00280DA2">
        <w:rPr>
          <w:sz w:val="16"/>
          <w:szCs w:val="16"/>
          <w:lang w:val="es-ES"/>
        </w:rPr>
        <w:t>Vilcapoma</w:t>
      </w:r>
      <w:proofErr w:type="spellEnd"/>
      <w:r w:rsidRPr="00280DA2">
        <w:rPr>
          <w:sz w:val="16"/>
          <w:szCs w:val="16"/>
          <w:lang w:val="es-ES"/>
        </w:rPr>
        <w:t xml:space="preserve"> Taquia, quien había denunciado los hechos (</w:t>
      </w:r>
      <w:r w:rsidRPr="00280DA2">
        <w:rPr>
          <w:i/>
          <w:sz w:val="16"/>
          <w:szCs w:val="16"/>
          <w:lang w:val="es-ES"/>
        </w:rPr>
        <w:t>cfr.</w:t>
      </w:r>
      <w:r w:rsidRPr="00280DA2">
        <w:rPr>
          <w:sz w:val="16"/>
          <w:szCs w:val="16"/>
          <w:lang w:val="es-ES"/>
        </w:rPr>
        <w:t xml:space="preserve"> </w:t>
      </w:r>
      <w:r w:rsidRPr="00467331">
        <w:rPr>
          <w:rStyle w:val="Strong"/>
          <w:b w:val="0"/>
          <w:bCs/>
          <w:i/>
          <w:color w:val="000000"/>
          <w:sz w:val="16"/>
          <w:szCs w:val="16"/>
          <w:shd w:val="clear" w:color="auto" w:fill="FFFFFF"/>
          <w:lang w:val="es-ES"/>
        </w:rPr>
        <w:t xml:space="preserve">Caso </w:t>
      </w:r>
      <w:proofErr w:type="spellStart"/>
      <w:r w:rsidRPr="00467331">
        <w:rPr>
          <w:rStyle w:val="Strong"/>
          <w:b w:val="0"/>
          <w:bCs/>
          <w:i/>
          <w:color w:val="000000"/>
          <w:sz w:val="16"/>
          <w:szCs w:val="16"/>
          <w:shd w:val="clear" w:color="auto" w:fill="FFFFFF"/>
          <w:lang w:val="es-ES"/>
        </w:rPr>
        <w:t>Quispialaya</w:t>
      </w:r>
      <w:proofErr w:type="spellEnd"/>
      <w:r w:rsidRPr="00467331">
        <w:rPr>
          <w:rStyle w:val="Strong"/>
          <w:b w:val="0"/>
          <w:bCs/>
          <w:i/>
          <w:color w:val="000000"/>
          <w:sz w:val="16"/>
          <w:szCs w:val="16"/>
          <w:shd w:val="clear" w:color="auto" w:fill="FFFFFF"/>
          <w:lang w:val="es-ES"/>
        </w:rPr>
        <w:t xml:space="preserve"> </w:t>
      </w:r>
      <w:proofErr w:type="spellStart"/>
      <w:r w:rsidRPr="00467331">
        <w:rPr>
          <w:rStyle w:val="Strong"/>
          <w:b w:val="0"/>
          <w:bCs/>
          <w:i/>
          <w:color w:val="000000"/>
          <w:sz w:val="16"/>
          <w:szCs w:val="16"/>
          <w:shd w:val="clear" w:color="auto" w:fill="FFFFFF"/>
          <w:lang w:val="es-ES"/>
        </w:rPr>
        <w:t>Vilcapoma</w:t>
      </w:r>
      <w:proofErr w:type="spellEnd"/>
      <w:r w:rsidRPr="00467331">
        <w:rPr>
          <w:rStyle w:val="Strong"/>
          <w:b w:val="0"/>
          <w:bCs/>
          <w:i/>
          <w:color w:val="000000"/>
          <w:sz w:val="16"/>
          <w:szCs w:val="16"/>
          <w:shd w:val="clear" w:color="auto" w:fill="FFFFFF"/>
          <w:lang w:val="es-ES"/>
        </w:rPr>
        <w:t xml:space="preserve"> Vs. Perú</w:t>
      </w:r>
      <w:r>
        <w:rPr>
          <w:rStyle w:val="Strong"/>
          <w:b w:val="0"/>
          <w:bCs/>
          <w:i/>
          <w:color w:val="000000"/>
          <w:sz w:val="16"/>
          <w:szCs w:val="16"/>
          <w:shd w:val="clear" w:color="auto" w:fill="FFFFFF"/>
          <w:lang w:val="es-ES"/>
        </w:rPr>
        <w:t>, supra</w:t>
      </w:r>
      <w:r w:rsidRPr="00467331">
        <w:rPr>
          <w:rStyle w:val="Strong"/>
          <w:b w:val="0"/>
          <w:bCs/>
          <w:color w:val="000000"/>
          <w:sz w:val="16"/>
          <w:szCs w:val="16"/>
          <w:shd w:val="clear" w:color="auto" w:fill="FFFFFF"/>
          <w:lang w:val="es-CR"/>
        </w:rPr>
        <w:t xml:space="preserve">, párr. 188; ver, en el mismo sentido </w:t>
      </w:r>
      <w:r w:rsidRPr="00467331">
        <w:rPr>
          <w:rStyle w:val="Strong"/>
          <w:b w:val="0"/>
          <w:bCs/>
          <w:i/>
          <w:color w:val="000000"/>
          <w:sz w:val="16"/>
          <w:szCs w:val="16"/>
          <w:shd w:val="clear" w:color="auto" w:fill="FFFFFF"/>
          <w:lang w:val="es-CR"/>
        </w:rPr>
        <w:t>caso V.R.P., V.P.C. y otros Vs. Nicaragua</w:t>
      </w:r>
      <w:r>
        <w:rPr>
          <w:rStyle w:val="Strong"/>
          <w:b w:val="0"/>
          <w:bCs/>
          <w:i/>
          <w:color w:val="000000"/>
          <w:sz w:val="16"/>
          <w:szCs w:val="16"/>
          <w:shd w:val="clear" w:color="auto" w:fill="FFFFFF"/>
          <w:lang w:val="es-CR"/>
        </w:rPr>
        <w:t>, supra</w:t>
      </w:r>
      <w:r w:rsidRPr="00467331">
        <w:rPr>
          <w:rStyle w:val="Strong"/>
          <w:b w:val="0"/>
          <w:bCs/>
          <w:color w:val="000000"/>
          <w:sz w:val="16"/>
          <w:szCs w:val="16"/>
          <w:shd w:val="clear" w:color="auto" w:fill="FFFFFF"/>
          <w:lang w:val="es-CR"/>
        </w:rPr>
        <w:t>, párr. 271). En el presente caso, no consta que los familiares de las personas heridas denunciaran los hechos. Sin perjuicio de ello, en el ámbito interno Rigoberta Menchú se presentó como “querellante adhesiva” (</w:t>
      </w:r>
      <w:r w:rsidRPr="00467331">
        <w:rPr>
          <w:rStyle w:val="Strong"/>
          <w:b w:val="0"/>
          <w:bCs/>
          <w:i/>
          <w:color w:val="000000"/>
          <w:sz w:val="16"/>
          <w:szCs w:val="16"/>
          <w:shd w:val="clear" w:color="auto" w:fill="FFFFFF"/>
          <w:lang w:val="es-CR"/>
        </w:rPr>
        <w:t>supra</w:t>
      </w:r>
      <w:r w:rsidRPr="00467331">
        <w:rPr>
          <w:rStyle w:val="Strong"/>
          <w:b w:val="0"/>
          <w:bCs/>
          <w:color w:val="000000"/>
          <w:sz w:val="16"/>
          <w:szCs w:val="16"/>
          <w:shd w:val="clear" w:color="auto" w:fill="FFFFFF"/>
          <w:lang w:val="es-CR"/>
        </w:rPr>
        <w:t xml:space="preserve"> párr. 40) y, a su vez, también fungió como peticionaria ante la Comisión Interamericana, indicando que lo hacía en </w:t>
      </w:r>
      <w:r>
        <w:rPr>
          <w:rStyle w:val="Strong"/>
          <w:b w:val="0"/>
          <w:bCs/>
          <w:color w:val="000000"/>
          <w:sz w:val="16"/>
          <w:szCs w:val="16"/>
          <w:shd w:val="clear" w:color="auto" w:fill="FFFFFF"/>
          <w:lang w:val="es-CR"/>
        </w:rPr>
        <w:t xml:space="preserve">conjunto con distintas presuntas víctimas, y en </w:t>
      </w:r>
      <w:r w:rsidRPr="00467331">
        <w:rPr>
          <w:rStyle w:val="Strong"/>
          <w:b w:val="0"/>
          <w:bCs/>
          <w:color w:val="000000"/>
          <w:sz w:val="16"/>
          <w:szCs w:val="16"/>
          <w:shd w:val="clear" w:color="auto" w:fill="FFFFFF"/>
          <w:lang w:val="es-CR"/>
        </w:rPr>
        <w:t>relación con lesiones a derechos sufridas por distintas personas, inclusive familiares de personas heridas (</w:t>
      </w:r>
      <w:r w:rsidRPr="0046676D">
        <w:rPr>
          <w:rStyle w:val="Strong"/>
          <w:b w:val="0"/>
          <w:bCs/>
          <w:i/>
          <w:color w:val="000000"/>
          <w:sz w:val="16"/>
          <w:szCs w:val="16"/>
          <w:shd w:val="clear" w:color="auto" w:fill="FFFFFF"/>
          <w:lang w:val="es-CR"/>
        </w:rPr>
        <w:t>cfr</w:t>
      </w:r>
      <w:r w:rsidRPr="0046676D">
        <w:rPr>
          <w:rStyle w:val="Strong"/>
          <w:b w:val="0"/>
          <w:bCs/>
          <w:color w:val="000000"/>
          <w:sz w:val="16"/>
          <w:szCs w:val="16"/>
          <w:shd w:val="clear" w:color="auto" w:fill="FFFFFF"/>
          <w:lang w:val="es-CR"/>
        </w:rPr>
        <w:t>.</w:t>
      </w:r>
      <w:r w:rsidRPr="00467331">
        <w:rPr>
          <w:rStyle w:val="Strong"/>
          <w:b w:val="0"/>
          <w:bCs/>
          <w:color w:val="000000"/>
          <w:sz w:val="16"/>
          <w:szCs w:val="16"/>
          <w:shd w:val="clear" w:color="auto" w:fill="FFFFFF"/>
          <w:lang w:val="es-CR"/>
        </w:rPr>
        <w:t xml:space="preserve"> </w:t>
      </w:r>
      <w:r>
        <w:rPr>
          <w:rStyle w:val="Strong"/>
          <w:b w:val="0"/>
          <w:bCs/>
          <w:color w:val="000000"/>
          <w:sz w:val="16"/>
          <w:szCs w:val="16"/>
          <w:shd w:val="clear" w:color="auto" w:fill="FFFFFF"/>
          <w:lang w:val="es-CR"/>
        </w:rPr>
        <w:t>Comunicación de los peticionarios recibida por la Comisión el 16 de noviembre de 1995 (expediente de prueba, a</w:t>
      </w:r>
      <w:r w:rsidRPr="00467331">
        <w:rPr>
          <w:rStyle w:val="Strong"/>
          <w:b w:val="0"/>
          <w:bCs/>
          <w:color w:val="000000"/>
          <w:sz w:val="16"/>
          <w:szCs w:val="16"/>
          <w:shd w:val="clear" w:color="auto" w:fill="FFFFFF"/>
          <w:lang w:val="es-CR"/>
        </w:rPr>
        <w:t>nexo 4 al Informe de Fondo</w:t>
      </w:r>
      <w:r>
        <w:rPr>
          <w:rStyle w:val="Strong"/>
          <w:b w:val="0"/>
          <w:bCs/>
          <w:color w:val="000000"/>
          <w:sz w:val="16"/>
          <w:szCs w:val="16"/>
          <w:shd w:val="clear" w:color="auto" w:fill="FFFFFF"/>
          <w:lang w:val="es-CR"/>
        </w:rPr>
        <w:t>, folios 28 a 48</w:t>
      </w:r>
      <w:r w:rsidRPr="00467331">
        <w:rPr>
          <w:rStyle w:val="Strong"/>
          <w:b w:val="0"/>
          <w:bCs/>
          <w:color w:val="000000"/>
          <w:sz w:val="16"/>
          <w:szCs w:val="16"/>
          <w:shd w:val="clear" w:color="auto" w:fill="FFFFFF"/>
          <w:lang w:val="es-CR"/>
        </w:rPr>
        <w:t>). En el ámbito interno, además, el proceso judicial fue iniciado de oficio y se relaciona con un hecho que afectó a un amplio grupo de personas. En este marco, dadas las especificidades propias del caso, no resulta necesario a efectos del examen que aquí se realiza, considerar si cada una de las personas familiares de personas heridas presentó una denuncia o de otro modo tuvo alguna vinculación a los procesos internos. La Corte entiende, entonces, que hay razones suficientes en el caso concreto para asumir un interés</w:t>
      </w:r>
      <w:r>
        <w:rPr>
          <w:rStyle w:val="Strong"/>
          <w:b w:val="0"/>
          <w:bCs/>
          <w:color w:val="000000"/>
          <w:sz w:val="16"/>
          <w:szCs w:val="16"/>
          <w:shd w:val="clear" w:color="auto" w:fill="FFFFFF"/>
          <w:lang w:val="es-CR"/>
        </w:rPr>
        <w:t xml:space="preserve"> relevante</w:t>
      </w:r>
      <w:r w:rsidRPr="00467331">
        <w:rPr>
          <w:rStyle w:val="Strong"/>
          <w:b w:val="0"/>
          <w:bCs/>
          <w:color w:val="000000"/>
          <w:sz w:val="16"/>
          <w:szCs w:val="16"/>
          <w:shd w:val="clear" w:color="auto" w:fill="FFFFFF"/>
          <w:lang w:val="es-CR"/>
        </w:rPr>
        <w:t xml:space="preserve"> de los familiares de las personas heridas en el avance de la investigación de los hechos, así como la afectación a sus derechos por el incumplimiento de deberes estatales.</w:t>
      </w:r>
    </w:p>
  </w:footnote>
  <w:footnote w:id="146">
    <w:p w:rsidR="00785921" w:rsidRDefault="00785921" w:rsidP="00126E97">
      <w:pPr>
        <w:pStyle w:val="FootnoteText"/>
        <w:spacing w:line="20" w:lineRule="atLeast"/>
        <w:rPr>
          <w:sz w:val="16"/>
          <w:szCs w:val="16"/>
          <w:lang w:val="es-CR"/>
        </w:rPr>
      </w:pPr>
      <w:r>
        <w:rPr>
          <w:rStyle w:val="FootnoteReference"/>
          <w:rFonts w:eastAsia="MS ????"/>
          <w:spacing w:val="-2"/>
          <w:sz w:val="16"/>
          <w:szCs w:val="16"/>
          <w:lang w:val="es-CR" w:eastAsia="x-none"/>
        </w:rPr>
        <w:footnoteRef/>
      </w:r>
      <w:r w:rsidRPr="00637508">
        <w:rPr>
          <w:spacing w:val="-2"/>
          <w:sz w:val="16"/>
          <w:szCs w:val="16"/>
          <w:lang w:val="es-CR"/>
        </w:rPr>
        <w:t xml:space="preserve"> </w:t>
      </w:r>
      <w:r>
        <w:rPr>
          <w:i/>
          <w:iCs/>
          <w:spacing w:val="-2"/>
          <w:sz w:val="16"/>
          <w:szCs w:val="16"/>
          <w:lang w:val="es-CR"/>
        </w:rPr>
        <w:t xml:space="preserve">Cfr. Caso </w:t>
      </w:r>
      <w:r>
        <w:rPr>
          <w:i/>
          <w:sz w:val="16"/>
          <w:szCs w:val="16"/>
          <w:lang w:val="es-CR"/>
        </w:rPr>
        <w:t>Suárez</w:t>
      </w:r>
      <w:r>
        <w:rPr>
          <w:i/>
          <w:iCs/>
          <w:spacing w:val="-2"/>
          <w:sz w:val="16"/>
          <w:szCs w:val="16"/>
          <w:lang w:val="es-CR"/>
        </w:rPr>
        <w:t xml:space="preserve"> Rosero Vs. Ecuador. Fondo</w:t>
      </w:r>
      <w:r>
        <w:rPr>
          <w:spacing w:val="-2"/>
          <w:sz w:val="16"/>
          <w:szCs w:val="16"/>
          <w:lang w:val="es-CR"/>
        </w:rPr>
        <w:t>. Sentencia de 12 de noviembre de 1997. Serie C No. 35, párr. 71</w:t>
      </w:r>
      <w:r w:rsidRPr="00637508">
        <w:rPr>
          <w:sz w:val="16"/>
          <w:szCs w:val="16"/>
          <w:lang w:val="es-CR"/>
        </w:rPr>
        <w:t xml:space="preserve">, y </w:t>
      </w:r>
      <w:r>
        <w:rPr>
          <w:bCs/>
          <w:i/>
          <w:sz w:val="16"/>
          <w:szCs w:val="16"/>
          <w:lang w:val="es-CR"/>
        </w:rPr>
        <w:t xml:space="preserve">Caso Carvajal </w:t>
      </w:r>
      <w:proofErr w:type="spellStart"/>
      <w:r>
        <w:rPr>
          <w:bCs/>
          <w:i/>
          <w:sz w:val="16"/>
          <w:szCs w:val="16"/>
          <w:lang w:val="es-CR"/>
        </w:rPr>
        <w:t>Carvajal</w:t>
      </w:r>
      <w:proofErr w:type="spellEnd"/>
      <w:r>
        <w:rPr>
          <w:bCs/>
          <w:i/>
          <w:sz w:val="16"/>
          <w:szCs w:val="16"/>
          <w:lang w:val="es-CR"/>
        </w:rPr>
        <w:t xml:space="preserve"> y otros Vs. Colombia, supra</w:t>
      </w:r>
      <w:r w:rsidRPr="00637508">
        <w:rPr>
          <w:sz w:val="16"/>
          <w:szCs w:val="16"/>
          <w:lang w:val="es-CR"/>
        </w:rPr>
        <w:t xml:space="preserve">, </w:t>
      </w:r>
      <w:proofErr w:type="spellStart"/>
      <w:r w:rsidRPr="00637508">
        <w:rPr>
          <w:sz w:val="16"/>
          <w:szCs w:val="16"/>
          <w:lang w:val="es-CR"/>
        </w:rPr>
        <w:t>párr</w:t>
      </w:r>
      <w:r>
        <w:rPr>
          <w:sz w:val="16"/>
          <w:szCs w:val="16"/>
          <w:lang w:val="es-CR"/>
        </w:rPr>
        <w:t>s</w:t>
      </w:r>
      <w:proofErr w:type="spellEnd"/>
      <w:r w:rsidRPr="00637508">
        <w:rPr>
          <w:sz w:val="16"/>
          <w:szCs w:val="16"/>
          <w:lang w:val="es-CR"/>
        </w:rPr>
        <w:t>. 105</w:t>
      </w:r>
      <w:r>
        <w:rPr>
          <w:bCs/>
          <w:i/>
          <w:sz w:val="16"/>
          <w:szCs w:val="16"/>
          <w:lang w:val="es-CR"/>
        </w:rPr>
        <w:t xml:space="preserve"> </w:t>
      </w:r>
      <w:r>
        <w:rPr>
          <w:sz w:val="16"/>
          <w:szCs w:val="16"/>
          <w:lang w:val="es-CR"/>
        </w:rPr>
        <w:t xml:space="preserve">y </w:t>
      </w:r>
      <w:r w:rsidRPr="00637508">
        <w:rPr>
          <w:sz w:val="16"/>
          <w:szCs w:val="16"/>
          <w:lang w:val="es-CR"/>
        </w:rPr>
        <w:t>106.</w:t>
      </w:r>
    </w:p>
  </w:footnote>
  <w:footnote w:id="147">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Pr>
          <w:i/>
          <w:sz w:val="16"/>
          <w:szCs w:val="16"/>
          <w:lang w:val="es-CR"/>
        </w:rPr>
        <w:t>Cfr.</w:t>
      </w:r>
      <w:r>
        <w:rPr>
          <w:sz w:val="16"/>
          <w:szCs w:val="16"/>
          <w:lang w:val="es-CR"/>
        </w:rPr>
        <w:t xml:space="preserve"> </w:t>
      </w:r>
      <w:r>
        <w:rPr>
          <w:i/>
          <w:sz w:val="16"/>
          <w:szCs w:val="16"/>
          <w:lang w:val="es-CR"/>
        </w:rPr>
        <w:t>Caso de las comunidades afrodescendientes desplazadas de la Cuenca del Río Cacarica (Operación Génesis) Vs. Colombia</w:t>
      </w:r>
      <w:r>
        <w:rPr>
          <w:sz w:val="16"/>
          <w:szCs w:val="16"/>
          <w:lang w:val="es-CR"/>
        </w:rPr>
        <w:t xml:space="preserve">. </w:t>
      </w:r>
      <w:r>
        <w:rPr>
          <w:i/>
          <w:sz w:val="16"/>
          <w:szCs w:val="16"/>
          <w:lang w:val="es-CR"/>
        </w:rPr>
        <w:t>Excepciones Preliminares, Fondo, Reparaciones y Costas</w:t>
      </w:r>
      <w:r>
        <w:rPr>
          <w:sz w:val="16"/>
          <w:szCs w:val="16"/>
          <w:lang w:val="es-CR"/>
        </w:rPr>
        <w:t xml:space="preserve">. Sentencia de 20 de noviembre de 2013. Serie C No. 270, párr. 403, y </w:t>
      </w:r>
      <w:r>
        <w:rPr>
          <w:bCs/>
          <w:i/>
          <w:sz w:val="16"/>
          <w:szCs w:val="16"/>
          <w:lang w:val="es-CR"/>
        </w:rPr>
        <w:t xml:space="preserve">Caso Carvajal </w:t>
      </w:r>
      <w:proofErr w:type="spellStart"/>
      <w:r>
        <w:rPr>
          <w:bCs/>
          <w:i/>
          <w:sz w:val="16"/>
          <w:szCs w:val="16"/>
          <w:lang w:val="es-CR"/>
        </w:rPr>
        <w:t>Carvajal</w:t>
      </w:r>
      <w:proofErr w:type="spellEnd"/>
      <w:r>
        <w:rPr>
          <w:bCs/>
          <w:i/>
          <w:sz w:val="16"/>
          <w:szCs w:val="16"/>
          <w:lang w:val="es-CR"/>
        </w:rPr>
        <w:t xml:space="preserve"> y otros Vs. Colombia, supra</w:t>
      </w:r>
      <w:r w:rsidRPr="00637508">
        <w:rPr>
          <w:sz w:val="16"/>
          <w:szCs w:val="16"/>
          <w:lang w:val="es-CR"/>
        </w:rPr>
        <w:t>, párr. 106</w:t>
      </w:r>
      <w:r>
        <w:rPr>
          <w:sz w:val="16"/>
          <w:szCs w:val="16"/>
          <w:lang w:val="es-MX"/>
        </w:rPr>
        <w:t>.</w:t>
      </w:r>
    </w:p>
  </w:footnote>
  <w:footnote w:id="148">
    <w:p w:rsidR="00785921" w:rsidRPr="007B4C9E" w:rsidRDefault="00785921" w:rsidP="00126E97">
      <w:pPr>
        <w:pStyle w:val="ListParagraph"/>
        <w:spacing w:after="0" w:line="20" w:lineRule="atLeast"/>
        <w:ind w:left="0"/>
        <w:jc w:val="both"/>
        <w:rPr>
          <w:sz w:val="16"/>
          <w:szCs w:val="16"/>
          <w:lang w:val="es-CR"/>
        </w:rPr>
      </w:pPr>
      <w:r w:rsidRPr="00A26DD8">
        <w:rPr>
          <w:rStyle w:val="FootnoteReference"/>
          <w:rFonts w:ascii="Verdana" w:hAnsi="Verdana"/>
          <w:sz w:val="16"/>
          <w:szCs w:val="16"/>
        </w:rPr>
        <w:footnoteRef/>
      </w:r>
      <w:r w:rsidRPr="00A26DD8">
        <w:rPr>
          <w:rFonts w:ascii="Verdana" w:hAnsi="Verdana"/>
          <w:sz w:val="16"/>
          <w:szCs w:val="16"/>
          <w:lang w:val="es-CR"/>
        </w:rPr>
        <w:t xml:space="preserve"> </w:t>
      </w:r>
      <w:r w:rsidRPr="00A26DD8">
        <w:rPr>
          <w:rFonts w:ascii="Verdana" w:hAnsi="Verdana" w:cs="Times New Roman"/>
          <w:sz w:val="16"/>
          <w:szCs w:val="16"/>
          <w:lang w:val="es-CR"/>
        </w:rPr>
        <w:t xml:space="preserve">La </w:t>
      </w:r>
      <w:r w:rsidRPr="00A26DD8">
        <w:rPr>
          <w:rFonts w:ascii="Verdana" w:hAnsi="Verdana" w:cs="Arial"/>
          <w:sz w:val="16"/>
          <w:szCs w:val="16"/>
          <w:lang w:val="es-CR"/>
        </w:rPr>
        <w:t>jurisprudencia de este Tribunal ha considerado cuatro elementos para determinar, a saber: a) la complejidad del asunto; b) la actividad procesal del interesado; c) la conducta de las autoridades judiciales, y d) la afectación generada en la situación jurídica de la persona involucrada en el proceso</w:t>
      </w:r>
      <w:r>
        <w:rPr>
          <w:rFonts w:ascii="Verdana" w:hAnsi="Verdana" w:cs="Arial"/>
          <w:sz w:val="16"/>
          <w:szCs w:val="16"/>
          <w:lang w:val="es-CR"/>
        </w:rPr>
        <w:t xml:space="preserve"> (</w:t>
      </w:r>
      <w:r>
        <w:rPr>
          <w:rFonts w:ascii="Verdana" w:hAnsi="Verdana"/>
          <w:i/>
          <w:sz w:val="16"/>
          <w:szCs w:val="16"/>
          <w:lang w:val="es-CR"/>
        </w:rPr>
        <w:t>c</w:t>
      </w:r>
      <w:r w:rsidRPr="00A26DD8">
        <w:rPr>
          <w:rFonts w:ascii="Verdana" w:hAnsi="Verdana"/>
          <w:i/>
          <w:sz w:val="16"/>
          <w:szCs w:val="16"/>
          <w:lang w:val="es-CR"/>
        </w:rPr>
        <w:t xml:space="preserve">fr. Caso </w:t>
      </w:r>
      <w:proofErr w:type="spellStart"/>
      <w:r w:rsidRPr="00A26DD8">
        <w:rPr>
          <w:rFonts w:ascii="Verdana" w:hAnsi="Verdana"/>
          <w:i/>
          <w:sz w:val="16"/>
          <w:szCs w:val="16"/>
          <w:lang w:val="es-CR"/>
        </w:rPr>
        <w:t>Anzualdo</w:t>
      </w:r>
      <w:proofErr w:type="spellEnd"/>
      <w:r w:rsidRPr="00A26DD8">
        <w:rPr>
          <w:rFonts w:ascii="Verdana" w:hAnsi="Verdana"/>
          <w:i/>
          <w:sz w:val="16"/>
          <w:szCs w:val="16"/>
          <w:lang w:val="es-CR"/>
        </w:rPr>
        <w:t xml:space="preserve"> Castro Vs. Perú. Excepción Preliminar, Fondo, Reparaciones y Costas</w:t>
      </w:r>
      <w:r w:rsidRPr="00A26DD8">
        <w:rPr>
          <w:rFonts w:ascii="Verdana" w:hAnsi="Verdana"/>
          <w:sz w:val="16"/>
          <w:szCs w:val="16"/>
          <w:lang w:val="es-CR"/>
        </w:rPr>
        <w:t>. Sentencia de 22 de septiembre de 2009. Serie C No. 202</w:t>
      </w:r>
      <w:r w:rsidRPr="00A26DD8">
        <w:rPr>
          <w:rFonts w:ascii="Verdana" w:hAnsi="Verdana"/>
          <w:sz w:val="16"/>
          <w:szCs w:val="16"/>
        </w:rPr>
        <w:t xml:space="preserve">, párr. 156, y </w:t>
      </w:r>
      <w:r w:rsidRPr="00A26DD8">
        <w:rPr>
          <w:rFonts w:ascii="Verdana" w:hAnsi="Verdana"/>
          <w:bCs/>
          <w:i/>
          <w:sz w:val="16"/>
          <w:szCs w:val="16"/>
          <w:lang w:val="es-CR"/>
        </w:rPr>
        <w:t xml:space="preserve">Caso Carvajal </w:t>
      </w:r>
      <w:proofErr w:type="spellStart"/>
      <w:r w:rsidRPr="00A26DD8">
        <w:rPr>
          <w:rFonts w:ascii="Verdana" w:hAnsi="Verdana"/>
          <w:bCs/>
          <w:i/>
          <w:sz w:val="16"/>
          <w:szCs w:val="16"/>
          <w:lang w:val="es-CR"/>
        </w:rPr>
        <w:t>Carvajal</w:t>
      </w:r>
      <w:proofErr w:type="spellEnd"/>
      <w:r w:rsidRPr="00A26DD8">
        <w:rPr>
          <w:rFonts w:ascii="Verdana" w:hAnsi="Verdana"/>
          <w:bCs/>
          <w:i/>
          <w:sz w:val="16"/>
          <w:szCs w:val="16"/>
          <w:lang w:val="es-CR"/>
        </w:rPr>
        <w:t xml:space="preserve"> y otros Vs. Colombia</w:t>
      </w:r>
      <w:r>
        <w:rPr>
          <w:rFonts w:ascii="Verdana" w:hAnsi="Verdana"/>
          <w:bCs/>
          <w:i/>
          <w:sz w:val="16"/>
          <w:szCs w:val="16"/>
          <w:lang w:val="es-CR"/>
        </w:rPr>
        <w:t>, supra</w:t>
      </w:r>
      <w:r w:rsidRPr="007B4C9E">
        <w:rPr>
          <w:rFonts w:ascii="Verdana" w:hAnsi="Verdana"/>
          <w:sz w:val="16"/>
          <w:szCs w:val="16"/>
          <w:lang w:val="es-CR"/>
        </w:rPr>
        <w:t>, párr. 105</w:t>
      </w:r>
      <w:r>
        <w:rPr>
          <w:rFonts w:ascii="Verdana" w:hAnsi="Verdana"/>
          <w:sz w:val="16"/>
          <w:szCs w:val="16"/>
          <w:lang w:val="es-CR"/>
        </w:rPr>
        <w:t>)</w:t>
      </w:r>
      <w:r w:rsidRPr="007B4C9E">
        <w:rPr>
          <w:rFonts w:ascii="Verdana" w:hAnsi="Verdana"/>
          <w:sz w:val="16"/>
          <w:szCs w:val="16"/>
          <w:lang w:val="es-CR"/>
        </w:rPr>
        <w:t>.</w:t>
      </w:r>
    </w:p>
  </w:footnote>
  <w:footnote w:id="149">
    <w:p w:rsidR="00785921" w:rsidRPr="007B4C9E" w:rsidRDefault="00785921" w:rsidP="00126E97">
      <w:pPr>
        <w:pStyle w:val="FootnoteText"/>
        <w:spacing w:line="20" w:lineRule="atLeast"/>
        <w:rPr>
          <w:lang w:val="es-CR"/>
        </w:rPr>
      </w:pPr>
      <w:r w:rsidRPr="007B4C9E">
        <w:rPr>
          <w:rStyle w:val="FootnoteReference"/>
          <w:sz w:val="16"/>
          <w:szCs w:val="16"/>
        </w:rPr>
        <w:footnoteRef/>
      </w:r>
      <w:r w:rsidRPr="007B4C9E">
        <w:rPr>
          <w:sz w:val="16"/>
          <w:szCs w:val="16"/>
          <w:lang w:val="es-CR"/>
        </w:rPr>
        <w:t xml:space="preserve"> En ese sentido, se aclara que tampoco respecto de la etapa examinada resulta relevante </w:t>
      </w:r>
      <w:r>
        <w:rPr>
          <w:sz w:val="16"/>
          <w:szCs w:val="16"/>
          <w:lang w:val="es-CR"/>
        </w:rPr>
        <w:t>analizar</w:t>
      </w:r>
      <w:r w:rsidRPr="007B4C9E">
        <w:rPr>
          <w:sz w:val="16"/>
          <w:szCs w:val="16"/>
          <w:lang w:val="es-CR"/>
        </w:rPr>
        <w:t xml:space="preserve"> los cuatro elementos </w:t>
      </w:r>
      <w:r>
        <w:rPr>
          <w:sz w:val="16"/>
          <w:szCs w:val="16"/>
          <w:lang w:val="es-CR"/>
        </w:rPr>
        <w:t xml:space="preserve">relevantes </w:t>
      </w:r>
      <w:r w:rsidRPr="007B4C9E">
        <w:rPr>
          <w:sz w:val="16"/>
          <w:szCs w:val="16"/>
          <w:lang w:val="es-CR"/>
        </w:rPr>
        <w:t>para evaluar la razonab</w:t>
      </w:r>
      <w:r>
        <w:rPr>
          <w:sz w:val="16"/>
          <w:szCs w:val="16"/>
          <w:lang w:val="es-CR"/>
        </w:rPr>
        <w:t>ilidad del plazo antes indicado</w:t>
      </w:r>
      <w:r w:rsidRPr="007B4C9E">
        <w:rPr>
          <w:sz w:val="16"/>
          <w:szCs w:val="16"/>
          <w:lang w:val="es-CR"/>
        </w:rPr>
        <w:t xml:space="preserve"> (</w:t>
      </w:r>
      <w:r w:rsidRPr="007B4C9E">
        <w:rPr>
          <w:i/>
          <w:sz w:val="16"/>
          <w:szCs w:val="16"/>
          <w:lang w:val="es-CR"/>
        </w:rPr>
        <w:t>supra</w:t>
      </w:r>
      <w:r w:rsidRPr="007B4C9E">
        <w:rPr>
          <w:sz w:val="16"/>
          <w:szCs w:val="16"/>
          <w:lang w:val="es-CR"/>
        </w:rPr>
        <w:t xml:space="preserve"> nota</w:t>
      </w:r>
      <w:r>
        <w:rPr>
          <w:sz w:val="16"/>
          <w:szCs w:val="16"/>
          <w:lang w:val="es-CR"/>
        </w:rPr>
        <w:t xml:space="preserve"> a pie de página</w:t>
      </w:r>
      <w:r w:rsidRPr="007B4C9E">
        <w:rPr>
          <w:sz w:val="16"/>
          <w:szCs w:val="16"/>
          <w:lang w:val="es-CR"/>
        </w:rPr>
        <w:t xml:space="preserve"> </w:t>
      </w:r>
      <w:r>
        <w:rPr>
          <w:sz w:val="16"/>
          <w:szCs w:val="16"/>
          <w:lang w:val="es-CR"/>
        </w:rPr>
        <w:t>147</w:t>
      </w:r>
      <w:r w:rsidRPr="007B4C9E">
        <w:rPr>
          <w:sz w:val="16"/>
          <w:szCs w:val="16"/>
          <w:lang w:val="es-CR"/>
        </w:rPr>
        <w:t>).</w:t>
      </w:r>
      <w:r>
        <w:rPr>
          <w:lang w:val="es-CR"/>
        </w:rPr>
        <w:t xml:space="preserve"> </w:t>
      </w:r>
    </w:p>
  </w:footnote>
  <w:footnote w:id="150">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artículo 4.1 de la Convención dice: “Toda persona tiene derecho a que se respete su vida.  Este derecho estará protegido por la ley y, en general, a partir del momento de la concepción. Nadie puede ser privado de la vida arbitrariamente”. </w:t>
      </w:r>
    </w:p>
  </w:footnote>
  <w:footnote w:id="15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La Convención, en su artículo 5.1, expresa: “</w:t>
      </w:r>
      <w:r w:rsidRPr="00637508">
        <w:rPr>
          <w:rFonts w:cs="Tahoma"/>
          <w:color w:val="000000"/>
          <w:sz w:val="16"/>
          <w:szCs w:val="16"/>
          <w:lang w:val="es-CR"/>
        </w:rPr>
        <w:t>Toda persona tiene derecho a que se respete su integridad física, psíquica y moral”.</w:t>
      </w:r>
    </w:p>
  </w:footnote>
  <w:footnote w:id="15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Señala el artículo 19 de la Convención que “[t]</w:t>
      </w:r>
      <w:proofErr w:type="spellStart"/>
      <w:r w:rsidRPr="00637508">
        <w:rPr>
          <w:sz w:val="16"/>
          <w:szCs w:val="16"/>
          <w:lang w:val="es-CR"/>
        </w:rPr>
        <w:t>odo</w:t>
      </w:r>
      <w:proofErr w:type="spellEnd"/>
      <w:r w:rsidRPr="00637508">
        <w:rPr>
          <w:sz w:val="16"/>
          <w:szCs w:val="16"/>
          <w:lang w:val="es-CR"/>
        </w:rPr>
        <w:t xml:space="preserve"> niño tiene derecho a las medidas de protección que su condición de menor requieren por parte de su familia, de la sociedad y del Estado”.</w:t>
      </w:r>
    </w:p>
  </w:footnote>
  <w:footnote w:id="153">
    <w:p w:rsidR="00785921" w:rsidRPr="005B4879" w:rsidRDefault="00785921" w:rsidP="00126E97">
      <w:pPr>
        <w:pStyle w:val="FootnoteText"/>
        <w:spacing w:line="20" w:lineRule="atLeast"/>
        <w:rPr>
          <w:sz w:val="16"/>
          <w:szCs w:val="16"/>
          <w:lang w:val="es-CR"/>
        </w:rPr>
      </w:pPr>
      <w:r w:rsidRPr="005B4879">
        <w:rPr>
          <w:rStyle w:val="FootnoteReference"/>
          <w:sz w:val="16"/>
          <w:szCs w:val="16"/>
          <w:lang w:val="es-CR" w:eastAsia="x-none"/>
        </w:rPr>
        <w:footnoteRef/>
      </w:r>
      <w:r w:rsidRPr="005B4879">
        <w:rPr>
          <w:sz w:val="16"/>
          <w:szCs w:val="16"/>
          <w:lang w:val="es-CR"/>
        </w:rPr>
        <w:t xml:space="preserve"> </w:t>
      </w:r>
      <w:r w:rsidRPr="005B4879">
        <w:rPr>
          <w:i/>
          <w:sz w:val="16"/>
          <w:szCs w:val="16"/>
          <w:lang w:val="es-CR"/>
        </w:rPr>
        <w:t>Cfr.</w:t>
      </w:r>
      <w:r w:rsidRPr="005B4879">
        <w:rPr>
          <w:sz w:val="16"/>
          <w:szCs w:val="16"/>
          <w:lang w:val="es-CR"/>
        </w:rPr>
        <w:t xml:space="preserve"> Anexo B.2 </w:t>
      </w:r>
      <w:r>
        <w:rPr>
          <w:sz w:val="16"/>
          <w:szCs w:val="16"/>
          <w:lang w:val="es-CR"/>
        </w:rPr>
        <w:t xml:space="preserve">de </w:t>
      </w:r>
      <w:r w:rsidRPr="005B4879">
        <w:rPr>
          <w:sz w:val="16"/>
          <w:szCs w:val="16"/>
          <w:lang w:val="es-CR"/>
        </w:rPr>
        <w:t>la presente Sentencia. Los nombres allí indicados coinciden con los referidos por la Comisión.</w:t>
      </w:r>
    </w:p>
  </w:footnote>
  <w:footnote w:id="154">
    <w:p w:rsidR="00785921" w:rsidRPr="005B4879" w:rsidRDefault="00785921" w:rsidP="00126E97">
      <w:pPr>
        <w:pStyle w:val="FootnoteText"/>
        <w:spacing w:line="20" w:lineRule="atLeast"/>
        <w:rPr>
          <w:sz w:val="16"/>
          <w:szCs w:val="16"/>
          <w:lang w:val="es-CR"/>
        </w:rPr>
      </w:pPr>
      <w:r w:rsidRPr="005B4879">
        <w:rPr>
          <w:rStyle w:val="FootnoteReference"/>
          <w:sz w:val="16"/>
          <w:szCs w:val="16"/>
          <w:lang w:val="es-CR" w:eastAsia="x-none"/>
        </w:rPr>
        <w:footnoteRef/>
      </w:r>
      <w:r w:rsidRPr="005B4879">
        <w:rPr>
          <w:sz w:val="16"/>
          <w:szCs w:val="16"/>
          <w:lang w:val="es-CR"/>
        </w:rPr>
        <w:t xml:space="preserve"> </w:t>
      </w:r>
      <w:r w:rsidRPr="005B4879">
        <w:rPr>
          <w:i/>
          <w:sz w:val="16"/>
          <w:szCs w:val="16"/>
          <w:lang w:val="es-CR"/>
        </w:rPr>
        <w:t>Cfr.</w:t>
      </w:r>
      <w:r w:rsidRPr="005B4879">
        <w:rPr>
          <w:sz w:val="16"/>
          <w:szCs w:val="16"/>
          <w:lang w:val="es-CR"/>
        </w:rPr>
        <w:t xml:space="preserve"> Anexo B.3 </w:t>
      </w:r>
      <w:r>
        <w:rPr>
          <w:sz w:val="16"/>
          <w:szCs w:val="16"/>
          <w:lang w:val="es-CR"/>
        </w:rPr>
        <w:t>de</w:t>
      </w:r>
      <w:r w:rsidRPr="005B4879">
        <w:rPr>
          <w:sz w:val="16"/>
          <w:szCs w:val="16"/>
          <w:lang w:val="es-CR"/>
        </w:rPr>
        <w:t xml:space="preserve"> la presente Sentencia. Los primeros 26 nombres allí indicados coinciden con los referidos por la Comisión. </w:t>
      </w:r>
    </w:p>
  </w:footnote>
  <w:footnote w:id="155">
    <w:p w:rsidR="00785921" w:rsidRPr="005B4879" w:rsidRDefault="00785921" w:rsidP="00126E97">
      <w:pPr>
        <w:pStyle w:val="FootnoteText"/>
        <w:tabs>
          <w:tab w:val="left" w:pos="8505"/>
        </w:tabs>
        <w:spacing w:line="20" w:lineRule="atLeast"/>
        <w:rPr>
          <w:sz w:val="16"/>
          <w:szCs w:val="16"/>
          <w:lang w:val="es-CR"/>
        </w:rPr>
      </w:pPr>
      <w:r w:rsidRPr="005B4879">
        <w:rPr>
          <w:rStyle w:val="FootnoteReference"/>
          <w:sz w:val="16"/>
          <w:szCs w:val="16"/>
          <w:lang w:val="es-CR" w:eastAsia="x-none"/>
        </w:rPr>
        <w:footnoteRef/>
      </w:r>
      <w:r>
        <w:rPr>
          <w:sz w:val="16"/>
          <w:szCs w:val="16"/>
          <w:lang w:val="es-CR"/>
        </w:rPr>
        <w:t xml:space="preserve"> 1.-Santiago </w:t>
      </w:r>
      <w:proofErr w:type="spellStart"/>
      <w:r>
        <w:rPr>
          <w:sz w:val="16"/>
          <w:szCs w:val="16"/>
          <w:lang w:val="es-CR"/>
        </w:rPr>
        <w:t>Maquín</w:t>
      </w:r>
      <w:proofErr w:type="spellEnd"/>
      <w:r>
        <w:rPr>
          <w:sz w:val="16"/>
          <w:szCs w:val="16"/>
          <w:lang w:val="es-CR"/>
        </w:rPr>
        <w:t xml:space="preserve"> </w:t>
      </w:r>
      <w:proofErr w:type="spellStart"/>
      <w:r>
        <w:rPr>
          <w:sz w:val="16"/>
          <w:szCs w:val="16"/>
          <w:lang w:val="es-CR"/>
        </w:rPr>
        <w:t>Quip</w:t>
      </w:r>
      <w:proofErr w:type="spellEnd"/>
      <w:r w:rsidRPr="005B4879">
        <w:rPr>
          <w:sz w:val="16"/>
          <w:szCs w:val="16"/>
          <w:lang w:val="es-CR"/>
        </w:rPr>
        <w:t xml:space="preserve">; 2.-Gerardo Maldonado Sales y 3.-Rosendo Morales Ortiz </w:t>
      </w:r>
    </w:p>
  </w:footnote>
  <w:footnote w:id="156">
    <w:p w:rsidR="00785921" w:rsidRDefault="00785921" w:rsidP="00126E97">
      <w:pPr>
        <w:pStyle w:val="FootnoteText"/>
        <w:spacing w:line="20" w:lineRule="atLeast"/>
        <w:rPr>
          <w:sz w:val="16"/>
          <w:szCs w:val="16"/>
          <w:lang w:val="es-CR"/>
        </w:rPr>
      </w:pPr>
      <w:r w:rsidRPr="005B4879">
        <w:rPr>
          <w:rStyle w:val="FootnoteReference"/>
          <w:sz w:val="16"/>
          <w:szCs w:val="16"/>
          <w:lang w:val="es-CR" w:eastAsia="x-none"/>
        </w:rPr>
        <w:footnoteRef/>
      </w:r>
      <w:r w:rsidRPr="005B4879">
        <w:rPr>
          <w:sz w:val="16"/>
          <w:szCs w:val="16"/>
          <w:lang w:val="es-CR"/>
        </w:rPr>
        <w:t xml:space="preserve"> 1.-Carlos Fernando </w:t>
      </w:r>
      <w:proofErr w:type="spellStart"/>
      <w:r w:rsidRPr="005B4879">
        <w:rPr>
          <w:sz w:val="16"/>
          <w:szCs w:val="16"/>
          <w:lang w:val="es-CR"/>
        </w:rPr>
        <w:t>Chop</w:t>
      </w:r>
      <w:proofErr w:type="spellEnd"/>
      <w:r>
        <w:rPr>
          <w:sz w:val="16"/>
          <w:szCs w:val="16"/>
          <w:lang w:val="es-CR"/>
        </w:rPr>
        <w:t xml:space="preserve"> Chic</w:t>
      </w:r>
      <w:r w:rsidRPr="005B4879">
        <w:rPr>
          <w:sz w:val="16"/>
          <w:szCs w:val="16"/>
          <w:lang w:val="es-CR"/>
        </w:rPr>
        <w:t xml:space="preserve">;  2.-Santiago </w:t>
      </w:r>
      <w:proofErr w:type="spellStart"/>
      <w:r w:rsidRPr="005B4879">
        <w:rPr>
          <w:sz w:val="16"/>
          <w:szCs w:val="16"/>
          <w:lang w:val="es-CR"/>
        </w:rPr>
        <w:t>Coc</w:t>
      </w:r>
      <w:proofErr w:type="spellEnd"/>
      <w:r w:rsidRPr="005B4879">
        <w:rPr>
          <w:sz w:val="16"/>
          <w:szCs w:val="16"/>
          <w:lang w:val="es-CR"/>
        </w:rPr>
        <w:t xml:space="preserve">, y 3.-Maurilia </w:t>
      </w:r>
      <w:proofErr w:type="spellStart"/>
      <w:r w:rsidRPr="005B4879">
        <w:rPr>
          <w:sz w:val="16"/>
          <w:szCs w:val="16"/>
          <w:lang w:val="es-CR"/>
        </w:rPr>
        <w:t>Coc</w:t>
      </w:r>
      <w:proofErr w:type="spellEnd"/>
      <w:r w:rsidRPr="005B4879">
        <w:rPr>
          <w:sz w:val="16"/>
          <w:szCs w:val="16"/>
          <w:lang w:val="es-CR"/>
        </w:rPr>
        <w:t xml:space="preserve"> Max.</w:t>
      </w:r>
    </w:p>
  </w:footnote>
  <w:footnote w:id="157">
    <w:p w:rsidR="00785921" w:rsidRPr="00467331" w:rsidRDefault="00785921" w:rsidP="00126E97">
      <w:pPr>
        <w:spacing w:after="0" w:line="20" w:lineRule="atLeast"/>
        <w:jc w:val="both"/>
        <w:rPr>
          <w:rFonts w:ascii="Verdana" w:hAnsi="Verdana"/>
          <w:sz w:val="16"/>
          <w:szCs w:val="16"/>
          <w:lang w:val="es-VE"/>
        </w:rPr>
      </w:pPr>
      <w:r w:rsidRPr="00467331">
        <w:rPr>
          <w:rStyle w:val="FootnoteReference"/>
          <w:rFonts w:ascii="Verdana" w:hAnsi="Verdana"/>
          <w:sz w:val="16"/>
          <w:szCs w:val="16"/>
          <w:lang w:val="es-VE" w:eastAsia="x-none"/>
        </w:rPr>
        <w:footnoteRef/>
      </w:r>
      <w:r w:rsidRPr="00467331">
        <w:rPr>
          <w:rFonts w:ascii="Verdana" w:hAnsi="Verdana"/>
          <w:sz w:val="16"/>
          <w:szCs w:val="16"/>
        </w:rPr>
        <w:t xml:space="preserve"> La Comisión señaló en la audiencia pública de 9 de febrero de 2018 que “</w:t>
      </w:r>
      <w:r w:rsidRPr="00467331">
        <w:rPr>
          <w:rFonts w:ascii="Verdana" w:hAnsi="Verdana"/>
          <w:sz w:val="16"/>
          <w:szCs w:val="16"/>
          <w:lang w:val="es-VE"/>
        </w:rPr>
        <w:t xml:space="preserve">tuvo en cuenta el contexto histórico de discriminación por razones étnicas que han sufrido los pueblos indígenas en Guatemala, y en particular el contexto del conflicto armado durante el cual dicha discriminación étnica estuvo en la base de la política estatal de señalamiento y exterminio del pueblo maya. La Comisión </w:t>
      </w:r>
      <w:proofErr w:type="spellStart"/>
      <w:r w:rsidRPr="00467331">
        <w:rPr>
          <w:rFonts w:ascii="Verdana" w:hAnsi="Verdana"/>
          <w:sz w:val="16"/>
          <w:szCs w:val="16"/>
          <w:lang w:val="es-VE"/>
        </w:rPr>
        <w:t>consider</w:t>
      </w:r>
      <w:proofErr w:type="spellEnd"/>
      <w:r w:rsidRPr="00467331">
        <w:rPr>
          <w:rFonts w:ascii="Verdana" w:hAnsi="Verdana"/>
          <w:sz w:val="16"/>
          <w:szCs w:val="16"/>
          <w:lang w:val="es-VE"/>
        </w:rPr>
        <w:t>[</w:t>
      </w:r>
      <w:proofErr w:type="spellStart"/>
      <w:r w:rsidRPr="00467331">
        <w:rPr>
          <w:rFonts w:ascii="Verdana" w:hAnsi="Verdana"/>
          <w:sz w:val="16"/>
          <w:szCs w:val="16"/>
          <w:lang w:val="es-VE"/>
        </w:rPr>
        <w:t>ó</w:t>
      </w:r>
      <w:proofErr w:type="spellEnd"/>
      <w:r w:rsidRPr="00467331">
        <w:rPr>
          <w:rFonts w:ascii="Verdana" w:hAnsi="Verdana"/>
          <w:sz w:val="16"/>
          <w:szCs w:val="16"/>
          <w:lang w:val="es-VE"/>
        </w:rPr>
        <w:t xml:space="preserve">] que el comportamiento de las tropas en la </w:t>
      </w:r>
      <w:r>
        <w:rPr>
          <w:rFonts w:ascii="Verdana" w:hAnsi="Verdana"/>
          <w:sz w:val="16"/>
          <w:szCs w:val="16"/>
          <w:lang w:val="es-VE"/>
        </w:rPr>
        <w:t>[C]</w:t>
      </w:r>
      <w:proofErr w:type="spellStart"/>
      <w:r w:rsidRPr="00467331">
        <w:rPr>
          <w:rFonts w:ascii="Verdana" w:hAnsi="Verdana"/>
          <w:sz w:val="16"/>
          <w:szCs w:val="16"/>
          <w:lang w:val="es-VE"/>
        </w:rPr>
        <w:t>omunidad</w:t>
      </w:r>
      <w:proofErr w:type="spellEnd"/>
      <w:r w:rsidRPr="00467331">
        <w:rPr>
          <w:rFonts w:ascii="Verdana" w:hAnsi="Verdana"/>
          <w:sz w:val="16"/>
          <w:szCs w:val="16"/>
          <w:lang w:val="es-VE"/>
        </w:rPr>
        <w:t xml:space="preserve"> el día de los hechos, fue una expresión de la discriminación étnica ejercida contra el pueblo maya durante el conflicto armado en Guatemala”. </w:t>
      </w:r>
    </w:p>
  </w:footnote>
  <w:footnote w:id="158">
    <w:p w:rsidR="00785921" w:rsidRPr="00637508" w:rsidRDefault="00785921" w:rsidP="00126E97">
      <w:pPr>
        <w:pStyle w:val="FootnoteText"/>
        <w:spacing w:line="20" w:lineRule="atLeast"/>
        <w:rPr>
          <w:lang w:val="es-CR"/>
        </w:rPr>
      </w:pPr>
      <w:r w:rsidRPr="00467331">
        <w:rPr>
          <w:rStyle w:val="FootnoteReference"/>
          <w:sz w:val="16"/>
          <w:szCs w:val="16"/>
          <w:lang w:eastAsia="x-none"/>
        </w:rPr>
        <w:footnoteRef/>
      </w:r>
      <w:r w:rsidRPr="00467331">
        <w:rPr>
          <w:sz w:val="16"/>
          <w:szCs w:val="16"/>
          <w:lang w:val="es-CR"/>
        </w:rPr>
        <w:t xml:space="preserve"> </w:t>
      </w:r>
      <w:r w:rsidRPr="005726F1">
        <w:rPr>
          <w:sz w:val="16"/>
          <w:szCs w:val="16"/>
          <w:lang w:val="es-CR"/>
        </w:rPr>
        <w:t xml:space="preserve">Además de las personas indicadas por la comisión, los representantes señalaron a Eulalia Antonio, madre de </w:t>
      </w:r>
      <w:r>
        <w:rPr>
          <w:sz w:val="16"/>
          <w:szCs w:val="16"/>
          <w:lang w:val="es-CR"/>
        </w:rPr>
        <w:t xml:space="preserve">Manuela Mateo Antonio </w:t>
      </w:r>
      <w:r w:rsidRPr="005726F1">
        <w:rPr>
          <w:sz w:val="16"/>
          <w:szCs w:val="16"/>
          <w:lang w:val="es-CR"/>
        </w:rPr>
        <w:t>como víctima, quien es considerada presunta víctima en el caso (</w:t>
      </w:r>
      <w:r w:rsidRPr="005726F1">
        <w:rPr>
          <w:i/>
          <w:sz w:val="16"/>
          <w:szCs w:val="16"/>
          <w:lang w:val="es-CR"/>
        </w:rPr>
        <w:t>supra</w:t>
      </w:r>
      <w:r w:rsidRPr="005726F1">
        <w:rPr>
          <w:sz w:val="16"/>
          <w:szCs w:val="16"/>
          <w:lang w:val="es-CR"/>
        </w:rPr>
        <w:t xml:space="preserve"> párr. 17). Por otra parte, a diferencia de la Comisión, los representantes no presentaron argumentos respecto de Daniela Catarina Chic López, madre de Carlos Fernando </w:t>
      </w:r>
      <w:proofErr w:type="spellStart"/>
      <w:r w:rsidRPr="005726F1">
        <w:rPr>
          <w:sz w:val="16"/>
          <w:szCs w:val="16"/>
          <w:lang w:val="es-CR"/>
        </w:rPr>
        <w:t>Chop</w:t>
      </w:r>
      <w:proofErr w:type="spellEnd"/>
      <w:r>
        <w:rPr>
          <w:sz w:val="16"/>
          <w:szCs w:val="16"/>
          <w:lang w:val="es-CR"/>
        </w:rPr>
        <w:t xml:space="preserve"> Chic</w:t>
      </w:r>
      <w:r w:rsidRPr="005726F1">
        <w:rPr>
          <w:sz w:val="16"/>
          <w:szCs w:val="16"/>
          <w:lang w:val="es-CR"/>
        </w:rPr>
        <w:t>, aunque aportaron documentación que acredita el vínculo (</w:t>
      </w:r>
      <w:r w:rsidRPr="005726F1">
        <w:rPr>
          <w:i/>
          <w:sz w:val="16"/>
          <w:szCs w:val="16"/>
          <w:lang w:val="es-CR"/>
        </w:rPr>
        <w:t xml:space="preserve">cfr. </w:t>
      </w:r>
      <w:r w:rsidRPr="005726F1">
        <w:rPr>
          <w:sz w:val="16"/>
          <w:szCs w:val="16"/>
          <w:lang w:val="es-CR"/>
        </w:rPr>
        <w:t xml:space="preserve">certificado de defunción de Carlos Fernando </w:t>
      </w:r>
      <w:proofErr w:type="spellStart"/>
      <w:r w:rsidRPr="005726F1">
        <w:rPr>
          <w:sz w:val="16"/>
          <w:szCs w:val="16"/>
          <w:lang w:val="es-CR"/>
        </w:rPr>
        <w:t>Chop</w:t>
      </w:r>
      <w:proofErr w:type="spellEnd"/>
      <w:r w:rsidRPr="005726F1">
        <w:rPr>
          <w:sz w:val="16"/>
          <w:szCs w:val="16"/>
          <w:lang w:val="es-CR"/>
        </w:rPr>
        <w:t xml:space="preserve"> Chic (expediente de prueba, anexo 1 al escrito de solicitudes y argumentos, folios 5021 y 5022)).</w:t>
      </w:r>
      <w:r>
        <w:rPr>
          <w:sz w:val="16"/>
          <w:szCs w:val="16"/>
          <w:lang w:val="es-CR"/>
        </w:rPr>
        <w:t xml:space="preserve"> Por último, aunque el GAM se refirió a Santiago </w:t>
      </w:r>
      <w:proofErr w:type="spellStart"/>
      <w:r>
        <w:rPr>
          <w:sz w:val="16"/>
          <w:szCs w:val="16"/>
          <w:lang w:val="es-CR"/>
        </w:rPr>
        <w:t>Coc</w:t>
      </w:r>
      <w:proofErr w:type="spellEnd"/>
      <w:r>
        <w:rPr>
          <w:sz w:val="16"/>
          <w:szCs w:val="16"/>
          <w:lang w:val="es-CR"/>
        </w:rPr>
        <w:t xml:space="preserve"> en el escrito de solicitudes y argumentos, indicó carecer de contacto con su familia y no poder  efectuar solicitudes en su favor </w:t>
      </w:r>
      <w:r w:rsidRPr="001A37C7">
        <w:rPr>
          <w:sz w:val="16"/>
          <w:szCs w:val="16"/>
          <w:lang w:val="es-CR"/>
        </w:rPr>
        <w:t>(</w:t>
      </w:r>
      <w:r w:rsidRPr="001A37C7">
        <w:rPr>
          <w:i/>
          <w:sz w:val="16"/>
          <w:szCs w:val="16"/>
          <w:lang w:val="es-CR"/>
        </w:rPr>
        <w:t>infra</w:t>
      </w:r>
      <w:r w:rsidRPr="001A37C7">
        <w:rPr>
          <w:sz w:val="16"/>
          <w:szCs w:val="16"/>
          <w:lang w:val="es-CR"/>
        </w:rPr>
        <w:t xml:space="preserve">, nota a pie de página </w:t>
      </w:r>
      <w:r>
        <w:rPr>
          <w:sz w:val="16"/>
          <w:szCs w:val="16"/>
          <w:lang w:val="es-CR"/>
        </w:rPr>
        <w:t>227</w:t>
      </w:r>
      <w:r w:rsidRPr="001A37C7">
        <w:rPr>
          <w:sz w:val="16"/>
          <w:szCs w:val="16"/>
          <w:lang w:val="es-CR"/>
        </w:rPr>
        <w:t>)</w:t>
      </w:r>
      <w:r>
        <w:rPr>
          <w:i/>
          <w:sz w:val="16"/>
          <w:szCs w:val="16"/>
          <w:lang w:val="es-CR"/>
        </w:rPr>
        <w:t xml:space="preserve">. </w:t>
      </w:r>
      <w:r>
        <w:rPr>
          <w:sz w:val="16"/>
          <w:szCs w:val="16"/>
          <w:lang w:val="es-CR"/>
        </w:rPr>
        <w:t>El Estado no se pronunció al respecto. Teniendo eso en cuenta, así como la aceptación del Estado de los hechos en que se sustentan los alegatos sobre violaciones a derechos humanos en el caso (</w:t>
      </w:r>
      <w:r>
        <w:rPr>
          <w:i/>
          <w:sz w:val="16"/>
          <w:szCs w:val="16"/>
          <w:lang w:val="es-CR"/>
        </w:rPr>
        <w:t>supra</w:t>
      </w:r>
      <w:r>
        <w:rPr>
          <w:sz w:val="16"/>
          <w:szCs w:val="16"/>
          <w:lang w:val="es-CR"/>
        </w:rPr>
        <w:t xml:space="preserve"> párr. 26), del cual se ha indicado ya su carácter colectivo (</w:t>
      </w:r>
      <w:r>
        <w:rPr>
          <w:i/>
          <w:sz w:val="16"/>
          <w:szCs w:val="16"/>
          <w:lang w:val="es-CR"/>
        </w:rPr>
        <w:t>supra</w:t>
      </w:r>
      <w:r>
        <w:rPr>
          <w:sz w:val="16"/>
          <w:szCs w:val="16"/>
          <w:lang w:val="es-CR"/>
        </w:rPr>
        <w:t xml:space="preserve"> párr. 17), la Corte entiende procedente en este caso efectuar el examen atinente a estas personas, en cuanto a las distintas violaciones a derechos alegadas y eventuales medidas de reparación, a partir de lo señalado por la Comisión.</w:t>
      </w:r>
    </w:p>
  </w:footnote>
  <w:footnote w:id="15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rFonts w:cs="Times New Roman"/>
          <w:sz w:val="16"/>
          <w:szCs w:val="16"/>
          <w:lang w:val="es-CR"/>
        </w:rPr>
        <w:t>Destacaron que la falta de observancia de los acuerdos de retorno suscritos por Guatemala (</w:t>
      </w:r>
      <w:r>
        <w:rPr>
          <w:rFonts w:cs="Times New Roman"/>
          <w:i/>
          <w:sz w:val="16"/>
          <w:szCs w:val="16"/>
          <w:lang w:val="es-CR"/>
        </w:rPr>
        <w:t>supra</w:t>
      </w:r>
      <w:r>
        <w:rPr>
          <w:rFonts w:cs="Times New Roman"/>
          <w:sz w:val="16"/>
          <w:szCs w:val="16"/>
          <w:lang w:val="es-CR"/>
        </w:rPr>
        <w:t xml:space="preserve"> párr. 33), en cuanto a la no intervención de grupos militares, causó una situación de vulneración de derechos de la población indígena y por lo tanto produjo las violaciones alegadas. </w:t>
      </w:r>
      <w:r>
        <w:rPr>
          <w:sz w:val="16"/>
          <w:szCs w:val="16"/>
          <w:lang w:val="es-ES_tradnl"/>
        </w:rPr>
        <w:t>Además,</w:t>
      </w:r>
      <w:r>
        <w:rPr>
          <w:b/>
          <w:sz w:val="16"/>
          <w:szCs w:val="16"/>
          <w:lang w:val="es-ES_tradnl"/>
        </w:rPr>
        <w:t xml:space="preserve"> </w:t>
      </w:r>
      <w:r>
        <w:rPr>
          <w:sz w:val="16"/>
          <w:szCs w:val="16"/>
          <w:lang w:val="es-ES_tradnl"/>
        </w:rPr>
        <w:t>resaltaron el temor de los sobrevivientes y los familiares de quienes murieron de que, a partir de su liberación, militares involucrados puedan intentar vengarse.</w:t>
      </w:r>
    </w:p>
  </w:footnote>
  <w:footnote w:id="160">
    <w:p w:rsidR="00785921" w:rsidRPr="00425F9B"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El Estado s</w:t>
      </w:r>
      <w:r>
        <w:rPr>
          <w:rFonts w:cs="Times New Roman"/>
          <w:sz w:val="16"/>
          <w:szCs w:val="16"/>
          <w:lang w:val="es-CR"/>
        </w:rPr>
        <w:t xml:space="preserve">e refirió a lo expresado por la Corte en el </w:t>
      </w:r>
      <w:r>
        <w:rPr>
          <w:rFonts w:cs="Times New Roman"/>
          <w:i/>
          <w:sz w:val="16"/>
          <w:szCs w:val="16"/>
          <w:lang w:val="es-CR"/>
        </w:rPr>
        <w:t>caso Perozo y otros vs. Venezuela</w:t>
      </w:r>
      <w:r>
        <w:rPr>
          <w:rFonts w:cs="Times New Roman"/>
          <w:sz w:val="16"/>
          <w:szCs w:val="16"/>
          <w:lang w:val="es-CR"/>
        </w:rPr>
        <w:t>, en relación con el deber de garantía: “la investigación de la violación de determinado derecho sustantivo puede ser un medio para amparar, proteger o garantizar ese derecho” (</w:t>
      </w:r>
      <w:r>
        <w:rPr>
          <w:rFonts w:cs="Calibri"/>
          <w:i/>
          <w:sz w:val="16"/>
          <w:szCs w:val="16"/>
          <w:lang w:val="es-CR"/>
        </w:rPr>
        <w:t>Caso Perozo y otros Vs. Venezuela, supra,</w:t>
      </w:r>
      <w:r w:rsidRPr="00425F9B">
        <w:rPr>
          <w:rFonts w:cs="Calibri"/>
          <w:sz w:val="16"/>
          <w:szCs w:val="16"/>
          <w:lang w:val="es-CR"/>
        </w:rPr>
        <w:t xml:space="preserve"> </w:t>
      </w:r>
      <w:r>
        <w:rPr>
          <w:rFonts w:cs="Calibri"/>
          <w:sz w:val="16"/>
          <w:szCs w:val="16"/>
          <w:lang w:val="es-CR"/>
        </w:rPr>
        <w:t>p</w:t>
      </w:r>
      <w:r w:rsidRPr="00425F9B">
        <w:rPr>
          <w:rFonts w:cs="Calibri"/>
          <w:sz w:val="16"/>
          <w:szCs w:val="16"/>
          <w:lang w:val="es-CR"/>
        </w:rPr>
        <w:t xml:space="preserve">árr. 298). </w:t>
      </w:r>
    </w:p>
  </w:footnote>
  <w:footnote w:id="161">
    <w:p w:rsidR="00785921" w:rsidRPr="00467331" w:rsidRDefault="00785921" w:rsidP="00126E97">
      <w:pPr>
        <w:spacing w:after="0" w:line="20" w:lineRule="atLeast"/>
        <w:jc w:val="both"/>
        <w:rPr>
          <w:rFonts w:ascii="Verdana" w:hAnsi="Verdana"/>
          <w:sz w:val="16"/>
          <w:szCs w:val="16"/>
        </w:rPr>
      </w:pPr>
      <w:r w:rsidRPr="00467331">
        <w:rPr>
          <w:rStyle w:val="FootnoteReference"/>
          <w:rFonts w:ascii="Verdana" w:hAnsi="Verdana"/>
          <w:sz w:val="16"/>
          <w:szCs w:val="16"/>
          <w:lang w:eastAsia="x-none"/>
        </w:rPr>
        <w:footnoteRef/>
      </w:r>
      <w:r w:rsidRPr="00467331">
        <w:rPr>
          <w:rFonts w:ascii="Verdana" w:hAnsi="Verdana"/>
          <w:sz w:val="16"/>
          <w:szCs w:val="16"/>
          <w:lang w:val="es-CR"/>
        </w:rPr>
        <w:t xml:space="preserve"> </w:t>
      </w:r>
      <w:r w:rsidRPr="00467331">
        <w:rPr>
          <w:rFonts w:ascii="Verdana" w:hAnsi="Verdana"/>
          <w:i/>
          <w:iCs/>
          <w:sz w:val="16"/>
          <w:szCs w:val="16"/>
          <w:lang w:val="es-CR"/>
        </w:rPr>
        <w:t>Cfr</w:t>
      </w:r>
      <w:r w:rsidRPr="00467331">
        <w:rPr>
          <w:rFonts w:ascii="Verdana" w:hAnsi="Verdana"/>
          <w:i/>
          <w:sz w:val="16"/>
          <w:szCs w:val="16"/>
          <w:lang w:val="es-CR"/>
        </w:rPr>
        <w:t xml:space="preserve">. </w:t>
      </w:r>
      <w:r w:rsidRPr="00467331">
        <w:rPr>
          <w:rFonts w:ascii="Verdana" w:hAnsi="Verdana"/>
          <w:bCs/>
          <w:i/>
          <w:color w:val="000000"/>
          <w:sz w:val="16"/>
          <w:szCs w:val="16"/>
          <w:shd w:val="clear" w:color="auto" w:fill="FFFFFF"/>
        </w:rPr>
        <w:t xml:space="preserve">Caso </w:t>
      </w:r>
      <w:proofErr w:type="spellStart"/>
      <w:r w:rsidRPr="00467331">
        <w:rPr>
          <w:rFonts w:ascii="Verdana" w:hAnsi="Verdana"/>
          <w:bCs/>
          <w:i/>
          <w:color w:val="000000"/>
          <w:sz w:val="16"/>
          <w:szCs w:val="16"/>
          <w:shd w:val="clear" w:color="auto" w:fill="FFFFFF"/>
        </w:rPr>
        <w:t>Apitz</w:t>
      </w:r>
      <w:proofErr w:type="spellEnd"/>
      <w:r w:rsidRPr="00467331">
        <w:rPr>
          <w:rFonts w:ascii="Verdana" w:hAnsi="Verdana"/>
          <w:bCs/>
          <w:i/>
          <w:color w:val="000000"/>
          <w:sz w:val="16"/>
          <w:szCs w:val="16"/>
          <w:shd w:val="clear" w:color="auto" w:fill="FFFFFF"/>
        </w:rPr>
        <w:t xml:space="preserve"> Barbera y otros (“Corte Primera de lo Contencioso Administrativo”) Vs. Venezuela.</w:t>
      </w:r>
      <w:r w:rsidRPr="00467331">
        <w:rPr>
          <w:rFonts w:ascii="Verdana" w:hAnsi="Verdana"/>
          <w:bCs/>
          <w:color w:val="000000"/>
          <w:sz w:val="16"/>
          <w:szCs w:val="16"/>
          <w:shd w:val="clear" w:color="auto" w:fill="FFFFFF"/>
        </w:rPr>
        <w:t xml:space="preserve"> </w:t>
      </w:r>
      <w:r w:rsidRPr="00467331">
        <w:rPr>
          <w:rFonts w:ascii="Verdana" w:hAnsi="Verdana"/>
          <w:bCs/>
          <w:i/>
          <w:color w:val="000000"/>
          <w:sz w:val="16"/>
          <w:szCs w:val="16"/>
          <w:shd w:val="clear" w:color="auto" w:fill="FFFFFF"/>
        </w:rPr>
        <w:t>Excepción Preliminar, Fondo, Reparaciones y Costas</w:t>
      </w:r>
      <w:r w:rsidRPr="00467331">
        <w:rPr>
          <w:rFonts w:ascii="Verdana" w:hAnsi="Verdana"/>
          <w:bCs/>
          <w:color w:val="000000"/>
          <w:sz w:val="16"/>
          <w:szCs w:val="16"/>
          <w:shd w:val="clear" w:color="auto" w:fill="FFFFFF"/>
        </w:rPr>
        <w:t>. Sentencia de 5 de agosto de 2008. Serie C No. 182</w:t>
      </w:r>
      <w:r w:rsidRPr="00467331">
        <w:rPr>
          <w:rFonts w:ascii="Verdana" w:hAnsi="Verdana"/>
          <w:b/>
          <w:bCs/>
          <w:color w:val="000000"/>
          <w:sz w:val="16"/>
          <w:szCs w:val="16"/>
          <w:shd w:val="clear" w:color="auto" w:fill="FFFFFF"/>
        </w:rPr>
        <w:t>.</w:t>
      </w:r>
      <w:r w:rsidRPr="00467331">
        <w:rPr>
          <w:rFonts w:ascii="Verdana" w:hAnsi="Verdana"/>
          <w:iCs/>
          <w:sz w:val="16"/>
          <w:szCs w:val="16"/>
          <w:lang w:val="es-CR"/>
        </w:rPr>
        <w:t xml:space="preserve"> párr. 209, </w:t>
      </w:r>
      <w:r w:rsidRPr="00467331">
        <w:rPr>
          <w:rFonts w:ascii="Verdana" w:hAnsi="Verdana"/>
          <w:sz w:val="16"/>
          <w:szCs w:val="16"/>
          <w:lang w:val="es-CR"/>
        </w:rPr>
        <w:t xml:space="preserve">y </w:t>
      </w:r>
      <w:r w:rsidRPr="00467331">
        <w:rPr>
          <w:rFonts w:ascii="Verdana" w:hAnsi="Verdana"/>
          <w:bCs/>
          <w:i/>
          <w:sz w:val="16"/>
          <w:szCs w:val="16"/>
          <w:lang w:val="es-CR"/>
        </w:rPr>
        <w:t>Caso Ramírez Escobar y otros Vs. Guatemala. Fondo, Reparaciones y Costas.</w:t>
      </w:r>
      <w:r w:rsidRPr="00467331">
        <w:rPr>
          <w:rFonts w:ascii="Verdana" w:hAnsi="Verdana"/>
          <w:bCs/>
          <w:sz w:val="16"/>
          <w:szCs w:val="16"/>
          <w:lang w:val="es-CR"/>
        </w:rPr>
        <w:t xml:space="preserve"> Sentencia de 9 de marzo de 2018. Serie C No. 351,</w:t>
      </w:r>
      <w:r w:rsidRPr="00467331">
        <w:rPr>
          <w:rFonts w:ascii="Verdana" w:hAnsi="Verdana"/>
          <w:sz w:val="16"/>
          <w:szCs w:val="16"/>
          <w:lang w:val="es-CR"/>
        </w:rPr>
        <w:t xml:space="preserve"> </w:t>
      </w:r>
      <w:r w:rsidRPr="00467331">
        <w:rPr>
          <w:rFonts w:ascii="Verdana" w:hAnsi="Verdana"/>
          <w:bCs/>
          <w:color w:val="000000"/>
          <w:sz w:val="16"/>
          <w:szCs w:val="16"/>
          <w:shd w:val="clear" w:color="auto" w:fill="FFFFFF"/>
        </w:rPr>
        <w:t>párr. 272</w:t>
      </w:r>
      <w:r w:rsidRPr="00467331">
        <w:rPr>
          <w:rFonts w:ascii="Verdana" w:hAnsi="Verdana"/>
          <w:sz w:val="16"/>
          <w:szCs w:val="16"/>
          <w:lang w:val="es-CR"/>
        </w:rPr>
        <w:t xml:space="preserve">. </w:t>
      </w:r>
    </w:p>
  </w:footnote>
  <w:footnote w:id="16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La Corte recuerda que ha dicho que “del principio </w:t>
      </w:r>
      <w:proofErr w:type="spellStart"/>
      <w:r w:rsidRPr="00637508">
        <w:rPr>
          <w:i/>
          <w:sz w:val="16"/>
          <w:szCs w:val="16"/>
          <w:lang w:val="es-CR"/>
        </w:rPr>
        <w:t>iura</w:t>
      </w:r>
      <w:proofErr w:type="spellEnd"/>
      <w:r w:rsidRPr="00637508">
        <w:rPr>
          <w:i/>
          <w:sz w:val="16"/>
          <w:szCs w:val="16"/>
          <w:lang w:val="es-CR"/>
        </w:rPr>
        <w:t xml:space="preserve"> </w:t>
      </w:r>
      <w:proofErr w:type="spellStart"/>
      <w:r w:rsidRPr="00637508">
        <w:rPr>
          <w:i/>
          <w:sz w:val="16"/>
          <w:szCs w:val="16"/>
          <w:lang w:val="es-CR"/>
        </w:rPr>
        <w:t>novit</w:t>
      </w:r>
      <w:proofErr w:type="spellEnd"/>
      <w:r w:rsidRPr="00637508">
        <w:rPr>
          <w:i/>
          <w:sz w:val="16"/>
          <w:szCs w:val="16"/>
          <w:lang w:val="es-CR"/>
        </w:rPr>
        <w:t xml:space="preserve"> curia</w:t>
      </w:r>
      <w:r w:rsidRPr="00637508">
        <w:rPr>
          <w:sz w:val="16"/>
          <w:szCs w:val="16"/>
          <w:lang w:val="es-CR"/>
        </w:rPr>
        <w:t xml:space="preserve"> se ha valido reiteradamente la jurisprudencia internacional en el sentido de que el juzgador posee la facultad, e inclusive el deber, de aplicar las disposiciones jurídicas pertinentes en una causa, aun cuando las partes no las invoquen expresamente” (</w:t>
      </w:r>
      <w:r w:rsidRPr="00637508">
        <w:rPr>
          <w:i/>
          <w:sz w:val="16"/>
          <w:szCs w:val="16"/>
          <w:lang w:val="es-CR"/>
        </w:rPr>
        <w:t>cfr.</w:t>
      </w:r>
      <w:r w:rsidRPr="00637508">
        <w:rPr>
          <w:sz w:val="16"/>
          <w:szCs w:val="16"/>
          <w:lang w:val="es-CR"/>
        </w:rPr>
        <w:t xml:space="preserve"> </w:t>
      </w:r>
      <w:r w:rsidRPr="00637508">
        <w:rPr>
          <w:i/>
          <w:sz w:val="16"/>
          <w:szCs w:val="16"/>
          <w:lang w:val="es-CR"/>
        </w:rPr>
        <w:t>Caso Velásquez Rodríguez Vs. Honduras</w:t>
      </w:r>
      <w:r>
        <w:rPr>
          <w:sz w:val="16"/>
          <w:szCs w:val="16"/>
          <w:lang w:val="es-CR"/>
        </w:rPr>
        <w:t xml:space="preserve">. </w:t>
      </w:r>
      <w:r>
        <w:rPr>
          <w:i/>
          <w:sz w:val="16"/>
          <w:szCs w:val="16"/>
          <w:lang w:val="es-CR"/>
        </w:rPr>
        <w:t>Fondo, supra</w:t>
      </w:r>
      <w:r>
        <w:rPr>
          <w:sz w:val="16"/>
          <w:szCs w:val="16"/>
          <w:lang w:val="es-CR"/>
        </w:rPr>
        <w:t xml:space="preserve">, </w:t>
      </w:r>
      <w:r w:rsidRPr="00637508">
        <w:rPr>
          <w:sz w:val="16"/>
          <w:szCs w:val="16"/>
          <w:lang w:val="es-CR"/>
        </w:rPr>
        <w:t xml:space="preserve">párr. 163, y </w:t>
      </w:r>
      <w:r w:rsidRPr="00637508">
        <w:rPr>
          <w:i/>
          <w:sz w:val="16"/>
          <w:szCs w:val="16"/>
          <w:lang w:val="es-CR"/>
        </w:rPr>
        <w:t>Caso Gutiérrez Hernández y otros Vs. Guatemala. Excepciones Preliminares, Fondo, Reparaciones y Costas.</w:t>
      </w:r>
      <w:r w:rsidRPr="00637508">
        <w:rPr>
          <w:sz w:val="16"/>
          <w:szCs w:val="16"/>
          <w:lang w:val="es-CR"/>
        </w:rPr>
        <w:t xml:space="preserve"> Sentencia de 24 de agosto de 2017. Serie C No. 339, nota a pie de página 188</w:t>
      </w:r>
      <w:r>
        <w:rPr>
          <w:sz w:val="16"/>
          <w:szCs w:val="16"/>
          <w:lang w:val="es-CR"/>
        </w:rPr>
        <w:t>)</w:t>
      </w:r>
      <w:r w:rsidRPr="00637508">
        <w:rPr>
          <w:sz w:val="16"/>
          <w:szCs w:val="16"/>
          <w:lang w:val="es-CR"/>
        </w:rPr>
        <w:t xml:space="preserve">. </w:t>
      </w:r>
    </w:p>
  </w:footnote>
  <w:footnote w:id="163">
    <w:p w:rsidR="00785921" w:rsidRPr="00467331" w:rsidRDefault="00785921" w:rsidP="00126E97">
      <w:pPr>
        <w:spacing w:after="0" w:line="20" w:lineRule="atLeast"/>
        <w:jc w:val="both"/>
        <w:rPr>
          <w:rFonts w:ascii="Verdana" w:hAnsi="Verdana"/>
          <w:sz w:val="16"/>
          <w:szCs w:val="16"/>
        </w:rPr>
      </w:pPr>
      <w:r w:rsidRPr="00467331">
        <w:rPr>
          <w:rStyle w:val="FootnoteReference"/>
          <w:rFonts w:ascii="Verdana" w:hAnsi="Verdana"/>
          <w:sz w:val="16"/>
          <w:szCs w:val="16"/>
          <w:lang w:eastAsia="x-none"/>
        </w:rPr>
        <w:footnoteRef/>
      </w:r>
      <w:r w:rsidRPr="00467331">
        <w:rPr>
          <w:rFonts w:ascii="Verdana" w:hAnsi="Verdana"/>
          <w:sz w:val="16"/>
          <w:szCs w:val="16"/>
          <w:lang w:val="es-CR"/>
        </w:rPr>
        <w:t xml:space="preserve"> </w:t>
      </w:r>
      <w:r w:rsidRPr="00467331">
        <w:rPr>
          <w:rFonts w:ascii="Verdana" w:hAnsi="Verdana"/>
          <w:i/>
          <w:iCs/>
          <w:sz w:val="16"/>
          <w:szCs w:val="16"/>
          <w:lang w:val="es-CR"/>
        </w:rPr>
        <w:t>Cfr</w:t>
      </w:r>
      <w:r w:rsidRPr="00467331">
        <w:rPr>
          <w:rFonts w:ascii="Verdana" w:hAnsi="Verdana"/>
          <w:i/>
          <w:sz w:val="16"/>
          <w:szCs w:val="16"/>
          <w:lang w:val="es-CR"/>
        </w:rPr>
        <w:t xml:space="preserve">. </w:t>
      </w:r>
      <w:r w:rsidRPr="00467331">
        <w:rPr>
          <w:rFonts w:ascii="Verdana" w:hAnsi="Verdana"/>
          <w:bCs/>
          <w:i/>
          <w:color w:val="000000"/>
          <w:sz w:val="16"/>
          <w:szCs w:val="16"/>
          <w:shd w:val="clear" w:color="auto" w:fill="FFFFFF"/>
        </w:rPr>
        <w:t xml:space="preserve">Caso </w:t>
      </w:r>
      <w:proofErr w:type="spellStart"/>
      <w:r w:rsidRPr="00467331">
        <w:rPr>
          <w:rFonts w:ascii="Verdana" w:hAnsi="Verdana"/>
          <w:bCs/>
          <w:i/>
          <w:color w:val="000000"/>
          <w:sz w:val="16"/>
          <w:szCs w:val="16"/>
          <w:shd w:val="clear" w:color="auto" w:fill="FFFFFF"/>
        </w:rPr>
        <w:t>Apitz</w:t>
      </w:r>
      <w:proofErr w:type="spellEnd"/>
      <w:r w:rsidRPr="00467331">
        <w:rPr>
          <w:rFonts w:ascii="Verdana" w:hAnsi="Verdana"/>
          <w:bCs/>
          <w:i/>
          <w:color w:val="000000"/>
          <w:sz w:val="16"/>
          <w:szCs w:val="16"/>
          <w:shd w:val="clear" w:color="auto" w:fill="FFFFFF"/>
        </w:rPr>
        <w:t xml:space="preserve"> Barbera y otros (“Corte Primera de lo Contencioso Administrativo”) Vs. Venezuela</w:t>
      </w:r>
      <w:r>
        <w:rPr>
          <w:rFonts w:ascii="Verdana" w:hAnsi="Verdana"/>
          <w:bCs/>
          <w:i/>
          <w:color w:val="000000"/>
          <w:sz w:val="16"/>
          <w:szCs w:val="16"/>
          <w:shd w:val="clear" w:color="auto" w:fill="FFFFFF"/>
        </w:rPr>
        <w:t>, supra,</w:t>
      </w:r>
      <w:r w:rsidRPr="00467331">
        <w:rPr>
          <w:rFonts w:ascii="Verdana" w:hAnsi="Verdana"/>
          <w:iCs/>
          <w:sz w:val="16"/>
          <w:szCs w:val="16"/>
          <w:lang w:val="es-CR"/>
        </w:rPr>
        <w:t xml:space="preserve"> párr. 209, </w:t>
      </w:r>
      <w:r w:rsidRPr="00467331">
        <w:rPr>
          <w:rFonts w:ascii="Verdana" w:hAnsi="Verdana"/>
          <w:sz w:val="16"/>
          <w:szCs w:val="16"/>
          <w:lang w:val="es-CR"/>
        </w:rPr>
        <w:t xml:space="preserve">y </w:t>
      </w:r>
      <w:r w:rsidRPr="00467331">
        <w:rPr>
          <w:rFonts w:ascii="Verdana" w:hAnsi="Verdana"/>
          <w:bCs/>
          <w:i/>
          <w:sz w:val="16"/>
          <w:szCs w:val="16"/>
          <w:lang w:val="es-CR"/>
        </w:rPr>
        <w:t>Caso Ramírez Escobar y otros Vs. Guatemala</w:t>
      </w:r>
      <w:r>
        <w:rPr>
          <w:rFonts w:ascii="Verdana" w:hAnsi="Verdana"/>
          <w:bCs/>
          <w:i/>
          <w:sz w:val="16"/>
          <w:szCs w:val="16"/>
          <w:lang w:val="es-CR"/>
        </w:rPr>
        <w:t>, supra</w:t>
      </w:r>
      <w:r w:rsidRPr="00467331">
        <w:rPr>
          <w:rFonts w:ascii="Verdana" w:hAnsi="Verdana"/>
          <w:bCs/>
          <w:sz w:val="16"/>
          <w:szCs w:val="16"/>
          <w:lang w:val="es-CR"/>
        </w:rPr>
        <w:t>,</w:t>
      </w:r>
      <w:r w:rsidRPr="00467331">
        <w:rPr>
          <w:rFonts w:ascii="Verdana" w:hAnsi="Verdana"/>
          <w:sz w:val="16"/>
          <w:szCs w:val="16"/>
          <w:lang w:val="es-CR"/>
        </w:rPr>
        <w:t xml:space="preserve"> </w:t>
      </w:r>
      <w:r w:rsidRPr="00467331">
        <w:rPr>
          <w:rFonts w:ascii="Verdana" w:hAnsi="Verdana"/>
          <w:bCs/>
          <w:color w:val="000000"/>
          <w:sz w:val="16"/>
          <w:szCs w:val="16"/>
          <w:shd w:val="clear" w:color="auto" w:fill="FFFFFF"/>
        </w:rPr>
        <w:t>párr. 272</w:t>
      </w:r>
      <w:r w:rsidRPr="00467331">
        <w:rPr>
          <w:rFonts w:ascii="Verdana" w:hAnsi="Verdana"/>
          <w:sz w:val="16"/>
          <w:szCs w:val="16"/>
          <w:lang w:val="es-CR"/>
        </w:rPr>
        <w:t>.</w:t>
      </w:r>
    </w:p>
  </w:footnote>
  <w:footnote w:id="164">
    <w:p w:rsidR="00785921" w:rsidRPr="00962746" w:rsidRDefault="00785921" w:rsidP="00126E97">
      <w:pPr>
        <w:pStyle w:val="FootnoteText"/>
        <w:spacing w:line="20" w:lineRule="atLeast"/>
        <w:rPr>
          <w:sz w:val="16"/>
          <w:szCs w:val="16"/>
          <w:lang w:val="es-CR"/>
        </w:rPr>
      </w:pPr>
      <w:r w:rsidRPr="00425F9B">
        <w:rPr>
          <w:rStyle w:val="FootnoteReference"/>
          <w:sz w:val="16"/>
          <w:szCs w:val="16"/>
        </w:rPr>
        <w:footnoteRef/>
      </w:r>
      <w:r w:rsidRPr="00425F9B">
        <w:rPr>
          <w:sz w:val="16"/>
          <w:szCs w:val="16"/>
          <w:lang w:val="es-CR"/>
        </w:rPr>
        <w:t xml:space="preserve"> La Corte advierte que los hechos del caso se insertan temporalmente en el conflicto armado interno guatemalteco </w:t>
      </w:r>
      <w:r w:rsidRPr="00913F5C">
        <w:rPr>
          <w:sz w:val="16"/>
          <w:szCs w:val="16"/>
          <w:lang w:val="es-CR"/>
        </w:rPr>
        <w:t>(</w:t>
      </w:r>
      <w:r w:rsidRPr="00913F5C">
        <w:rPr>
          <w:i/>
          <w:sz w:val="16"/>
          <w:szCs w:val="16"/>
          <w:lang w:val="es-CR"/>
        </w:rPr>
        <w:t>supra</w:t>
      </w:r>
      <w:r w:rsidRPr="00913F5C">
        <w:rPr>
          <w:sz w:val="16"/>
          <w:szCs w:val="16"/>
          <w:lang w:val="es-CR"/>
        </w:rPr>
        <w:t xml:space="preserve"> párr. 27)</w:t>
      </w:r>
      <w:r w:rsidRPr="00425F9B">
        <w:rPr>
          <w:sz w:val="16"/>
          <w:szCs w:val="16"/>
          <w:lang w:val="es-CR"/>
        </w:rPr>
        <w:t>, que se desarrolló entre 1962 y 1996. Por ello, considera relevante aclarar que ni las partes ni la Comisión adujeron que normas de Derecho Internacional Humanitario fueran pertinentes en el caso. En este marco de ausencia de argumentación, la Corte no encuentra motivos para tener en cuenta las normas referidas.</w:t>
      </w:r>
      <w:r w:rsidRPr="00962746">
        <w:rPr>
          <w:sz w:val="16"/>
          <w:szCs w:val="16"/>
          <w:lang w:val="es-CR"/>
        </w:rPr>
        <w:t xml:space="preserve">  </w:t>
      </w:r>
    </w:p>
  </w:footnote>
  <w:footnote w:id="16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rFonts w:cs="Verdana"/>
          <w:i/>
          <w:iCs/>
          <w:sz w:val="16"/>
          <w:szCs w:val="16"/>
          <w:lang w:val="es-CR"/>
        </w:rPr>
        <w:t>Cfr. Caso de los “Niños de la Calle” (Villagrán Morales y otros) Vs. Guatemala. Fondo, supra</w:t>
      </w:r>
      <w:r>
        <w:rPr>
          <w:rFonts w:cs="Verdana"/>
          <w:iCs/>
          <w:sz w:val="16"/>
          <w:szCs w:val="16"/>
          <w:lang w:val="es-CR"/>
        </w:rPr>
        <w:t>,</w:t>
      </w:r>
      <w:r>
        <w:rPr>
          <w:rFonts w:cs="Verdana"/>
          <w:i/>
          <w:iCs/>
          <w:sz w:val="16"/>
          <w:szCs w:val="16"/>
          <w:lang w:val="es-CR"/>
        </w:rPr>
        <w:t xml:space="preserve"> </w:t>
      </w:r>
      <w:r>
        <w:rPr>
          <w:rFonts w:cs="Verdana"/>
          <w:sz w:val="16"/>
          <w:szCs w:val="16"/>
          <w:lang w:val="es-CR"/>
        </w:rPr>
        <w:t xml:space="preserve">párr. 144 y </w:t>
      </w:r>
      <w:r>
        <w:rPr>
          <w:rFonts w:cs="Verdana"/>
          <w:i/>
          <w:sz w:val="16"/>
          <w:szCs w:val="16"/>
          <w:lang w:val="es-CR"/>
        </w:rPr>
        <w:t xml:space="preserve">Caso Carvajal </w:t>
      </w:r>
      <w:proofErr w:type="spellStart"/>
      <w:r>
        <w:rPr>
          <w:rFonts w:cs="Verdana"/>
          <w:i/>
          <w:sz w:val="16"/>
          <w:szCs w:val="16"/>
          <w:lang w:val="es-CR"/>
        </w:rPr>
        <w:t>Carvajal</w:t>
      </w:r>
      <w:proofErr w:type="spellEnd"/>
      <w:r>
        <w:rPr>
          <w:rFonts w:cs="Verdana"/>
          <w:i/>
          <w:sz w:val="16"/>
          <w:szCs w:val="16"/>
          <w:lang w:val="es-CR"/>
        </w:rPr>
        <w:t xml:space="preserve"> y otros Vs. Colombia, supra,</w:t>
      </w:r>
      <w:r>
        <w:rPr>
          <w:rFonts w:cs="Verdana"/>
          <w:sz w:val="16"/>
          <w:szCs w:val="16"/>
          <w:lang w:val="es-CR"/>
        </w:rPr>
        <w:t xml:space="preserve"> párr. 162.</w:t>
      </w:r>
    </w:p>
  </w:footnote>
  <w:footnote w:id="166">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3A0210">
        <w:rPr>
          <w:i/>
          <w:sz w:val="16"/>
          <w:szCs w:val="16"/>
          <w:lang w:val="es-CR"/>
        </w:rPr>
        <w:t>Cfr</w:t>
      </w:r>
      <w:r>
        <w:rPr>
          <w:sz w:val="16"/>
          <w:szCs w:val="16"/>
          <w:lang w:val="es-CR"/>
        </w:rPr>
        <w:t xml:space="preserve">. </w:t>
      </w:r>
      <w:r>
        <w:rPr>
          <w:i/>
          <w:sz w:val="16"/>
          <w:szCs w:val="16"/>
          <w:lang w:val="es-CR"/>
        </w:rPr>
        <w:t>Caso de los “Niños de la Calle” (Villagrán Morales y otros) Vs. Guatemala. Fondo, supra</w:t>
      </w:r>
      <w:r>
        <w:rPr>
          <w:sz w:val="16"/>
          <w:szCs w:val="16"/>
          <w:lang w:val="es-CR"/>
        </w:rPr>
        <w:t xml:space="preserve">, párr. 139, y </w:t>
      </w:r>
      <w:r>
        <w:rPr>
          <w:i/>
          <w:sz w:val="16"/>
          <w:szCs w:val="16"/>
          <w:lang w:val="es-CR"/>
        </w:rPr>
        <w:t xml:space="preserve">Caso 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párr. 162.</w:t>
      </w:r>
    </w:p>
  </w:footnote>
  <w:footnote w:id="167">
    <w:p w:rsidR="00785921" w:rsidRPr="003A0210" w:rsidRDefault="00785921" w:rsidP="00126E97">
      <w:pPr>
        <w:pStyle w:val="FootnoteText"/>
        <w:spacing w:line="20" w:lineRule="atLeast"/>
        <w:rPr>
          <w:sz w:val="16"/>
          <w:szCs w:val="16"/>
          <w:shd w:val="clear" w:color="auto" w:fill="FFFFFF"/>
          <w:lang w:val="es-CR"/>
        </w:rPr>
      </w:pPr>
      <w:r>
        <w:rPr>
          <w:rStyle w:val="FootnoteReference"/>
          <w:sz w:val="16"/>
          <w:szCs w:val="16"/>
          <w:lang w:val="es-CR" w:eastAsia="x-none"/>
        </w:rPr>
        <w:footnoteRef/>
      </w:r>
      <w:r w:rsidRPr="00C04446">
        <w:rPr>
          <w:i/>
          <w:sz w:val="16"/>
          <w:szCs w:val="16"/>
          <w:lang w:val="es-CR"/>
        </w:rPr>
        <w:t xml:space="preserve">Cfr. </w:t>
      </w:r>
      <w:r w:rsidRPr="00467331">
        <w:rPr>
          <w:rStyle w:val="Strong"/>
          <w:b w:val="0"/>
          <w:i/>
          <w:sz w:val="16"/>
          <w:szCs w:val="16"/>
          <w:shd w:val="clear" w:color="auto" w:fill="FFFFFF"/>
          <w:lang w:val="es-CR"/>
        </w:rPr>
        <w:t xml:space="preserve">Caso Myrna </w:t>
      </w:r>
      <w:proofErr w:type="spellStart"/>
      <w:r w:rsidRPr="00467331">
        <w:rPr>
          <w:rStyle w:val="Strong"/>
          <w:b w:val="0"/>
          <w:i/>
          <w:sz w:val="16"/>
          <w:szCs w:val="16"/>
          <w:shd w:val="clear" w:color="auto" w:fill="FFFFFF"/>
          <w:lang w:val="es-CR"/>
        </w:rPr>
        <w:t>Mack</w:t>
      </w:r>
      <w:proofErr w:type="spellEnd"/>
      <w:r w:rsidRPr="00467331">
        <w:rPr>
          <w:rStyle w:val="Strong"/>
          <w:b w:val="0"/>
          <w:i/>
          <w:sz w:val="16"/>
          <w:szCs w:val="16"/>
          <w:shd w:val="clear" w:color="auto" w:fill="FFFFFF"/>
          <w:lang w:val="es-CR"/>
        </w:rPr>
        <w:t xml:space="preserve"> Chang</w:t>
      </w:r>
      <w:r w:rsidRPr="00467331">
        <w:rPr>
          <w:b/>
          <w:sz w:val="16"/>
          <w:szCs w:val="16"/>
          <w:lang w:val="es-CR"/>
        </w:rPr>
        <w:t xml:space="preserve"> </w:t>
      </w:r>
      <w:r w:rsidRPr="00467331">
        <w:rPr>
          <w:rStyle w:val="Strong"/>
          <w:b w:val="0"/>
          <w:i/>
          <w:sz w:val="16"/>
          <w:szCs w:val="16"/>
          <w:shd w:val="clear" w:color="auto" w:fill="FFFFFF"/>
          <w:lang w:val="es-CR"/>
        </w:rPr>
        <w:t>Vs. Guatemala. Fondo, Reparaciones y Costas</w:t>
      </w:r>
      <w:r>
        <w:rPr>
          <w:rStyle w:val="Strong"/>
          <w:b w:val="0"/>
          <w:i/>
          <w:sz w:val="16"/>
          <w:szCs w:val="16"/>
          <w:shd w:val="clear" w:color="auto" w:fill="FFFFFF"/>
          <w:lang w:val="es-CR"/>
        </w:rPr>
        <w:t>, supra</w:t>
      </w:r>
      <w:r w:rsidRPr="00467331">
        <w:rPr>
          <w:rStyle w:val="Strong"/>
          <w:b w:val="0"/>
          <w:sz w:val="16"/>
          <w:szCs w:val="16"/>
          <w:shd w:val="clear" w:color="auto" w:fill="FFFFFF"/>
          <w:lang w:val="es-CR"/>
        </w:rPr>
        <w:t>, párr. 153</w:t>
      </w:r>
      <w:r w:rsidRPr="00467331">
        <w:rPr>
          <w:sz w:val="16"/>
          <w:szCs w:val="16"/>
          <w:lang w:val="es-CR"/>
        </w:rPr>
        <w:t>,</w:t>
      </w:r>
      <w:r>
        <w:rPr>
          <w:sz w:val="16"/>
          <w:szCs w:val="16"/>
          <w:lang w:val="es-CR"/>
        </w:rPr>
        <w:t xml:space="preserve"> </w:t>
      </w:r>
      <w:r>
        <w:rPr>
          <w:i/>
          <w:sz w:val="16"/>
          <w:szCs w:val="16"/>
          <w:lang w:val="es-CR"/>
        </w:rPr>
        <w:t xml:space="preserve">Caso Carvajal </w:t>
      </w:r>
      <w:proofErr w:type="spellStart"/>
      <w:r>
        <w:rPr>
          <w:i/>
          <w:sz w:val="16"/>
          <w:szCs w:val="16"/>
          <w:lang w:val="es-CR"/>
        </w:rPr>
        <w:t>Carvajal</w:t>
      </w:r>
      <w:proofErr w:type="spellEnd"/>
      <w:r>
        <w:rPr>
          <w:i/>
          <w:sz w:val="16"/>
          <w:szCs w:val="16"/>
          <w:lang w:val="es-CR"/>
        </w:rPr>
        <w:t xml:space="preserve"> y otros Vs. Colombia, supra</w:t>
      </w:r>
      <w:r>
        <w:rPr>
          <w:sz w:val="16"/>
          <w:szCs w:val="16"/>
          <w:lang w:val="es-CR"/>
        </w:rPr>
        <w:t>, párr. 162.</w:t>
      </w:r>
    </w:p>
  </w:footnote>
  <w:footnote w:id="16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467331">
        <w:rPr>
          <w:sz w:val="16"/>
          <w:szCs w:val="16"/>
          <w:lang w:val="es-CR"/>
        </w:rPr>
        <w:t xml:space="preserve"> </w:t>
      </w:r>
      <w:r w:rsidRPr="00467331">
        <w:rPr>
          <w:rStyle w:val="Strong"/>
          <w:b w:val="0"/>
          <w:i/>
          <w:sz w:val="16"/>
          <w:szCs w:val="16"/>
          <w:shd w:val="clear" w:color="auto" w:fill="FFFFFF"/>
          <w:lang w:val="es-CR"/>
        </w:rPr>
        <w:t xml:space="preserve">Caso Myrna </w:t>
      </w:r>
      <w:proofErr w:type="spellStart"/>
      <w:r w:rsidRPr="00467331">
        <w:rPr>
          <w:rStyle w:val="Strong"/>
          <w:b w:val="0"/>
          <w:i/>
          <w:sz w:val="16"/>
          <w:szCs w:val="16"/>
          <w:shd w:val="clear" w:color="auto" w:fill="FFFFFF"/>
          <w:lang w:val="es-CR"/>
        </w:rPr>
        <w:t>Mack</w:t>
      </w:r>
      <w:proofErr w:type="spellEnd"/>
      <w:r w:rsidRPr="00467331">
        <w:rPr>
          <w:rStyle w:val="Strong"/>
          <w:b w:val="0"/>
          <w:i/>
          <w:sz w:val="16"/>
          <w:szCs w:val="16"/>
          <w:shd w:val="clear" w:color="auto" w:fill="FFFFFF"/>
          <w:lang w:val="es-CR"/>
        </w:rPr>
        <w:t xml:space="preserve"> Chang</w:t>
      </w:r>
      <w:r w:rsidRPr="00467331">
        <w:rPr>
          <w:b/>
          <w:sz w:val="16"/>
          <w:szCs w:val="16"/>
          <w:lang w:val="es-CR"/>
        </w:rPr>
        <w:t xml:space="preserve"> </w:t>
      </w:r>
      <w:r w:rsidRPr="00467331">
        <w:rPr>
          <w:rStyle w:val="Strong"/>
          <w:b w:val="0"/>
          <w:i/>
          <w:sz w:val="16"/>
          <w:szCs w:val="16"/>
          <w:shd w:val="clear" w:color="auto" w:fill="FFFFFF"/>
          <w:lang w:val="es-CR"/>
        </w:rPr>
        <w:t>Vs. Guatemala. Fondo, Reparaciones y Costas</w:t>
      </w:r>
      <w:r>
        <w:rPr>
          <w:rStyle w:val="Strong"/>
          <w:b w:val="0"/>
          <w:i/>
          <w:sz w:val="16"/>
          <w:szCs w:val="16"/>
          <w:shd w:val="clear" w:color="auto" w:fill="FFFFFF"/>
          <w:lang w:val="es-CR"/>
        </w:rPr>
        <w:t>, supra</w:t>
      </w:r>
      <w:r w:rsidRPr="00467331">
        <w:rPr>
          <w:rStyle w:val="Strong"/>
          <w:b w:val="0"/>
          <w:sz w:val="16"/>
          <w:szCs w:val="16"/>
          <w:shd w:val="clear" w:color="auto" w:fill="FFFFFF"/>
          <w:lang w:val="es-CR"/>
        </w:rPr>
        <w:t>, párr. 153,</w:t>
      </w:r>
      <w:r w:rsidRPr="00467331">
        <w:rPr>
          <w:rStyle w:val="Strong"/>
          <w:sz w:val="16"/>
          <w:szCs w:val="16"/>
          <w:shd w:val="clear" w:color="auto" w:fill="FFFFFF"/>
          <w:lang w:val="es-CR"/>
        </w:rPr>
        <w:t xml:space="preserve"> </w:t>
      </w:r>
      <w:r>
        <w:rPr>
          <w:sz w:val="16"/>
          <w:szCs w:val="16"/>
          <w:lang w:val="es-CR"/>
        </w:rPr>
        <w:t xml:space="preserve">y </w:t>
      </w:r>
      <w:r>
        <w:rPr>
          <w:i/>
          <w:sz w:val="16"/>
          <w:szCs w:val="16"/>
          <w:lang w:val="es-CR"/>
        </w:rPr>
        <w:t>Caso Ortiz Hernández y otros Vs. Venezuela, supra</w:t>
      </w:r>
      <w:r>
        <w:rPr>
          <w:sz w:val="16"/>
          <w:szCs w:val="16"/>
          <w:lang w:val="es-CR"/>
        </w:rPr>
        <w:t>, párr. 101.</w:t>
      </w:r>
    </w:p>
  </w:footnote>
  <w:footnote w:id="169">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i/>
          <w:sz w:val="16"/>
          <w:szCs w:val="16"/>
          <w:lang w:val="es-CR"/>
        </w:rPr>
        <w:t xml:space="preserve"> Caso Montero Aranguren y otros (Retén de Catia) Vs. Venezuela.</w:t>
      </w:r>
      <w:r>
        <w:rPr>
          <w:sz w:val="16"/>
          <w:szCs w:val="16"/>
          <w:lang w:val="es-CR"/>
        </w:rPr>
        <w:t xml:space="preserve"> </w:t>
      </w:r>
      <w:r>
        <w:rPr>
          <w:i/>
          <w:sz w:val="16"/>
          <w:szCs w:val="16"/>
          <w:lang w:val="es-CR"/>
        </w:rPr>
        <w:t>Excepción Preliminar, Fondo, Reparaciones y Costas.</w:t>
      </w:r>
      <w:r>
        <w:rPr>
          <w:sz w:val="16"/>
          <w:szCs w:val="16"/>
          <w:lang w:val="es-CR"/>
        </w:rPr>
        <w:t xml:space="preserve"> Sentencia de 5 de julio de 2006. Serie C No. 150, párr. 68, y </w:t>
      </w:r>
      <w:r>
        <w:rPr>
          <w:i/>
          <w:sz w:val="16"/>
          <w:szCs w:val="16"/>
          <w:lang w:val="es-CR"/>
        </w:rPr>
        <w:t>Caso Ortiz Hernández y otros Vs. Venezuela, supra</w:t>
      </w:r>
      <w:r>
        <w:rPr>
          <w:sz w:val="16"/>
          <w:szCs w:val="16"/>
          <w:lang w:val="es-CR"/>
        </w:rPr>
        <w:t>, párr. 103.</w:t>
      </w:r>
    </w:p>
  </w:footnote>
  <w:footnote w:id="170">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Caso Loayza Tamayo Vs. Perú. Fondo</w:t>
      </w:r>
      <w:r>
        <w:rPr>
          <w:sz w:val="16"/>
          <w:szCs w:val="16"/>
          <w:lang w:val="es-CR"/>
        </w:rPr>
        <w:t xml:space="preserve">. Sentencia de 17 de septiembre de 1997. Serie C No. 33, párr. 57, y </w:t>
      </w:r>
      <w:r>
        <w:rPr>
          <w:i/>
          <w:sz w:val="16"/>
          <w:szCs w:val="16"/>
          <w:lang w:val="es-CR"/>
        </w:rPr>
        <w:t>Caso Ortiz Hernández y otros Vs. Venezuela, supra</w:t>
      </w:r>
      <w:r>
        <w:rPr>
          <w:sz w:val="16"/>
          <w:szCs w:val="16"/>
          <w:lang w:val="es-CR"/>
        </w:rPr>
        <w:t>,</w:t>
      </w:r>
      <w:r>
        <w:rPr>
          <w:i/>
          <w:sz w:val="16"/>
          <w:szCs w:val="16"/>
          <w:lang w:val="es-CR"/>
        </w:rPr>
        <w:t xml:space="preserve"> </w:t>
      </w:r>
      <w:r>
        <w:rPr>
          <w:sz w:val="16"/>
          <w:szCs w:val="16"/>
          <w:lang w:val="es-CR"/>
        </w:rPr>
        <w:t>párr. 102.</w:t>
      </w:r>
    </w:p>
  </w:footnote>
  <w:footnote w:id="171">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rFonts w:cs="Times New Roman"/>
          <w:sz w:val="16"/>
          <w:szCs w:val="16"/>
          <w:lang w:val="es-CR"/>
        </w:rPr>
        <w:t>Si bien ha habido señalamientos diversos sobre las circunstancias en que en se originaron los disparos de armas de fuego por parte de los militares, ninguna de ellas podría justificar su actuación. En cualquier caso, la sentencia interna condenatoria expresa, como hecho acreditado, que cuando los militares intentaron retirarse de la Comunidad, se toparon con miembros de la misma, y luego de “</w:t>
      </w:r>
      <w:proofErr w:type="gramStart"/>
      <w:r>
        <w:rPr>
          <w:rFonts w:cs="Times New Roman"/>
          <w:sz w:val="16"/>
          <w:szCs w:val="16"/>
          <w:lang w:val="es-CR"/>
        </w:rPr>
        <w:t>disparar[</w:t>
      </w:r>
      <w:proofErr w:type="gramEnd"/>
      <w:r>
        <w:rPr>
          <w:rFonts w:cs="Times New Roman"/>
          <w:sz w:val="16"/>
          <w:szCs w:val="16"/>
          <w:lang w:val="es-CR"/>
        </w:rPr>
        <w:t>…] a quemarropa” y matar a Juana Jacinto Felipe, continuaron disparando “indiscriminadamente” (s</w:t>
      </w:r>
      <w:r>
        <w:rPr>
          <w:sz w:val="16"/>
          <w:szCs w:val="16"/>
          <w:lang w:val="es-CR"/>
        </w:rPr>
        <w:t xml:space="preserve">entencia de 8 de julio de 2004, </w:t>
      </w:r>
      <w:r w:rsidRPr="00745BF3">
        <w:rPr>
          <w:i/>
          <w:sz w:val="16"/>
          <w:szCs w:val="16"/>
          <w:lang w:val="es-CR"/>
        </w:rPr>
        <w:t>supra</w:t>
      </w:r>
      <w:r w:rsidRPr="00745BF3">
        <w:rPr>
          <w:sz w:val="16"/>
          <w:szCs w:val="16"/>
          <w:lang w:val="es-CR"/>
        </w:rPr>
        <w:t>.</w:t>
      </w:r>
      <w:r>
        <w:rPr>
          <w:b/>
          <w:sz w:val="16"/>
          <w:szCs w:val="16"/>
          <w:lang w:val="es-CR"/>
        </w:rPr>
        <w:t xml:space="preserve"> </w:t>
      </w:r>
      <w:r>
        <w:rPr>
          <w:sz w:val="16"/>
          <w:szCs w:val="16"/>
          <w:lang w:val="es-CR"/>
        </w:rPr>
        <w:t>Cabe aclarar que, dado lo concluido, no resulta necesario examinar el argumento de los representantes sobre la falta de observancia de acuerdos sobre el retorno a Guatemala de personas que se encontraban en México (</w:t>
      </w:r>
      <w:r>
        <w:rPr>
          <w:i/>
          <w:sz w:val="16"/>
          <w:szCs w:val="16"/>
          <w:lang w:val="es-CR"/>
        </w:rPr>
        <w:t>supr</w:t>
      </w:r>
      <w:r w:rsidRPr="00913F5C">
        <w:rPr>
          <w:i/>
          <w:sz w:val="16"/>
          <w:szCs w:val="16"/>
          <w:lang w:val="es-CR"/>
        </w:rPr>
        <w:t>a</w:t>
      </w:r>
      <w:r w:rsidRPr="00913F5C">
        <w:rPr>
          <w:sz w:val="16"/>
          <w:szCs w:val="16"/>
          <w:lang w:val="es-CR"/>
        </w:rPr>
        <w:t xml:space="preserve"> nota a pie de página. 158)</w:t>
      </w:r>
      <w:r>
        <w:rPr>
          <w:sz w:val="16"/>
          <w:szCs w:val="16"/>
          <w:lang w:val="es-CR"/>
        </w:rPr>
        <w:t xml:space="preserve">. </w:t>
      </w:r>
    </w:p>
  </w:footnote>
  <w:footnote w:id="172">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Pr>
          <w:color w:val="1A1A1A"/>
          <w:sz w:val="16"/>
          <w:szCs w:val="16"/>
          <w:lang w:val="es-ES_tradnl"/>
        </w:rPr>
        <w:t>D</w:t>
      </w:r>
      <w:r>
        <w:rPr>
          <w:rFonts w:eastAsia="Times New Roman"/>
          <w:bCs/>
          <w:color w:val="000000"/>
          <w:sz w:val="16"/>
          <w:szCs w:val="16"/>
          <w:lang w:val="es-ES_tradnl"/>
        </w:rPr>
        <w:t xml:space="preserve">e los certificados de defunciones acompañados durante el proceso, emitidos por el Registro nacional de las Personas de la República de Guatemala se advierte que las causales de muerte no evidencian, por sí mismas, relación con los hechos ocurridos el 5 de octubre de 1995 (y tampoco hay explicación suficiente al respecto por la Comisión o los representantes): 1.- Santiago </w:t>
      </w:r>
      <w:proofErr w:type="spellStart"/>
      <w:r>
        <w:rPr>
          <w:rFonts w:eastAsia="Times New Roman"/>
          <w:bCs/>
          <w:color w:val="000000"/>
          <w:sz w:val="16"/>
          <w:szCs w:val="16"/>
          <w:lang w:val="es-ES_tradnl"/>
        </w:rPr>
        <w:t>Maquin</w:t>
      </w:r>
      <w:proofErr w:type="spellEnd"/>
      <w:r>
        <w:rPr>
          <w:rFonts w:eastAsia="Times New Roman"/>
          <w:bCs/>
          <w:color w:val="000000"/>
          <w:sz w:val="16"/>
          <w:szCs w:val="16"/>
          <w:lang w:val="es-ES_tradnl"/>
        </w:rPr>
        <w:t xml:space="preserve"> falleció a los 73 años de edad, el 18 de noviembre de 2005, a causa de “meningitis”, “insuficiencia respiratoria” y “edema cerebral”</w:t>
      </w:r>
      <w:r>
        <w:rPr>
          <w:sz w:val="16"/>
          <w:szCs w:val="16"/>
          <w:lang w:val="es-ES_tradnl"/>
        </w:rPr>
        <w:t>;</w:t>
      </w:r>
      <w:r>
        <w:rPr>
          <w:rFonts w:eastAsia="Times New Roman"/>
          <w:bCs/>
          <w:color w:val="000000"/>
          <w:sz w:val="16"/>
          <w:szCs w:val="16"/>
          <w:lang w:val="es-ES_tradnl"/>
        </w:rPr>
        <w:t xml:space="preserve"> 2.-Gerardo Maldonado Sales falleció el 12 de enero de 2004, a causa de “sepsis”, “absceso periodontal” y una “hipoplasia medular”, y 3.- Rosendo Morales Ortiz falleció a los 71 años, el 8 de agosto de </w:t>
      </w:r>
      <w:r w:rsidRPr="0020708F">
        <w:rPr>
          <w:rFonts w:eastAsia="Times New Roman"/>
          <w:bCs/>
          <w:color w:val="000000"/>
          <w:sz w:val="16"/>
          <w:szCs w:val="16"/>
          <w:lang w:val="es-ES_tradnl"/>
        </w:rPr>
        <w:t>2011, a causa de “[p]</w:t>
      </w:r>
      <w:proofErr w:type="spellStart"/>
      <w:r w:rsidRPr="0020708F">
        <w:rPr>
          <w:rFonts w:eastAsia="Times New Roman"/>
          <w:bCs/>
          <w:color w:val="000000"/>
          <w:sz w:val="16"/>
          <w:szCs w:val="16"/>
          <w:lang w:val="es-ES_tradnl"/>
        </w:rPr>
        <w:t>aro</w:t>
      </w:r>
      <w:proofErr w:type="spellEnd"/>
      <w:r w:rsidRPr="0020708F">
        <w:rPr>
          <w:rFonts w:eastAsia="Times New Roman"/>
          <w:bCs/>
          <w:color w:val="000000"/>
          <w:sz w:val="16"/>
          <w:szCs w:val="16"/>
          <w:lang w:val="es-ES_tradnl"/>
        </w:rPr>
        <w:t xml:space="preserve"> cardiorrespiratorio”, “[i]</w:t>
      </w:r>
      <w:proofErr w:type="spellStart"/>
      <w:r w:rsidRPr="0020708F">
        <w:rPr>
          <w:rFonts w:eastAsia="Times New Roman"/>
          <w:bCs/>
          <w:color w:val="000000"/>
          <w:sz w:val="16"/>
          <w:szCs w:val="16"/>
          <w:lang w:val="es-ES_tradnl"/>
        </w:rPr>
        <w:t>nsuficienci</w:t>
      </w:r>
      <w:proofErr w:type="spellEnd"/>
      <w:r w:rsidRPr="0020708F">
        <w:rPr>
          <w:rFonts w:eastAsia="Times New Roman"/>
          <w:bCs/>
          <w:color w:val="000000"/>
          <w:sz w:val="16"/>
          <w:szCs w:val="16"/>
          <w:lang w:val="es-ES_tradnl"/>
        </w:rPr>
        <w:t>[a r]respiratoria” y “[a]</w:t>
      </w:r>
      <w:proofErr w:type="spellStart"/>
      <w:r w:rsidRPr="0020708F">
        <w:rPr>
          <w:rFonts w:eastAsia="Times New Roman"/>
          <w:bCs/>
          <w:color w:val="000000"/>
          <w:sz w:val="16"/>
          <w:szCs w:val="16"/>
          <w:lang w:val="es-ES_tradnl"/>
        </w:rPr>
        <w:t>rterioesclerosis</w:t>
      </w:r>
      <w:proofErr w:type="spellEnd"/>
      <w:r w:rsidRPr="0020708F">
        <w:rPr>
          <w:rFonts w:eastAsia="Times New Roman"/>
          <w:bCs/>
          <w:color w:val="000000"/>
          <w:sz w:val="16"/>
          <w:szCs w:val="16"/>
          <w:lang w:val="es-ES_tradnl"/>
        </w:rPr>
        <w:t xml:space="preserve"> –[e]</w:t>
      </w:r>
      <w:proofErr w:type="spellStart"/>
      <w:r w:rsidRPr="0020708F">
        <w:rPr>
          <w:rFonts w:eastAsia="Times New Roman"/>
          <w:bCs/>
          <w:color w:val="000000"/>
          <w:sz w:val="16"/>
          <w:szCs w:val="16"/>
          <w:lang w:val="es-ES_tradnl"/>
        </w:rPr>
        <w:t>ufema</w:t>
      </w:r>
      <w:proofErr w:type="spellEnd"/>
      <w:r w:rsidRPr="0020708F">
        <w:rPr>
          <w:rFonts w:eastAsia="Times New Roman"/>
          <w:bCs/>
          <w:color w:val="000000"/>
          <w:sz w:val="16"/>
          <w:szCs w:val="16"/>
          <w:lang w:val="es-ES_tradnl"/>
        </w:rPr>
        <w:t>” (</w:t>
      </w:r>
      <w:r w:rsidRPr="0020708F">
        <w:rPr>
          <w:rFonts w:eastAsia="Times New Roman"/>
          <w:bCs/>
          <w:i/>
          <w:color w:val="000000"/>
          <w:sz w:val="16"/>
          <w:szCs w:val="16"/>
          <w:lang w:val="es-ES_tradnl"/>
        </w:rPr>
        <w:t xml:space="preserve">cfr. </w:t>
      </w:r>
      <w:r w:rsidRPr="0020708F">
        <w:rPr>
          <w:rFonts w:eastAsia="Times New Roman"/>
          <w:bCs/>
          <w:color w:val="000000"/>
          <w:sz w:val="16"/>
          <w:szCs w:val="16"/>
          <w:lang w:val="es-ES_tradnl"/>
        </w:rPr>
        <w:t xml:space="preserve">Certificados de defunciones emitidos por el Registro nacional de las Personas de la República de Guatemala </w:t>
      </w:r>
      <w:r w:rsidRPr="0020708F">
        <w:rPr>
          <w:sz w:val="16"/>
          <w:szCs w:val="16"/>
          <w:lang w:val="es-ES_tradnl"/>
        </w:rPr>
        <w:t>(expediente de prueba,</w:t>
      </w:r>
      <w:r w:rsidRPr="0020708F">
        <w:rPr>
          <w:b/>
          <w:sz w:val="16"/>
          <w:szCs w:val="16"/>
          <w:lang w:val="es-ES_tradnl"/>
        </w:rPr>
        <w:t xml:space="preserve"> </w:t>
      </w:r>
      <w:r w:rsidRPr="0020708F">
        <w:rPr>
          <w:sz w:val="16"/>
          <w:szCs w:val="16"/>
          <w:lang w:val="es-ES_tradnl"/>
        </w:rPr>
        <w:t>anexo 1</w:t>
      </w:r>
      <w:r w:rsidRPr="0020708F">
        <w:rPr>
          <w:b/>
          <w:sz w:val="16"/>
          <w:szCs w:val="16"/>
          <w:lang w:val="es-ES_tradnl"/>
        </w:rPr>
        <w:t xml:space="preserve"> </w:t>
      </w:r>
      <w:r w:rsidRPr="0020708F">
        <w:rPr>
          <w:sz w:val="16"/>
          <w:szCs w:val="16"/>
          <w:lang w:val="es-ES_tradnl"/>
        </w:rPr>
        <w:t>al escrito de solicitudes y argumentos, folios 5176, 5181 y 5182, y 5234)</w:t>
      </w:r>
      <w:r w:rsidRPr="0020708F">
        <w:rPr>
          <w:b/>
          <w:sz w:val="16"/>
          <w:szCs w:val="16"/>
          <w:lang w:val="es-ES_tradnl"/>
        </w:rPr>
        <w:t>.</w:t>
      </w:r>
      <w:r w:rsidRPr="0020708F">
        <w:rPr>
          <w:rFonts w:eastAsia="Times New Roman"/>
          <w:bCs/>
          <w:color w:val="000000"/>
          <w:sz w:val="16"/>
          <w:szCs w:val="16"/>
          <w:lang w:val="es-ES_tradnl"/>
        </w:rPr>
        <w:t xml:space="preserve"> </w:t>
      </w:r>
    </w:p>
  </w:footnote>
  <w:footnote w:id="173">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9F258B">
        <w:rPr>
          <w:i/>
          <w:sz w:val="16"/>
          <w:szCs w:val="16"/>
          <w:lang w:val="es-CR"/>
        </w:rPr>
        <w:t>Cfr.</w:t>
      </w:r>
      <w:r>
        <w:rPr>
          <w:sz w:val="16"/>
          <w:szCs w:val="16"/>
          <w:lang w:val="es-CR"/>
        </w:rPr>
        <w:t xml:space="preserve"> </w:t>
      </w:r>
      <w:r>
        <w:rPr>
          <w:i/>
          <w:sz w:val="16"/>
          <w:szCs w:val="16"/>
          <w:lang w:val="es-CR"/>
        </w:rPr>
        <w:t>Caso de la Masacre de Pueblo Bello Vs. Colombia, supra</w:t>
      </w:r>
      <w:r>
        <w:rPr>
          <w:sz w:val="16"/>
          <w:szCs w:val="16"/>
          <w:lang w:val="es-CR"/>
        </w:rPr>
        <w:t xml:space="preserve">, párr. 111, y </w:t>
      </w:r>
      <w:r>
        <w:rPr>
          <w:i/>
          <w:sz w:val="16"/>
          <w:szCs w:val="16"/>
          <w:lang w:val="es-CR"/>
        </w:rPr>
        <w:t>Caso Defensor de Derechos Humanos y otros Vs. Guatemala. Excepciones Preliminares, Fondo, Reparaciones y Costas</w:t>
      </w:r>
      <w:r>
        <w:rPr>
          <w:sz w:val="16"/>
          <w:szCs w:val="16"/>
          <w:lang w:val="es-CR"/>
        </w:rPr>
        <w:t xml:space="preserve">. </w:t>
      </w:r>
      <w:r>
        <w:rPr>
          <w:bCs/>
          <w:sz w:val="16"/>
          <w:szCs w:val="16"/>
          <w:lang w:val="es-CR"/>
        </w:rPr>
        <w:t>Sentencia de 28 de agosto de 2014. Serie C No. 283, párr. 141.</w:t>
      </w:r>
    </w:p>
  </w:footnote>
  <w:footnote w:id="174">
    <w:p w:rsidR="00785921" w:rsidRPr="00467331" w:rsidRDefault="00785921" w:rsidP="00126E97">
      <w:pPr>
        <w:pStyle w:val="FootnoteText"/>
        <w:tabs>
          <w:tab w:val="left" w:pos="708"/>
          <w:tab w:val="left" w:pos="1416"/>
          <w:tab w:val="left" w:pos="2124"/>
          <w:tab w:val="left" w:pos="2832"/>
          <w:tab w:val="left" w:pos="7142"/>
        </w:tabs>
        <w:spacing w:line="20" w:lineRule="atLeast"/>
        <w:rPr>
          <w:sz w:val="16"/>
          <w:szCs w:val="16"/>
          <w:lang w:val="es-CR"/>
        </w:rPr>
      </w:pPr>
      <w:r w:rsidRPr="00467331">
        <w:rPr>
          <w:rStyle w:val="FootnoteReference"/>
          <w:sz w:val="16"/>
          <w:szCs w:val="16"/>
        </w:rPr>
        <w:footnoteRef/>
      </w:r>
      <w:r w:rsidRPr="00467331">
        <w:rPr>
          <w:sz w:val="16"/>
          <w:szCs w:val="16"/>
          <w:lang w:val="es-CR"/>
        </w:rPr>
        <w:t xml:space="preserve"> </w:t>
      </w:r>
      <w:r w:rsidRPr="00467331">
        <w:rPr>
          <w:rFonts w:cs="Times New Roman"/>
          <w:sz w:val="16"/>
          <w:szCs w:val="16"/>
          <w:lang w:val="es-CR"/>
        </w:rPr>
        <w:t xml:space="preserve">CEH, </w:t>
      </w:r>
      <w:r w:rsidRPr="00467331">
        <w:rPr>
          <w:sz w:val="16"/>
          <w:szCs w:val="16"/>
          <w:lang w:val="es-CR"/>
        </w:rPr>
        <w:t xml:space="preserve">Guatemala: Memoria del Silencio, </w:t>
      </w:r>
      <w:r w:rsidRPr="00467331">
        <w:rPr>
          <w:i/>
          <w:sz w:val="16"/>
          <w:szCs w:val="16"/>
          <w:lang w:val="es-CR"/>
        </w:rPr>
        <w:t>supra</w:t>
      </w:r>
      <w:r w:rsidRPr="00467331">
        <w:rPr>
          <w:sz w:val="16"/>
          <w:szCs w:val="16"/>
          <w:lang w:val="es-CR"/>
        </w:rPr>
        <w:t>, Tomo III. Las violaciones de los derechos humanos y los hechos de violencia</w:t>
      </w:r>
      <w:r w:rsidRPr="00467331">
        <w:rPr>
          <w:rFonts w:cs="Times New Roman"/>
          <w:sz w:val="16"/>
          <w:szCs w:val="16"/>
          <w:lang w:val="es-CR"/>
        </w:rPr>
        <w:t>, pág. 79.</w:t>
      </w:r>
    </w:p>
  </w:footnote>
  <w:footnote w:id="175">
    <w:p w:rsidR="00785921" w:rsidRPr="00467331" w:rsidRDefault="00785921" w:rsidP="00126E97">
      <w:pPr>
        <w:pStyle w:val="FootnoteText"/>
        <w:spacing w:line="20" w:lineRule="atLeast"/>
        <w:rPr>
          <w:sz w:val="16"/>
          <w:szCs w:val="16"/>
          <w:lang w:val="es-CR"/>
        </w:rPr>
      </w:pPr>
      <w:r w:rsidRPr="00467331">
        <w:rPr>
          <w:rStyle w:val="FootnoteReference"/>
          <w:sz w:val="16"/>
          <w:szCs w:val="16"/>
        </w:rPr>
        <w:footnoteRef/>
      </w:r>
      <w:r w:rsidRPr="00467331">
        <w:rPr>
          <w:sz w:val="16"/>
          <w:szCs w:val="16"/>
          <w:lang w:val="es-CR"/>
        </w:rPr>
        <w:t xml:space="preserve"> </w:t>
      </w:r>
      <w:r w:rsidRPr="009F258B">
        <w:rPr>
          <w:i/>
          <w:sz w:val="16"/>
          <w:szCs w:val="16"/>
          <w:lang w:val="es-CR"/>
        </w:rPr>
        <w:t>Cfr.</w:t>
      </w:r>
      <w:r>
        <w:rPr>
          <w:sz w:val="16"/>
          <w:szCs w:val="16"/>
          <w:lang w:val="es-CR"/>
        </w:rPr>
        <w:t xml:space="preserve"> </w:t>
      </w:r>
      <w:r w:rsidRPr="00467331">
        <w:rPr>
          <w:bCs/>
          <w:i/>
          <w:sz w:val="16"/>
          <w:szCs w:val="16"/>
          <w:lang w:val="es-CR"/>
        </w:rPr>
        <w:t xml:space="preserve">Caso Vargas </w:t>
      </w:r>
      <w:proofErr w:type="spellStart"/>
      <w:r w:rsidRPr="00467331">
        <w:rPr>
          <w:bCs/>
          <w:i/>
          <w:sz w:val="16"/>
          <w:szCs w:val="16"/>
          <w:lang w:val="es-CR"/>
        </w:rPr>
        <w:t>Areco</w:t>
      </w:r>
      <w:proofErr w:type="spellEnd"/>
      <w:r w:rsidRPr="00467331">
        <w:rPr>
          <w:bCs/>
          <w:i/>
          <w:sz w:val="16"/>
          <w:szCs w:val="16"/>
          <w:lang w:val="es-CR"/>
        </w:rPr>
        <w:t xml:space="preserve"> Vs. Paraguay</w:t>
      </w:r>
      <w:r>
        <w:rPr>
          <w:bCs/>
          <w:i/>
          <w:sz w:val="16"/>
          <w:szCs w:val="16"/>
          <w:lang w:val="es-CR"/>
        </w:rPr>
        <w:t>, supra</w:t>
      </w:r>
      <w:r w:rsidRPr="00467331">
        <w:rPr>
          <w:bCs/>
          <w:sz w:val="16"/>
          <w:szCs w:val="16"/>
          <w:lang w:val="es-CR"/>
        </w:rPr>
        <w:t>, párr. 144. Ver también los párrafos 111 a 134 de esa Sentencia.</w:t>
      </w:r>
    </w:p>
  </w:footnote>
  <w:footnote w:id="176">
    <w:p w:rsidR="00785921" w:rsidRPr="00467331" w:rsidRDefault="00785921" w:rsidP="00126E97">
      <w:pPr>
        <w:pStyle w:val="FootnoteText"/>
        <w:spacing w:line="20" w:lineRule="atLeast"/>
        <w:rPr>
          <w:sz w:val="16"/>
          <w:szCs w:val="16"/>
          <w:lang w:val="es-CR"/>
        </w:rPr>
      </w:pPr>
      <w:r w:rsidRPr="00467331">
        <w:rPr>
          <w:rStyle w:val="FootnoteReference"/>
          <w:sz w:val="16"/>
          <w:szCs w:val="16"/>
        </w:rPr>
        <w:footnoteRef/>
      </w:r>
      <w:r w:rsidRPr="00467331">
        <w:rPr>
          <w:sz w:val="16"/>
          <w:szCs w:val="16"/>
          <w:lang w:val="es-CR"/>
        </w:rPr>
        <w:t xml:space="preserve"> </w:t>
      </w:r>
      <w:r w:rsidRPr="00467331">
        <w:rPr>
          <w:i/>
          <w:sz w:val="16"/>
          <w:szCs w:val="16"/>
          <w:lang w:val="es-CR"/>
        </w:rPr>
        <w:t>Condición Jurídica y Derechos Humanos del Niño</w:t>
      </w:r>
      <w:r w:rsidRPr="00467331">
        <w:rPr>
          <w:sz w:val="16"/>
          <w:szCs w:val="16"/>
          <w:lang w:val="es-CR"/>
        </w:rPr>
        <w:t>. Opinión Consultiva OC-17/02 del 28 de</w:t>
      </w:r>
      <w:r>
        <w:rPr>
          <w:sz w:val="16"/>
          <w:szCs w:val="16"/>
          <w:lang w:val="es-CR"/>
        </w:rPr>
        <w:t xml:space="preserve"> agosto de 2002. Serie A No. 17, y </w:t>
      </w:r>
      <w:r w:rsidRPr="00637508">
        <w:rPr>
          <w:bCs/>
          <w:i/>
          <w:sz w:val="16"/>
          <w:szCs w:val="16"/>
          <w:lang w:val="es-CR"/>
        </w:rPr>
        <w:t>Caso Trabajadores de la H</w:t>
      </w:r>
      <w:r>
        <w:rPr>
          <w:bCs/>
          <w:i/>
          <w:sz w:val="16"/>
          <w:szCs w:val="16"/>
          <w:lang w:val="es-CR"/>
        </w:rPr>
        <w:t xml:space="preserve">acienda Brasil Verde Vs. Brasil, supra, </w:t>
      </w:r>
      <w:r>
        <w:rPr>
          <w:bCs/>
          <w:sz w:val="16"/>
          <w:szCs w:val="16"/>
          <w:lang w:val="es-CR"/>
        </w:rPr>
        <w:t>párr. 407</w:t>
      </w:r>
      <w:r w:rsidRPr="00637508">
        <w:rPr>
          <w:bCs/>
          <w:i/>
          <w:sz w:val="16"/>
          <w:szCs w:val="16"/>
          <w:lang w:val="es-CR"/>
        </w:rPr>
        <w:t>.</w:t>
      </w:r>
    </w:p>
  </w:footnote>
  <w:footnote w:id="177">
    <w:p w:rsidR="00785921" w:rsidRPr="00467331" w:rsidRDefault="00785921" w:rsidP="00126E97">
      <w:pPr>
        <w:pStyle w:val="FootnoteText"/>
        <w:spacing w:line="20" w:lineRule="atLeast"/>
        <w:rPr>
          <w:bCs/>
          <w:i/>
          <w:color w:val="000000"/>
          <w:sz w:val="16"/>
          <w:szCs w:val="16"/>
          <w:shd w:val="clear" w:color="auto" w:fill="FFFFFF"/>
          <w:lang w:val="es-ES_tradnl"/>
        </w:rPr>
      </w:pPr>
      <w:r w:rsidRPr="00467331">
        <w:rPr>
          <w:rStyle w:val="FootnoteReference"/>
          <w:sz w:val="16"/>
          <w:szCs w:val="16"/>
        </w:rPr>
        <w:footnoteRef/>
      </w:r>
      <w:r w:rsidRPr="00467331">
        <w:rPr>
          <w:sz w:val="16"/>
          <w:szCs w:val="16"/>
          <w:lang w:val="es-CR"/>
        </w:rPr>
        <w:t xml:space="preserve"> </w:t>
      </w:r>
      <w:r w:rsidRPr="00467331">
        <w:rPr>
          <w:bCs/>
          <w:i/>
          <w:sz w:val="16"/>
          <w:szCs w:val="16"/>
          <w:lang w:val="es-ES"/>
        </w:rPr>
        <w:t xml:space="preserve">Caso de la "Masacre de </w:t>
      </w:r>
      <w:proofErr w:type="spellStart"/>
      <w:r w:rsidRPr="00467331">
        <w:rPr>
          <w:bCs/>
          <w:i/>
          <w:sz w:val="16"/>
          <w:szCs w:val="16"/>
          <w:lang w:val="es-ES"/>
        </w:rPr>
        <w:t>Mapiripán</w:t>
      </w:r>
      <w:proofErr w:type="spellEnd"/>
      <w:r w:rsidRPr="00467331">
        <w:rPr>
          <w:bCs/>
          <w:i/>
          <w:sz w:val="16"/>
          <w:szCs w:val="16"/>
          <w:lang w:val="es-ES"/>
        </w:rPr>
        <w:t>" Vs. Colombia</w:t>
      </w:r>
      <w:r>
        <w:rPr>
          <w:bCs/>
          <w:sz w:val="16"/>
          <w:szCs w:val="16"/>
          <w:lang w:val="es-ES"/>
        </w:rPr>
        <w:t xml:space="preserve">, </w:t>
      </w:r>
      <w:r w:rsidRPr="007335F2">
        <w:rPr>
          <w:bCs/>
          <w:i/>
          <w:sz w:val="16"/>
          <w:szCs w:val="16"/>
          <w:lang w:val="es-ES"/>
        </w:rPr>
        <w:t>supra</w:t>
      </w:r>
      <w:r>
        <w:rPr>
          <w:bCs/>
          <w:i/>
          <w:sz w:val="16"/>
          <w:szCs w:val="16"/>
          <w:lang w:val="es-ES"/>
        </w:rPr>
        <w:t>,</w:t>
      </w:r>
      <w:r w:rsidRPr="00467331">
        <w:rPr>
          <w:bCs/>
          <w:sz w:val="16"/>
          <w:szCs w:val="16"/>
          <w:lang w:val="es-ES"/>
        </w:rPr>
        <w:t xml:space="preserve"> </w:t>
      </w:r>
      <w:r w:rsidRPr="00467331">
        <w:rPr>
          <w:sz w:val="16"/>
          <w:szCs w:val="16"/>
          <w:lang w:val="es-ES_tradnl"/>
        </w:rPr>
        <w:t>párr. 156</w:t>
      </w:r>
      <w:r w:rsidRPr="00467331">
        <w:rPr>
          <w:sz w:val="16"/>
          <w:szCs w:val="16"/>
          <w:lang w:val="es-CR"/>
        </w:rPr>
        <w:t xml:space="preserve">, y </w:t>
      </w:r>
      <w:r w:rsidRPr="00467331">
        <w:rPr>
          <w:i/>
          <w:sz w:val="16"/>
          <w:szCs w:val="16"/>
          <w:lang w:val="es-CR"/>
        </w:rPr>
        <w:t>Caso de las Comunidades Afrodescendientes Desplazadas de la Cuenca del Rio Cacarica (Operación Génesis) Vs. Colombia</w:t>
      </w:r>
      <w:r>
        <w:rPr>
          <w:i/>
          <w:sz w:val="16"/>
          <w:szCs w:val="16"/>
          <w:lang w:val="es-CR"/>
        </w:rPr>
        <w:t>, supra</w:t>
      </w:r>
      <w:r w:rsidRPr="00467331">
        <w:rPr>
          <w:sz w:val="16"/>
          <w:szCs w:val="16"/>
          <w:lang w:val="es-CR"/>
        </w:rPr>
        <w:t>, párr. 327.</w:t>
      </w:r>
    </w:p>
  </w:footnote>
  <w:footnote w:id="178">
    <w:p w:rsidR="00785921" w:rsidRPr="00467331" w:rsidRDefault="00785921" w:rsidP="00126E97">
      <w:pPr>
        <w:pStyle w:val="FootnoteText"/>
        <w:spacing w:line="20" w:lineRule="atLeast"/>
        <w:rPr>
          <w:sz w:val="16"/>
          <w:szCs w:val="16"/>
          <w:lang w:val="es-CR"/>
        </w:rPr>
      </w:pPr>
      <w:r w:rsidRPr="00467331">
        <w:rPr>
          <w:rStyle w:val="FootnoteReference"/>
          <w:sz w:val="16"/>
          <w:szCs w:val="16"/>
        </w:rPr>
        <w:footnoteRef/>
      </w:r>
      <w:r w:rsidRPr="00467331">
        <w:rPr>
          <w:sz w:val="16"/>
          <w:szCs w:val="16"/>
          <w:lang w:val="es-CR"/>
        </w:rPr>
        <w:t xml:space="preserve"> Ello, sin perjuicio de lo señalado sobre la falta de alegatos respecto al derecho internacional humanitario (</w:t>
      </w:r>
      <w:r w:rsidRPr="00467331">
        <w:rPr>
          <w:i/>
          <w:sz w:val="16"/>
          <w:szCs w:val="16"/>
          <w:lang w:val="es-CR"/>
        </w:rPr>
        <w:t>supra</w:t>
      </w:r>
      <w:r w:rsidRPr="00467331">
        <w:rPr>
          <w:sz w:val="16"/>
          <w:szCs w:val="16"/>
          <w:lang w:val="es-CR"/>
        </w:rPr>
        <w:t xml:space="preserve"> nota a pie de página 1</w:t>
      </w:r>
      <w:r>
        <w:rPr>
          <w:sz w:val="16"/>
          <w:szCs w:val="16"/>
          <w:lang w:val="es-CR"/>
        </w:rPr>
        <w:t>63</w:t>
      </w:r>
      <w:r w:rsidRPr="00467331">
        <w:rPr>
          <w:sz w:val="16"/>
          <w:szCs w:val="16"/>
          <w:lang w:val="es-CR"/>
        </w:rPr>
        <w:t>).</w:t>
      </w:r>
    </w:p>
  </w:footnote>
  <w:footnote w:id="179">
    <w:p w:rsidR="00785921" w:rsidRPr="008955DB" w:rsidRDefault="00785921" w:rsidP="00126E97">
      <w:pPr>
        <w:pStyle w:val="FootnoteText"/>
        <w:spacing w:line="20" w:lineRule="atLeast"/>
        <w:rPr>
          <w:rFonts w:cs="Times New Roman"/>
          <w:sz w:val="16"/>
          <w:szCs w:val="16"/>
          <w:lang w:val="es-ES_tradnl"/>
        </w:rPr>
      </w:pPr>
      <w:r w:rsidRPr="00467331">
        <w:rPr>
          <w:rStyle w:val="FootnoteReference"/>
          <w:sz w:val="16"/>
          <w:szCs w:val="16"/>
          <w:lang w:eastAsia="x-none"/>
        </w:rPr>
        <w:footnoteRef/>
      </w:r>
      <w:r w:rsidRPr="00467331">
        <w:rPr>
          <w:sz w:val="16"/>
          <w:szCs w:val="16"/>
          <w:lang w:val="es-ES_tradnl"/>
        </w:rPr>
        <w:t xml:space="preserve"> En audiencia pública de 9 de febrero de 2018, el Estado indicó: “</w:t>
      </w:r>
      <w:r w:rsidRPr="00467331">
        <w:rPr>
          <w:rFonts w:eastAsia="Times New Roman" w:cs="Times New Roman"/>
          <w:sz w:val="16"/>
          <w:szCs w:val="16"/>
          <w:lang w:val="es-ES_tradnl"/>
        </w:rPr>
        <w:t xml:space="preserve">la mayoría de los </w:t>
      </w:r>
      <w:r w:rsidRPr="00467331">
        <w:rPr>
          <w:rFonts w:eastAsia="Times New Roman" w:cs="Times New Roman"/>
          <w:w w:val="110"/>
          <w:sz w:val="16"/>
          <w:szCs w:val="16"/>
          <w:lang w:val="es-ES_tradnl"/>
        </w:rPr>
        <w:t xml:space="preserve">soldados condenados eran </w:t>
      </w:r>
      <w:proofErr w:type="spellStart"/>
      <w:r w:rsidRPr="00467331">
        <w:rPr>
          <w:rFonts w:eastAsia="Times New Roman" w:cs="Times New Roman"/>
          <w:sz w:val="16"/>
          <w:szCs w:val="16"/>
          <w:lang w:val="es-ES_tradnl"/>
        </w:rPr>
        <w:t>q'eqchís</w:t>
      </w:r>
      <w:proofErr w:type="spellEnd"/>
      <w:r w:rsidRPr="00467331">
        <w:rPr>
          <w:rFonts w:eastAsia="Times New Roman" w:cs="Times New Roman"/>
          <w:sz w:val="16"/>
          <w:szCs w:val="16"/>
          <w:lang w:val="es-ES_tradnl"/>
        </w:rPr>
        <w:t xml:space="preserve">, es decir, </w:t>
      </w:r>
      <w:r w:rsidRPr="00467331">
        <w:rPr>
          <w:rFonts w:eastAsia="Times New Roman" w:cs="Times New Roman"/>
          <w:w w:val="109"/>
          <w:sz w:val="16"/>
          <w:szCs w:val="16"/>
          <w:lang w:val="es-ES_tradnl"/>
        </w:rPr>
        <w:t xml:space="preserve">pertenecientes </w:t>
      </w:r>
      <w:r w:rsidRPr="00467331">
        <w:rPr>
          <w:rFonts w:eastAsia="Times New Roman" w:cs="Times New Roman"/>
          <w:sz w:val="16"/>
          <w:szCs w:val="16"/>
          <w:lang w:val="es-ES_tradnl"/>
        </w:rPr>
        <w:t xml:space="preserve">a la misma etnia indígena </w:t>
      </w:r>
      <w:r w:rsidRPr="00467331">
        <w:rPr>
          <w:rFonts w:eastAsia="Times New Roman" w:cs="Times New Roman"/>
          <w:w w:val="102"/>
          <w:sz w:val="16"/>
          <w:szCs w:val="16"/>
          <w:lang w:val="es-ES_tradnl"/>
        </w:rPr>
        <w:t xml:space="preserve">maya </w:t>
      </w:r>
      <w:r w:rsidRPr="00467331">
        <w:rPr>
          <w:rFonts w:eastAsia="Times New Roman" w:cs="Times New Roman"/>
          <w:w w:val="107"/>
          <w:sz w:val="16"/>
          <w:szCs w:val="16"/>
          <w:lang w:val="es-ES_tradnl"/>
        </w:rPr>
        <w:t xml:space="preserve">prevaleciente </w:t>
      </w:r>
      <w:r w:rsidRPr="00467331">
        <w:rPr>
          <w:rFonts w:eastAsia="Times New Roman" w:cs="Times New Roman"/>
          <w:sz w:val="16"/>
          <w:szCs w:val="16"/>
          <w:lang w:val="es-ES_tradnl"/>
        </w:rPr>
        <w:t>en la Comunidad […]”</w:t>
      </w:r>
      <w:r w:rsidRPr="00467331">
        <w:rPr>
          <w:sz w:val="16"/>
          <w:szCs w:val="16"/>
          <w:lang w:val="es-ES_tradnl"/>
        </w:rPr>
        <w:t>.</w:t>
      </w:r>
      <w:r w:rsidRPr="00467331">
        <w:rPr>
          <w:b/>
          <w:sz w:val="16"/>
          <w:szCs w:val="16"/>
          <w:lang w:val="es-ES_tradnl"/>
        </w:rPr>
        <w:t xml:space="preserve"> </w:t>
      </w:r>
      <w:r w:rsidRPr="00467331">
        <w:rPr>
          <w:sz w:val="16"/>
          <w:szCs w:val="16"/>
          <w:lang w:val="es-ES_tradnl"/>
        </w:rPr>
        <w:t>En el mismo sentido se pronuncia en sus alegatos finales por escrito.</w:t>
      </w:r>
      <w:r w:rsidRPr="008955DB">
        <w:rPr>
          <w:rFonts w:cs="Times New Roman"/>
          <w:sz w:val="16"/>
          <w:szCs w:val="16"/>
          <w:lang w:val="es-ES_tradnl"/>
        </w:rPr>
        <w:t xml:space="preserve"> </w:t>
      </w:r>
    </w:p>
  </w:footnote>
  <w:footnote w:id="180">
    <w:p w:rsidR="00785921" w:rsidRPr="00467331" w:rsidRDefault="00785921" w:rsidP="00126E97">
      <w:pPr>
        <w:pStyle w:val="FootnoteText"/>
        <w:spacing w:line="20" w:lineRule="atLeast"/>
        <w:rPr>
          <w:b/>
          <w:sz w:val="16"/>
          <w:szCs w:val="16"/>
          <w:lang w:val="es-CR"/>
        </w:rPr>
      </w:pPr>
      <w:r w:rsidRPr="00467331">
        <w:rPr>
          <w:rStyle w:val="FootnoteReference"/>
          <w:sz w:val="16"/>
          <w:szCs w:val="16"/>
        </w:rPr>
        <w:footnoteRef/>
      </w:r>
      <w:r w:rsidRPr="00467331">
        <w:rPr>
          <w:sz w:val="16"/>
          <w:szCs w:val="16"/>
          <w:lang w:val="es-CR"/>
        </w:rPr>
        <w:t xml:space="preserve"> </w:t>
      </w:r>
      <w:r w:rsidRPr="00467331">
        <w:rPr>
          <w:rStyle w:val="Strong"/>
          <w:b w:val="0"/>
          <w:i/>
          <w:sz w:val="16"/>
          <w:szCs w:val="16"/>
          <w:lang w:val="es-CR"/>
        </w:rPr>
        <w:t xml:space="preserve">Caso Miembros de la Aldea </w:t>
      </w:r>
      <w:proofErr w:type="spellStart"/>
      <w:r w:rsidRPr="00467331">
        <w:rPr>
          <w:rStyle w:val="Strong"/>
          <w:b w:val="0"/>
          <w:i/>
          <w:sz w:val="16"/>
          <w:szCs w:val="16"/>
          <w:lang w:val="es-CR"/>
        </w:rPr>
        <w:t>Chichupac</w:t>
      </w:r>
      <w:proofErr w:type="spellEnd"/>
      <w:r w:rsidRPr="00467331">
        <w:rPr>
          <w:rStyle w:val="Strong"/>
          <w:b w:val="0"/>
          <w:i/>
          <w:sz w:val="16"/>
          <w:szCs w:val="16"/>
          <w:lang w:val="es-CR"/>
        </w:rPr>
        <w:t xml:space="preserve"> y comunidades vecinas del Municipio de Rabinal Vs. Guatemala</w:t>
      </w:r>
      <w:r>
        <w:rPr>
          <w:rStyle w:val="Strong"/>
          <w:b w:val="0"/>
          <w:i/>
          <w:sz w:val="16"/>
          <w:szCs w:val="16"/>
          <w:lang w:val="es-CR"/>
        </w:rPr>
        <w:t>, supra</w:t>
      </w:r>
      <w:r w:rsidRPr="00467331">
        <w:rPr>
          <w:rStyle w:val="Strong"/>
          <w:b w:val="0"/>
          <w:sz w:val="16"/>
          <w:szCs w:val="16"/>
          <w:lang w:val="es-CR"/>
        </w:rPr>
        <w:t>, párr. 251.</w:t>
      </w:r>
    </w:p>
  </w:footnote>
  <w:footnote w:id="181">
    <w:p w:rsidR="00785921" w:rsidRPr="002C31F6" w:rsidRDefault="00785921" w:rsidP="00126E97">
      <w:pPr>
        <w:pStyle w:val="FootnoteText"/>
        <w:spacing w:line="20" w:lineRule="atLeast"/>
        <w:rPr>
          <w:sz w:val="16"/>
          <w:szCs w:val="16"/>
          <w:lang w:val="es-CR"/>
        </w:rPr>
      </w:pPr>
      <w:r w:rsidRPr="002C31F6">
        <w:rPr>
          <w:rStyle w:val="FootnoteReference"/>
          <w:sz w:val="16"/>
          <w:szCs w:val="16"/>
        </w:rPr>
        <w:footnoteRef/>
      </w:r>
      <w:r w:rsidRPr="002C31F6">
        <w:rPr>
          <w:sz w:val="16"/>
          <w:szCs w:val="16"/>
          <w:lang w:val="es-CR"/>
        </w:rPr>
        <w:t xml:space="preserve"> CEH, </w:t>
      </w:r>
      <w:r>
        <w:rPr>
          <w:sz w:val="16"/>
          <w:szCs w:val="16"/>
          <w:lang w:val="es-CR"/>
        </w:rPr>
        <w:t xml:space="preserve">Guatemala: Memoria del Silencio, </w:t>
      </w:r>
      <w:r w:rsidRPr="00676759">
        <w:rPr>
          <w:i/>
          <w:sz w:val="16"/>
          <w:szCs w:val="16"/>
          <w:lang w:val="es-CR"/>
        </w:rPr>
        <w:t>supra</w:t>
      </w:r>
      <w:r>
        <w:rPr>
          <w:sz w:val="16"/>
          <w:szCs w:val="16"/>
          <w:lang w:val="es-CR"/>
        </w:rPr>
        <w:t xml:space="preserve">, </w:t>
      </w:r>
      <w:r w:rsidRPr="002C31F6">
        <w:rPr>
          <w:sz w:val="16"/>
          <w:szCs w:val="16"/>
          <w:lang w:val="es-CR"/>
        </w:rPr>
        <w:t xml:space="preserve">Caso Ilustrativo No. 3, Masacre de </w:t>
      </w:r>
      <w:proofErr w:type="spellStart"/>
      <w:r w:rsidRPr="002C31F6">
        <w:rPr>
          <w:sz w:val="16"/>
          <w:szCs w:val="16"/>
          <w:lang w:val="es-CR"/>
        </w:rPr>
        <w:t>Xamán</w:t>
      </w:r>
      <w:proofErr w:type="spellEnd"/>
      <w:r w:rsidRPr="002C31F6">
        <w:rPr>
          <w:sz w:val="16"/>
          <w:szCs w:val="16"/>
          <w:lang w:val="es-CR"/>
        </w:rPr>
        <w:t>, pág. 43. Al respecto, es pertinente destacar que, como se ha indicado, el Estado, en el litigio del presente caso, se ha manifestado a favor de considerar las determinaciones de la CEH (</w:t>
      </w:r>
      <w:r w:rsidRPr="002C31F6">
        <w:rPr>
          <w:i/>
          <w:sz w:val="16"/>
          <w:szCs w:val="16"/>
          <w:lang w:val="es-CR"/>
        </w:rPr>
        <w:t>supra</w:t>
      </w:r>
      <w:r w:rsidRPr="002C31F6">
        <w:rPr>
          <w:sz w:val="16"/>
          <w:szCs w:val="16"/>
          <w:lang w:val="es-CR"/>
        </w:rPr>
        <w:t xml:space="preserve"> </w:t>
      </w:r>
      <w:r>
        <w:rPr>
          <w:sz w:val="16"/>
          <w:szCs w:val="16"/>
          <w:lang w:val="es-CR"/>
        </w:rPr>
        <w:t>párr.26</w:t>
      </w:r>
      <w:r w:rsidRPr="002C31F6">
        <w:rPr>
          <w:sz w:val="16"/>
          <w:szCs w:val="16"/>
          <w:lang w:val="es-CR"/>
        </w:rPr>
        <w:t xml:space="preserve">). </w:t>
      </w:r>
    </w:p>
  </w:footnote>
  <w:footnote w:id="182">
    <w:p w:rsidR="00785921" w:rsidRPr="002C31F6" w:rsidRDefault="00785921" w:rsidP="00126E97">
      <w:pPr>
        <w:pStyle w:val="FootnoteText"/>
        <w:spacing w:line="20" w:lineRule="atLeast"/>
        <w:rPr>
          <w:sz w:val="16"/>
          <w:szCs w:val="16"/>
          <w:lang w:val="es-CR"/>
        </w:rPr>
      </w:pPr>
      <w:r w:rsidRPr="002C31F6">
        <w:rPr>
          <w:rStyle w:val="FootnoteReference"/>
          <w:sz w:val="16"/>
          <w:szCs w:val="16"/>
        </w:rPr>
        <w:footnoteRef/>
      </w:r>
      <w:r>
        <w:rPr>
          <w:sz w:val="16"/>
          <w:szCs w:val="16"/>
          <w:lang w:val="es-CR"/>
        </w:rPr>
        <w:t xml:space="preserve"> Declaración de la perita Claudia Virginia Samayoa Pineda mediante afidávit (e</w:t>
      </w:r>
      <w:r w:rsidRPr="002C31F6">
        <w:rPr>
          <w:sz w:val="16"/>
          <w:szCs w:val="16"/>
          <w:lang w:val="es-CR"/>
        </w:rPr>
        <w:t>xpediente de fondo, f</w:t>
      </w:r>
      <w:r>
        <w:rPr>
          <w:sz w:val="16"/>
          <w:szCs w:val="16"/>
          <w:lang w:val="es-CR"/>
        </w:rPr>
        <w:t>olio</w:t>
      </w:r>
      <w:r w:rsidRPr="002C31F6">
        <w:rPr>
          <w:sz w:val="16"/>
          <w:szCs w:val="16"/>
          <w:lang w:val="es-CR"/>
        </w:rPr>
        <w:t>s 661 a 679</w:t>
      </w:r>
      <w:r>
        <w:rPr>
          <w:sz w:val="16"/>
          <w:szCs w:val="16"/>
          <w:lang w:val="es-CR"/>
        </w:rPr>
        <w:t>).</w:t>
      </w:r>
      <w:r w:rsidRPr="002C31F6">
        <w:rPr>
          <w:sz w:val="16"/>
          <w:szCs w:val="16"/>
          <w:lang w:val="es-CR"/>
        </w:rPr>
        <w:t xml:space="preserve"> </w:t>
      </w:r>
    </w:p>
  </w:footnote>
  <w:footnote w:id="183">
    <w:p w:rsidR="00785921" w:rsidRPr="00FE7D3F" w:rsidRDefault="00785921" w:rsidP="00126E97">
      <w:pPr>
        <w:spacing w:after="0" w:line="20" w:lineRule="atLeast"/>
        <w:jc w:val="both"/>
        <w:rPr>
          <w:rFonts w:ascii="Verdana" w:hAnsi="Verdana"/>
          <w:sz w:val="16"/>
          <w:szCs w:val="16"/>
          <w:highlight w:val="lightGray"/>
          <w:lang w:val="es-CR"/>
        </w:rPr>
      </w:pPr>
      <w:r w:rsidRPr="00F64E8C">
        <w:rPr>
          <w:rStyle w:val="FootnoteReference"/>
          <w:rFonts w:ascii="Verdana" w:eastAsia="Batang" w:hAnsi="Verdana"/>
          <w:sz w:val="16"/>
          <w:szCs w:val="16"/>
          <w:lang w:eastAsia="es-CR"/>
        </w:rPr>
        <w:footnoteRef/>
      </w:r>
      <w:r w:rsidRPr="00F64E8C">
        <w:rPr>
          <w:rFonts w:ascii="Verdana" w:hAnsi="Verdana"/>
          <w:sz w:val="16"/>
          <w:szCs w:val="16"/>
          <w:lang w:val="es-CR"/>
        </w:rPr>
        <w:t xml:space="preserve"> </w:t>
      </w:r>
      <w:r w:rsidRPr="00F64E8C">
        <w:rPr>
          <w:rFonts w:ascii="Verdana" w:hAnsi="Verdana"/>
          <w:sz w:val="16"/>
          <w:szCs w:val="16"/>
        </w:rPr>
        <w:t xml:space="preserve">La Comisión se refirió, además de las personas distintas a Eulalia Antonio nombradas en el Anexo B.5 </w:t>
      </w:r>
      <w:r>
        <w:rPr>
          <w:rFonts w:ascii="Verdana" w:hAnsi="Verdana"/>
          <w:sz w:val="16"/>
          <w:szCs w:val="16"/>
        </w:rPr>
        <w:t>de</w:t>
      </w:r>
      <w:r w:rsidRPr="00F64E8C">
        <w:rPr>
          <w:rFonts w:ascii="Verdana" w:hAnsi="Verdana"/>
          <w:sz w:val="16"/>
          <w:szCs w:val="16"/>
        </w:rPr>
        <w:t xml:space="preserve"> la presente Sentencia, a las siguientes: A) </w:t>
      </w:r>
      <w:r>
        <w:rPr>
          <w:rFonts w:ascii="Verdana" w:hAnsi="Verdana"/>
          <w:sz w:val="16"/>
          <w:szCs w:val="16"/>
          <w:u w:val="single"/>
        </w:rPr>
        <w:t xml:space="preserve">Familiares de Santiago </w:t>
      </w:r>
      <w:proofErr w:type="spellStart"/>
      <w:r>
        <w:rPr>
          <w:rFonts w:ascii="Verdana" w:hAnsi="Verdana"/>
          <w:sz w:val="16"/>
          <w:szCs w:val="16"/>
          <w:u w:val="single"/>
        </w:rPr>
        <w:t>Maquí</w:t>
      </w:r>
      <w:r w:rsidRPr="00F64E8C">
        <w:rPr>
          <w:rFonts w:ascii="Verdana" w:hAnsi="Verdana"/>
          <w:sz w:val="16"/>
          <w:szCs w:val="16"/>
          <w:u w:val="single"/>
        </w:rPr>
        <w:t>n</w:t>
      </w:r>
      <w:proofErr w:type="spellEnd"/>
      <w:r>
        <w:rPr>
          <w:rFonts w:ascii="Verdana" w:hAnsi="Verdana"/>
          <w:sz w:val="16"/>
          <w:szCs w:val="16"/>
          <w:u w:val="single"/>
        </w:rPr>
        <w:t xml:space="preserve"> </w:t>
      </w:r>
      <w:proofErr w:type="spellStart"/>
      <w:r>
        <w:rPr>
          <w:rFonts w:ascii="Verdana" w:hAnsi="Verdana"/>
          <w:sz w:val="16"/>
          <w:szCs w:val="16"/>
          <w:u w:val="single"/>
        </w:rPr>
        <w:t>Quip</w:t>
      </w:r>
      <w:proofErr w:type="spellEnd"/>
      <w:r w:rsidRPr="00F64E8C">
        <w:rPr>
          <w:rFonts w:ascii="Verdana" w:hAnsi="Verdana"/>
          <w:sz w:val="16"/>
          <w:szCs w:val="16"/>
        </w:rPr>
        <w:t xml:space="preserve"> (herido y luego fallecido): 1.-Manuela Pop</w:t>
      </w:r>
      <w:r>
        <w:rPr>
          <w:rFonts w:ascii="Verdana" w:hAnsi="Verdana"/>
          <w:sz w:val="16"/>
          <w:szCs w:val="16"/>
        </w:rPr>
        <w:t xml:space="preserve"> </w:t>
      </w:r>
      <w:proofErr w:type="spellStart"/>
      <w:r>
        <w:rPr>
          <w:rFonts w:ascii="Verdana" w:hAnsi="Verdana"/>
          <w:sz w:val="16"/>
          <w:szCs w:val="16"/>
        </w:rPr>
        <w:t>Choc</w:t>
      </w:r>
      <w:proofErr w:type="spellEnd"/>
      <w:r w:rsidRPr="00F64E8C">
        <w:rPr>
          <w:rFonts w:ascii="Verdana" w:hAnsi="Verdana"/>
          <w:sz w:val="16"/>
          <w:szCs w:val="16"/>
        </w:rPr>
        <w:t xml:space="preserve"> (esposa o conviviente (los representantes informaron que murió el 15 de junio de 2016 ); 2.-Francisco </w:t>
      </w:r>
      <w:proofErr w:type="spellStart"/>
      <w:r w:rsidRPr="00F64E8C">
        <w:rPr>
          <w:rFonts w:ascii="Verdana" w:hAnsi="Verdana"/>
          <w:sz w:val="16"/>
          <w:szCs w:val="16"/>
        </w:rPr>
        <w:t>Quip</w:t>
      </w:r>
      <w:proofErr w:type="spellEnd"/>
      <w:r w:rsidRPr="00F64E8C">
        <w:rPr>
          <w:rFonts w:ascii="Verdana" w:hAnsi="Verdana"/>
          <w:sz w:val="16"/>
          <w:szCs w:val="16"/>
        </w:rPr>
        <w:t xml:space="preserve"> </w:t>
      </w:r>
      <w:proofErr w:type="spellStart"/>
      <w:r w:rsidRPr="00F64E8C">
        <w:rPr>
          <w:rFonts w:ascii="Verdana" w:hAnsi="Verdana"/>
          <w:sz w:val="16"/>
          <w:szCs w:val="16"/>
        </w:rPr>
        <w:t>Choc</w:t>
      </w:r>
      <w:proofErr w:type="spellEnd"/>
      <w:r w:rsidRPr="00F64E8C">
        <w:rPr>
          <w:rFonts w:ascii="Verdana" w:hAnsi="Verdana"/>
          <w:sz w:val="16"/>
          <w:szCs w:val="16"/>
        </w:rPr>
        <w:t xml:space="preserve"> (hijo); 3.-Petrona </w:t>
      </w:r>
      <w:proofErr w:type="spellStart"/>
      <w:r w:rsidRPr="00F64E8C">
        <w:rPr>
          <w:rFonts w:ascii="Verdana" w:hAnsi="Verdana"/>
          <w:sz w:val="16"/>
          <w:szCs w:val="16"/>
        </w:rPr>
        <w:t>Quip</w:t>
      </w:r>
      <w:proofErr w:type="spellEnd"/>
      <w:r w:rsidRPr="00F64E8C">
        <w:rPr>
          <w:rFonts w:ascii="Verdana" w:hAnsi="Verdana"/>
          <w:sz w:val="16"/>
          <w:szCs w:val="16"/>
        </w:rPr>
        <w:t xml:space="preserve"> Pop (hija); 4.-Mar</w:t>
      </w:r>
      <w:r>
        <w:rPr>
          <w:rFonts w:ascii="Verdana" w:hAnsi="Verdana"/>
          <w:sz w:val="16"/>
          <w:szCs w:val="16"/>
        </w:rPr>
        <w:t xml:space="preserve">garita </w:t>
      </w:r>
      <w:proofErr w:type="spellStart"/>
      <w:r>
        <w:rPr>
          <w:rFonts w:ascii="Verdana" w:hAnsi="Verdana"/>
          <w:sz w:val="16"/>
          <w:szCs w:val="16"/>
        </w:rPr>
        <w:t>Quip</w:t>
      </w:r>
      <w:proofErr w:type="spellEnd"/>
      <w:r>
        <w:rPr>
          <w:rFonts w:ascii="Verdana" w:hAnsi="Verdana"/>
          <w:sz w:val="16"/>
          <w:szCs w:val="16"/>
        </w:rPr>
        <w:t xml:space="preserve"> Pop (hija); 5.-Martín </w:t>
      </w:r>
      <w:proofErr w:type="spellStart"/>
      <w:r>
        <w:rPr>
          <w:rFonts w:ascii="Verdana" w:hAnsi="Verdana"/>
          <w:sz w:val="16"/>
          <w:szCs w:val="16"/>
        </w:rPr>
        <w:t>Maquí</w:t>
      </w:r>
      <w:r w:rsidRPr="00F64E8C">
        <w:rPr>
          <w:rFonts w:ascii="Verdana" w:hAnsi="Verdana"/>
          <w:sz w:val="16"/>
          <w:szCs w:val="16"/>
        </w:rPr>
        <w:t>n</w:t>
      </w:r>
      <w:proofErr w:type="spellEnd"/>
      <w:r w:rsidRPr="00F64E8C">
        <w:rPr>
          <w:rFonts w:ascii="Verdana" w:hAnsi="Verdana"/>
          <w:sz w:val="16"/>
          <w:szCs w:val="16"/>
        </w:rPr>
        <w:t xml:space="preserve"> </w:t>
      </w:r>
      <w:proofErr w:type="spellStart"/>
      <w:r w:rsidRPr="00F64E8C">
        <w:rPr>
          <w:rFonts w:ascii="Verdana" w:hAnsi="Verdana"/>
          <w:sz w:val="16"/>
          <w:szCs w:val="16"/>
        </w:rPr>
        <w:t>Quip</w:t>
      </w:r>
      <w:proofErr w:type="spellEnd"/>
      <w:r w:rsidRPr="00F64E8C">
        <w:rPr>
          <w:rFonts w:ascii="Verdana" w:hAnsi="Verdana"/>
          <w:sz w:val="16"/>
          <w:szCs w:val="16"/>
        </w:rPr>
        <w:t xml:space="preserve"> Pop (hijo); 6.-Dominga </w:t>
      </w:r>
      <w:proofErr w:type="spellStart"/>
      <w:r w:rsidRPr="00F64E8C">
        <w:rPr>
          <w:rFonts w:ascii="Verdana" w:hAnsi="Verdana"/>
          <w:sz w:val="16"/>
          <w:szCs w:val="16"/>
        </w:rPr>
        <w:t>Maquin</w:t>
      </w:r>
      <w:proofErr w:type="spellEnd"/>
      <w:r w:rsidRPr="00F64E8C">
        <w:rPr>
          <w:rFonts w:ascii="Verdana" w:hAnsi="Verdana"/>
          <w:sz w:val="16"/>
          <w:szCs w:val="16"/>
        </w:rPr>
        <w:t xml:space="preserve"> Pop (hija), y 7.-Santiago </w:t>
      </w:r>
      <w:proofErr w:type="spellStart"/>
      <w:r w:rsidRPr="00F64E8C">
        <w:rPr>
          <w:rFonts w:ascii="Verdana" w:hAnsi="Verdana"/>
          <w:sz w:val="16"/>
          <w:szCs w:val="16"/>
        </w:rPr>
        <w:t>Quip</w:t>
      </w:r>
      <w:proofErr w:type="spellEnd"/>
      <w:r w:rsidRPr="00F64E8C">
        <w:rPr>
          <w:rFonts w:ascii="Verdana" w:hAnsi="Verdana"/>
          <w:sz w:val="16"/>
          <w:szCs w:val="16"/>
        </w:rPr>
        <w:t xml:space="preserve"> Pop (hijo). B) </w:t>
      </w:r>
      <w:r>
        <w:rPr>
          <w:rFonts w:ascii="Verdana" w:hAnsi="Verdana"/>
          <w:sz w:val="16"/>
          <w:szCs w:val="16"/>
          <w:u w:val="single"/>
        </w:rPr>
        <w:t xml:space="preserve">Familiar de Rosendo Morales </w:t>
      </w:r>
      <w:proofErr w:type="spellStart"/>
      <w:r>
        <w:rPr>
          <w:rFonts w:ascii="Verdana" w:hAnsi="Verdana"/>
          <w:sz w:val="16"/>
          <w:szCs w:val="16"/>
          <w:u w:val="single"/>
        </w:rPr>
        <w:t>Ortí</w:t>
      </w:r>
      <w:r w:rsidRPr="00F64E8C">
        <w:rPr>
          <w:rFonts w:ascii="Verdana" w:hAnsi="Verdana"/>
          <w:sz w:val="16"/>
          <w:szCs w:val="16"/>
          <w:u w:val="single"/>
        </w:rPr>
        <w:t>z</w:t>
      </w:r>
      <w:proofErr w:type="spellEnd"/>
      <w:r w:rsidRPr="00F64E8C">
        <w:rPr>
          <w:rFonts w:ascii="Verdana" w:hAnsi="Verdana"/>
          <w:sz w:val="16"/>
          <w:szCs w:val="16"/>
        </w:rPr>
        <w:t xml:space="preserve"> (herido y luego </w:t>
      </w:r>
      <w:r>
        <w:rPr>
          <w:rFonts w:ascii="Verdana" w:hAnsi="Verdana"/>
          <w:sz w:val="16"/>
          <w:szCs w:val="16"/>
        </w:rPr>
        <w:t xml:space="preserve">fallecido): 8.-José Morales </w:t>
      </w:r>
      <w:proofErr w:type="spellStart"/>
      <w:r>
        <w:rPr>
          <w:rFonts w:ascii="Verdana" w:hAnsi="Verdana"/>
          <w:sz w:val="16"/>
          <w:szCs w:val="16"/>
        </w:rPr>
        <w:t>Ortí</w:t>
      </w:r>
      <w:r w:rsidRPr="00F64E8C">
        <w:rPr>
          <w:rFonts w:ascii="Verdana" w:hAnsi="Verdana"/>
          <w:sz w:val="16"/>
          <w:szCs w:val="16"/>
        </w:rPr>
        <w:t>z</w:t>
      </w:r>
      <w:proofErr w:type="spellEnd"/>
      <w:r w:rsidRPr="00F64E8C">
        <w:rPr>
          <w:rFonts w:ascii="Verdana" w:hAnsi="Verdana"/>
          <w:sz w:val="16"/>
          <w:szCs w:val="16"/>
        </w:rPr>
        <w:t xml:space="preserve"> (hermano). C) </w:t>
      </w:r>
      <w:r w:rsidRPr="00F64E8C">
        <w:rPr>
          <w:rFonts w:ascii="Verdana" w:hAnsi="Verdana"/>
          <w:sz w:val="16"/>
          <w:szCs w:val="16"/>
          <w:u w:val="single"/>
        </w:rPr>
        <w:t>Familiares de Francisco</w:t>
      </w:r>
      <w:r w:rsidRPr="00F64E8C">
        <w:rPr>
          <w:rFonts w:ascii="Verdana" w:hAnsi="Verdana"/>
          <w:sz w:val="16"/>
          <w:szCs w:val="16"/>
        </w:rPr>
        <w:t xml:space="preserve"> </w:t>
      </w:r>
      <w:r w:rsidRPr="00F64E8C">
        <w:rPr>
          <w:rFonts w:ascii="Verdana" w:hAnsi="Verdana"/>
          <w:sz w:val="16"/>
          <w:szCs w:val="16"/>
          <w:u w:val="single"/>
        </w:rPr>
        <w:t>Hernández</w:t>
      </w:r>
      <w:r w:rsidRPr="00F64E8C">
        <w:rPr>
          <w:rFonts w:ascii="Verdana" w:hAnsi="Verdana"/>
          <w:sz w:val="16"/>
          <w:szCs w:val="16"/>
        </w:rPr>
        <w:t xml:space="preserve"> (herido): 9.-Cruz Maldonado Silvestre (esposa o conviviente); 10.-Martalia Hernández Maldonado (hija); 11.-Andrés Hernández Maldonado (hijo); 12.-Florencia Hernández Maldonado (hija), y 13.- Rolando Hernández Maldonado (hijo, también herido)</w:t>
      </w:r>
    </w:p>
  </w:footnote>
  <w:footnote w:id="184">
    <w:p w:rsidR="00785921" w:rsidRPr="00065154" w:rsidRDefault="00785921" w:rsidP="00126E97">
      <w:pPr>
        <w:spacing w:after="0" w:line="20" w:lineRule="atLeast"/>
        <w:jc w:val="both"/>
        <w:rPr>
          <w:rFonts w:ascii="Verdana" w:hAnsi="Verdana"/>
          <w:b/>
          <w:sz w:val="16"/>
          <w:szCs w:val="16"/>
        </w:rPr>
      </w:pPr>
      <w:r w:rsidRPr="0029452A">
        <w:rPr>
          <w:rStyle w:val="FootnoteReference"/>
          <w:rFonts w:ascii="Verdana" w:hAnsi="Verdana"/>
          <w:sz w:val="16"/>
          <w:szCs w:val="16"/>
          <w:lang w:eastAsia="x-none"/>
        </w:rPr>
        <w:footnoteRef/>
      </w:r>
      <w:r w:rsidRPr="0029452A">
        <w:rPr>
          <w:rFonts w:ascii="Verdana" w:hAnsi="Verdana"/>
          <w:b/>
          <w:sz w:val="16"/>
          <w:szCs w:val="16"/>
          <w:lang w:val="es-CL"/>
        </w:rPr>
        <w:t xml:space="preserve"> </w:t>
      </w:r>
      <w:r>
        <w:rPr>
          <w:rFonts w:ascii="Verdana" w:hAnsi="Verdana" w:cs="Verdana"/>
          <w:i/>
          <w:iCs/>
          <w:sz w:val="16"/>
          <w:szCs w:val="16"/>
          <w:lang w:val="es-CR"/>
        </w:rPr>
        <w:t xml:space="preserve">Cfr. Caso </w:t>
      </w:r>
      <w:proofErr w:type="spellStart"/>
      <w:r>
        <w:rPr>
          <w:rFonts w:ascii="Verdana" w:hAnsi="Verdana" w:cs="Verdana"/>
          <w:i/>
          <w:iCs/>
          <w:sz w:val="16"/>
          <w:szCs w:val="16"/>
          <w:lang w:val="es-CR"/>
        </w:rPr>
        <w:t>Ximenes</w:t>
      </w:r>
      <w:proofErr w:type="spellEnd"/>
      <w:r>
        <w:rPr>
          <w:rFonts w:ascii="Verdana" w:hAnsi="Verdana" w:cs="Verdana"/>
          <w:i/>
          <w:iCs/>
          <w:sz w:val="16"/>
          <w:szCs w:val="16"/>
          <w:lang w:val="es-CR"/>
        </w:rPr>
        <w:t xml:space="preserve"> </w:t>
      </w:r>
      <w:proofErr w:type="spellStart"/>
      <w:r>
        <w:rPr>
          <w:rFonts w:ascii="Verdana" w:hAnsi="Verdana" w:cs="Verdana"/>
          <w:i/>
          <w:iCs/>
          <w:sz w:val="16"/>
          <w:szCs w:val="16"/>
          <w:lang w:val="es-CR"/>
        </w:rPr>
        <w:t>Lopes</w:t>
      </w:r>
      <w:proofErr w:type="spellEnd"/>
      <w:r>
        <w:rPr>
          <w:rFonts w:ascii="Verdana" w:hAnsi="Verdana" w:cs="Verdana"/>
          <w:i/>
          <w:iCs/>
          <w:sz w:val="16"/>
          <w:szCs w:val="16"/>
          <w:lang w:val="es-CR"/>
        </w:rPr>
        <w:t xml:space="preserve"> Vs. Brasil. </w:t>
      </w:r>
      <w:r>
        <w:rPr>
          <w:rFonts w:ascii="Verdana" w:hAnsi="Verdana" w:cs="Verdana"/>
          <w:sz w:val="16"/>
          <w:szCs w:val="16"/>
          <w:lang w:val="es-CR"/>
        </w:rPr>
        <w:t>Sentencia de 4 de julio de 2006. Serie C No. 149</w:t>
      </w:r>
      <w:r w:rsidRPr="0029452A">
        <w:rPr>
          <w:rFonts w:ascii="Verdana" w:hAnsi="Verdana"/>
          <w:sz w:val="16"/>
          <w:szCs w:val="16"/>
        </w:rPr>
        <w:t>,</w:t>
      </w:r>
      <w:r>
        <w:rPr>
          <w:rFonts w:ascii="Verdana" w:hAnsi="Verdana"/>
          <w:sz w:val="16"/>
          <w:szCs w:val="16"/>
        </w:rPr>
        <w:t xml:space="preserve"> párr. 156</w:t>
      </w:r>
      <w:r w:rsidRPr="0029452A">
        <w:rPr>
          <w:rFonts w:ascii="Verdana" w:hAnsi="Verdana"/>
          <w:sz w:val="16"/>
          <w:szCs w:val="16"/>
        </w:rPr>
        <w:t xml:space="preserve"> </w:t>
      </w:r>
      <w:r w:rsidRPr="0029452A">
        <w:rPr>
          <w:rFonts w:ascii="Verdana" w:hAnsi="Verdana" w:cs="Arial"/>
          <w:sz w:val="16"/>
          <w:szCs w:val="16"/>
        </w:rPr>
        <w:t xml:space="preserve">y </w:t>
      </w:r>
      <w:r w:rsidRPr="0029452A">
        <w:rPr>
          <w:rFonts w:ascii="Verdana" w:hAnsi="Verdana"/>
          <w:bCs/>
          <w:color w:val="000000"/>
          <w:sz w:val="16"/>
          <w:szCs w:val="16"/>
          <w:shd w:val="clear" w:color="auto" w:fill="FFFFFF"/>
        </w:rPr>
        <w:t>C</w:t>
      </w:r>
      <w:r w:rsidRPr="0029452A">
        <w:rPr>
          <w:rFonts w:ascii="Verdana" w:hAnsi="Verdana"/>
          <w:bCs/>
          <w:i/>
          <w:color w:val="000000"/>
          <w:sz w:val="16"/>
          <w:szCs w:val="16"/>
          <w:shd w:val="clear" w:color="auto" w:fill="FFFFFF"/>
        </w:rPr>
        <w:t>aso V.R.P., V.P.C. y otros Vs. Nicaragua</w:t>
      </w:r>
      <w:r>
        <w:rPr>
          <w:rFonts w:ascii="Verdana" w:hAnsi="Verdana"/>
          <w:bCs/>
          <w:i/>
          <w:color w:val="000000"/>
          <w:sz w:val="16"/>
          <w:szCs w:val="16"/>
          <w:shd w:val="clear" w:color="auto" w:fill="FFFFFF"/>
        </w:rPr>
        <w:t>, supra</w:t>
      </w:r>
      <w:r w:rsidRPr="00065154">
        <w:rPr>
          <w:rFonts w:ascii="Verdana" w:hAnsi="Verdana"/>
          <w:bCs/>
          <w:color w:val="000000"/>
          <w:sz w:val="16"/>
          <w:szCs w:val="16"/>
          <w:shd w:val="clear" w:color="auto" w:fill="FFFFFF"/>
        </w:rPr>
        <w:t>, párr. 327</w:t>
      </w:r>
      <w:r w:rsidRPr="00065154">
        <w:rPr>
          <w:rFonts w:ascii="Verdana" w:hAnsi="Verdana" w:cs="Arial"/>
          <w:sz w:val="16"/>
          <w:szCs w:val="16"/>
        </w:rPr>
        <w:t>.</w:t>
      </w:r>
    </w:p>
  </w:footnote>
  <w:footnote w:id="185">
    <w:p w:rsidR="00785921" w:rsidRPr="00065154" w:rsidRDefault="00785921" w:rsidP="00126E97">
      <w:pPr>
        <w:pStyle w:val="FootnoteText"/>
        <w:spacing w:line="20" w:lineRule="atLeast"/>
        <w:rPr>
          <w:lang w:val="es-CR"/>
        </w:rPr>
      </w:pPr>
      <w:r w:rsidRPr="00065154">
        <w:rPr>
          <w:rStyle w:val="FootnoteReference"/>
          <w:sz w:val="16"/>
          <w:szCs w:val="16"/>
        </w:rPr>
        <w:footnoteRef/>
      </w:r>
      <w:r w:rsidRPr="00065154">
        <w:rPr>
          <w:sz w:val="16"/>
          <w:szCs w:val="16"/>
          <w:lang w:val="es-CR"/>
        </w:rPr>
        <w:t xml:space="preserve"> Lo anterior, según las circunstancias del caso, dado el sufrimiento padecido como producto de las violaciones perpetradas contra sus seres queridos, y a causa de las posteriores actuaciones u omisiones de las autoridades estatales frente a los hechos (</w:t>
      </w:r>
      <w:r w:rsidRPr="00065154">
        <w:rPr>
          <w:i/>
          <w:sz w:val="16"/>
          <w:szCs w:val="16"/>
          <w:lang w:val="es-CR"/>
        </w:rPr>
        <w:t>Cfr.</w:t>
      </w:r>
      <w:r w:rsidRPr="00065154">
        <w:rPr>
          <w:sz w:val="16"/>
          <w:szCs w:val="16"/>
          <w:lang w:val="es-CR"/>
        </w:rPr>
        <w:t xml:space="preserve"> </w:t>
      </w:r>
      <w:r w:rsidRPr="004A2D8B">
        <w:rPr>
          <w:i/>
          <w:sz w:val="16"/>
          <w:szCs w:val="16"/>
          <w:lang w:val="es-CR"/>
        </w:rPr>
        <w:t>Caso Blake Vs. Guatemala. Fondo</w:t>
      </w:r>
      <w:r w:rsidRPr="00065154">
        <w:rPr>
          <w:sz w:val="16"/>
          <w:szCs w:val="16"/>
          <w:lang w:val="es-CR"/>
        </w:rPr>
        <w:t xml:space="preserve">. Sentencia de 24 de enero de 1998. Serie C No. 36, párr. 114, y </w:t>
      </w:r>
      <w:r w:rsidRPr="00065154">
        <w:rPr>
          <w:bCs/>
          <w:i/>
          <w:sz w:val="16"/>
          <w:szCs w:val="16"/>
          <w:shd w:val="clear" w:color="auto" w:fill="FFFFFF"/>
          <w:lang w:val="es-ES_tradnl"/>
        </w:rPr>
        <w:t xml:space="preserve">Caso </w:t>
      </w:r>
      <w:proofErr w:type="spellStart"/>
      <w:r w:rsidRPr="00065154">
        <w:rPr>
          <w:bCs/>
          <w:i/>
          <w:sz w:val="16"/>
          <w:szCs w:val="16"/>
          <w:shd w:val="clear" w:color="auto" w:fill="FFFFFF"/>
          <w:lang w:val="es-ES_tradnl"/>
        </w:rPr>
        <w:t>Herzog</w:t>
      </w:r>
      <w:proofErr w:type="spellEnd"/>
      <w:r w:rsidRPr="00065154">
        <w:rPr>
          <w:bCs/>
          <w:i/>
          <w:sz w:val="16"/>
          <w:szCs w:val="16"/>
          <w:shd w:val="clear" w:color="auto" w:fill="FFFFFF"/>
          <w:lang w:val="es-ES_tradnl"/>
        </w:rPr>
        <w:t xml:space="preserve"> y otros Vs. Brasi</w:t>
      </w:r>
      <w:r>
        <w:rPr>
          <w:bCs/>
          <w:i/>
          <w:sz w:val="16"/>
          <w:szCs w:val="16"/>
          <w:shd w:val="clear" w:color="auto" w:fill="FFFFFF"/>
          <w:lang w:val="es-ES_tradnl"/>
        </w:rPr>
        <w:t>l, supra</w:t>
      </w:r>
      <w:r w:rsidRPr="00065154">
        <w:rPr>
          <w:bCs/>
          <w:color w:val="000000"/>
          <w:sz w:val="16"/>
          <w:szCs w:val="16"/>
          <w:shd w:val="clear" w:color="auto" w:fill="FFFFFF"/>
          <w:lang w:val="es-ES_tradnl"/>
        </w:rPr>
        <w:t>,</w:t>
      </w:r>
      <w:r w:rsidRPr="00065154">
        <w:rPr>
          <w:sz w:val="16"/>
          <w:szCs w:val="16"/>
          <w:lang w:val="es-ES_tradnl"/>
        </w:rPr>
        <w:t xml:space="preserve"> párr. 351</w:t>
      </w:r>
      <w:r w:rsidRPr="007521EB">
        <w:rPr>
          <w:sz w:val="16"/>
          <w:szCs w:val="16"/>
          <w:lang w:val="es-CR"/>
        </w:rPr>
        <w:t>)</w:t>
      </w:r>
      <w:r w:rsidRPr="00065154">
        <w:rPr>
          <w:sz w:val="16"/>
          <w:szCs w:val="16"/>
          <w:lang w:val="es-ES_tradnl"/>
        </w:rPr>
        <w:t>.</w:t>
      </w:r>
    </w:p>
  </w:footnote>
  <w:footnote w:id="186">
    <w:p w:rsidR="00785921" w:rsidRPr="00972480" w:rsidRDefault="00785921" w:rsidP="00126E97">
      <w:pPr>
        <w:autoSpaceDE w:val="0"/>
        <w:autoSpaceDN w:val="0"/>
        <w:adjustRightInd w:val="0"/>
        <w:spacing w:after="0" w:line="20" w:lineRule="atLeast"/>
        <w:jc w:val="both"/>
        <w:rPr>
          <w:rFonts w:ascii="Verdana" w:hAnsi="Verdana"/>
          <w:sz w:val="16"/>
          <w:szCs w:val="16"/>
        </w:rPr>
      </w:pPr>
      <w:r w:rsidRPr="00F57CFD">
        <w:rPr>
          <w:rStyle w:val="FootnoteReference"/>
          <w:sz w:val="16"/>
          <w:szCs w:val="16"/>
          <w:lang w:eastAsia="x-none"/>
        </w:rPr>
        <w:footnoteRef/>
      </w:r>
      <w:r w:rsidRPr="00F57CFD">
        <w:rPr>
          <w:sz w:val="16"/>
          <w:szCs w:val="16"/>
        </w:rPr>
        <w:t xml:space="preserve"> </w:t>
      </w:r>
      <w:r w:rsidRPr="00972480">
        <w:rPr>
          <w:rFonts w:ascii="Verdana" w:hAnsi="Verdana"/>
          <w:i/>
          <w:sz w:val="16"/>
          <w:szCs w:val="16"/>
          <w:lang w:val="es-CL"/>
        </w:rPr>
        <w:t>Cfr</w:t>
      </w:r>
      <w:r w:rsidRPr="00972480">
        <w:rPr>
          <w:rFonts w:ascii="Verdana" w:hAnsi="Verdana"/>
          <w:sz w:val="16"/>
          <w:szCs w:val="16"/>
          <w:lang w:val="es-CL"/>
        </w:rPr>
        <w:t>.</w:t>
      </w:r>
      <w:r w:rsidRPr="00972480">
        <w:rPr>
          <w:rFonts w:ascii="Verdana" w:hAnsi="Verdana" w:cs="Verdana-Italic"/>
          <w:i/>
          <w:iCs/>
          <w:sz w:val="16"/>
          <w:szCs w:val="16"/>
          <w:lang w:val="es-CR"/>
        </w:rPr>
        <w:t xml:space="preserve"> Caso Valle Jaramillo y otros Vs. Colombia. Fondo, Reparaciones y Costas. </w:t>
      </w:r>
      <w:r w:rsidRPr="00972480">
        <w:rPr>
          <w:rFonts w:ascii="Verdana" w:hAnsi="Verdana" w:cs="Verdana"/>
          <w:sz w:val="16"/>
          <w:szCs w:val="16"/>
          <w:lang w:val="es-CR"/>
        </w:rPr>
        <w:t>Sentencia de 27 de noviembre de 2008. Serie C No. 192, párr. 119;</w:t>
      </w:r>
      <w:r w:rsidRPr="00972480">
        <w:rPr>
          <w:rFonts w:ascii="Verdana" w:hAnsi="Verdana" w:cs="Verdana-Italic"/>
          <w:i/>
          <w:iCs/>
          <w:sz w:val="16"/>
          <w:szCs w:val="16"/>
          <w:lang w:val="es-CR"/>
        </w:rPr>
        <w:t xml:space="preserve"> Caso Ruano Torres y otros Vs. El Salvador. </w:t>
      </w:r>
      <w:r w:rsidRPr="00226EED">
        <w:rPr>
          <w:rFonts w:ascii="Verdana" w:hAnsi="Verdana" w:cs="Verdana"/>
          <w:i/>
          <w:sz w:val="16"/>
          <w:szCs w:val="16"/>
          <w:lang w:val="es-CR"/>
        </w:rPr>
        <w:t>Fondo, Reparaciones y Costas.</w:t>
      </w:r>
      <w:r w:rsidRPr="00972480">
        <w:rPr>
          <w:rFonts w:ascii="Verdana" w:hAnsi="Verdana" w:cs="Verdana"/>
          <w:sz w:val="16"/>
          <w:szCs w:val="16"/>
          <w:lang w:val="es-CR"/>
        </w:rPr>
        <w:t xml:space="preserve"> Sentencia de 5 de octubre de 2015.Serie C No. 303, párr. 177, y </w:t>
      </w:r>
      <w:r w:rsidRPr="00972480">
        <w:rPr>
          <w:rFonts w:ascii="Verdana" w:hAnsi="Verdana"/>
          <w:bCs/>
          <w:i/>
          <w:sz w:val="16"/>
          <w:szCs w:val="16"/>
          <w:shd w:val="clear" w:color="auto" w:fill="FFFFFF"/>
        </w:rPr>
        <w:t xml:space="preserve">Caso </w:t>
      </w:r>
      <w:proofErr w:type="spellStart"/>
      <w:r w:rsidRPr="00972480">
        <w:rPr>
          <w:rFonts w:ascii="Verdana" w:hAnsi="Verdana"/>
          <w:bCs/>
          <w:i/>
          <w:sz w:val="16"/>
          <w:szCs w:val="16"/>
          <w:shd w:val="clear" w:color="auto" w:fill="FFFFFF"/>
        </w:rPr>
        <w:t>Herzog</w:t>
      </w:r>
      <w:proofErr w:type="spellEnd"/>
      <w:r w:rsidRPr="00972480">
        <w:rPr>
          <w:rFonts w:ascii="Verdana" w:hAnsi="Verdana"/>
          <w:bCs/>
          <w:i/>
          <w:sz w:val="16"/>
          <w:szCs w:val="16"/>
          <w:shd w:val="clear" w:color="auto" w:fill="FFFFFF"/>
        </w:rPr>
        <w:t xml:space="preserve"> y otros Vs. Brasil</w:t>
      </w:r>
      <w:r>
        <w:rPr>
          <w:rFonts w:ascii="Verdana" w:hAnsi="Verdana"/>
          <w:bCs/>
          <w:i/>
          <w:sz w:val="16"/>
          <w:szCs w:val="16"/>
          <w:shd w:val="clear" w:color="auto" w:fill="FFFFFF"/>
        </w:rPr>
        <w:t>, supra</w:t>
      </w:r>
      <w:r w:rsidRPr="00972480">
        <w:rPr>
          <w:rFonts w:ascii="Verdana" w:hAnsi="Verdana"/>
          <w:bCs/>
          <w:color w:val="000000"/>
          <w:sz w:val="16"/>
          <w:szCs w:val="16"/>
          <w:shd w:val="clear" w:color="auto" w:fill="FFFFFF"/>
        </w:rPr>
        <w:t>,</w:t>
      </w:r>
      <w:r w:rsidRPr="00972480">
        <w:rPr>
          <w:rFonts w:ascii="Verdana" w:hAnsi="Verdana"/>
          <w:sz w:val="16"/>
          <w:szCs w:val="16"/>
        </w:rPr>
        <w:t xml:space="preserve"> párr. 351.</w:t>
      </w:r>
    </w:p>
  </w:footnote>
  <w:footnote w:id="187">
    <w:p w:rsidR="00785921" w:rsidRPr="00972480" w:rsidRDefault="00785921" w:rsidP="00126E97">
      <w:pPr>
        <w:pStyle w:val="FootnoteText"/>
        <w:spacing w:line="20" w:lineRule="atLeast"/>
        <w:rPr>
          <w:sz w:val="16"/>
          <w:szCs w:val="16"/>
          <w:lang w:val="es-ES_tradnl"/>
        </w:rPr>
      </w:pPr>
      <w:r w:rsidRPr="00972480">
        <w:rPr>
          <w:rStyle w:val="FootnoteReference"/>
          <w:sz w:val="16"/>
          <w:szCs w:val="16"/>
          <w:lang w:val="es-ES_tradnl" w:eastAsia="x-none"/>
        </w:rPr>
        <w:footnoteRef/>
      </w:r>
      <w:r w:rsidRPr="00972480">
        <w:rPr>
          <w:sz w:val="16"/>
          <w:szCs w:val="16"/>
          <w:lang w:val="es-ES_tradnl"/>
        </w:rPr>
        <w:t xml:space="preserve"> Tal presunción tiene como consecuencia una inversión de la carga argumentativa, en la que ya no corresponde probar la violación del derecho de tales “familiares directos”, sino que corresponde al Estado desvirtuarla (</w:t>
      </w:r>
      <w:r w:rsidRPr="00972480">
        <w:rPr>
          <w:bCs/>
          <w:i/>
          <w:color w:val="000000"/>
          <w:sz w:val="16"/>
          <w:szCs w:val="16"/>
          <w:shd w:val="clear" w:color="auto" w:fill="FFFFFF"/>
          <w:lang w:val="es-ES_tradnl"/>
        </w:rPr>
        <w:t xml:space="preserve">cfr. </w:t>
      </w:r>
      <w:r w:rsidRPr="00972480">
        <w:rPr>
          <w:i/>
          <w:sz w:val="16"/>
          <w:szCs w:val="16"/>
          <w:lang w:val="es-ES_tradnl"/>
        </w:rPr>
        <w:t>Caso Valle Jaramillo y otros Vs. Colombia</w:t>
      </w:r>
      <w:r>
        <w:rPr>
          <w:i/>
          <w:sz w:val="16"/>
          <w:szCs w:val="16"/>
          <w:lang w:val="es-ES_tradnl"/>
        </w:rPr>
        <w:t>, supra</w:t>
      </w:r>
      <w:r w:rsidRPr="00972480">
        <w:rPr>
          <w:sz w:val="16"/>
          <w:szCs w:val="16"/>
          <w:lang w:val="es-ES_tradnl"/>
        </w:rPr>
        <w:t>, párr. 119, y</w:t>
      </w:r>
      <w:r w:rsidRPr="00972480">
        <w:rPr>
          <w:bCs/>
          <w:i/>
          <w:color w:val="000000"/>
          <w:sz w:val="16"/>
          <w:szCs w:val="16"/>
          <w:shd w:val="clear" w:color="auto" w:fill="FFFFFF"/>
          <w:lang w:val="es-ES_tradnl"/>
        </w:rPr>
        <w:t xml:space="preserve"> </w:t>
      </w:r>
      <w:r w:rsidRPr="00972480">
        <w:rPr>
          <w:bCs/>
          <w:i/>
          <w:sz w:val="16"/>
          <w:szCs w:val="16"/>
          <w:shd w:val="clear" w:color="auto" w:fill="FFFFFF"/>
          <w:lang w:val="es-ES_tradnl"/>
        </w:rPr>
        <w:t xml:space="preserve">Caso </w:t>
      </w:r>
      <w:proofErr w:type="spellStart"/>
      <w:r w:rsidRPr="00972480">
        <w:rPr>
          <w:bCs/>
          <w:i/>
          <w:sz w:val="16"/>
          <w:szCs w:val="16"/>
          <w:shd w:val="clear" w:color="auto" w:fill="FFFFFF"/>
          <w:lang w:val="es-ES_tradnl"/>
        </w:rPr>
        <w:t>Herzog</w:t>
      </w:r>
      <w:proofErr w:type="spellEnd"/>
      <w:r w:rsidRPr="00972480">
        <w:rPr>
          <w:bCs/>
          <w:i/>
          <w:sz w:val="16"/>
          <w:szCs w:val="16"/>
          <w:shd w:val="clear" w:color="auto" w:fill="FFFFFF"/>
          <w:lang w:val="es-ES_tradnl"/>
        </w:rPr>
        <w:t xml:space="preserve"> y otros Vs. Brasil</w:t>
      </w:r>
      <w:r>
        <w:rPr>
          <w:bCs/>
          <w:i/>
          <w:sz w:val="16"/>
          <w:szCs w:val="16"/>
          <w:shd w:val="clear" w:color="auto" w:fill="FFFFFF"/>
          <w:lang w:val="es-ES_tradnl"/>
        </w:rPr>
        <w:t>, supra</w:t>
      </w:r>
      <w:r w:rsidRPr="00972480">
        <w:rPr>
          <w:bCs/>
          <w:color w:val="000000"/>
          <w:sz w:val="16"/>
          <w:szCs w:val="16"/>
          <w:shd w:val="clear" w:color="auto" w:fill="FFFFFF"/>
          <w:lang w:val="es-ES_tradnl"/>
        </w:rPr>
        <w:t>,</w:t>
      </w:r>
      <w:r w:rsidRPr="00972480">
        <w:rPr>
          <w:sz w:val="16"/>
          <w:szCs w:val="16"/>
          <w:lang w:val="es-ES_tradnl"/>
        </w:rPr>
        <w:t xml:space="preserve"> párr. 351). </w:t>
      </w:r>
    </w:p>
  </w:footnote>
  <w:footnote w:id="188">
    <w:p w:rsidR="00785921" w:rsidRPr="00972480" w:rsidRDefault="00785921" w:rsidP="00126E97">
      <w:pPr>
        <w:autoSpaceDE w:val="0"/>
        <w:autoSpaceDN w:val="0"/>
        <w:adjustRightInd w:val="0"/>
        <w:spacing w:after="0" w:line="20" w:lineRule="atLeast"/>
        <w:jc w:val="both"/>
        <w:rPr>
          <w:rFonts w:ascii="Verdana" w:hAnsi="Verdana" w:cs="Verdana"/>
          <w:sz w:val="16"/>
          <w:szCs w:val="16"/>
          <w:lang w:val="es-CR"/>
        </w:rPr>
      </w:pPr>
      <w:r w:rsidRPr="00972480">
        <w:rPr>
          <w:rStyle w:val="FootnoteReference"/>
          <w:rFonts w:ascii="Verdana" w:hAnsi="Verdana"/>
          <w:sz w:val="16"/>
          <w:szCs w:val="16"/>
          <w:lang w:eastAsia="x-none"/>
        </w:rPr>
        <w:footnoteRef/>
      </w:r>
      <w:r w:rsidRPr="00972480">
        <w:rPr>
          <w:rFonts w:ascii="Verdana" w:hAnsi="Verdana"/>
          <w:sz w:val="16"/>
          <w:szCs w:val="16"/>
        </w:rPr>
        <w:t xml:space="preserve"> </w:t>
      </w:r>
      <w:r w:rsidRPr="00972480">
        <w:rPr>
          <w:rFonts w:ascii="Verdana" w:hAnsi="Verdana"/>
          <w:i/>
          <w:sz w:val="16"/>
          <w:szCs w:val="16"/>
        </w:rPr>
        <w:t>Cfr.</w:t>
      </w:r>
      <w:r w:rsidRPr="00972480">
        <w:rPr>
          <w:rFonts w:ascii="Verdana" w:hAnsi="Verdana"/>
          <w:sz w:val="16"/>
          <w:szCs w:val="16"/>
        </w:rPr>
        <w:t xml:space="preserve"> </w:t>
      </w:r>
      <w:r w:rsidRPr="00972480">
        <w:rPr>
          <w:rFonts w:ascii="Verdana" w:hAnsi="Verdana" w:cs="Verdana-Italic"/>
          <w:i/>
          <w:iCs/>
          <w:sz w:val="16"/>
          <w:szCs w:val="16"/>
          <w:lang w:val="es-CR"/>
        </w:rPr>
        <w:t xml:space="preserve">Caso de la “Masacre de </w:t>
      </w:r>
      <w:proofErr w:type="spellStart"/>
      <w:r w:rsidRPr="00972480">
        <w:rPr>
          <w:rFonts w:ascii="Verdana" w:hAnsi="Verdana" w:cs="Verdana-Italic"/>
          <w:i/>
          <w:iCs/>
          <w:sz w:val="16"/>
          <w:szCs w:val="16"/>
          <w:lang w:val="es-CR"/>
        </w:rPr>
        <w:t>Mapiripán</w:t>
      </w:r>
      <w:proofErr w:type="spellEnd"/>
      <w:r w:rsidRPr="00972480">
        <w:rPr>
          <w:rFonts w:ascii="Verdana" w:hAnsi="Verdana" w:cs="Verdana-Italic"/>
          <w:i/>
          <w:iCs/>
          <w:sz w:val="16"/>
          <w:szCs w:val="16"/>
          <w:lang w:val="es-CR"/>
        </w:rPr>
        <w:t>” Vs. Colombia</w:t>
      </w:r>
      <w:r>
        <w:rPr>
          <w:rFonts w:ascii="Verdana" w:hAnsi="Verdana" w:cs="Verdana"/>
          <w:sz w:val="16"/>
          <w:szCs w:val="16"/>
          <w:lang w:val="es-CR"/>
        </w:rPr>
        <w:t xml:space="preserve">, </w:t>
      </w:r>
      <w:r w:rsidRPr="007335F2">
        <w:rPr>
          <w:rFonts w:ascii="Verdana" w:hAnsi="Verdana" w:cs="Verdana"/>
          <w:i/>
          <w:sz w:val="16"/>
          <w:szCs w:val="16"/>
          <w:lang w:val="es-CR"/>
        </w:rPr>
        <w:t>supra</w:t>
      </w:r>
      <w:r w:rsidRPr="00972480">
        <w:rPr>
          <w:rFonts w:ascii="Verdana" w:hAnsi="Verdana" w:cs="Verdana"/>
          <w:sz w:val="16"/>
          <w:szCs w:val="16"/>
          <w:lang w:val="es-CR"/>
        </w:rPr>
        <w:t xml:space="preserve">, párr. 146; </w:t>
      </w:r>
      <w:r w:rsidRPr="00972480">
        <w:rPr>
          <w:rFonts w:ascii="Verdana" w:hAnsi="Verdana" w:cs="Verdana-Italic"/>
          <w:i/>
          <w:iCs/>
          <w:sz w:val="16"/>
          <w:szCs w:val="16"/>
          <w:lang w:val="es-CR"/>
        </w:rPr>
        <w:t>Caso La Cantuta Vs. Perú</w:t>
      </w:r>
      <w:r>
        <w:rPr>
          <w:rFonts w:ascii="Verdana" w:hAnsi="Verdana" w:cs="Verdana-Italic"/>
          <w:i/>
          <w:iCs/>
          <w:sz w:val="16"/>
          <w:szCs w:val="16"/>
          <w:lang w:val="es-CR"/>
        </w:rPr>
        <w:t>, supra</w:t>
      </w:r>
      <w:r w:rsidRPr="00972480">
        <w:rPr>
          <w:rFonts w:ascii="Verdana" w:hAnsi="Verdana" w:cs="Verdana"/>
          <w:sz w:val="16"/>
          <w:szCs w:val="16"/>
          <w:lang w:val="es-CR"/>
        </w:rPr>
        <w:t xml:space="preserve">, párr. 218, y </w:t>
      </w:r>
      <w:r w:rsidRPr="00972480">
        <w:rPr>
          <w:rFonts w:ascii="Verdana" w:hAnsi="Verdana"/>
          <w:bCs/>
          <w:i/>
          <w:sz w:val="16"/>
          <w:szCs w:val="16"/>
          <w:shd w:val="clear" w:color="auto" w:fill="FFFFFF"/>
        </w:rPr>
        <w:t xml:space="preserve">Caso </w:t>
      </w:r>
      <w:proofErr w:type="spellStart"/>
      <w:r w:rsidRPr="00972480">
        <w:rPr>
          <w:rFonts w:ascii="Verdana" w:hAnsi="Verdana"/>
          <w:bCs/>
          <w:i/>
          <w:sz w:val="16"/>
          <w:szCs w:val="16"/>
          <w:shd w:val="clear" w:color="auto" w:fill="FFFFFF"/>
        </w:rPr>
        <w:t>Herzog</w:t>
      </w:r>
      <w:proofErr w:type="spellEnd"/>
      <w:r w:rsidRPr="00972480">
        <w:rPr>
          <w:rFonts w:ascii="Verdana" w:hAnsi="Verdana"/>
          <w:bCs/>
          <w:i/>
          <w:sz w:val="16"/>
          <w:szCs w:val="16"/>
          <w:shd w:val="clear" w:color="auto" w:fill="FFFFFF"/>
        </w:rPr>
        <w:t xml:space="preserve"> y otros Vs. Brasil</w:t>
      </w:r>
      <w:r>
        <w:rPr>
          <w:rFonts w:ascii="Verdana" w:hAnsi="Verdana"/>
          <w:bCs/>
          <w:i/>
          <w:sz w:val="16"/>
          <w:szCs w:val="16"/>
          <w:shd w:val="clear" w:color="auto" w:fill="FFFFFF"/>
        </w:rPr>
        <w:t>, supra</w:t>
      </w:r>
      <w:r w:rsidRPr="00972480">
        <w:rPr>
          <w:rFonts w:ascii="Verdana" w:hAnsi="Verdana"/>
          <w:bCs/>
          <w:color w:val="000000"/>
          <w:sz w:val="16"/>
          <w:szCs w:val="16"/>
          <w:shd w:val="clear" w:color="auto" w:fill="FFFFFF"/>
        </w:rPr>
        <w:t>,</w:t>
      </w:r>
      <w:r w:rsidRPr="00972480">
        <w:rPr>
          <w:rFonts w:ascii="Verdana" w:hAnsi="Verdana"/>
          <w:sz w:val="16"/>
          <w:szCs w:val="16"/>
        </w:rPr>
        <w:t xml:space="preserve"> párr. 351.</w:t>
      </w:r>
    </w:p>
  </w:footnote>
  <w:footnote w:id="189">
    <w:p w:rsidR="00785921" w:rsidRPr="00972480" w:rsidRDefault="00785921" w:rsidP="00126E97">
      <w:pPr>
        <w:pStyle w:val="FootnoteText"/>
        <w:spacing w:line="20" w:lineRule="atLeast"/>
        <w:rPr>
          <w:sz w:val="16"/>
          <w:szCs w:val="16"/>
          <w:lang w:val="es-ES_tradnl"/>
        </w:rPr>
      </w:pPr>
      <w:r w:rsidRPr="00972480">
        <w:rPr>
          <w:rStyle w:val="FootnoteReference"/>
          <w:sz w:val="16"/>
          <w:szCs w:val="16"/>
          <w:lang w:val="es-ES_tradnl" w:eastAsia="x-none"/>
        </w:rPr>
        <w:footnoteRef/>
      </w:r>
      <w:r w:rsidRPr="00972480">
        <w:rPr>
          <w:sz w:val="16"/>
          <w:szCs w:val="16"/>
          <w:lang w:val="es-ES_tradnl"/>
        </w:rPr>
        <w:t xml:space="preserve"> </w:t>
      </w:r>
      <w:r w:rsidRPr="00972480">
        <w:rPr>
          <w:i/>
          <w:sz w:val="16"/>
          <w:szCs w:val="16"/>
          <w:lang w:val="es-CL"/>
        </w:rPr>
        <w:t>Cfr.</w:t>
      </w:r>
      <w:r w:rsidRPr="00972480">
        <w:rPr>
          <w:sz w:val="16"/>
          <w:szCs w:val="16"/>
          <w:lang w:val="es-CL"/>
        </w:rPr>
        <w:t xml:space="preserve"> </w:t>
      </w:r>
      <w:r w:rsidRPr="00972480">
        <w:rPr>
          <w:i/>
          <w:sz w:val="16"/>
          <w:szCs w:val="16"/>
          <w:lang w:val="es-ES_tradnl"/>
        </w:rPr>
        <w:t>Caso Valle Jaramillo y otros Vs. Colombia</w:t>
      </w:r>
      <w:r w:rsidRPr="00972480">
        <w:rPr>
          <w:sz w:val="16"/>
          <w:szCs w:val="16"/>
          <w:lang w:val="es-ES_tradnl"/>
        </w:rPr>
        <w:t xml:space="preserve">, </w:t>
      </w:r>
      <w:r w:rsidRPr="00972480">
        <w:rPr>
          <w:i/>
          <w:sz w:val="16"/>
          <w:szCs w:val="16"/>
          <w:lang w:val="es-ES_tradnl"/>
        </w:rPr>
        <w:t xml:space="preserve">supra, </w:t>
      </w:r>
      <w:r w:rsidRPr="00972480">
        <w:rPr>
          <w:sz w:val="16"/>
          <w:szCs w:val="16"/>
          <w:lang w:val="es-ES_tradnl"/>
        </w:rPr>
        <w:t xml:space="preserve">párr. 119, y </w:t>
      </w:r>
      <w:r w:rsidRPr="00972480">
        <w:rPr>
          <w:bCs/>
          <w:i/>
          <w:color w:val="000000"/>
          <w:sz w:val="16"/>
          <w:szCs w:val="16"/>
          <w:shd w:val="clear" w:color="auto" w:fill="FFFFFF"/>
          <w:lang w:val="es-ES_tradnl"/>
        </w:rPr>
        <w:t>Caso V.R.P., V.P.C. y otros Vs. Nicaragua</w:t>
      </w:r>
      <w:r>
        <w:rPr>
          <w:bCs/>
          <w:i/>
          <w:color w:val="000000"/>
          <w:sz w:val="16"/>
          <w:szCs w:val="16"/>
          <w:shd w:val="clear" w:color="auto" w:fill="FFFFFF"/>
          <w:lang w:val="es-ES_tradnl"/>
        </w:rPr>
        <w:t>, supra</w:t>
      </w:r>
      <w:r w:rsidRPr="00972480">
        <w:rPr>
          <w:bCs/>
          <w:color w:val="000000"/>
          <w:sz w:val="16"/>
          <w:szCs w:val="16"/>
          <w:shd w:val="clear" w:color="auto" w:fill="FFFFFF"/>
          <w:lang w:val="es-ES_tradnl"/>
        </w:rPr>
        <w:t xml:space="preserve">, </w:t>
      </w:r>
      <w:r w:rsidRPr="00972480">
        <w:rPr>
          <w:sz w:val="16"/>
          <w:szCs w:val="16"/>
          <w:lang w:val="es-ES_tradnl"/>
        </w:rPr>
        <w:t>párr. 328.</w:t>
      </w:r>
    </w:p>
  </w:footnote>
  <w:footnote w:id="190">
    <w:p w:rsidR="00785921" w:rsidRDefault="00785921" w:rsidP="00126E97">
      <w:pPr>
        <w:pStyle w:val="FootnoteText"/>
        <w:spacing w:line="20" w:lineRule="atLeast"/>
        <w:rPr>
          <w:sz w:val="16"/>
          <w:szCs w:val="16"/>
          <w:lang w:val="es-ES_tradnl"/>
        </w:rPr>
      </w:pPr>
      <w:r w:rsidRPr="00065154">
        <w:rPr>
          <w:rStyle w:val="FootnoteReference"/>
          <w:sz w:val="16"/>
          <w:szCs w:val="16"/>
          <w:lang w:val="es-ES_tradnl" w:eastAsia="x-none"/>
        </w:rPr>
        <w:footnoteRef/>
      </w:r>
      <w:r w:rsidRPr="00065154">
        <w:rPr>
          <w:sz w:val="16"/>
          <w:szCs w:val="16"/>
          <w:lang w:val="es-ES_tradnl"/>
        </w:rPr>
        <w:t xml:space="preserve"> Los hechos vividos por los familiares de las víctimas fallecidas fueron relatados por algunos de ellos. Cfr.  al respecto: 1.-  declaraciones en videograbación de 23 de marzo de 2017, incorporadas como prueba documental, presentada junto con el escrito de solicitudes y argumentos, de </w:t>
      </w:r>
      <w:proofErr w:type="spellStart"/>
      <w:r w:rsidRPr="00065154">
        <w:rPr>
          <w:sz w:val="16"/>
          <w:szCs w:val="16"/>
          <w:lang w:val="es-ES_tradnl"/>
        </w:rPr>
        <w:t>Atilana</w:t>
      </w:r>
      <w:proofErr w:type="spellEnd"/>
      <w:r w:rsidRPr="00065154">
        <w:rPr>
          <w:sz w:val="16"/>
          <w:szCs w:val="16"/>
          <w:lang w:val="es-ES_tradnl"/>
        </w:rPr>
        <w:t xml:space="preserve"> Hernández Maldonado, Efraín Grave </w:t>
      </w:r>
      <w:proofErr w:type="spellStart"/>
      <w:r w:rsidRPr="00065154">
        <w:rPr>
          <w:sz w:val="16"/>
          <w:szCs w:val="16"/>
          <w:lang w:val="es-ES_tradnl"/>
        </w:rPr>
        <w:t>Morente</w:t>
      </w:r>
      <w:proofErr w:type="spellEnd"/>
      <w:r w:rsidRPr="00065154">
        <w:rPr>
          <w:sz w:val="16"/>
          <w:szCs w:val="16"/>
          <w:lang w:val="es-ES_tradnl"/>
        </w:rPr>
        <w:t>, Florinda Sales</w:t>
      </w:r>
      <w:r>
        <w:rPr>
          <w:sz w:val="16"/>
          <w:szCs w:val="16"/>
          <w:lang w:val="es-ES_tradnl"/>
        </w:rPr>
        <w:t xml:space="preserve"> Jacinto</w:t>
      </w:r>
      <w:r w:rsidRPr="00065154">
        <w:rPr>
          <w:sz w:val="16"/>
          <w:szCs w:val="16"/>
          <w:lang w:val="es-ES_tradnl"/>
        </w:rPr>
        <w:t xml:space="preserve">, José </w:t>
      </w:r>
      <w:proofErr w:type="spellStart"/>
      <w:r w:rsidRPr="00065154">
        <w:rPr>
          <w:sz w:val="16"/>
          <w:szCs w:val="16"/>
          <w:lang w:val="es-ES_tradnl"/>
        </w:rPr>
        <w:t>Coc</w:t>
      </w:r>
      <w:proofErr w:type="spellEnd"/>
      <w:r w:rsidRPr="00065154">
        <w:rPr>
          <w:sz w:val="16"/>
          <w:szCs w:val="16"/>
          <w:lang w:val="es-ES_tradnl"/>
        </w:rPr>
        <w:t xml:space="preserve"> </w:t>
      </w:r>
      <w:proofErr w:type="spellStart"/>
      <w:r w:rsidRPr="00065154">
        <w:rPr>
          <w:sz w:val="16"/>
          <w:szCs w:val="16"/>
          <w:lang w:val="es-ES_tradnl"/>
        </w:rPr>
        <w:t>Cajbón</w:t>
      </w:r>
      <w:proofErr w:type="spellEnd"/>
      <w:r w:rsidRPr="00065154">
        <w:rPr>
          <w:sz w:val="16"/>
          <w:szCs w:val="16"/>
          <w:lang w:val="es-ES_tradnl"/>
        </w:rPr>
        <w:t xml:space="preserve">, María Medina, María Miguel, Mario Alberto </w:t>
      </w:r>
      <w:r>
        <w:rPr>
          <w:sz w:val="16"/>
          <w:szCs w:val="16"/>
          <w:lang w:val="es-ES_tradnl"/>
        </w:rPr>
        <w:t xml:space="preserve">Ramírez </w:t>
      </w:r>
      <w:r w:rsidRPr="00065154">
        <w:rPr>
          <w:sz w:val="16"/>
          <w:szCs w:val="16"/>
          <w:lang w:val="es-ES_tradnl"/>
        </w:rPr>
        <w:t>Hernández, Manuela Toma Gómez</w:t>
      </w:r>
      <w:r>
        <w:rPr>
          <w:sz w:val="16"/>
          <w:szCs w:val="16"/>
          <w:lang w:val="es-ES_tradnl"/>
        </w:rPr>
        <w:t xml:space="preserve">, Natividad Sales Calmo, Pedro </w:t>
      </w:r>
      <w:proofErr w:type="spellStart"/>
      <w:r>
        <w:rPr>
          <w:sz w:val="16"/>
          <w:szCs w:val="16"/>
          <w:lang w:val="es-ES_tradnl"/>
        </w:rPr>
        <w:t>Coc</w:t>
      </w:r>
      <w:proofErr w:type="spellEnd"/>
      <w:r>
        <w:rPr>
          <w:sz w:val="16"/>
          <w:szCs w:val="16"/>
          <w:lang w:val="es-ES_tradnl"/>
        </w:rPr>
        <w:t xml:space="preserve"> </w:t>
      </w:r>
      <w:proofErr w:type="spellStart"/>
      <w:r>
        <w:rPr>
          <w:sz w:val="16"/>
          <w:szCs w:val="16"/>
          <w:lang w:val="es-ES_tradnl"/>
        </w:rPr>
        <w:t>Ché</w:t>
      </w:r>
      <w:r w:rsidRPr="00065154">
        <w:rPr>
          <w:sz w:val="16"/>
          <w:szCs w:val="16"/>
          <w:lang w:val="es-ES_tradnl"/>
        </w:rPr>
        <w:t>n</w:t>
      </w:r>
      <w:proofErr w:type="spellEnd"/>
      <w:r w:rsidRPr="00065154">
        <w:rPr>
          <w:sz w:val="16"/>
          <w:szCs w:val="16"/>
          <w:lang w:val="es-ES_tradnl"/>
        </w:rPr>
        <w:t>, Petrona M</w:t>
      </w:r>
      <w:r>
        <w:rPr>
          <w:sz w:val="16"/>
          <w:szCs w:val="16"/>
          <w:lang w:val="es-ES_tradnl"/>
        </w:rPr>
        <w:t>iguel Méndez, Ramón Mateo y Tomá</w:t>
      </w:r>
      <w:r w:rsidRPr="00065154">
        <w:rPr>
          <w:sz w:val="16"/>
          <w:szCs w:val="16"/>
          <w:lang w:val="es-ES_tradnl"/>
        </w:rPr>
        <w:t xml:space="preserve">s Grave </w:t>
      </w:r>
      <w:proofErr w:type="spellStart"/>
      <w:r w:rsidRPr="00065154">
        <w:rPr>
          <w:sz w:val="16"/>
          <w:szCs w:val="16"/>
          <w:lang w:val="es-ES_tradnl"/>
        </w:rPr>
        <w:t>Morente</w:t>
      </w:r>
      <w:proofErr w:type="spellEnd"/>
      <w:r w:rsidRPr="00065154">
        <w:rPr>
          <w:sz w:val="16"/>
          <w:szCs w:val="16"/>
          <w:lang w:val="es-ES_tradnl"/>
        </w:rPr>
        <w:t>; 2.-</w:t>
      </w:r>
      <w:r w:rsidRPr="00065154">
        <w:rPr>
          <w:b/>
          <w:sz w:val="16"/>
          <w:szCs w:val="16"/>
          <w:lang w:val="es-ES_tradnl"/>
        </w:rPr>
        <w:t xml:space="preserve"> </w:t>
      </w:r>
      <w:r w:rsidRPr="00065154">
        <w:rPr>
          <w:sz w:val="16"/>
          <w:szCs w:val="16"/>
          <w:lang w:val="es-ES_tradnl"/>
        </w:rPr>
        <w:t xml:space="preserve">Declaraciones de Tomás Grave </w:t>
      </w:r>
      <w:proofErr w:type="spellStart"/>
      <w:r w:rsidRPr="00065154">
        <w:rPr>
          <w:sz w:val="16"/>
          <w:szCs w:val="16"/>
          <w:lang w:val="es-ES_tradnl"/>
        </w:rPr>
        <w:t>Morente</w:t>
      </w:r>
      <w:proofErr w:type="spellEnd"/>
      <w:r w:rsidRPr="00065154">
        <w:rPr>
          <w:sz w:val="16"/>
          <w:szCs w:val="16"/>
          <w:lang w:val="es-ES_tradnl"/>
        </w:rPr>
        <w:t xml:space="preserve"> y de Natividad Sales </w:t>
      </w:r>
      <w:r>
        <w:rPr>
          <w:sz w:val="16"/>
          <w:szCs w:val="16"/>
          <w:lang w:val="es-ES_tradnl"/>
        </w:rPr>
        <w:t xml:space="preserve">Calmo, </w:t>
      </w:r>
      <w:r w:rsidRPr="00065154">
        <w:rPr>
          <w:sz w:val="16"/>
          <w:szCs w:val="16"/>
          <w:lang w:val="es-ES_tradnl"/>
        </w:rPr>
        <w:t>ante la Corte Interamericana</w:t>
      </w:r>
      <w:r>
        <w:rPr>
          <w:sz w:val="16"/>
          <w:szCs w:val="16"/>
          <w:lang w:val="es-ES_tradnl"/>
        </w:rPr>
        <w:t xml:space="preserve">, </w:t>
      </w:r>
      <w:r w:rsidRPr="007F3A90">
        <w:rPr>
          <w:i/>
          <w:sz w:val="16"/>
          <w:szCs w:val="16"/>
          <w:lang w:val="es-ES_tradnl"/>
        </w:rPr>
        <w:t>supra</w:t>
      </w:r>
      <w:r w:rsidRPr="004112F9">
        <w:rPr>
          <w:sz w:val="16"/>
          <w:szCs w:val="16"/>
          <w:lang w:val="es-ES_tradnl"/>
        </w:rPr>
        <w:t xml:space="preserve">; 3.- Declaración de AMQ (expediente de prueba, anexo 3 al Informe de Fondo , folios 5 a 8); 4.- Declaración testimonial de Efraín Grave </w:t>
      </w:r>
      <w:proofErr w:type="spellStart"/>
      <w:r w:rsidRPr="004112F9">
        <w:rPr>
          <w:sz w:val="16"/>
          <w:szCs w:val="16"/>
          <w:lang w:val="es-ES_tradnl"/>
        </w:rPr>
        <w:t>Morente</w:t>
      </w:r>
      <w:proofErr w:type="spellEnd"/>
      <w:r w:rsidRPr="004112F9">
        <w:rPr>
          <w:sz w:val="16"/>
          <w:szCs w:val="16"/>
          <w:lang w:val="es-ES_tradnl"/>
        </w:rPr>
        <w:t xml:space="preserve"> ante el Organismo Judicial Guatemala, C.A, </w:t>
      </w:r>
      <w:r>
        <w:rPr>
          <w:i/>
          <w:sz w:val="16"/>
          <w:szCs w:val="16"/>
          <w:lang w:val="es-ES_tradnl"/>
        </w:rPr>
        <w:t>supra</w:t>
      </w:r>
      <w:r w:rsidRPr="004112F9">
        <w:rPr>
          <w:sz w:val="16"/>
          <w:szCs w:val="16"/>
          <w:lang w:val="es-ES_tradnl"/>
        </w:rPr>
        <w:t xml:space="preserve">, y 5.- Declaración de Efraín Grave </w:t>
      </w:r>
      <w:proofErr w:type="spellStart"/>
      <w:r w:rsidRPr="004112F9">
        <w:rPr>
          <w:sz w:val="16"/>
          <w:szCs w:val="16"/>
          <w:lang w:val="es-ES_tradnl"/>
        </w:rPr>
        <w:t>Morente</w:t>
      </w:r>
      <w:proofErr w:type="spellEnd"/>
      <w:r w:rsidRPr="004112F9">
        <w:rPr>
          <w:sz w:val="16"/>
          <w:szCs w:val="16"/>
          <w:lang w:val="es-ES_tradnl"/>
        </w:rPr>
        <w:t xml:space="preserve"> ante la Corte, </w:t>
      </w:r>
      <w:r>
        <w:rPr>
          <w:i/>
          <w:sz w:val="16"/>
          <w:szCs w:val="16"/>
          <w:lang w:val="es-ES_tradnl"/>
        </w:rPr>
        <w:t>supra</w:t>
      </w:r>
      <w:r w:rsidRPr="004112F9">
        <w:rPr>
          <w:sz w:val="16"/>
          <w:szCs w:val="16"/>
          <w:lang w:val="es-ES_tradnl"/>
        </w:rPr>
        <w:t>.</w:t>
      </w:r>
      <w:r>
        <w:rPr>
          <w:sz w:val="16"/>
          <w:szCs w:val="16"/>
          <w:lang w:val="es-ES_tradnl"/>
        </w:rPr>
        <w:t xml:space="preserve"> </w:t>
      </w:r>
    </w:p>
  </w:footnote>
  <w:footnote w:id="191">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ES_tradnl"/>
        </w:rPr>
        <w:t xml:space="preserve"> </w:t>
      </w:r>
      <w:r w:rsidRPr="0029452A">
        <w:rPr>
          <w:i/>
          <w:sz w:val="16"/>
          <w:szCs w:val="16"/>
          <w:lang w:val="es-ES_tradnl"/>
        </w:rPr>
        <w:t>Cfr</w:t>
      </w:r>
      <w:r>
        <w:rPr>
          <w:sz w:val="16"/>
          <w:szCs w:val="16"/>
          <w:lang w:val="es-ES_tradnl"/>
        </w:rPr>
        <w:t xml:space="preserve">. Declaración rendida por Tomás Grave </w:t>
      </w:r>
      <w:proofErr w:type="spellStart"/>
      <w:r>
        <w:rPr>
          <w:sz w:val="16"/>
          <w:szCs w:val="16"/>
          <w:lang w:val="es-ES_tradnl"/>
        </w:rPr>
        <w:t>Morente</w:t>
      </w:r>
      <w:proofErr w:type="spellEnd"/>
      <w:r>
        <w:rPr>
          <w:sz w:val="16"/>
          <w:szCs w:val="16"/>
          <w:lang w:val="es-ES_tradnl"/>
        </w:rPr>
        <w:t xml:space="preserve"> ante la Corte Interamericana, </w:t>
      </w:r>
      <w:r>
        <w:rPr>
          <w:i/>
          <w:sz w:val="16"/>
          <w:szCs w:val="16"/>
          <w:lang w:val="es-ES_tradnl"/>
        </w:rPr>
        <w:t>supra</w:t>
      </w:r>
      <w:r>
        <w:rPr>
          <w:sz w:val="16"/>
          <w:szCs w:val="16"/>
          <w:lang w:val="es-ES_tradnl"/>
        </w:rPr>
        <w:t xml:space="preserve">, en la cual relató los últimos momentos que paso con su madre, Hilaria </w:t>
      </w:r>
      <w:proofErr w:type="spellStart"/>
      <w:r>
        <w:rPr>
          <w:sz w:val="16"/>
          <w:szCs w:val="16"/>
          <w:lang w:val="es-ES_tradnl"/>
        </w:rPr>
        <w:t>Morente</w:t>
      </w:r>
      <w:proofErr w:type="spellEnd"/>
      <w:r>
        <w:rPr>
          <w:sz w:val="16"/>
          <w:szCs w:val="16"/>
          <w:lang w:val="es-ES_tradnl"/>
        </w:rPr>
        <w:t xml:space="preserve"> de la Cruz. El señor Tomás Grave </w:t>
      </w:r>
      <w:proofErr w:type="spellStart"/>
      <w:r>
        <w:rPr>
          <w:sz w:val="16"/>
          <w:szCs w:val="16"/>
          <w:lang w:val="es-ES_tradnl"/>
        </w:rPr>
        <w:t>Morente</w:t>
      </w:r>
      <w:proofErr w:type="spellEnd"/>
      <w:r>
        <w:rPr>
          <w:sz w:val="16"/>
          <w:szCs w:val="16"/>
          <w:lang w:val="es-ES_tradnl"/>
        </w:rPr>
        <w:t xml:space="preserve"> dijo: “Yo fui con ella, y todavía pude ver que a ella le dieron dos balazos aquí en el pecho, estaba sangrando, y todavía me dijo: ‘mijo, mijo, cuídate, yo ya no voy a aguanta’” y empezó a despedirse, ya con señas de morir. Yo lo que hice me quité la playera y la puse en la cara porque se veía mal”.</w:t>
      </w:r>
    </w:p>
  </w:footnote>
  <w:footnote w:id="192">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ES_tradnl"/>
        </w:rPr>
        <w:t xml:space="preserve"> Aunado a ello, y en el mismo sentido, cabe referir la declaración de Efraín Grave </w:t>
      </w:r>
      <w:proofErr w:type="spellStart"/>
      <w:r>
        <w:rPr>
          <w:sz w:val="16"/>
          <w:szCs w:val="16"/>
          <w:lang w:val="es-ES_tradnl"/>
        </w:rPr>
        <w:t>Morente</w:t>
      </w:r>
      <w:proofErr w:type="spellEnd"/>
      <w:r>
        <w:rPr>
          <w:sz w:val="16"/>
          <w:szCs w:val="16"/>
          <w:lang w:val="es-ES_tradnl"/>
        </w:rPr>
        <w:t xml:space="preserve"> ante la Corte Interamericana, </w:t>
      </w:r>
      <w:r>
        <w:rPr>
          <w:i/>
          <w:sz w:val="16"/>
          <w:szCs w:val="16"/>
          <w:lang w:val="es-ES_tradnl"/>
        </w:rPr>
        <w:t>supra</w:t>
      </w:r>
      <w:r>
        <w:rPr>
          <w:sz w:val="16"/>
          <w:szCs w:val="16"/>
          <w:lang w:val="es-ES_tradnl"/>
        </w:rPr>
        <w:t xml:space="preserve">. Con relación a la falta de asistencia psicológica señaló: “No recibí ninguna ayuda psicológica de parte del Estado totalmente abandonado, tuvimos apoyo pero por parte de una ONGS, que es Médicos del Mundo de España, pero eso no tiene nada que ver con el Estado de Guatemala, el Estado de Guatemala ni siquiera una pastilla nos </w:t>
      </w:r>
      <w:proofErr w:type="spellStart"/>
      <w:proofErr w:type="gramStart"/>
      <w:r>
        <w:rPr>
          <w:sz w:val="16"/>
          <w:szCs w:val="16"/>
          <w:lang w:val="es-ES_tradnl"/>
        </w:rPr>
        <w:t>regat</w:t>
      </w:r>
      <w:proofErr w:type="spellEnd"/>
      <w:r>
        <w:rPr>
          <w:sz w:val="16"/>
          <w:szCs w:val="16"/>
          <w:lang w:val="es-ES_tradnl"/>
        </w:rPr>
        <w:t>[</w:t>
      </w:r>
      <w:proofErr w:type="spellStart"/>
      <w:proofErr w:type="gramEnd"/>
      <w:r>
        <w:rPr>
          <w:sz w:val="16"/>
          <w:szCs w:val="16"/>
          <w:lang w:val="es-ES_tradnl"/>
        </w:rPr>
        <w:t>ló</w:t>
      </w:r>
      <w:proofErr w:type="spellEnd"/>
      <w:r>
        <w:rPr>
          <w:sz w:val="16"/>
          <w:szCs w:val="16"/>
          <w:lang w:val="es-ES_tradnl"/>
        </w:rPr>
        <w:t>]o para quitarnos el susto”.</w:t>
      </w:r>
    </w:p>
  </w:footnote>
  <w:footnote w:id="193">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Tampoco con respecto a Gerardo Maldonado Sales la Corte determinó la vulneración de su derecho a la vida, que había sido alegada, pero respecto a él no se han indicado familiares. </w:t>
      </w:r>
    </w:p>
  </w:footnote>
  <w:footnote w:id="194">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Pr>
          <w:sz w:val="16"/>
          <w:szCs w:val="16"/>
          <w:lang w:val="es-ES_tradnl"/>
        </w:rPr>
        <w:t xml:space="preserve"> </w:t>
      </w:r>
      <w:r w:rsidRPr="00B32759">
        <w:rPr>
          <w:i/>
          <w:sz w:val="16"/>
          <w:szCs w:val="16"/>
          <w:lang w:val="es-ES_tradnl"/>
        </w:rPr>
        <w:t>Cfr.</w:t>
      </w:r>
      <w:r>
        <w:rPr>
          <w:sz w:val="16"/>
          <w:szCs w:val="16"/>
          <w:lang w:val="es-ES_tradnl"/>
        </w:rPr>
        <w:t xml:space="preserve"> Declaraciones por videograbaciones de 23 de marzo de 2017, incorporadas como prueba documental, presentadas junto con el escrito de solicitudes y argumentos, de </w:t>
      </w:r>
      <w:proofErr w:type="spellStart"/>
      <w:r>
        <w:rPr>
          <w:sz w:val="16"/>
          <w:szCs w:val="16"/>
          <w:lang w:val="es-ES_tradnl"/>
        </w:rPr>
        <w:t>Atilana</w:t>
      </w:r>
      <w:proofErr w:type="spellEnd"/>
      <w:r>
        <w:rPr>
          <w:sz w:val="16"/>
          <w:szCs w:val="16"/>
          <w:lang w:val="es-ES_tradnl"/>
        </w:rPr>
        <w:t xml:space="preserve"> Hernández Maldonado y Rolando Hernández Maldonado</w:t>
      </w:r>
      <w:r w:rsidRPr="0029452A">
        <w:rPr>
          <w:sz w:val="16"/>
          <w:szCs w:val="16"/>
          <w:lang w:val="es-ES_tradnl"/>
        </w:rPr>
        <w:t>.</w:t>
      </w:r>
    </w:p>
  </w:footnote>
  <w:footnote w:id="195">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sidRPr="00637508">
        <w:rPr>
          <w:sz w:val="16"/>
          <w:szCs w:val="16"/>
          <w:lang w:val="es-CR"/>
        </w:rPr>
        <w:t xml:space="preserve"> </w:t>
      </w:r>
      <w:r>
        <w:rPr>
          <w:sz w:val="16"/>
          <w:szCs w:val="16"/>
          <w:lang w:val="es-CR"/>
        </w:rPr>
        <w:t>El artículo 21 de la Convención dice: “1. Toda persona tiene derecho al uso y goce de sus bienes.  La ley puede subordinar tal uso y goce al interés social.  2. Ninguna persona puede ser privada de sus bienes, excepto mediante el pago de indemnización justa, por razones de utilidad pública o de interés social y en los casos y según las formas establecidas por la ley. 3. Tanto la usura como cualquier otra forma de explotación del hombre por el hombre, deben ser prohibidas por la ley”.</w:t>
      </w:r>
    </w:p>
  </w:footnote>
  <w:footnote w:id="196">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Caso Cinco Pensionistas Vs. Perú</w:t>
      </w:r>
      <w:r>
        <w:rPr>
          <w:sz w:val="16"/>
          <w:szCs w:val="16"/>
          <w:lang w:val="es-CR"/>
        </w:rPr>
        <w:t xml:space="preserve">. </w:t>
      </w:r>
      <w:r>
        <w:rPr>
          <w:i/>
          <w:sz w:val="16"/>
          <w:szCs w:val="16"/>
          <w:lang w:val="es-CR"/>
        </w:rPr>
        <w:t>Fondo, Reparaciones y Costas</w:t>
      </w:r>
      <w:r>
        <w:rPr>
          <w:sz w:val="16"/>
          <w:szCs w:val="16"/>
          <w:lang w:val="es-CR"/>
        </w:rPr>
        <w:t xml:space="preserve">. Sentencia de 28 de febrero de 2003. Serie C No. 98, párr. 155, y </w:t>
      </w:r>
      <w:r w:rsidRPr="0029452A">
        <w:rPr>
          <w:i/>
          <w:sz w:val="16"/>
          <w:szCs w:val="16"/>
          <w:lang w:val="es-CR"/>
        </w:rPr>
        <w:t>Caso I.V. Vs. Bolivia</w:t>
      </w:r>
      <w:r>
        <w:rPr>
          <w:sz w:val="16"/>
          <w:szCs w:val="16"/>
          <w:lang w:val="es-CR"/>
        </w:rPr>
        <w:t xml:space="preserve">. </w:t>
      </w:r>
      <w:r w:rsidRPr="00226EED">
        <w:rPr>
          <w:i/>
          <w:sz w:val="16"/>
          <w:szCs w:val="16"/>
          <w:lang w:val="es-CR"/>
        </w:rPr>
        <w:t>Excepciones Preliminares, Fondo, Reparaciones y Costas</w:t>
      </w:r>
      <w:r>
        <w:rPr>
          <w:sz w:val="16"/>
          <w:szCs w:val="16"/>
          <w:lang w:val="es-CR"/>
        </w:rPr>
        <w:t>. Sentencia de 30 de noviembre de 2016. Serie C No. 329, párr. 48</w:t>
      </w:r>
    </w:p>
  </w:footnote>
  <w:footnote w:id="197">
    <w:p w:rsidR="00785921" w:rsidRDefault="00785921" w:rsidP="00126E97">
      <w:pPr>
        <w:pStyle w:val="FootnoteText"/>
        <w:spacing w:line="20" w:lineRule="atLeast"/>
        <w:rPr>
          <w:sz w:val="16"/>
          <w:szCs w:val="16"/>
          <w:lang w:val="es-CR"/>
        </w:rPr>
      </w:pPr>
      <w:r w:rsidRPr="00226EED">
        <w:rPr>
          <w:rStyle w:val="FootnoteReference"/>
          <w:sz w:val="16"/>
          <w:szCs w:val="16"/>
          <w:lang w:val="es-CR" w:eastAsia="x-none"/>
        </w:rPr>
        <w:footnoteRef/>
      </w:r>
      <w:r>
        <w:rPr>
          <w:i/>
          <w:sz w:val="16"/>
          <w:szCs w:val="16"/>
          <w:lang w:val="es-CR"/>
        </w:rPr>
        <w:t xml:space="preserve"> Caso </w:t>
      </w:r>
      <w:proofErr w:type="spellStart"/>
      <w:r>
        <w:rPr>
          <w:i/>
          <w:sz w:val="16"/>
          <w:szCs w:val="16"/>
          <w:lang w:val="es-CR"/>
        </w:rPr>
        <w:t>Ivcher</w:t>
      </w:r>
      <w:proofErr w:type="spellEnd"/>
      <w:r>
        <w:rPr>
          <w:i/>
          <w:sz w:val="16"/>
          <w:szCs w:val="16"/>
          <w:lang w:val="es-CR"/>
        </w:rPr>
        <w:t xml:space="preserve"> </w:t>
      </w:r>
      <w:proofErr w:type="spellStart"/>
      <w:r>
        <w:rPr>
          <w:i/>
          <w:sz w:val="16"/>
          <w:szCs w:val="16"/>
          <w:lang w:val="es-CR"/>
        </w:rPr>
        <w:t>Bronstein</w:t>
      </w:r>
      <w:proofErr w:type="spellEnd"/>
      <w:r>
        <w:rPr>
          <w:i/>
          <w:sz w:val="16"/>
          <w:szCs w:val="16"/>
          <w:lang w:val="es-CR"/>
        </w:rPr>
        <w:t xml:space="preserve"> Vs. Perú</w:t>
      </w:r>
      <w:r>
        <w:rPr>
          <w:sz w:val="16"/>
          <w:szCs w:val="16"/>
          <w:lang w:val="es-CR"/>
        </w:rPr>
        <w:t xml:space="preserve">. </w:t>
      </w:r>
      <w:r>
        <w:rPr>
          <w:i/>
          <w:sz w:val="16"/>
          <w:szCs w:val="16"/>
          <w:lang w:val="es-CR"/>
        </w:rPr>
        <w:t>Reparaciones y Costas</w:t>
      </w:r>
      <w:r>
        <w:rPr>
          <w:sz w:val="16"/>
          <w:szCs w:val="16"/>
          <w:lang w:val="es-CR"/>
        </w:rPr>
        <w:t xml:space="preserve">. Sentencia de 6 de febrero de 2001. Serie C No. 74, </w:t>
      </w:r>
      <w:proofErr w:type="spellStart"/>
      <w:r>
        <w:rPr>
          <w:sz w:val="16"/>
          <w:szCs w:val="16"/>
          <w:lang w:val="es-CR"/>
        </w:rPr>
        <w:t>párrs</w:t>
      </w:r>
      <w:proofErr w:type="spellEnd"/>
      <w:r>
        <w:rPr>
          <w:sz w:val="16"/>
          <w:szCs w:val="16"/>
          <w:lang w:val="es-CR"/>
        </w:rPr>
        <w:t xml:space="preserve">. 120 a 122, </w:t>
      </w:r>
      <w:r>
        <w:rPr>
          <w:i/>
          <w:sz w:val="16"/>
          <w:szCs w:val="16"/>
          <w:lang w:val="es-CR"/>
        </w:rPr>
        <w:t>y Caso Vereda La Esperanza Vs. Colombia</w:t>
      </w:r>
      <w:r>
        <w:rPr>
          <w:sz w:val="16"/>
          <w:szCs w:val="16"/>
          <w:lang w:val="es-CR"/>
        </w:rPr>
        <w:t xml:space="preserve">. </w:t>
      </w:r>
      <w:r>
        <w:rPr>
          <w:i/>
          <w:sz w:val="16"/>
          <w:szCs w:val="16"/>
          <w:lang w:val="es-CR"/>
        </w:rPr>
        <w:t>Excepciones Preliminares, Fondo, Reparaciones y Costas</w:t>
      </w:r>
      <w:r>
        <w:rPr>
          <w:sz w:val="16"/>
          <w:szCs w:val="16"/>
          <w:lang w:val="es-CR"/>
        </w:rPr>
        <w:t xml:space="preserve">. Sentencia de 31 de agosto de 2017. Serie C No. 341, párr. 240.  </w:t>
      </w:r>
    </w:p>
  </w:footnote>
  <w:footnote w:id="198">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 xml:space="preserve">Caso de las Masacres de </w:t>
      </w:r>
      <w:proofErr w:type="spellStart"/>
      <w:r>
        <w:rPr>
          <w:i/>
          <w:sz w:val="16"/>
          <w:szCs w:val="16"/>
          <w:lang w:val="es-CR"/>
        </w:rPr>
        <w:t>Ituango</w:t>
      </w:r>
      <w:proofErr w:type="spellEnd"/>
      <w:r>
        <w:rPr>
          <w:sz w:val="16"/>
          <w:szCs w:val="16"/>
          <w:lang w:val="es-CR"/>
        </w:rPr>
        <w:t xml:space="preserve"> </w:t>
      </w:r>
      <w:r>
        <w:rPr>
          <w:i/>
          <w:sz w:val="16"/>
          <w:szCs w:val="16"/>
          <w:lang w:val="es-CR"/>
        </w:rPr>
        <w:t xml:space="preserve">Vs. Colombia. </w:t>
      </w:r>
      <w:r w:rsidRPr="00226EED">
        <w:rPr>
          <w:sz w:val="16"/>
          <w:szCs w:val="16"/>
          <w:lang w:val="es-CR"/>
        </w:rPr>
        <w:t>Sentencia de 1 de julio de 2006. Serie C No. 148</w:t>
      </w:r>
      <w:r>
        <w:rPr>
          <w:sz w:val="16"/>
          <w:szCs w:val="16"/>
          <w:lang w:val="es-CR"/>
        </w:rPr>
        <w:t xml:space="preserve">, párr. 182 y </w:t>
      </w:r>
      <w:r>
        <w:rPr>
          <w:i/>
          <w:sz w:val="16"/>
          <w:szCs w:val="16"/>
          <w:lang w:val="es-CR"/>
        </w:rPr>
        <w:t>Caso Vereda La Esperanza Vs. Colombia, supra</w:t>
      </w:r>
      <w:r>
        <w:rPr>
          <w:sz w:val="16"/>
          <w:szCs w:val="16"/>
          <w:lang w:val="es-CR"/>
        </w:rPr>
        <w:t>, párr. 241.</w:t>
      </w:r>
    </w:p>
  </w:footnote>
  <w:footnote w:id="199">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En la sentencia condenatoria de 8 de julio de 2004 (</w:t>
      </w:r>
      <w:r w:rsidRPr="00637508">
        <w:rPr>
          <w:i/>
          <w:sz w:val="16"/>
          <w:szCs w:val="16"/>
          <w:lang w:val="es-CR"/>
        </w:rPr>
        <w:t>supra</w:t>
      </w:r>
      <w:r w:rsidRPr="00637508">
        <w:rPr>
          <w:sz w:val="16"/>
          <w:szCs w:val="16"/>
          <w:lang w:val="es-CR"/>
        </w:rPr>
        <w:t xml:space="preserve">, párr. </w:t>
      </w:r>
      <w:r>
        <w:rPr>
          <w:sz w:val="16"/>
          <w:szCs w:val="16"/>
          <w:lang w:val="es-CR"/>
        </w:rPr>
        <w:t>64</w:t>
      </w:r>
      <w:r w:rsidRPr="00637508">
        <w:rPr>
          <w:sz w:val="16"/>
          <w:szCs w:val="16"/>
          <w:lang w:val="es-CR"/>
        </w:rPr>
        <w:t>) se da como un hecho acreditado que el 5 de octubre de 1995</w:t>
      </w:r>
      <w:r>
        <w:rPr>
          <w:sz w:val="16"/>
          <w:szCs w:val="16"/>
          <w:lang w:val="es-CR"/>
        </w:rPr>
        <w:t>,</w:t>
      </w:r>
      <w:r w:rsidRPr="00637508">
        <w:rPr>
          <w:sz w:val="16"/>
          <w:szCs w:val="16"/>
          <w:lang w:val="es-CR"/>
        </w:rPr>
        <w:t xml:space="preserve"> lo</w:t>
      </w:r>
      <w:r>
        <w:rPr>
          <w:sz w:val="16"/>
          <w:szCs w:val="16"/>
          <w:lang w:val="es-CR"/>
        </w:rPr>
        <w:t>s</w:t>
      </w:r>
      <w:r w:rsidRPr="00637508">
        <w:rPr>
          <w:sz w:val="16"/>
          <w:szCs w:val="16"/>
          <w:lang w:val="es-CR"/>
        </w:rPr>
        <w:t xml:space="preserve"> militares ingresaron a “la propiedad de la Cooperativa Unión Maya, denominada Finca </w:t>
      </w:r>
      <w:proofErr w:type="spellStart"/>
      <w:r w:rsidRPr="00637508">
        <w:rPr>
          <w:sz w:val="16"/>
          <w:szCs w:val="16"/>
          <w:lang w:val="es-CR"/>
        </w:rPr>
        <w:t>Xamán</w:t>
      </w:r>
      <w:proofErr w:type="spellEnd"/>
      <w:r w:rsidRPr="00637508">
        <w:rPr>
          <w:sz w:val="16"/>
          <w:szCs w:val="16"/>
          <w:lang w:val="es-CR"/>
        </w:rPr>
        <w:t>” (</w:t>
      </w:r>
      <w:r>
        <w:rPr>
          <w:sz w:val="16"/>
          <w:szCs w:val="16"/>
          <w:lang w:val="es-CR"/>
        </w:rPr>
        <w:t>s</w:t>
      </w:r>
      <w:r w:rsidRPr="00637508">
        <w:rPr>
          <w:sz w:val="16"/>
          <w:szCs w:val="16"/>
          <w:lang w:val="es-CR"/>
        </w:rPr>
        <w:t>entencia de 8 de julio de 2004</w:t>
      </w:r>
      <w:r>
        <w:rPr>
          <w:sz w:val="16"/>
          <w:szCs w:val="16"/>
          <w:lang w:val="es-CR"/>
        </w:rPr>
        <w:t xml:space="preserve">, </w:t>
      </w:r>
      <w:r w:rsidRPr="00745BF3">
        <w:rPr>
          <w:i/>
          <w:sz w:val="16"/>
          <w:szCs w:val="16"/>
          <w:lang w:val="es-CR"/>
        </w:rPr>
        <w:t>supra</w:t>
      </w:r>
      <w:r>
        <w:rPr>
          <w:sz w:val="16"/>
          <w:szCs w:val="16"/>
          <w:lang w:val="es-CR"/>
        </w:rPr>
        <w:t>)</w:t>
      </w:r>
      <w:r w:rsidRPr="00745BF3">
        <w:rPr>
          <w:sz w:val="16"/>
          <w:szCs w:val="16"/>
          <w:lang w:val="es-CR"/>
        </w:rPr>
        <w:t>.</w:t>
      </w:r>
      <w:r w:rsidRPr="00637508">
        <w:rPr>
          <w:b/>
          <w:sz w:val="16"/>
          <w:szCs w:val="16"/>
          <w:lang w:val="es-CR"/>
        </w:rPr>
        <w:t xml:space="preserve"> </w:t>
      </w:r>
      <w:r w:rsidRPr="00637508">
        <w:rPr>
          <w:sz w:val="16"/>
          <w:szCs w:val="16"/>
          <w:lang w:val="es-CR"/>
        </w:rPr>
        <w:t>Los representantes, preguntados por la Corte sobre la propiedad de la tierra, se manifestaron en igual sentido, aclarando que pertenecía a la Cooperativa Integral Agrícola Unión Maya, conformada por “algunos de los afectados por la masacre”, a quienes no identificaron, así como por otras personas “que retornaron</w:t>
      </w:r>
      <w:r>
        <w:rPr>
          <w:sz w:val="16"/>
          <w:szCs w:val="16"/>
          <w:lang w:val="es-CR"/>
        </w:rPr>
        <w:t>”.</w:t>
      </w:r>
    </w:p>
  </w:footnote>
  <w:footnote w:id="200">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El artículo 24 de la Convención reza: “</w:t>
      </w:r>
      <w:r w:rsidRPr="00637508">
        <w:rPr>
          <w:rFonts w:cs="Tahoma"/>
          <w:color w:val="000000"/>
          <w:sz w:val="16"/>
          <w:szCs w:val="16"/>
          <w:lang w:val="es-CR"/>
        </w:rPr>
        <w:t xml:space="preserve">Todas las personas son iguales ante la ley.  En consecuencia, tienen derecho, sin discriminación, a igual protección de la ley”. </w:t>
      </w:r>
      <w:r w:rsidRPr="00637508">
        <w:rPr>
          <w:sz w:val="16"/>
          <w:szCs w:val="16"/>
          <w:lang w:val="es-CR"/>
        </w:rPr>
        <w:t xml:space="preserve"> </w:t>
      </w:r>
    </w:p>
  </w:footnote>
  <w:footnote w:id="201">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sidRPr="0029452A">
        <w:rPr>
          <w:i/>
          <w:sz w:val="16"/>
          <w:szCs w:val="16"/>
          <w:lang w:val="es-CR"/>
        </w:rPr>
        <w:t>Cfr</w:t>
      </w:r>
      <w:r>
        <w:rPr>
          <w:sz w:val="16"/>
          <w:szCs w:val="16"/>
          <w:lang w:val="es-CR"/>
        </w:rPr>
        <w:t>.</w:t>
      </w:r>
      <w:r w:rsidRPr="0029452A">
        <w:rPr>
          <w:i/>
          <w:sz w:val="16"/>
          <w:szCs w:val="16"/>
          <w:lang w:val="es-CR"/>
        </w:rPr>
        <w:t xml:space="preserve"> Caso </w:t>
      </w:r>
      <w:proofErr w:type="spellStart"/>
      <w:r w:rsidRPr="0029452A">
        <w:rPr>
          <w:i/>
          <w:sz w:val="16"/>
          <w:szCs w:val="16"/>
          <w:lang w:val="es-CR"/>
        </w:rPr>
        <w:t>Tiu</w:t>
      </w:r>
      <w:proofErr w:type="spellEnd"/>
      <w:r w:rsidRPr="0029452A">
        <w:rPr>
          <w:i/>
          <w:sz w:val="16"/>
          <w:szCs w:val="16"/>
          <w:lang w:val="es-CR"/>
        </w:rPr>
        <w:t xml:space="preserve"> </w:t>
      </w:r>
      <w:proofErr w:type="spellStart"/>
      <w:r w:rsidRPr="0029452A">
        <w:rPr>
          <w:i/>
          <w:sz w:val="16"/>
          <w:szCs w:val="16"/>
          <w:lang w:val="es-CR"/>
        </w:rPr>
        <w:t>Tojín</w:t>
      </w:r>
      <w:proofErr w:type="spellEnd"/>
      <w:r w:rsidRPr="0029452A">
        <w:rPr>
          <w:i/>
          <w:sz w:val="16"/>
          <w:szCs w:val="16"/>
          <w:lang w:val="es-CR"/>
        </w:rPr>
        <w:t xml:space="preserve"> Vs. Guatemala</w:t>
      </w:r>
      <w:r>
        <w:rPr>
          <w:sz w:val="16"/>
          <w:szCs w:val="16"/>
          <w:lang w:val="es-CR"/>
        </w:rPr>
        <w:t xml:space="preserve">. </w:t>
      </w:r>
      <w:r w:rsidRPr="002706B2">
        <w:rPr>
          <w:i/>
          <w:sz w:val="16"/>
          <w:szCs w:val="16"/>
          <w:lang w:val="es-CR"/>
        </w:rPr>
        <w:t>Fondo, Reparaciones y Costas.</w:t>
      </w:r>
      <w:r>
        <w:rPr>
          <w:sz w:val="16"/>
          <w:szCs w:val="16"/>
          <w:lang w:val="es-CR"/>
        </w:rPr>
        <w:t xml:space="preserve"> Sentencia de 26 de noviembre de 2008. Serie C No. 190, párr. 100 y</w:t>
      </w:r>
      <w:r w:rsidRPr="00D267F7">
        <w:rPr>
          <w:i/>
          <w:sz w:val="16"/>
          <w:szCs w:val="16"/>
          <w:lang w:val="es-CR"/>
        </w:rPr>
        <w:t xml:space="preserve"> </w:t>
      </w:r>
      <w:r w:rsidRPr="00223B9D">
        <w:rPr>
          <w:i/>
          <w:sz w:val="16"/>
          <w:szCs w:val="16"/>
          <w:lang w:val="es-CR"/>
        </w:rPr>
        <w:t xml:space="preserve">Caso Miembros de la Aldea </w:t>
      </w:r>
      <w:proofErr w:type="spellStart"/>
      <w:r w:rsidRPr="00223B9D">
        <w:rPr>
          <w:i/>
          <w:sz w:val="16"/>
          <w:szCs w:val="16"/>
          <w:lang w:val="es-CR"/>
        </w:rPr>
        <w:t>Chichupac</w:t>
      </w:r>
      <w:proofErr w:type="spellEnd"/>
      <w:r w:rsidRPr="00223B9D">
        <w:rPr>
          <w:i/>
          <w:sz w:val="16"/>
          <w:szCs w:val="16"/>
          <w:lang w:val="es-CR"/>
        </w:rPr>
        <w:t xml:space="preserve"> y comunidades vecinas del Municipio de Rabinal Vs. Guatemala</w:t>
      </w:r>
      <w:r>
        <w:rPr>
          <w:i/>
          <w:sz w:val="16"/>
          <w:szCs w:val="16"/>
          <w:lang w:val="es-CR"/>
        </w:rPr>
        <w:t>, supra</w:t>
      </w:r>
      <w:r>
        <w:rPr>
          <w:sz w:val="16"/>
          <w:szCs w:val="16"/>
          <w:lang w:val="es-CR"/>
        </w:rPr>
        <w:t>, párr. 258.</w:t>
      </w:r>
    </w:p>
  </w:footnote>
  <w:footnote w:id="20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Al respecto, la Corte nota que la declaración pericial de Alejandro Rodríguez </w:t>
      </w:r>
      <w:proofErr w:type="spellStart"/>
      <w:r w:rsidRPr="00637508">
        <w:rPr>
          <w:sz w:val="16"/>
          <w:szCs w:val="16"/>
          <w:lang w:val="es-CR"/>
        </w:rPr>
        <w:t>Barillas</w:t>
      </w:r>
      <w:proofErr w:type="spellEnd"/>
      <w:r w:rsidRPr="00637508">
        <w:rPr>
          <w:sz w:val="16"/>
          <w:szCs w:val="16"/>
          <w:lang w:val="es-CR"/>
        </w:rPr>
        <w:t>, incorporada como prueba documental</w:t>
      </w:r>
      <w:r>
        <w:rPr>
          <w:sz w:val="16"/>
          <w:szCs w:val="16"/>
          <w:lang w:val="es-CR"/>
        </w:rPr>
        <w:t xml:space="preserve"> (e</w:t>
      </w:r>
      <w:r w:rsidRPr="00637508">
        <w:rPr>
          <w:sz w:val="16"/>
          <w:szCs w:val="16"/>
          <w:lang w:val="es-CR"/>
        </w:rPr>
        <w:t>xpediente de fondo, f</w:t>
      </w:r>
      <w:r>
        <w:rPr>
          <w:sz w:val="16"/>
          <w:szCs w:val="16"/>
          <w:lang w:val="es-CR"/>
        </w:rPr>
        <w:t>olio</w:t>
      </w:r>
      <w:r w:rsidRPr="00637508">
        <w:rPr>
          <w:sz w:val="16"/>
          <w:szCs w:val="16"/>
          <w:lang w:val="es-CR"/>
        </w:rPr>
        <w:t>s 419 a 506</w:t>
      </w:r>
      <w:r>
        <w:rPr>
          <w:sz w:val="16"/>
          <w:szCs w:val="16"/>
          <w:lang w:val="es-CR"/>
        </w:rPr>
        <w:t>)</w:t>
      </w:r>
      <w:r w:rsidRPr="00637508">
        <w:rPr>
          <w:sz w:val="16"/>
          <w:szCs w:val="16"/>
          <w:lang w:val="es-CR"/>
        </w:rPr>
        <w:t xml:space="preserve">, señala que “[e]l Estado de Guatemala ha mantenido las condiciones de facto, para que los pueblos indígenas y específicamente, el pueblo maya </w:t>
      </w:r>
      <w:proofErr w:type="spellStart"/>
      <w:r w:rsidRPr="00637508">
        <w:rPr>
          <w:sz w:val="16"/>
          <w:szCs w:val="16"/>
          <w:lang w:val="es-CR"/>
        </w:rPr>
        <w:t>achí</w:t>
      </w:r>
      <w:proofErr w:type="spellEnd"/>
      <w:r w:rsidRPr="00637508">
        <w:rPr>
          <w:sz w:val="16"/>
          <w:szCs w:val="16"/>
          <w:lang w:val="es-CR"/>
        </w:rPr>
        <w:t xml:space="preserve"> no pueda acceder a la justicia”</w:t>
      </w:r>
      <w:r>
        <w:rPr>
          <w:sz w:val="16"/>
          <w:szCs w:val="16"/>
          <w:lang w:val="es-CR"/>
        </w:rPr>
        <w:t>.</w:t>
      </w:r>
    </w:p>
  </w:footnote>
  <w:footnote w:id="203">
    <w:p w:rsidR="00785921" w:rsidRDefault="00785921" w:rsidP="00126E97">
      <w:pPr>
        <w:pStyle w:val="FootnoteText"/>
        <w:spacing w:line="20" w:lineRule="atLeast"/>
        <w:rPr>
          <w:sz w:val="16"/>
          <w:szCs w:val="16"/>
          <w:lang w:val="es-CR"/>
        </w:rPr>
      </w:pPr>
      <w:r>
        <w:rPr>
          <w:rStyle w:val="FootnoteReference"/>
          <w:sz w:val="16"/>
          <w:szCs w:val="16"/>
          <w:lang w:val="es-CR" w:eastAsia="x-none"/>
        </w:rPr>
        <w:footnoteRef/>
      </w:r>
      <w:r>
        <w:rPr>
          <w:sz w:val="16"/>
          <w:szCs w:val="16"/>
          <w:lang w:val="es-CR"/>
        </w:rPr>
        <w:t xml:space="preserve"> </w:t>
      </w:r>
      <w:r>
        <w:rPr>
          <w:i/>
          <w:sz w:val="16"/>
          <w:szCs w:val="16"/>
          <w:lang w:val="es-CR"/>
        </w:rPr>
        <w:t>Cfr.</w:t>
      </w:r>
      <w:r>
        <w:rPr>
          <w:sz w:val="16"/>
          <w:szCs w:val="16"/>
          <w:lang w:val="es-CR"/>
        </w:rPr>
        <w:t xml:space="preserve"> </w:t>
      </w:r>
      <w:r w:rsidRPr="0029452A">
        <w:rPr>
          <w:i/>
          <w:sz w:val="16"/>
          <w:szCs w:val="16"/>
          <w:lang w:val="es-CR"/>
        </w:rPr>
        <w:t xml:space="preserve">Caso Miembros de la Aldea </w:t>
      </w:r>
      <w:proofErr w:type="spellStart"/>
      <w:r w:rsidRPr="0029452A">
        <w:rPr>
          <w:i/>
          <w:sz w:val="16"/>
          <w:szCs w:val="16"/>
          <w:lang w:val="es-CR"/>
        </w:rPr>
        <w:t>Chichupac</w:t>
      </w:r>
      <w:proofErr w:type="spellEnd"/>
      <w:r w:rsidRPr="0029452A">
        <w:rPr>
          <w:i/>
          <w:sz w:val="16"/>
          <w:szCs w:val="16"/>
          <w:lang w:val="es-CR"/>
        </w:rPr>
        <w:t xml:space="preserve"> y comunidades vecinas del Municipio de Rabinal Vs. Guatemala</w:t>
      </w:r>
      <w:r>
        <w:rPr>
          <w:i/>
          <w:sz w:val="16"/>
          <w:szCs w:val="16"/>
          <w:lang w:val="es-CR"/>
        </w:rPr>
        <w:t>, supra</w:t>
      </w:r>
      <w:r>
        <w:rPr>
          <w:sz w:val="16"/>
          <w:szCs w:val="16"/>
          <w:lang w:val="es-CR"/>
        </w:rPr>
        <w:t xml:space="preserve">, párr. 258. En el caso, se aducía la pertenencia al pueblo maya como tal carácter. </w:t>
      </w:r>
    </w:p>
  </w:footnote>
  <w:footnote w:id="204">
    <w:p w:rsidR="00785921" w:rsidRDefault="00785921" w:rsidP="00126E97">
      <w:pPr>
        <w:pStyle w:val="FootnoteText"/>
        <w:tabs>
          <w:tab w:val="left" w:pos="567"/>
        </w:tabs>
        <w:spacing w:line="20" w:lineRule="atLeast"/>
        <w:rPr>
          <w:sz w:val="16"/>
          <w:szCs w:val="16"/>
          <w:lang w:val="es-CR"/>
        </w:rPr>
      </w:pPr>
      <w:r>
        <w:rPr>
          <w:rStyle w:val="FootnoteReference"/>
          <w:rFonts w:eastAsia="Calibri"/>
          <w:sz w:val="16"/>
          <w:szCs w:val="16"/>
          <w:lang w:val="es-CR" w:eastAsia="x-none"/>
        </w:rPr>
        <w:footnoteRef/>
      </w:r>
      <w:r>
        <w:rPr>
          <w:sz w:val="16"/>
          <w:szCs w:val="16"/>
          <w:lang w:val="es-CR"/>
        </w:rPr>
        <w:t xml:space="preserve"> El artículo 63.1 de la Convención dispone que “[c]</w:t>
      </w:r>
      <w:proofErr w:type="spellStart"/>
      <w:r>
        <w:rPr>
          <w:sz w:val="16"/>
          <w:szCs w:val="16"/>
          <w:lang w:val="es-CR"/>
        </w:rPr>
        <w:t>uando</w:t>
      </w:r>
      <w:proofErr w:type="spellEnd"/>
      <w:r>
        <w:rPr>
          <w:sz w:val="16"/>
          <w:szCs w:val="16"/>
          <w:lang w:val="es-CR"/>
        </w:rPr>
        <w:t xml:space="preserve"> decida que hubo violación de un derecho o libertad protegidos en [la]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205">
    <w:p w:rsidR="00785921" w:rsidRPr="00156BD3" w:rsidRDefault="00785921" w:rsidP="00126E97">
      <w:pPr>
        <w:pStyle w:val="FootnoteText"/>
        <w:spacing w:line="20" w:lineRule="atLeast"/>
        <w:rPr>
          <w:lang w:val="es-CR"/>
        </w:rPr>
      </w:pPr>
      <w:r w:rsidRPr="002706B2">
        <w:rPr>
          <w:rStyle w:val="FootnoteReference"/>
          <w:rFonts w:eastAsia="Calibri"/>
          <w:sz w:val="16"/>
          <w:szCs w:val="16"/>
          <w:lang w:val="es-CR" w:eastAsia="x-none"/>
        </w:rPr>
        <w:footnoteRef/>
      </w:r>
      <w:r w:rsidRPr="002706B2">
        <w:rPr>
          <w:sz w:val="16"/>
          <w:szCs w:val="16"/>
          <w:lang w:val="es-CR"/>
        </w:rPr>
        <w:t xml:space="preserve"> </w:t>
      </w:r>
      <w:r>
        <w:rPr>
          <w:rFonts w:eastAsia="Calibri"/>
          <w:i/>
          <w:sz w:val="16"/>
          <w:szCs w:val="16"/>
          <w:lang w:val="es-CR"/>
        </w:rPr>
        <w:t xml:space="preserve">Cfr. Caso Velásquez Rodríguez Vs. Honduras. Reparaciones y Costas. </w:t>
      </w:r>
      <w:r>
        <w:rPr>
          <w:rFonts w:eastAsia="Calibri"/>
          <w:sz w:val="16"/>
          <w:szCs w:val="16"/>
          <w:lang w:val="es-CR"/>
        </w:rPr>
        <w:t>Sentencia de 21 de julio de 1989. Serie C No. 7, párr. 25, y</w:t>
      </w:r>
      <w:r>
        <w:rPr>
          <w:rFonts w:eastAsia="Calibri"/>
          <w:i/>
          <w:sz w:val="16"/>
          <w:szCs w:val="16"/>
          <w:lang w:val="es-CR"/>
        </w:rPr>
        <w:t xml:space="preserve">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w:t>
      </w:r>
      <w:r>
        <w:rPr>
          <w:i/>
          <w:sz w:val="16"/>
          <w:szCs w:val="16"/>
          <w:lang w:val="es-CR"/>
        </w:rPr>
        <w:t>, supra</w:t>
      </w:r>
      <w:r>
        <w:rPr>
          <w:sz w:val="16"/>
          <w:szCs w:val="16"/>
          <w:lang w:val="es-CR"/>
        </w:rPr>
        <w:t>, párr. 466</w:t>
      </w:r>
      <w:r w:rsidRPr="00637508">
        <w:rPr>
          <w:sz w:val="16"/>
          <w:szCs w:val="16"/>
          <w:lang w:val="es-CR"/>
        </w:rPr>
        <w:t xml:space="preserve">. </w:t>
      </w:r>
    </w:p>
  </w:footnote>
  <w:footnote w:id="206">
    <w:p w:rsidR="00785921" w:rsidRPr="00D05F7B" w:rsidRDefault="00785921" w:rsidP="00126E97">
      <w:pPr>
        <w:tabs>
          <w:tab w:val="left" w:pos="567"/>
        </w:tabs>
        <w:spacing w:after="0" w:line="20" w:lineRule="atLeast"/>
        <w:jc w:val="both"/>
        <w:rPr>
          <w:rFonts w:ascii="Verdana" w:eastAsia="Calibri" w:hAnsi="Verdana"/>
          <w:i/>
          <w:sz w:val="16"/>
          <w:szCs w:val="16"/>
          <w:lang w:val="es-CR"/>
        </w:rPr>
      </w:pPr>
      <w:r w:rsidRPr="002706B2">
        <w:rPr>
          <w:rStyle w:val="FootnoteReference"/>
          <w:rFonts w:ascii="Verdana" w:eastAsia="MS Mincho" w:hAnsi="Verdana"/>
          <w:sz w:val="16"/>
          <w:szCs w:val="16"/>
          <w:lang w:val="es-CR" w:eastAsia="x-none"/>
        </w:rPr>
        <w:footnoteRef/>
      </w:r>
      <w:r w:rsidRPr="00D05F7B">
        <w:rPr>
          <w:rFonts w:ascii="Verdana" w:hAnsi="Verdana"/>
          <w:sz w:val="16"/>
          <w:szCs w:val="16"/>
          <w:lang w:val="es-CR"/>
        </w:rPr>
        <w:t xml:space="preserve"> </w:t>
      </w:r>
      <w:r w:rsidRPr="00D05F7B">
        <w:rPr>
          <w:rFonts w:ascii="Verdana" w:eastAsia="Calibri" w:hAnsi="Verdana"/>
          <w:i/>
          <w:sz w:val="16"/>
          <w:szCs w:val="16"/>
          <w:lang w:val="es-CR"/>
        </w:rPr>
        <w:t>Cfr. Caso Velásquez Rodríguez Vs. Honduras. Reparaciones y Costas</w:t>
      </w:r>
      <w:r>
        <w:rPr>
          <w:rFonts w:ascii="Verdana" w:eastAsia="Calibri" w:hAnsi="Verdana"/>
          <w:i/>
          <w:sz w:val="16"/>
          <w:szCs w:val="16"/>
          <w:lang w:val="es-CR"/>
        </w:rPr>
        <w:t>, supra</w:t>
      </w:r>
      <w:r w:rsidRPr="00D05F7B">
        <w:rPr>
          <w:rFonts w:ascii="Verdana" w:eastAsia="Calibri" w:hAnsi="Verdana"/>
          <w:sz w:val="16"/>
          <w:szCs w:val="16"/>
          <w:lang w:val="es-CR"/>
        </w:rPr>
        <w:t xml:space="preserve">, </w:t>
      </w:r>
      <w:proofErr w:type="spellStart"/>
      <w:r w:rsidRPr="00D05F7B">
        <w:rPr>
          <w:rFonts w:ascii="Verdana" w:eastAsia="Calibri" w:hAnsi="Verdana"/>
          <w:sz w:val="16"/>
          <w:szCs w:val="16"/>
          <w:lang w:val="es-CR"/>
        </w:rPr>
        <w:t>párrs</w:t>
      </w:r>
      <w:proofErr w:type="spellEnd"/>
      <w:r w:rsidRPr="00D05F7B">
        <w:rPr>
          <w:rFonts w:ascii="Verdana" w:eastAsia="Calibri" w:hAnsi="Verdana"/>
          <w:sz w:val="16"/>
          <w:szCs w:val="16"/>
          <w:lang w:val="es-CR"/>
        </w:rPr>
        <w:t xml:space="preserve">. 25 y 26, y </w:t>
      </w:r>
      <w:r w:rsidRPr="00D05F7B">
        <w:rPr>
          <w:rFonts w:ascii="Verdana" w:hAnsi="Verdana"/>
          <w:i/>
          <w:sz w:val="16"/>
          <w:szCs w:val="16"/>
          <w:lang w:val="es-CR"/>
        </w:rPr>
        <w:t xml:space="preserve">Caso </w:t>
      </w:r>
      <w:proofErr w:type="spellStart"/>
      <w:r w:rsidRPr="00D05F7B">
        <w:rPr>
          <w:rFonts w:ascii="Verdana" w:hAnsi="Verdana"/>
          <w:i/>
          <w:sz w:val="16"/>
          <w:szCs w:val="16"/>
          <w:lang w:val="es-CR"/>
        </w:rPr>
        <w:t>Amrhein</w:t>
      </w:r>
      <w:proofErr w:type="spellEnd"/>
      <w:r w:rsidRPr="00D05F7B">
        <w:rPr>
          <w:rFonts w:ascii="Verdana" w:hAnsi="Verdana"/>
          <w:i/>
          <w:sz w:val="16"/>
          <w:szCs w:val="16"/>
          <w:lang w:val="es-CR"/>
        </w:rPr>
        <w:t xml:space="preserve"> y otros vs. Costa Rica</w:t>
      </w:r>
      <w:r>
        <w:rPr>
          <w:rFonts w:ascii="Verdana" w:hAnsi="Verdana"/>
          <w:i/>
          <w:sz w:val="16"/>
          <w:szCs w:val="16"/>
          <w:lang w:val="es-CR"/>
        </w:rPr>
        <w:t>, supra</w:t>
      </w:r>
      <w:r w:rsidRPr="00D05F7B">
        <w:rPr>
          <w:rFonts w:ascii="Verdana" w:hAnsi="Verdana"/>
          <w:sz w:val="16"/>
          <w:szCs w:val="16"/>
          <w:lang w:val="es-CR"/>
        </w:rPr>
        <w:t xml:space="preserve">, párr. 467. </w:t>
      </w:r>
      <w:r w:rsidRPr="00D05F7B">
        <w:rPr>
          <w:rFonts w:ascii="Verdana" w:hAnsi="Verdana"/>
          <w:sz w:val="16"/>
          <w:szCs w:val="16"/>
        </w:rPr>
        <w:t>La Corte, de acuerdo a cada caso, ha entendido que las medidas de restitución, rehabilitación, satisfacción y garantías de no repetición tienen especial relevancia por los daños ocasionado (</w:t>
      </w:r>
      <w:r>
        <w:rPr>
          <w:rFonts w:ascii="Verdana" w:hAnsi="Verdana"/>
          <w:i/>
          <w:sz w:val="16"/>
          <w:szCs w:val="16"/>
          <w:lang w:val="es-CR"/>
        </w:rPr>
        <w:t>c</w:t>
      </w:r>
      <w:r w:rsidRPr="00D05F7B">
        <w:rPr>
          <w:rFonts w:ascii="Verdana" w:hAnsi="Verdana"/>
          <w:i/>
          <w:sz w:val="16"/>
          <w:szCs w:val="16"/>
          <w:lang w:val="es-CR"/>
        </w:rPr>
        <w:t>fr.</w:t>
      </w:r>
      <w:r w:rsidRPr="00D05F7B">
        <w:rPr>
          <w:rFonts w:ascii="Verdana" w:hAnsi="Verdana"/>
          <w:bCs/>
          <w:i/>
          <w:sz w:val="16"/>
          <w:szCs w:val="16"/>
          <w:lang w:val="es-CR"/>
        </w:rPr>
        <w:t xml:space="preserve"> Caso Cantoral Benavide</w:t>
      </w:r>
      <w:r>
        <w:rPr>
          <w:rFonts w:ascii="Verdana" w:hAnsi="Verdana"/>
          <w:bCs/>
          <w:i/>
          <w:sz w:val="16"/>
          <w:szCs w:val="16"/>
          <w:lang w:val="es-CR"/>
        </w:rPr>
        <w:t>z</w:t>
      </w:r>
      <w:r w:rsidRPr="00D05F7B">
        <w:rPr>
          <w:rFonts w:ascii="Verdana" w:hAnsi="Verdana"/>
          <w:bCs/>
          <w:i/>
          <w:sz w:val="16"/>
          <w:szCs w:val="16"/>
          <w:lang w:val="es-CR"/>
        </w:rPr>
        <w:t xml:space="preserve"> Vs. Perú. </w:t>
      </w:r>
      <w:r w:rsidRPr="00D05F7B">
        <w:rPr>
          <w:rFonts w:ascii="Verdana" w:hAnsi="Verdana"/>
          <w:i/>
          <w:sz w:val="16"/>
          <w:szCs w:val="16"/>
          <w:lang w:val="es-CR"/>
        </w:rPr>
        <w:t>Reparaciones y Costas</w:t>
      </w:r>
      <w:r w:rsidRPr="00D05F7B">
        <w:rPr>
          <w:rFonts w:ascii="Verdana" w:hAnsi="Verdana"/>
          <w:sz w:val="16"/>
          <w:szCs w:val="16"/>
          <w:lang w:val="es-CR"/>
        </w:rPr>
        <w:t xml:space="preserve">. Sentencia de 3 de diciembre de 2001. Serie C No. 88, </w:t>
      </w:r>
      <w:proofErr w:type="spellStart"/>
      <w:r w:rsidRPr="00D05F7B">
        <w:rPr>
          <w:rFonts w:ascii="Verdana" w:hAnsi="Verdana"/>
          <w:sz w:val="16"/>
          <w:szCs w:val="16"/>
          <w:lang w:val="es-CR"/>
        </w:rPr>
        <w:t>párrs</w:t>
      </w:r>
      <w:proofErr w:type="spellEnd"/>
      <w:r w:rsidRPr="00D05F7B">
        <w:rPr>
          <w:rFonts w:ascii="Verdana" w:hAnsi="Verdana"/>
          <w:sz w:val="16"/>
          <w:szCs w:val="16"/>
          <w:lang w:val="es-CR"/>
        </w:rPr>
        <w:t>. 79 a 81, y</w:t>
      </w:r>
      <w:r w:rsidRPr="00D05F7B">
        <w:rPr>
          <w:rFonts w:ascii="Verdana" w:eastAsia="Calibri" w:hAnsi="Verdana"/>
          <w:i/>
          <w:sz w:val="16"/>
          <w:szCs w:val="16"/>
          <w:lang w:val="es-CR"/>
        </w:rPr>
        <w:t xml:space="preserve"> </w:t>
      </w:r>
      <w:r w:rsidRPr="00D05F7B">
        <w:rPr>
          <w:rFonts w:ascii="Verdana" w:hAnsi="Verdana"/>
          <w:i/>
          <w:sz w:val="16"/>
          <w:szCs w:val="16"/>
          <w:lang w:val="es-CR"/>
        </w:rPr>
        <w:t xml:space="preserve">Caso </w:t>
      </w:r>
      <w:proofErr w:type="spellStart"/>
      <w:r w:rsidRPr="00D05F7B">
        <w:rPr>
          <w:rFonts w:ascii="Verdana" w:hAnsi="Verdana"/>
          <w:i/>
          <w:sz w:val="16"/>
          <w:szCs w:val="16"/>
          <w:lang w:val="es-CR"/>
        </w:rPr>
        <w:t>Amrhein</w:t>
      </w:r>
      <w:proofErr w:type="spellEnd"/>
      <w:r w:rsidRPr="00D05F7B">
        <w:rPr>
          <w:rFonts w:ascii="Verdana" w:hAnsi="Verdana"/>
          <w:i/>
          <w:sz w:val="16"/>
          <w:szCs w:val="16"/>
          <w:lang w:val="es-CR"/>
        </w:rPr>
        <w:t xml:space="preserve"> y otros vs. Costa Rica</w:t>
      </w:r>
      <w:r>
        <w:rPr>
          <w:rFonts w:ascii="Verdana" w:hAnsi="Verdana"/>
          <w:i/>
          <w:sz w:val="16"/>
          <w:szCs w:val="16"/>
          <w:lang w:val="es-CR"/>
        </w:rPr>
        <w:t>, supra</w:t>
      </w:r>
      <w:r w:rsidRPr="00D05F7B">
        <w:rPr>
          <w:rFonts w:ascii="Verdana" w:hAnsi="Verdana"/>
          <w:sz w:val="16"/>
          <w:szCs w:val="16"/>
          <w:lang w:val="es-CR"/>
        </w:rPr>
        <w:t>, párr. 467</w:t>
      </w:r>
      <w:r w:rsidRPr="00D05F7B">
        <w:rPr>
          <w:rFonts w:ascii="Verdana" w:eastAsia="Calibri" w:hAnsi="Verdana"/>
          <w:sz w:val="16"/>
          <w:szCs w:val="16"/>
          <w:lang w:val="es-CR"/>
        </w:rPr>
        <w:t>).</w:t>
      </w:r>
    </w:p>
  </w:footnote>
  <w:footnote w:id="207">
    <w:p w:rsidR="00785921" w:rsidRDefault="00785921" w:rsidP="00126E97">
      <w:pPr>
        <w:tabs>
          <w:tab w:val="left" w:pos="567"/>
        </w:tabs>
        <w:spacing w:after="0" w:line="20" w:lineRule="atLeast"/>
        <w:jc w:val="both"/>
        <w:rPr>
          <w:sz w:val="16"/>
          <w:szCs w:val="16"/>
          <w:lang w:val="es-CR"/>
        </w:rPr>
      </w:pPr>
      <w:r w:rsidRPr="00D05F7B">
        <w:rPr>
          <w:rStyle w:val="FootnoteReference"/>
          <w:rFonts w:ascii="Verdana" w:eastAsia="Calibri" w:hAnsi="Verdana"/>
          <w:sz w:val="16"/>
          <w:szCs w:val="16"/>
          <w:lang w:val="es-CR" w:eastAsia="x-none"/>
        </w:rPr>
        <w:footnoteRef/>
      </w:r>
      <w:r w:rsidRPr="00D05F7B">
        <w:rPr>
          <w:rFonts w:ascii="Verdana" w:hAnsi="Verdana"/>
          <w:sz w:val="16"/>
          <w:szCs w:val="16"/>
          <w:lang w:val="es-CR"/>
        </w:rPr>
        <w:t xml:space="preserve"> </w:t>
      </w:r>
      <w:r w:rsidRPr="00D05F7B">
        <w:rPr>
          <w:rFonts w:ascii="Verdana" w:hAnsi="Verdana"/>
          <w:i/>
          <w:sz w:val="16"/>
          <w:szCs w:val="16"/>
          <w:lang w:val="es-CR"/>
        </w:rPr>
        <w:t xml:space="preserve">Cfr. Caso </w:t>
      </w:r>
      <w:proofErr w:type="spellStart"/>
      <w:r w:rsidRPr="00D05F7B">
        <w:rPr>
          <w:rFonts w:ascii="Verdana" w:hAnsi="Verdana"/>
          <w:i/>
          <w:sz w:val="16"/>
          <w:szCs w:val="16"/>
          <w:lang w:val="es-CR"/>
        </w:rPr>
        <w:t>Ticona</w:t>
      </w:r>
      <w:proofErr w:type="spellEnd"/>
      <w:r w:rsidRPr="00D05F7B">
        <w:rPr>
          <w:rFonts w:ascii="Verdana" w:hAnsi="Verdana"/>
          <w:i/>
          <w:sz w:val="16"/>
          <w:szCs w:val="16"/>
          <w:lang w:val="es-CR"/>
        </w:rPr>
        <w:t xml:space="preserve"> Estrada y otros Vs. Bolivia. Fondo, Reparaciones y Costas. </w:t>
      </w:r>
      <w:r w:rsidRPr="00D05F7B">
        <w:rPr>
          <w:rFonts w:ascii="Verdana" w:hAnsi="Verdana"/>
          <w:sz w:val="16"/>
          <w:szCs w:val="16"/>
          <w:lang w:val="es-CR"/>
        </w:rPr>
        <w:t xml:space="preserve">Sentencia de 27 de noviembre de 2008. Serie C No. 191, párr. 110, y </w:t>
      </w:r>
      <w:r w:rsidRPr="00D05F7B">
        <w:rPr>
          <w:rFonts w:ascii="Verdana" w:hAnsi="Verdana"/>
          <w:i/>
          <w:sz w:val="16"/>
          <w:szCs w:val="16"/>
          <w:lang w:val="es-CR"/>
        </w:rPr>
        <w:t xml:space="preserve">Caso </w:t>
      </w:r>
      <w:proofErr w:type="spellStart"/>
      <w:r w:rsidRPr="00D05F7B">
        <w:rPr>
          <w:rFonts w:ascii="Verdana" w:hAnsi="Verdana"/>
          <w:i/>
          <w:sz w:val="16"/>
          <w:szCs w:val="16"/>
          <w:lang w:val="es-CR"/>
        </w:rPr>
        <w:t>Amrhein</w:t>
      </w:r>
      <w:proofErr w:type="spellEnd"/>
      <w:r w:rsidRPr="00D05F7B">
        <w:rPr>
          <w:rFonts w:ascii="Verdana" w:hAnsi="Verdana"/>
          <w:i/>
          <w:sz w:val="16"/>
          <w:szCs w:val="16"/>
          <w:lang w:val="es-CR"/>
        </w:rPr>
        <w:t xml:space="preserve"> y otros vs. Costa Rica</w:t>
      </w:r>
      <w:r>
        <w:rPr>
          <w:rFonts w:ascii="Verdana" w:hAnsi="Verdana"/>
          <w:i/>
          <w:sz w:val="16"/>
          <w:szCs w:val="16"/>
          <w:lang w:val="es-CR"/>
        </w:rPr>
        <w:t>, supra</w:t>
      </w:r>
      <w:r w:rsidRPr="00D05F7B">
        <w:rPr>
          <w:rFonts w:ascii="Verdana" w:hAnsi="Verdana"/>
          <w:sz w:val="16"/>
          <w:szCs w:val="16"/>
          <w:lang w:val="es-CR"/>
        </w:rPr>
        <w:t>, párr. 468.</w:t>
      </w:r>
    </w:p>
  </w:footnote>
  <w:footnote w:id="208">
    <w:p w:rsidR="00785921" w:rsidRDefault="00785921" w:rsidP="00126E97">
      <w:pPr>
        <w:pStyle w:val="FootnoteText"/>
        <w:tabs>
          <w:tab w:val="left" w:pos="567"/>
          <w:tab w:val="left" w:pos="709"/>
        </w:tabs>
        <w:spacing w:line="20" w:lineRule="atLeast"/>
        <w:rPr>
          <w:rFonts w:eastAsia="Calibri"/>
          <w:i/>
          <w:sz w:val="16"/>
          <w:szCs w:val="16"/>
          <w:lang w:val="es-CR"/>
        </w:rPr>
      </w:pPr>
      <w:r w:rsidRPr="002706B2">
        <w:rPr>
          <w:rStyle w:val="FootnoteReference"/>
          <w:rFonts w:eastAsia="Calibri"/>
          <w:sz w:val="16"/>
          <w:szCs w:val="16"/>
          <w:lang w:val="es-CR" w:eastAsia="x-none"/>
        </w:rPr>
        <w:footnoteRef/>
      </w:r>
      <w:r>
        <w:rPr>
          <w:i/>
          <w:sz w:val="16"/>
          <w:szCs w:val="16"/>
          <w:lang w:val="es-CR"/>
        </w:rPr>
        <w:t xml:space="preserve"> Cfr.</w:t>
      </w:r>
      <w:r>
        <w:rPr>
          <w:bCs/>
          <w:i/>
          <w:sz w:val="16"/>
          <w:szCs w:val="16"/>
          <w:lang w:val="es-CR"/>
        </w:rPr>
        <w:t xml:space="preserve"> Caso Velásquez Rodríguez Vs. Honduras. </w:t>
      </w:r>
      <w:r>
        <w:rPr>
          <w:i/>
          <w:sz w:val="16"/>
          <w:szCs w:val="16"/>
          <w:lang w:val="es-CR"/>
        </w:rPr>
        <w:t>Reparaciones y Costas, supra</w:t>
      </w:r>
      <w:r>
        <w:rPr>
          <w:sz w:val="16"/>
          <w:szCs w:val="16"/>
          <w:lang w:val="es-CR"/>
        </w:rPr>
        <w:t xml:space="preserve">, </w:t>
      </w:r>
      <w:proofErr w:type="spellStart"/>
      <w:r>
        <w:rPr>
          <w:sz w:val="16"/>
          <w:szCs w:val="16"/>
          <w:lang w:val="es-CR"/>
        </w:rPr>
        <w:t>párrs</w:t>
      </w:r>
      <w:proofErr w:type="spellEnd"/>
      <w:r>
        <w:rPr>
          <w:sz w:val="16"/>
          <w:szCs w:val="16"/>
          <w:lang w:val="es-CR"/>
        </w:rPr>
        <w:t xml:space="preserve">. 25 a 27, y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w:t>
      </w:r>
      <w:r>
        <w:rPr>
          <w:i/>
          <w:sz w:val="16"/>
          <w:szCs w:val="16"/>
          <w:lang w:val="es-CR"/>
        </w:rPr>
        <w:t>, supra</w:t>
      </w:r>
      <w:r>
        <w:rPr>
          <w:sz w:val="16"/>
          <w:szCs w:val="16"/>
          <w:lang w:val="es-CR"/>
        </w:rPr>
        <w:t>, párr. 469</w:t>
      </w:r>
      <w:r>
        <w:rPr>
          <w:rFonts w:eastAsia="Calibri"/>
          <w:sz w:val="16"/>
          <w:szCs w:val="16"/>
          <w:lang w:val="es-CR"/>
        </w:rPr>
        <w:t>.</w:t>
      </w:r>
    </w:p>
  </w:footnote>
  <w:footnote w:id="209">
    <w:p w:rsidR="00785921" w:rsidRDefault="00785921" w:rsidP="00126E97">
      <w:pPr>
        <w:pStyle w:val="FootnoteText"/>
        <w:tabs>
          <w:tab w:val="left" w:pos="426"/>
        </w:tabs>
        <w:spacing w:line="20" w:lineRule="atLeast"/>
        <w:rPr>
          <w:sz w:val="16"/>
          <w:szCs w:val="16"/>
          <w:lang w:val="pt-BR"/>
        </w:rPr>
      </w:pPr>
      <w:r>
        <w:rPr>
          <w:rStyle w:val="FootnoteReference"/>
          <w:rFonts w:eastAsia="Calibri"/>
          <w:sz w:val="16"/>
          <w:szCs w:val="16"/>
          <w:lang w:val="pt-BR" w:eastAsia="x-none"/>
        </w:rPr>
        <w:footnoteRef/>
      </w:r>
      <w:r w:rsidRPr="00637508">
        <w:rPr>
          <w:sz w:val="16"/>
          <w:szCs w:val="16"/>
          <w:lang w:val="es-CR"/>
        </w:rPr>
        <w:t xml:space="preserve"> </w:t>
      </w:r>
      <w:r>
        <w:rPr>
          <w:i/>
          <w:iCs/>
          <w:sz w:val="16"/>
          <w:szCs w:val="16"/>
          <w:lang w:val="es-CR"/>
        </w:rPr>
        <w:t>Cfr. Caso Neira Alegría y otros Vs. Perú. Reparaciones y Costas</w:t>
      </w:r>
      <w:r>
        <w:rPr>
          <w:sz w:val="16"/>
          <w:szCs w:val="16"/>
          <w:lang w:val="es-CR"/>
        </w:rPr>
        <w:t xml:space="preserve">. Sentencia de 19 de septiembre de 1996. Serie C No. 29, párr. 56, y </w:t>
      </w:r>
      <w:r w:rsidRPr="00637508">
        <w:rPr>
          <w:i/>
          <w:sz w:val="16"/>
          <w:szCs w:val="16"/>
          <w:lang w:val="es-CR"/>
        </w:rPr>
        <w:t xml:space="preserve">Caso </w:t>
      </w:r>
      <w:proofErr w:type="spellStart"/>
      <w:r w:rsidRPr="00637508">
        <w:rPr>
          <w:i/>
          <w:sz w:val="16"/>
          <w:szCs w:val="16"/>
          <w:lang w:val="es-CR"/>
        </w:rPr>
        <w:t>Amrhein</w:t>
      </w:r>
      <w:proofErr w:type="spellEnd"/>
      <w:r w:rsidRPr="00637508">
        <w:rPr>
          <w:i/>
          <w:sz w:val="16"/>
          <w:szCs w:val="16"/>
          <w:lang w:val="es-CR"/>
        </w:rPr>
        <w:t xml:space="preserve"> y otros vs. Costa Rica</w:t>
      </w:r>
      <w:r>
        <w:rPr>
          <w:i/>
          <w:sz w:val="16"/>
          <w:szCs w:val="16"/>
          <w:lang w:val="es-CR"/>
        </w:rPr>
        <w:t>, supra</w:t>
      </w:r>
      <w:r>
        <w:rPr>
          <w:sz w:val="16"/>
          <w:szCs w:val="16"/>
          <w:lang w:val="es-CR"/>
        </w:rPr>
        <w:t>, párr. 4</w:t>
      </w:r>
      <w:r w:rsidRPr="00637508">
        <w:rPr>
          <w:rFonts w:eastAsia="Calibri"/>
          <w:sz w:val="16"/>
          <w:szCs w:val="16"/>
          <w:lang w:val="es-CR"/>
        </w:rPr>
        <w:t>74</w:t>
      </w:r>
      <w:r>
        <w:rPr>
          <w:rFonts w:eastAsia="Calibri"/>
          <w:sz w:val="16"/>
          <w:szCs w:val="16"/>
          <w:lang w:val="es-CR"/>
        </w:rPr>
        <w:t>.</w:t>
      </w:r>
    </w:p>
  </w:footnote>
  <w:footnote w:id="210">
    <w:p w:rsidR="00785921" w:rsidRPr="00D60FF1" w:rsidRDefault="00785921" w:rsidP="00126E97">
      <w:pPr>
        <w:spacing w:after="0" w:line="20" w:lineRule="atLeast"/>
        <w:jc w:val="both"/>
        <w:rPr>
          <w:rFonts w:ascii="Verdana" w:hAnsi="Verdana"/>
          <w:sz w:val="16"/>
          <w:szCs w:val="16"/>
          <w:lang w:val="es-ES"/>
        </w:rPr>
      </w:pPr>
      <w:r w:rsidRPr="00D05F7B">
        <w:rPr>
          <w:rStyle w:val="FootnoteReference"/>
          <w:rFonts w:ascii="Verdana" w:hAnsi="Verdana"/>
          <w:sz w:val="16"/>
          <w:szCs w:val="16"/>
          <w:lang w:val="es-ES"/>
        </w:rPr>
        <w:footnoteRef/>
      </w:r>
      <w:r w:rsidRPr="00D05F7B">
        <w:rPr>
          <w:rFonts w:ascii="Verdana" w:hAnsi="Verdana"/>
          <w:sz w:val="16"/>
          <w:szCs w:val="16"/>
          <w:lang w:val="es-ES"/>
        </w:rPr>
        <w:t xml:space="preserve"> </w:t>
      </w:r>
      <w:r w:rsidRPr="00D05F7B">
        <w:rPr>
          <w:rFonts w:ascii="Verdana" w:hAnsi="Verdana"/>
          <w:bCs/>
          <w:i/>
          <w:color w:val="000000"/>
          <w:sz w:val="16"/>
          <w:szCs w:val="16"/>
          <w:lang w:val="es-ES"/>
        </w:rPr>
        <w:t xml:space="preserve">Caso Miembros de la Aldea </w:t>
      </w:r>
      <w:proofErr w:type="spellStart"/>
      <w:r w:rsidRPr="00D05F7B">
        <w:rPr>
          <w:rFonts w:ascii="Verdana" w:hAnsi="Verdana"/>
          <w:bCs/>
          <w:i/>
          <w:color w:val="000000"/>
          <w:sz w:val="16"/>
          <w:szCs w:val="16"/>
          <w:lang w:val="es-ES"/>
        </w:rPr>
        <w:t>Chichupac</w:t>
      </w:r>
      <w:proofErr w:type="spellEnd"/>
      <w:r w:rsidRPr="00D05F7B">
        <w:rPr>
          <w:rFonts w:ascii="Verdana" w:hAnsi="Verdana"/>
          <w:bCs/>
          <w:i/>
          <w:color w:val="000000"/>
          <w:sz w:val="16"/>
          <w:szCs w:val="16"/>
          <w:lang w:val="es-ES"/>
        </w:rPr>
        <w:t xml:space="preserve"> y comunidades vecinas del Municipio de Rabinal Vs. Guatemala</w:t>
      </w:r>
      <w:r>
        <w:rPr>
          <w:rFonts w:ascii="Verdana" w:hAnsi="Verdana"/>
          <w:bCs/>
          <w:i/>
          <w:color w:val="000000"/>
          <w:sz w:val="16"/>
          <w:szCs w:val="16"/>
          <w:lang w:val="es-ES"/>
        </w:rPr>
        <w:t>, supra</w:t>
      </w:r>
      <w:r w:rsidRPr="00D60FF1">
        <w:rPr>
          <w:rFonts w:ascii="Verdana" w:hAnsi="Verdana"/>
          <w:bCs/>
          <w:color w:val="000000"/>
          <w:sz w:val="16"/>
          <w:szCs w:val="16"/>
          <w:lang w:val="es-ES"/>
        </w:rPr>
        <w:t xml:space="preserve">, párr. 279. </w:t>
      </w:r>
    </w:p>
  </w:footnote>
  <w:footnote w:id="211">
    <w:p w:rsidR="00785921" w:rsidRPr="0020708F" w:rsidRDefault="00785921" w:rsidP="00126E97">
      <w:pPr>
        <w:pStyle w:val="FootnoteText"/>
        <w:spacing w:line="20" w:lineRule="atLeast"/>
        <w:rPr>
          <w:lang w:val="es-CR"/>
        </w:rPr>
      </w:pPr>
      <w:r w:rsidRPr="00D60FF1">
        <w:rPr>
          <w:rStyle w:val="FootnoteReference"/>
          <w:sz w:val="16"/>
          <w:szCs w:val="16"/>
        </w:rPr>
        <w:footnoteRef/>
      </w:r>
      <w:r w:rsidRPr="00D60FF1">
        <w:rPr>
          <w:sz w:val="16"/>
          <w:szCs w:val="16"/>
          <w:lang w:val="es-CR"/>
        </w:rPr>
        <w:t xml:space="preserve"> La solicitud estatal de que se consideren prestaciones ya dadas en virtud del PNR, por una parte, resulta extemporánea</w:t>
      </w:r>
      <w:r w:rsidRPr="0020708F">
        <w:rPr>
          <w:sz w:val="16"/>
          <w:szCs w:val="16"/>
          <w:lang w:val="es-CR"/>
        </w:rPr>
        <w:t>, por haber sido efectuada recién en los alegatos finales escritos. Por otra parte, de modo adicional, debe señalarse que el documento aportado como prueba de las prestaciones recibidas por integrantes de la Comunidad no brinda información suficiente para considerarlas como a reparaciones de los hechos del caso.</w:t>
      </w:r>
    </w:p>
  </w:footnote>
  <w:footnote w:id="212">
    <w:p w:rsidR="00785921" w:rsidRPr="00B30724" w:rsidRDefault="00785921" w:rsidP="00126E97">
      <w:pPr>
        <w:pStyle w:val="FootnoteText"/>
        <w:spacing w:line="20" w:lineRule="atLeast"/>
        <w:rPr>
          <w:sz w:val="16"/>
          <w:szCs w:val="16"/>
          <w:lang w:val="es-CR"/>
        </w:rPr>
      </w:pPr>
      <w:r w:rsidRPr="00D05F7B">
        <w:rPr>
          <w:rStyle w:val="FootnoteReference"/>
          <w:sz w:val="16"/>
          <w:szCs w:val="16"/>
        </w:rPr>
        <w:footnoteRef/>
      </w:r>
      <w:r w:rsidRPr="00D05F7B">
        <w:rPr>
          <w:sz w:val="16"/>
          <w:szCs w:val="16"/>
          <w:lang w:val="es-CR"/>
        </w:rPr>
        <w:t xml:space="preserve"> </w:t>
      </w:r>
      <w:r w:rsidRPr="00D05F7B">
        <w:rPr>
          <w:bCs/>
          <w:i/>
          <w:color w:val="000000"/>
          <w:sz w:val="16"/>
          <w:szCs w:val="16"/>
          <w:lang w:val="es-ES"/>
        </w:rPr>
        <w:t xml:space="preserve">Caso Miembros de la Aldea </w:t>
      </w:r>
      <w:proofErr w:type="spellStart"/>
      <w:r w:rsidRPr="00D05F7B">
        <w:rPr>
          <w:bCs/>
          <w:i/>
          <w:color w:val="000000"/>
          <w:sz w:val="16"/>
          <w:szCs w:val="16"/>
          <w:lang w:val="es-ES"/>
        </w:rPr>
        <w:t>Chichupac</w:t>
      </w:r>
      <w:proofErr w:type="spellEnd"/>
      <w:r w:rsidRPr="00D05F7B">
        <w:rPr>
          <w:bCs/>
          <w:i/>
          <w:color w:val="000000"/>
          <w:sz w:val="16"/>
          <w:szCs w:val="16"/>
          <w:lang w:val="es-ES"/>
        </w:rPr>
        <w:t xml:space="preserve"> y comunidades vecinas del Municipio de Rabinal Vs. Guatemala</w:t>
      </w:r>
      <w:r>
        <w:rPr>
          <w:bCs/>
          <w:i/>
          <w:color w:val="000000"/>
          <w:sz w:val="16"/>
          <w:szCs w:val="16"/>
          <w:lang w:val="es-ES"/>
        </w:rPr>
        <w:t>, supra</w:t>
      </w:r>
      <w:r w:rsidRPr="00D05F7B">
        <w:rPr>
          <w:bCs/>
          <w:color w:val="000000"/>
          <w:sz w:val="16"/>
          <w:szCs w:val="16"/>
          <w:lang w:val="es-ES"/>
        </w:rPr>
        <w:t>, párr. 281.</w:t>
      </w:r>
    </w:p>
  </w:footnote>
  <w:footnote w:id="213">
    <w:p w:rsidR="00785921" w:rsidRPr="00D05F7B" w:rsidRDefault="00785921" w:rsidP="00126E97">
      <w:pPr>
        <w:spacing w:after="0" w:line="20" w:lineRule="atLeast"/>
        <w:jc w:val="both"/>
        <w:rPr>
          <w:rFonts w:ascii="Verdana" w:hAnsi="Verdana"/>
          <w:sz w:val="16"/>
          <w:szCs w:val="16"/>
        </w:rPr>
      </w:pPr>
      <w:r w:rsidRPr="00D05F7B">
        <w:rPr>
          <w:rStyle w:val="FootnoteReference"/>
          <w:rFonts w:ascii="Verdana" w:eastAsia="MS ????" w:hAnsi="Verdana"/>
          <w:sz w:val="16"/>
          <w:szCs w:val="16"/>
          <w:lang w:eastAsia="x-none"/>
        </w:rPr>
        <w:footnoteRef/>
      </w:r>
      <w:r w:rsidRPr="00D05F7B">
        <w:rPr>
          <w:rFonts w:ascii="Verdana" w:hAnsi="Verdana"/>
          <w:sz w:val="16"/>
          <w:szCs w:val="16"/>
          <w:lang w:val="es-CR"/>
        </w:rPr>
        <w:t xml:space="preserve"> </w:t>
      </w:r>
      <w:r w:rsidRPr="00D05F7B">
        <w:rPr>
          <w:rFonts w:ascii="Verdana" w:hAnsi="Verdana"/>
          <w:i/>
          <w:sz w:val="16"/>
          <w:szCs w:val="16"/>
        </w:rPr>
        <w:t xml:space="preserve">Cfr. </w:t>
      </w:r>
      <w:r w:rsidRPr="00D05F7B">
        <w:rPr>
          <w:rFonts w:ascii="Verdana" w:hAnsi="Verdana"/>
          <w:bCs/>
          <w:i/>
          <w:sz w:val="16"/>
          <w:szCs w:val="16"/>
        </w:rPr>
        <w:t>Caso Masa</w:t>
      </w:r>
      <w:r>
        <w:rPr>
          <w:rFonts w:ascii="Verdana" w:hAnsi="Verdana"/>
          <w:bCs/>
          <w:i/>
          <w:sz w:val="16"/>
          <w:szCs w:val="16"/>
        </w:rPr>
        <w:t xml:space="preserve">cres de Río Negro Vs. Guatemala, supra, </w:t>
      </w:r>
      <w:r w:rsidRPr="00D05F7B">
        <w:rPr>
          <w:rFonts w:ascii="Verdana" w:hAnsi="Verdana"/>
          <w:sz w:val="16"/>
          <w:szCs w:val="16"/>
        </w:rPr>
        <w:t xml:space="preserve">párr. 223; y en similar sentido, </w:t>
      </w:r>
      <w:r w:rsidRPr="00D05F7B">
        <w:rPr>
          <w:rFonts w:ascii="Verdana" w:hAnsi="Verdana"/>
          <w:i/>
          <w:sz w:val="16"/>
          <w:szCs w:val="16"/>
        </w:rPr>
        <w:t xml:space="preserve">Caso </w:t>
      </w:r>
      <w:proofErr w:type="spellStart"/>
      <w:r w:rsidRPr="00D05F7B">
        <w:rPr>
          <w:rFonts w:ascii="Verdana" w:hAnsi="Verdana"/>
          <w:i/>
          <w:sz w:val="16"/>
          <w:szCs w:val="16"/>
        </w:rPr>
        <w:t>Herzog</w:t>
      </w:r>
      <w:proofErr w:type="spellEnd"/>
      <w:r w:rsidRPr="00D05F7B">
        <w:rPr>
          <w:rFonts w:ascii="Verdana" w:hAnsi="Verdana"/>
          <w:i/>
          <w:sz w:val="16"/>
          <w:szCs w:val="16"/>
        </w:rPr>
        <w:t xml:space="preserve"> y otros Vs. Brasil</w:t>
      </w:r>
      <w:r>
        <w:rPr>
          <w:rFonts w:ascii="Verdana" w:hAnsi="Verdana"/>
          <w:i/>
          <w:sz w:val="16"/>
          <w:szCs w:val="16"/>
        </w:rPr>
        <w:t>, supra</w:t>
      </w:r>
      <w:r w:rsidRPr="00D05F7B">
        <w:rPr>
          <w:rFonts w:ascii="Verdana" w:hAnsi="Verdana"/>
          <w:sz w:val="16"/>
          <w:szCs w:val="16"/>
        </w:rPr>
        <w:t>, párr. 243.</w:t>
      </w:r>
    </w:p>
  </w:footnote>
  <w:footnote w:id="214">
    <w:p w:rsidR="00785921" w:rsidRPr="00E35130" w:rsidRDefault="00785921" w:rsidP="00126E97">
      <w:pPr>
        <w:tabs>
          <w:tab w:val="left" w:pos="567"/>
        </w:tabs>
        <w:spacing w:after="0" w:line="20" w:lineRule="atLeast"/>
        <w:jc w:val="both"/>
        <w:rPr>
          <w:rFonts w:ascii="Verdana" w:hAnsi="Verdana" w:cs="Verdana"/>
          <w:sz w:val="16"/>
          <w:szCs w:val="16"/>
          <w:lang w:val="es-PR"/>
        </w:rPr>
      </w:pPr>
      <w:r w:rsidRPr="00D05F7B">
        <w:rPr>
          <w:rStyle w:val="FootnoteReference"/>
          <w:rFonts w:ascii="Verdana" w:eastAsia="Calibri" w:hAnsi="Verdana"/>
          <w:sz w:val="16"/>
          <w:szCs w:val="16"/>
          <w:lang w:val="es-PR" w:eastAsia="x-none"/>
        </w:rPr>
        <w:footnoteRef/>
      </w:r>
      <w:r w:rsidRPr="00D05F7B">
        <w:rPr>
          <w:rFonts w:ascii="Verdana" w:hAnsi="Verdana"/>
          <w:i/>
          <w:sz w:val="16"/>
          <w:szCs w:val="16"/>
          <w:lang w:val="es-PR"/>
        </w:rPr>
        <w:t xml:space="preserve">Cfr. Caso </w:t>
      </w:r>
      <w:r w:rsidRPr="00D05F7B">
        <w:rPr>
          <w:rFonts w:ascii="Verdana" w:hAnsi="Verdana"/>
          <w:sz w:val="16"/>
          <w:szCs w:val="16"/>
          <w:lang w:val="es-PR"/>
        </w:rPr>
        <w:t xml:space="preserve">Masacre de </w:t>
      </w:r>
      <w:r w:rsidRPr="00D05F7B">
        <w:rPr>
          <w:rFonts w:ascii="Verdana" w:hAnsi="Verdana"/>
          <w:i/>
          <w:sz w:val="16"/>
          <w:szCs w:val="16"/>
          <w:lang w:val="es-PR"/>
        </w:rPr>
        <w:t>Las Dos Erres Vs. Guatemala</w:t>
      </w:r>
      <w:r w:rsidRPr="00D05F7B">
        <w:rPr>
          <w:rFonts w:ascii="Verdana" w:hAnsi="Verdana"/>
          <w:sz w:val="16"/>
          <w:szCs w:val="16"/>
          <w:lang w:val="es-PR"/>
        </w:rPr>
        <w:t>,</w:t>
      </w:r>
      <w:r w:rsidRPr="00D05F7B">
        <w:rPr>
          <w:rFonts w:ascii="Verdana" w:hAnsi="Verdana"/>
          <w:i/>
          <w:sz w:val="16"/>
          <w:szCs w:val="16"/>
          <w:lang w:val="es-PR"/>
        </w:rPr>
        <w:t xml:space="preserve"> </w:t>
      </w:r>
      <w:r w:rsidRPr="00D05F7B">
        <w:rPr>
          <w:rFonts w:ascii="Verdana" w:hAnsi="Verdana"/>
          <w:sz w:val="16"/>
          <w:szCs w:val="16"/>
          <w:lang w:val="es-PR"/>
        </w:rPr>
        <w:t xml:space="preserve">párr. 270 y </w:t>
      </w:r>
      <w:r w:rsidRPr="00D05F7B">
        <w:rPr>
          <w:rFonts w:ascii="Verdana" w:hAnsi="Verdana"/>
          <w:i/>
          <w:sz w:val="16"/>
          <w:szCs w:val="16"/>
          <w:lang w:val="es-CR"/>
        </w:rPr>
        <w:t>Caso V.R.P., V.P.C. y otros Vs. Nicaragua</w:t>
      </w:r>
      <w:r>
        <w:rPr>
          <w:rFonts w:ascii="Verdana" w:hAnsi="Verdana"/>
          <w:i/>
          <w:sz w:val="16"/>
          <w:szCs w:val="16"/>
          <w:lang w:val="es-CR"/>
        </w:rPr>
        <w:t>, supra</w:t>
      </w:r>
      <w:r w:rsidRPr="00D05F7B">
        <w:rPr>
          <w:rFonts w:ascii="Verdana" w:hAnsi="Verdana"/>
          <w:sz w:val="16"/>
          <w:szCs w:val="16"/>
          <w:lang w:val="es-CR"/>
        </w:rPr>
        <w:t xml:space="preserve">, </w:t>
      </w:r>
      <w:r w:rsidRPr="00E35130">
        <w:rPr>
          <w:rFonts w:ascii="Verdana" w:hAnsi="Verdana"/>
          <w:sz w:val="16"/>
          <w:szCs w:val="16"/>
          <w:lang w:val="es-CR"/>
        </w:rPr>
        <w:t>párr. 352</w:t>
      </w:r>
      <w:r w:rsidRPr="00E35130">
        <w:rPr>
          <w:rFonts w:ascii="Verdana" w:hAnsi="Verdana"/>
          <w:i/>
          <w:sz w:val="16"/>
          <w:szCs w:val="16"/>
          <w:lang w:val="es-CR"/>
        </w:rPr>
        <w:t>.</w:t>
      </w:r>
    </w:p>
  </w:footnote>
  <w:footnote w:id="215">
    <w:p w:rsidR="00785921" w:rsidRPr="00637508" w:rsidRDefault="00785921" w:rsidP="00126E97">
      <w:pPr>
        <w:spacing w:after="0" w:line="20" w:lineRule="atLeast"/>
        <w:jc w:val="both"/>
        <w:rPr>
          <w:sz w:val="16"/>
          <w:szCs w:val="16"/>
          <w:lang w:val="es-CR"/>
        </w:rPr>
      </w:pPr>
      <w:r w:rsidRPr="00E35130">
        <w:rPr>
          <w:rStyle w:val="FootnoteReference"/>
          <w:rFonts w:ascii="Verdana" w:hAnsi="Verdana"/>
          <w:sz w:val="16"/>
          <w:szCs w:val="16"/>
          <w:lang w:eastAsia="x-none"/>
        </w:rPr>
        <w:footnoteRef/>
      </w:r>
      <w:r w:rsidRPr="00E35130">
        <w:rPr>
          <w:rFonts w:ascii="Verdana" w:hAnsi="Verdana"/>
          <w:sz w:val="16"/>
          <w:szCs w:val="16"/>
          <w:lang w:val="es-CR"/>
        </w:rPr>
        <w:t xml:space="preserve"> Inclusive en ausencia de solicitud expresa, como ocurrió en este caso. </w:t>
      </w:r>
      <w:r w:rsidRPr="00E35130">
        <w:rPr>
          <w:rFonts w:ascii="Verdana" w:eastAsia="MS Mincho" w:hAnsi="Verdana"/>
          <w:i/>
          <w:sz w:val="16"/>
          <w:szCs w:val="16"/>
        </w:rPr>
        <w:t>Cfr. Caso Cantoral Benavides Vs. Perú</w:t>
      </w:r>
      <w:r>
        <w:rPr>
          <w:rFonts w:ascii="Verdana" w:eastAsia="MS Mincho" w:hAnsi="Verdana"/>
          <w:i/>
          <w:sz w:val="16"/>
          <w:szCs w:val="16"/>
        </w:rPr>
        <w:t>, supra</w:t>
      </w:r>
      <w:r w:rsidRPr="00E35130">
        <w:rPr>
          <w:rFonts w:ascii="Verdana" w:eastAsia="MS Mincho" w:hAnsi="Verdana"/>
          <w:sz w:val="16"/>
          <w:szCs w:val="16"/>
        </w:rPr>
        <w:t xml:space="preserve">, párr. 79 y </w:t>
      </w:r>
      <w:r w:rsidRPr="00E35130">
        <w:rPr>
          <w:rFonts w:ascii="Verdana" w:hAnsi="Verdana"/>
          <w:i/>
          <w:sz w:val="16"/>
          <w:szCs w:val="16"/>
          <w:lang w:val="es-PR"/>
        </w:rPr>
        <w:t xml:space="preserve">Caso Pueblo Indígena </w:t>
      </w:r>
      <w:proofErr w:type="spellStart"/>
      <w:r w:rsidRPr="00E35130">
        <w:rPr>
          <w:rFonts w:ascii="Verdana" w:hAnsi="Verdana"/>
          <w:i/>
          <w:sz w:val="16"/>
          <w:szCs w:val="16"/>
          <w:lang w:val="es-PR"/>
        </w:rPr>
        <w:t>Xucuru</w:t>
      </w:r>
      <w:proofErr w:type="spellEnd"/>
      <w:r w:rsidRPr="00E35130">
        <w:rPr>
          <w:rFonts w:ascii="Verdana" w:hAnsi="Verdana"/>
          <w:i/>
          <w:sz w:val="16"/>
          <w:szCs w:val="16"/>
          <w:lang w:val="es-PR"/>
        </w:rPr>
        <w:t xml:space="preserve"> y sus miembros Vs. Brasil. Excepciones Preliminares, Fondo, Reparaciones y Costas. </w:t>
      </w:r>
      <w:r w:rsidRPr="00E35130">
        <w:rPr>
          <w:rFonts w:ascii="Verdana" w:hAnsi="Verdana"/>
          <w:sz w:val="16"/>
          <w:szCs w:val="16"/>
          <w:lang w:val="es-PR"/>
        </w:rPr>
        <w:t>Sentencia de 5 de febrero de 2018. Serie C No. 346, párr. 198.</w:t>
      </w:r>
    </w:p>
  </w:footnote>
  <w:footnote w:id="216">
    <w:p w:rsidR="00785921" w:rsidRPr="00637508" w:rsidRDefault="00785921" w:rsidP="00126E97">
      <w:pPr>
        <w:pStyle w:val="FootnoteText"/>
        <w:tabs>
          <w:tab w:val="left" w:pos="360"/>
        </w:tabs>
        <w:spacing w:line="20" w:lineRule="atLeast"/>
        <w:contextualSpacing/>
        <w:rPr>
          <w:sz w:val="16"/>
          <w:szCs w:val="16"/>
          <w:lang w:val="es-CR"/>
        </w:rPr>
      </w:pPr>
      <w:r>
        <w:rPr>
          <w:rStyle w:val="FootnoteReference"/>
          <w:rFonts w:eastAsia="Cambria"/>
          <w:sz w:val="16"/>
          <w:szCs w:val="16"/>
          <w:lang w:eastAsia="x-none"/>
        </w:rPr>
        <w:footnoteRef/>
      </w:r>
      <w:r w:rsidRPr="00637508">
        <w:rPr>
          <w:sz w:val="16"/>
          <w:szCs w:val="16"/>
          <w:lang w:val="es-CR"/>
        </w:rPr>
        <w:t xml:space="preserve"> </w:t>
      </w:r>
      <w:r w:rsidRPr="00637508">
        <w:rPr>
          <w:i/>
          <w:sz w:val="16"/>
          <w:szCs w:val="16"/>
          <w:lang w:val="es-CR"/>
        </w:rPr>
        <w:t xml:space="preserve">Cfr. </w:t>
      </w:r>
      <w:r w:rsidRPr="00637508">
        <w:rPr>
          <w:rFonts w:eastAsia="MS ????"/>
          <w:bCs/>
          <w:i/>
          <w:color w:val="000000"/>
          <w:sz w:val="16"/>
          <w:szCs w:val="16"/>
          <w:shd w:val="clear" w:color="auto" w:fill="FFFFFF"/>
          <w:lang w:val="es-CR"/>
        </w:rPr>
        <w:t xml:space="preserve">Caso </w:t>
      </w:r>
      <w:proofErr w:type="spellStart"/>
      <w:r w:rsidRPr="00637508">
        <w:rPr>
          <w:rFonts w:eastAsia="MS ????"/>
          <w:bCs/>
          <w:i/>
          <w:color w:val="000000"/>
          <w:sz w:val="16"/>
          <w:szCs w:val="16"/>
          <w:shd w:val="clear" w:color="auto" w:fill="FFFFFF"/>
          <w:lang w:val="es-CR"/>
        </w:rPr>
        <w:t>Bámaca</w:t>
      </w:r>
      <w:proofErr w:type="spellEnd"/>
      <w:r w:rsidRPr="00637508">
        <w:rPr>
          <w:rFonts w:eastAsia="MS ????"/>
          <w:bCs/>
          <w:i/>
          <w:color w:val="000000"/>
          <w:sz w:val="16"/>
          <w:szCs w:val="16"/>
          <w:shd w:val="clear" w:color="auto" w:fill="FFFFFF"/>
          <w:lang w:val="es-CR"/>
        </w:rPr>
        <w:t xml:space="preserve"> Velásquez Vs. Guatemala. Reparaciones y Costas</w:t>
      </w:r>
      <w:r w:rsidRPr="00637508">
        <w:rPr>
          <w:rFonts w:eastAsia="MS ????"/>
          <w:bCs/>
          <w:color w:val="000000"/>
          <w:sz w:val="16"/>
          <w:szCs w:val="16"/>
          <w:shd w:val="clear" w:color="auto" w:fill="FFFFFF"/>
          <w:lang w:val="es-CR"/>
        </w:rPr>
        <w:t xml:space="preserve">. Sentencia de 22 de febrero de 2002. Serie C No. 91, párr. 84 y </w:t>
      </w:r>
      <w:r w:rsidRPr="00637508">
        <w:rPr>
          <w:rFonts w:eastAsia="MS ????"/>
          <w:bCs/>
          <w:i/>
          <w:color w:val="000000"/>
          <w:sz w:val="16"/>
          <w:szCs w:val="16"/>
          <w:shd w:val="clear" w:color="auto" w:fill="FFFFFF"/>
          <w:lang w:val="es-CR"/>
        </w:rPr>
        <w:t>Caso Ramírez Escobar y otros Vs. Guatemala</w:t>
      </w:r>
      <w:r>
        <w:rPr>
          <w:rFonts w:eastAsia="MS ????"/>
          <w:bCs/>
          <w:i/>
          <w:color w:val="000000"/>
          <w:sz w:val="16"/>
          <w:szCs w:val="16"/>
          <w:shd w:val="clear" w:color="auto" w:fill="FFFFFF"/>
          <w:lang w:val="es-CR"/>
        </w:rPr>
        <w:t>, supra</w:t>
      </w:r>
      <w:r w:rsidRPr="00637508">
        <w:rPr>
          <w:rFonts w:eastAsia="MS ????"/>
          <w:bCs/>
          <w:color w:val="000000"/>
          <w:sz w:val="16"/>
          <w:szCs w:val="16"/>
          <w:shd w:val="clear" w:color="auto" w:fill="FFFFFF"/>
          <w:lang w:val="es-CR"/>
        </w:rPr>
        <w:t>, p</w:t>
      </w:r>
      <w:r>
        <w:rPr>
          <w:rFonts w:eastAsia="MS ????"/>
          <w:bCs/>
          <w:color w:val="000000"/>
          <w:sz w:val="16"/>
          <w:szCs w:val="16"/>
          <w:shd w:val="clear" w:color="auto" w:fill="FFFFFF"/>
          <w:lang w:val="es-CR"/>
        </w:rPr>
        <w:t>á</w:t>
      </w:r>
      <w:r w:rsidRPr="00637508">
        <w:rPr>
          <w:rFonts w:eastAsia="MS ????"/>
          <w:bCs/>
          <w:color w:val="000000"/>
          <w:sz w:val="16"/>
          <w:szCs w:val="16"/>
          <w:shd w:val="clear" w:color="auto" w:fill="FFFFFF"/>
          <w:lang w:val="es-CR"/>
        </w:rPr>
        <w:t>rr. 306.</w:t>
      </w:r>
      <w:r w:rsidRPr="00637508">
        <w:rPr>
          <w:b/>
          <w:sz w:val="16"/>
          <w:szCs w:val="16"/>
          <w:lang w:val="es-CR"/>
        </w:rPr>
        <w:t xml:space="preserve"> </w:t>
      </w:r>
    </w:p>
  </w:footnote>
  <w:footnote w:id="217">
    <w:p w:rsidR="00785921" w:rsidRPr="00E35130" w:rsidRDefault="00785921" w:rsidP="00126E97">
      <w:pPr>
        <w:tabs>
          <w:tab w:val="left" w:pos="360"/>
        </w:tabs>
        <w:spacing w:after="0" w:line="20" w:lineRule="atLeast"/>
        <w:contextualSpacing/>
        <w:jc w:val="both"/>
        <w:rPr>
          <w:rFonts w:ascii="Verdana" w:hAnsi="Verdana"/>
          <w:sz w:val="16"/>
          <w:szCs w:val="16"/>
          <w:lang w:val="es-PE"/>
        </w:rPr>
      </w:pPr>
      <w:r w:rsidRPr="00E35130">
        <w:rPr>
          <w:rStyle w:val="FootnoteReference"/>
          <w:rFonts w:ascii="Verdana" w:eastAsia="Cambria" w:hAnsi="Verdana"/>
          <w:sz w:val="16"/>
          <w:szCs w:val="16"/>
          <w:lang w:val="es-PE" w:eastAsia="x-none"/>
        </w:rPr>
        <w:footnoteRef/>
      </w:r>
      <w:r w:rsidRPr="00E35130">
        <w:rPr>
          <w:rFonts w:ascii="Verdana" w:hAnsi="Verdana"/>
          <w:i/>
          <w:sz w:val="16"/>
          <w:szCs w:val="16"/>
          <w:lang w:val="es-PR"/>
        </w:rPr>
        <w:t xml:space="preserve">Cfr. </w:t>
      </w:r>
      <w:r w:rsidRPr="00E35130">
        <w:rPr>
          <w:rFonts w:ascii="Verdana" w:eastAsia="MS ????" w:hAnsi="Verdana"/>
          <w:bCs/>
          <w:i/>
          <w:color w:val="000000"/>
          <w:sz w:val="16"/>
          <w:szCs w:val="16"/>
          <w:shd w:val="clear" w:color="auto" w:fill="FFFFFF"/>
          <w:lang w:val="es-CR"/>
        </w:rPr>
        <w:t xml:space="preserve">Caso Miembros de la Aldea </w:t>
      </w:r>
      <w:proofErr w:type="spellStart"/>
      <w:r w:rsidRPr="00E35130">
        <w:rPr>
          <w:rFonts w:ascii="Verdana" w:eastAsia="MS ????" w:hAnsi="Verdana"/>
          <w:bCs/>
          <w:i/>
          <w:color w:val="000000"/>
          <w:sz w:val="16"/>
          <w:szCs w:val="16"/>
          <w:shd w:val="clear" w:color="auto" w:fill="FFFFFF"/>
          <w:lang w:val="es-CR"/>
        </w:rPr>
        <w:t>Chichupac</w:t>
      </w:r>
      <w:proofErr w:type="spellEnd"/>
      <w:r w:rsidRPr="00E35130">
        <w:rPr>
          <w:rFonts w:ascii="Verdana" w:eastAsia="MS ????" w:hAnsi="Verdana"/>
          <w:bCs/>
          <w:i/>
          <w:color w:val="000000"/>
          <w:sz w:val="16"/>
          <w:szCs w:val="16"/>
          <w:shd w:val="clear" w:color="auto" w:fill="FFFFFF"/>
          <w:lang w:val="es-CR"/>
        </w:rPr>
        <w:t xml:space="preserve"> y comunidades vecinas del Municipio de Rabinal Vs. Guatemala</w:t>
      </w:r>
      <w:r>
        <w:rPr>
          <w:rFonts w:ascii="Verdana" w:eastAsia="MS ????" w:hAnsi="Verdana"/>
          <w:bCs/>
          <w:i/>
          <w:color w:val="000000"/>
          <w:sz w:val="16"/>
          <w:szCs w:val="16"/>
          <w:shd w:val="clear" w:color="auto" w:fill="FFFFFF"/>
          <w:lang w:val="es-CR"/>
        </w:rPr>
        <w:t>, supra</w:t>
      </w:r>
      <w:r w:rsidRPr="00E35130">
        <w:rPr>
          <w:rFonts w:ascii="Verdana" w:hAnsi="Verdana"/>
          <w:sz w:val="16"/>
          <w:szCs w:val="16"/>
          <w:lang w:val="es-PR"/>
        </w:rPr>
        <w:t>,</w:t>
      </w:r>
      <w:r w:rsidRPr="00E35130">
        <w:rPr>
          <w:rFonts w:ascii="Verdana" w:hAnsi="Verdana"/>
          <w:bCs/>
          <w:sz w:val="16"/>
          <w:szCs w:val="16"/>
          <w:lang w:val="es-PR"/>
        </w:rPr>
        <w:t xml:space="preserve"> nota a pie</w:t>
      </w:r>
      <w:r>
        <w:rPr>
          <w:rFonts w:ascii="Verdana" w:hAnsi="Verdana"/>
          <w:bCs/>
          <w:sz w:val="16"/>
          <w:szCs w:val="16"/>
          <w:lang w:val="es-PR"/>
        </w:rPr>
        <w:t xml:space="preserve"> de página</w:t>
      </w:r>
      <w:r w:rsidRPr="00E35130">
        <w:rPr>
          <w:rFonts w:ascii="Verdana" w:hAnsi="Verdana"/>
          <w:bCs/>
          <w:sz w:val="16"/>
          <w:szCs w:val="16"/>
          <w:lang w:val="es-PR"/>
        </w:rPr>
        <w:t xml:space="preserve"> 359.</w:t>
      </w:r>
    </w:p>
  </w:footnote>
  <w:footnote w:id="218">
    <w:p w:rsidR="00785921" w:rsidRPr="005917B2" w:rsidRDefault="00785921" w:rsidP="00126E97">
      <w:pPr>
        <w:pStyle w:val="FootnoteText"/>
        <w:spacing w:line="20" w:lineRule="atLeast"/>
        <w:rPr>
          <w:lang w:val="es-CR"/>
        </w:rPr>
      </w:pPr>
      <w:r w:rsidRPr="00E35130">
        <w:rPr>
          <w:rStyle w:val="FootnoteReference"/>
          <w:sz w:val="16"/>
          <w:szCs w:val="16"/>
        </w:rPr>
        <w:footnoteRef/>
      </w:r>
      <w:r w:rsidRPr="00E35130">
        <w:rPr>
          <w:sz w:val="16"/>
          <w:szCs w:val="16"/>
          <w:lang w:val="es-CR"/>
        </w:rPr>
        <w:t xml:space="preserve"> Al respecto</w:t>
      </w:r>
      <w:r w:rsidRPr="005658DB">
        <w:rPr>
          <w:sz w:val="16"/>
          <w:szCs w:val="16"/>
          <w:lang w:val="es-CR"/>
        </w:rPr>
        <w:t>, en relación con Guatemala, la Corte ha tenido oportunidad de apreciar la utilidad e importancia de realizar diligencias de supervisión en el territorio estatal, respecto a la supervisión del cumplimento de sus decisiones, en cuanto a las reparaciones que lo ameriten. Ha destacado, en ese sentido, “</w:t>
      </w:r>
      <w:r w:rsidRPr="005658DB">
        <w:rPr>
          <w:rFonts w:eastAsiaTheme="minorHAnsi" w:cs="Verdana"/>
          <w:color w:val="000000"/>
          <w:sz w:val="16"/>
          <w:szCs w:val="16"/>
          <w:lang w:val="es-CR" w:eastAsia="en-US"/>
        </w:rPr>
        <w:t>la necesidad de que, en [los casos pertinentes], los Estados [colaboren para que una delegación del Tribunal pueda efectuar diligencias de supervisión en territorio estatal], con la mayor participación posible de funcionarios responsables de ejecutar las reparaciones y la mejor disponibilidad para asumir compromisos dirigidos al pronto cumplimiento de las mismas”. La Corte, en circunstancias anteriores, constató que “[e]</w:t>
      </w:r>
      <w:proofErr w:type="spellStart"/>
      <w:r w:rsidRPr="005658DB">
        <w:rPr>
          <w:rFonts w:eastAsiaTheme="minorHAnsi" w:cs="Verdana"/>
          <w:color w:val="000000"/>
          <w:sz w:val="16"/>
          <w:szCs w:val="16"/>
          <w:lang w:val="es-CR" w:eastAsia="en-US"/>
        </w:rPr>
        <w:t>ste</w:t>
      </w:r>
      <w:proofErr w:type="spellEnd"/>
      <w:r w:rsidRPr="005658DB">
        <w:rPr>
          <w:rFonts w:eastAsiaTheme="minorHAnsi" w:cs="Verdana"/>
          <w:color w:val="000000"/>
          <w:sz w:val="16"/>
          <w:szCs w:val="16"/>
          <w:lang w:val="es-CR" w:eastAsia="en-US"/>
        </w:rPr>
        <w:t xml:space="preserve"> tipo de visita[s] además </w:t>
      </w:r>
      <w:proofErr w:type="spellStart"/>
      <w:proofErr w:type="gramStart"/>
      <w:r w:rsidRPr="005658DB">
        <w:rPr>
          <w:rFonts w:eastAsiaTheme="minorHAnsi" w:cs="Verdana"/>
          <w:color w:val="000000"/>
          <w:sz w:val="16"/>
          <w:szCs w:val="16"/>
          <w:lang w:val="es-CR" w:eastAsia="en-US"/>
        </w:rPr>
        <w:t>permit</w:t>
      </w:r>
      <w:proofErr w:type="spellEnd"/>
      <w:r w:rsidRPr="005658DB">
        <w:rPr>
          <w:rFonts w:eastAsiaTheme="minorHAnsi" w:cs="Verdana"/>
          <w:color w:val="000000"/>
          <w:sz w:val="16"/>
          <w:szCs w:val="16"/>
          <w:lang w:val="es-CR" w:eastAsia="en-US"/>
        </w:rPr>
        <w:t>[</w:t>
      </w:r>
      <w:proofErr w:type="spellStart"/>
      <w:proofErr w:type="gramEnd"/>
      <w:r w:rsidRPr="005658DB">
        <w:rPr>
          <w:rFonts w:eastAsiaTheme="minorHAnsi" w:cs="Verdana"/>
          <w:color w:val="000000"/>
          <w:sz w:val="16"/>
          <w:szCs w:val="16"/>
          <w:lang w:val="es-CR" w:eastAsia="en-US"/>
        </w:rPr>
        <w:t>eron</w:t>
      </w:r>
      <w:proofErr w:type="spellEnd"/>
      <w:r w:rsidRPr="005658DB">
        <w:rPr>
          <w:rFonts w:eastAsiaTheme="minorHAnsi" w:cs="Verdana"/>
          <w:color w:val="000000"/>
          <w:sz w:val="16"/>
          <w:szCs w:val="16"/>
          <w:lang w:val="es-CR" w:eastAsia="en-US"/>
        </w:rPr>
        <w:t>] la comunicación directa e inmediata entre las víctimas y altos funcionarios estatales, de manera que</w:t>
      </w:r>
      <w:r>
        <w:rPr>
          <w:rFonts w:eastAsiaTheme="minorHAnsi" w:cs="Verdana"/>
          <w:color w:val="000000"/>
          <w:sz w:val="16"/>
          <w:szCs w:val="16"/>
          <w:lang w:val="es-CR" w:eastAsia="en-US"/>
        </w:rPr>
        <w:t>,</w:t>
      </w:r>
      <w:r w:rsidRPr="005658DB">
        <w:rPr>
          <w:rFonts w:eastAsiaTheme="minorHAnsi" w:cs="Verdana"/>
          <w:color w:val="000000"/>
          <w:sz w:val="16"/>
          <w:szCs w:val="16"/>
          <w:lang w:val="es-CR" w:eastAsia="en-US"/>
        </w:rPr>
        <w:t xml:space="preserve"> en el mismo momento estos últimos pudieran comprometerse a adoptar acciones concretas dirigidas a avanzar en el cumplimiento de las medidas y que las víctimas pudieran ser escuchadas sobre los avances y falencias que identifican”</w:t>
      </w:r>
      <w:r>
        <w:rPr>
          <w:rFonts w:eastAsiaTheme="minorHAnsi" w:cs="Verdana"/>
          <w:color w:val="000000"/>
          <w:sz w:val="16"/>
          <w:szCs w:val="16"/>
          <w:lang w:val="es-CR" w:eastAsia="en-US"/>
        </w:rPr>
        <w:t>.</w:t>
      </w:r>
      <w:r w:rsidRPr="005658DB">
        <w:rPr>
          <w:rFonts w:eastAsiaTheme="minorHAnsi" w:cs="Verdana"/>
          <w:color w:val="000000"/>
          <w:sz w:val="16"/>
          <w:szCs w:val="16"/>
          <w:lang w:val="es-CR" w:eastAsia="en-US"/>
        </w:rPr>
        <w:t xml:space="preserve"> (</w:t>
      </w:r>
      <w:r w:rsidRPr="005658DB">
        <w:rPr>
          <w:bCs/>
          <w:i/>
          <w:sz w:val="16"/>
          <w:szCs w:val="16"/>
          <w:lang w:val="es-CR"/>
        </w:rPr>
        <w:t>Caso Masacre de Plan de Sánchez Vs. Guatemala. Supervisión de Cumplimiento de Sentencia.</w:t>
      </w:r>
      <w:r w:rsidRPr="005658DB">
        <w:rPr>
          <w:bCs/>
          <w:sz w:val="16"/>
          <w:szCs w:val="16"/>
          <w:lang w:val="es-CR"/>
        </w:rPr>
        <w:t xml:space="preserve"> Resolución de la Corte Interamericana de Derechos Humanos 25 de mayo de 2017 y </w:t>
      </w:r>
      <w:r w:rsidRPr="005658DB">
        <w:rPr>
          <w:bCs/>
          <w:i/>
          <w:sz w:val="16"/>
          <w:szCs w:val="16"/>
          <w:lang w:val="es-CR"/>
        </w:rPr>
        <w:t xml:space="preserve">Caso Masacres de Río Negro Vs. Guatemala. Supervisión de Cumplimiento de Sentencia. </w:t>
      </w:r>
      <w:r w:rsidRPr="005658DB">
        <w:rPr>
          <w:bCs/>
          <w:sz w:val="16"/>
          <w:szCs w:val="16"/>
          <w:lang w:val="es-CR"/>
        </w:rPr>
        <w:t>Resolución de la Corte Interamericana de Derechos Humanos de 25 de mayo de 2017, Considerando 9)</w:t>
      </w:r>
      <w:r>
        <w:rPr>
          <w:bCs/>
          <w:sz w:val="16"/>
          <w:szCs w:val="16"/>
          <w:lang w:val="es-CR"/>
        </w:rPr>
        <w:t>.</w:t>
      </w:r>
    </w:p>
  </w:footnote>
  <w:footnote w:id="219">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rFonts w:eastAsia="MS Mincho"/>
          <w:sz w:val="16"/>
          <w:szCs w:val="16"/>
          <w:lang w:val="es-ES_tradnl"/>
        </w:rPr>
        <w:t xml:space="preserve">Asimismo, alegó que mediante el Acuerdo Gubernativo número 130-2016, se emitió el Reglamento Orgánico Interno del Ministerio de Defensa Nacional, el cual tiene aspectos a resaltar, como la creación de la Dirección General de Derechos Humanos y Derecho Internacional Humanitario del Ministerio de la Defensa Nacional </w:t>
      </w:r>
      <w:r w:rsidRPr="005917B2">
        <w:rPr>
          <w:sz w:val="16"/>
          <w:szCs w:val="16"/>
          <w:lang w:val="es-ES_tradnl"/>
        </w:rPr>
        <w:t>(</w:t>
      </w:r>
      <w:r>
        <w:rPr>
          <w:i/>
          <w:sz w:val="16"/>
          <w:szCs w:val="16"/>
          <w:lang w:val="es-ES_tradnl"/>
        </w:rPr>
        <w:t>cfr.</w:t>
      </w:r>
      <w:r>
        <w:rPr>
          <w:b/>
          <w:sz w:val="16"/>
          <w:szCs w:val="16"/>
          <w:lang w:val="es-ES_tradnl"/>
        </w:rPr>
        <w:t xml:space="preserve"> </w:t>
      </w:r>
      <w:r w:rsidRPr="00637508">
        <w:rPr>
          <w:sz w:val="16"/>
          <w:szCs w:val="16"/>
          <w:lang w:val="es-CR"/>
        </w:rPr>
        <w:t>Acuerdo gubernativo 130-2016. Reglamento Orgánico Interno del Ministerio de la Defensa Nacional</w:t>
      </w:r>
      <w:r>
        <w:rPr>
          <w:sz w:val="16"/>
          <w:szCs w:val="16"/>
          <w:lang w:val="es-CR"/>
        </w:rPr>
        <w:t xml:space="preserve"> (e</w:t>
      </w:r>
      <w:r w:rsidRPr="00637508">
        <w:rPr>
          <w:sz w:val="16"/>
          <w:szCs w:val="16"/>
          <w:lang w:val="es-CR"/>
        </w:rPr>
        <w:t>xpediente de prueba, anexo 9 a la contestación</w:t>
      </w:r>
      <w:r>
        <w:rPr>
          <w:sz w:val="16"/>
          <w:szCs w:val="16"/>
          <w:lang w:val="es-CR"/>
        </w:rPr>
        <w:t xml:space="preserve"> del Estado</w:t>
      </w:r>
      <w:r w:rsidRPr="00637508">
        <w:rPr>
          <w:sz w:val="16"/>
          <w:szCs w:val="16"/>
          <w:lang w:val="es-CR"/>
        </w:rPr>
        <w:t>, f</w:t>
      </w:r>
      <w:r>
        <w:rPr>
          <w:sz w:val="16"/>
          <w:szCs w:val="16"/>
          <w:lang w:val="es-CR"/>
        </w:rPr>
        <w:t>olio</w:t>
      </w:r>
      <w:r w:rsidRPr="00637508">
        <w:rPr>
          <w:sz w:val="16"/>
          <w:szCs w:val="16"/>
          <w:lang w:val="es-CR"/>
        </w:rPr>
        <w:t>s 5463 a 5471)</w:t>
      </w:r>
      <w:r>
        <w:rPr>
          <w:sz w:val="16"/>
          <w:szCs w:val="16"/>
          <w:lang w:val="es-CR"/>
        </w:rPr>
        <w:t>)</w:t>
      </w:r>
      <w:r w:rsidRPr="00637508">
        <w:rPr>
          <w:sz w:val="16"/>
          <w:szCs w:val="16"/>
          <w:lang w:val="es-CR"/>
        </w:rPr>
        <w:t>.</w:t>
      </w:r>
      <w:r>
        <w:rPr>
          <w:rFonts w:eastAsia="MS Mincho"/>
          <w:sz w:val="16"/>
          <w:szCs w:val="16"/>
          <w:lang w:val="es-ES_tradnl"/>
        </w:rPr>
        <w:t xml:space="preserve"> Indicó también que cuenta con instituciones gubernamentales y no gubernamentales, nacionales e internacionales para el desarrollo de estos programas, tales como: Procuraduría de los Derechos Humanos (PDH), Comisión Presidencial Coordinadora de la Política del Ejecutivo en materia de Derechos Humanos (COPREDEH), Comisión Presidencial Contra la Discriminación y el Racismo de los Pueblos Indígenas en Guatemala (CODISRA), Secretaría Contra la Violencia Sexual, Explotación y Trata de Personas (SVET), Secretaria Presidencial de la Mujer (SEPREM), Oficina Nacional de la Mujer (ONAM), y </w:t>
      </w:r>
      <w:r w:rsidRPr="00F90CFC">
        <w:rPr>
          <w:rFonts w:eastAsia="MS Mincho"/>
          <w:sz w:val="16"/>
          <w:szCs w:val="16"/>
          <w:lang w:val="es-ES_tradnl"/>
        </w:rPr>
        <w:t>Oficina de Derechos Humanos del Comando Sur de los Estados Unidos de América. Asimismo, informó que se</w:t>
      </w:r>
      <w:r>
        <w:rPr>
          <w:rFonts w:eastAsia="MS Mincho"/>
          <w:sz w:val="16"/>
          <w:szCs w:val="16"/>
          <w:lang w:val="es-ES_tradnl"/>
        </w:rPr>
        <w:t xml:space="preserve"> han desarrollado “Postgrados, Diplomados, Cursos, Talleres y Conferencias sobre Derechos Humanos y Derecho Internacional Humanitario así como en Uso de la Fuerza y de las Armas de Fuego, con el propósito de fortalecer el conocimiento, respeto y aplicación sobre estos temas en el personal militar del Ejército de Guatemala”. Adicionalmente, informó que el 23 de marzo del año 2017 se inauguró el diplomado en Derechos Humanos en el Ministerio de la Defensa Nacional. </w:t>
      </w:r>
    </w:p>
  </w:footnote>
  <w:footnote w:id="220">
    <w:p w:rsidR="00785921" w:rsidRPr="00E35130" w:rsidRDefault="00785921" w:rsidP="00126E97">
      <w:pPr>
        <w:tabs>
          <w:tab w:val="left" w:pos="567"/>
        </w:tabs>
        <w:spacing w:after="0" w:line="20" w:lineRule="atLeast"/>
        <w:jc w:val="both"/>
        <w:rPr>
          <w:rFonts w:ascii="Verdana" w:hAnsi="Verdana"/>
          <w:sz w:val="16"/>
          <w:szCs w:val="16"/>
        </w:rPr>
      </w:pPr>
      <w:r w:rsidRPr="00E35130">
        <w:rPr>
          <w:rStyle w:val="FootnoteReference"/>
          <w:rFonts w:ascii="Verdana" w:hAnsi="Verdana"/>
          <w:sz w:val="16"/>
          <w:szCs w:val="16"/>
          <w:lang w:eastAsia="x-none"/>
        </w:rPr>
        <w:footnoteRef/>
      </w:r>
      <w:r w:rsidRPr="00E35130">
        <w:rPr>
          <w:rFonts w:ascii="Verdana" w:hAnsi="Verdana"/>
          <w:sz w:val="16"/>
          <w:szCs w:val="16"/>
          <w:lang w:val="es-CR"/>
        </w:rPr>
        <w:t xml:space="preserve"> </w:t>
      </w:r>
      <w:r w:rsidRPr="00E35130">
        <w:rPr>
          <w:rFonts w:ascii="Verdana" w:eastAsia="Calibri" w:hAnsi="Verdana" w:cs="Cambria"/>
          <w:sz w:val="16"/>
          <w:szCs w:val="16"/>
          <w:lang w:val="es-CR"/>
        </w:rPr>
        <w:t>Guatemala explicó que con dicha “Agencia Fiscal” se buscará reorientar las investigaciones, atendiendo a los principios generales de "debida diligencia" para la investigación de graves violaciones de derechos humanos y los estándares para las investigaciones de ejecuciones extrajudiciales, hechos de tortura y otros tratos crueles, inhumanos o degradantes y la desaparición forzada de personas. Informó que esta agencia fiscal estaría integrada por 6 auxiliares fiscales y un agente fiscal.</w:t>
      </w:r>
    </w:p>
  </w:footnote>
  <w:footnote w:id="221">
    <w:p w:rsidR="00785921" w:rsidRDefault="00785921" w:rsidP="00126E97">
      <w:pPr>
        <w:tabs>
          <w:tab w:val="left" w:pos="567"/>
        </w:tabs>
        <w:spacing w:after="0" w:line="20" w:lineRule="atLeast"/>
        <w:jc w:val="both"/>
        <w:rPr>
          <w:rFonts w:eastAsia="MS Mincho"/>
          <w:sz w:val="16"/>
          <w:szCs w:val="16"/>
        </w:rPr>
      </w:pPr>
      <w:r w:rsidRPr="00E35130">
        <w:rPr>
          <w:rStyle w:val="FootnoteReference"/>
          <w:rFonts w:ascii="Verdana" w:eastAsia="MS Mincho" w:hAnsi="Verdana"/>
          <w:sz w:val="16"/>
          <w:szCs w:val="16"/>
          <w:lang w:eastAsia="x-none"/>
        </w:rPr>
        <w:footnoteRef/>
      </w:r>
      <w:r w:rsidRPr="00E35130">
        <w:rPr>
          <w:rFonts w:ascii="Verdana" w:hAnsi="Verdana"/>
          <w:sz w:val="16"/>
          <w:szCs w:val="16"/>
          <w:lang w:val="es-CR"/>
        </w:rPr>
        <w:t xml:space="preserve"> </w:t>
      </w:r>
      <w:r w:rsidRPr="00E35130">
        <w:rPr>
          <w:rFonts w:ascii="Verdana" w:eastAsia="MS Mincho" w:hAnsi="Verdana"/>
          <w:sz w:val="16"/>
          <w:szCs w:val="16"/>
        </w:rPr>
        <w:t>Explicó que esta ley crea el servicio de protección el cual indica el Estado que funcionará dentro del Ministerio Público y tiene como objetivo esencial, proporcionar protección a funcionarios y empleados del Organismo Judicial, de las fuerzas de seguridad civil y del Ministerio Público, así como a testigos, peritos, consultores, “querellantes adhesivos” y otras personas que estén expuestos a riesgos, por su intervención en procesos penales; y además, periodistas que lo necesiten por encontrarse en riesgo, debido al cumplimiento de su función informativo y presta diferentes medidas de protección, según el nivel de riesg</w:t>
      </w:r>
      <w:r>
        <w:rPr>
          <w:rFonts w:ascii="Verdana" w:eastAsia="MS Mincho" w:hAnsi="Verdana"/>
          <w:sz w:val="16"/>
          <w:szCs w:val="16"/>
        </w:rPr>
        <w:t>o de la persona. Además, señaló</w:t>
      </w:r>
      <w:r w:rsidRPr="00E35130">
        <w:rPr>
          <w:rFonts w:ascii="Verdana" w:eastAsia="MS Mincho" w:hAnsi="Verdana"/>
          <w:sz w:val="16"/>
          <w:szCs w:val="16"/>
        </w:rPr>
        <w:t xml:space="preserve"> que el Ministerio Público, a través de la Fiscalía de Sección de Derechos Humanos, Unidad del Conflicto Armado Interno informó que se han adoptado una serie de medidas tendientes a cumplir la medida solicitada, tal como que las declaraciones se presten por medios audiovisuales de videoconferencia o cámara </w:t>
      </w:r>
      <w:proofErr w:type="spellStart"/>
      <w:r w:rsidRPr="00E35130">
        <w:rPr>
          <w:rFonts w:ascii="Verdana" w:eastAsia="MS Mincho" w:hAnsi="Verdana"/>
          <w:sz w:val="16"/>
          <w:szCs w:val="16"/>
        </w:rPr>
        <w:t>Gessel</w:t>
      </w:r>
      <w:proofErr w:type="spellEnd"/>
      <w:r w:rsidRPr="00E35130">
        <w:rPr>
          <w:rFonts w:ascii="Verdana" w:eastAsia="MS Mincho" w:hAnsi="Verdana"/>
          <w:sz w:val="16"/>
          <w:szCs w:val="16"/>
        </w:rPr>
        <w:t xml:space="preserve"> </w:t>
      </w:r>
      <w:r>
        <w:rPr>
          <w:rFonts w:ascii="Verdana" w:eastAsia="MS Mincho" w:hAnsi="Verdana"/>
          <w:sz w:val="16"/>
          <w:szCs w:val="16"/>
        </w:rPr>
        <w:t>(</w:t>
      </w:r>
      <w:r w:rsidRPr="00E35130">
        <w:rPr>
          <w:rFonts w:ascii="Verdana" w:eastAsia="MS Mincho" w:hAnsi="Verdana"/>
          <w:sz w:val="16"/>
          <w:szCs w:val="16"/>
        </w:rPr>
        <w:t>y, en algunos casos, con la reserva de los datos de identificación personal o con el ocultamiento de rostro, para evitar el contacto directo con los sindicados y exponerlos físicamente con algún riesgo</w:t>
      </w:r>
      <w:r>
        <w:rPr>
          <w:rFonts w:ascii="Verdana" w:eastAsia="MS Mincho" w:hAnsi="Verdana"/>
          <w:sz w:val="16"/>
          <w:szCs w:val="16"/>
        </w:rPr>
        <w:t>)</w:t>
      </w:r>
      <w:r w:rsidRPr="00E35130">
        <w:rPr>
          <w:rFonts w:ascii="Verdana" w:eastAsia="MS Mincho" w:hAnsi="Verdana"/>
          <w:sz w:val="16"/>
          <w:szCs w:val="16"/>
        </w:rPr>
        <w:t>,</w:t>
      </w:r>
      <w:r>
        <w:rPr>
          <w:rFonts w:ascii="Verdana" w:eastAsia="MS Mincho" w:hAnsi="Verdana"/>
          <w:sz w:val="16"/>
          <w:szCs w:val="16"/>
        </w:rPr>
        <w:t xml:space="preserve"> o</w:t>
      </w:r>
      <w:r w:rsidRPr="00E35130">
        <w:rPr>
          <w:rFonts w:ascii="Verdana" w:eastAsia="MS Mincho" w:hAnsi="Verdana"/>
          <w:sz w:val="16"/>
          <w:szCs w:val="16"/>
        </w:rPr>
        <w:t xml:space="preserve"> solicitar al Departamento de Seguridad del Ministerio Público la asignación de personal de seguridad y de vehículos para el traslado de Fiscales en riesgo, entre </w:t>
      </w:r>
      <w:r w:rsidRPr="00F90CFC">
        <w:rPr>
          <w:rFonts w:ascii="Verdana" w:eastAsia="MS Mincho" w:hAnsi="Verdana"/>
          <w:sz w:val="16"/>
          <w:szCs w:val="16"/>
        </w:rPr>
        <w:t xml:space="preserve">otros </w:t>
      </w:r>
      <w:r w:rsidRPr="00F90CFC">
        <w:rPr>
          <w:rFonts w:ascii="Verdana" w:hAnsi="Verdana"/>
          <w:sz w:val="16"/>
          <w:szCs w:val="16"/>
          <w:lang w:val="es-CR"/>
        </w:rPr>
        <w:t>(expediente de prueba, anexos 10 y 11 a la contestación, folios 5472 a 5509).</w:t>
      </w:r>
      <w:r>
        <w:rPr>
          <w:rFonts w:eastAsia="MS Mincho"/>
          <w:sz w:val="16"/>
          <w:szCs w:val="16"/>
        </w:rPr>
        <w:t xml:space="preserve"> </w:t>
      </w:r>
    </w:p>
  </w:footnote>
  <w:footnote w:id="222">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187CF4">
        <w:rPr>
          <w:i/>
          <w:sz w:val="16"/>
          <w:szCs w:val="16"/>
          <w:lang w:val="es-CR"/>
        </w:rPr>
        <w:t>Cfr.</w:t>
      </w:r>
      <w:r>
        <w:rPr>
          <w:sz w:val="16"/>
          <w:szCs w:val="16"/>
          <w:lang w:val="es-CR"/>
        </w:rPr>
        <w:t xml:space="preserve"> </w:t>
      </w:r>
      <w:r w:rsidRPr="00637508">
        <w:rPr>
          <w:sz w:val="16"/>
          <w:szCs w:val="16"/>
          <w:lang w:val="es-CR"/>
        </w:rPr>
        <w:t>Pensum de estudios sobre Derechos Humanos, Derecho Internacional Humanitario y Uso de la Fuerza y Uso de Armas de Fuego, en el Sistema Educativo Militar del Ejército de Guatemala (</w:t>
      </w:r>
      <w:r>
        <w:rPr>
          <w:sz w:val="16"/>
          <w:szCs w:val="16"/>
          <w:lang w:val="es-CR"/>
        </w:rPr>
        <w:t>e</w:t>
      </w:r>
      <w:r w:rsidRPr="00637508">
        <w:rPr>
          <w:sz w:val="16"/>
          <w:szCs w:val="16"/>
          <w:lang w:val="es-CR"/>
        </w:rPr>
        <w:t xml:space="preserve">xpediente de prueba, anexo 8 a la contestación, </w:t>
      </w:r>
      <w:r>
        <w:rPr>
          <w:sz w:val="16"/>
          <w:szCs w:val="16"/>
          <w:lang w:val="es-CR"/>
        </w:rPr>
        <w:t>f</w:t>
      </w:r>
      <w:r w:rsidRPr="00637508">
        <w:rPr>
          <w:sz w:val="16"/>
          <w:szCs w:val="16"/>
          <w:lang w:val="es-CR"/>
        </w:rPr>
        <w:t>olios 5449 a 5461) y Acuerdo gubernativo 130-2016. Reglamento Orgánico Interno del Ministerio de la Defensa Nacional (</w:t>
      </w:r>
      <w:r>
        <w:rPr>
          <w:sz w:val="16"/>
          <w:szCs w:val="16"/>
          <w:lang w:val="es-CR"/>
        </w:rPr>
        <w:t>e</w:t>
      </w:r>
      <w:r w:rsidRPr="00637508">
        <w:rPr>
          <w:sz w:val="16"/>
          <w:szCs w:val="16"/>
          <w:lang w:val="es-CR"/>
        </w:rPr>
        <w:t xml:space="preserve">xpediente de prueba, anexo 9 a la contestación, </w:t>
      </w:r>
      <w:r>
        <w:rPr>
          <w:sz w:val="16"/>
          <w:szCs w:val="16"/>
          <w:lang w:val="es-CR"/>
        </w:rPr>
        <w:t>f</w:t>
      </w:r>
      <w:r w:rsidRPr="00637508">
        <w:rPr>
          <w:sz w:val="16"/>
          <w:szCs w:val="16"/>
          <w:lang w:val="es-CR"/>
        </w:rPr>
        <w:t xml:space="preserve">olios 5463 a 5471).  </w:t>
      </w:r>
    </w:p>
  </w:footnote>
  <w:footnote w:id="223">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sidRPr="00637508">
        <w:rPr>
          <w:rFonts w:eastAsia="MS ????"/>
          <w:bCs/>
          <w:i/>
          <w:color w:val="000000"/>
          <w:sz w:val="16"/>
          <w:szCs w:val="16"/>
          <w:shd w:val="clear" w:color="auto" w:fill="FFFFFF"/>
          <w:lang w:val="es-CR"/>
        </w:rPr>
        <w:t xml:space="preserve">Caso Miembros de la Aldea </w:t>
      </w:r>
      <w:proofErr w:type="spellStart"/>
      <w:r w:rsidRPr="00637508">
        <w:rPr>
          <w:rFonts w:eastAsia="MS ????"/>
          <w:bCs/>
          <w:i/>
          <w:color w:val="000000"/>
          <w:sz w:val="16"/>
          <w:szCs w:val="16"/>
          <w:shd w:val="clear" w:color="auto" w:fill="FFFFFF"/>
          <w:lang w:val="es-CR"/>
        </w:rPr>
        <w:t>Chichupac</w:t>
      </w:r>
      <w:proofErr w:type="spellEnd"/>
      <w:r w:rsidRPr="00637508">
        <w:rPr>
          <w:rFonts w:eastAsia="MS ????"/>
          <w:bCs/>
          <w:i/>
          <w:color w:val="000000"/>
          <w:sz w:val="16"/>
          <w:szCs w:val="16"/>
          <w:shd w:val="clear" w:color="auto" w:fill="FFFFFF"/>
          <w:lang w:val="es-CR"/>
        </w:rPr>
        <w:t xml:space="preserve"> y comunidades vecinas del Municipio de Rabinal Vs. Guatemala</w:t>
      </w:r>
      <w:r>
        <w:rPr>
          <w:rFonts w:eastAsia="MS ????"/>
          <w:bCs/>
          <w:i/>
          <w:color w:val="000000"/>
          <w:sz w:val="16"/>
          <w:szCs w:val="16"/>
          <w:shd w:val="clear" w:color="auto" w:fill="FFFFFF"/>
          <w:lang w:val="es-CR"/>
        </w:rPr>
        <w:t>, supra</w:t>
      </w:r>
      <w:r>
        <w:rPr>
          <w:sz w:val="16"/>
          <w:szCs w:val="16"/>
          <w:lang w:val="es-PR"/>
        </w:rPr>
        <w:t>,</w:t>
      </w:r>
      <w:r>
        <w:rPr>
          <w:bCs/>
          <w:sz w:val="16"/>
          <w:szCs w:val="16"/>
          <w:lang w:val="es-PR"/>
        </w:rPr>
        <w:t xml:space="preserve"> párr. 313.</w:t>
      </w:r>
    </w:p>
  </w:footnote>
  <w:footnote w:id="224">
    <w:p w:rsidR="00785921" w:rsidRPr="00E35130" w:rsidRDefault="00785921" w:rsidP="00126E97">
      <w:pPr>
        <w:pStyle w:val="FootnoteText"/>
        <w:spacing w:line="20" w:lineRule="atLeast"/>
        <w:rPr>
          <w:lang w:val="es-CR"/>
        </w:rPr>
      </w:pPr>
      <w:r w:rsidRPr="00416FFE">
        <w:rPr>
          <w:rStyle w:val="FootnoteReference"/>
          <w:sz w:val="16"/>
          <w:szCs w:val="16"/>
        </w:rPr>
        <w:footnoteRef/>
      </w:r>
      <w:r w:rsidRPr="00E35130">
        <w:rPr>
          <w:lang w:val="es-CR"/>
        </w:rPr>
        <w:t xml:space="preserve"> </w:t>
      </w:r>
      <w:r w:rsidRPr="00D05F7B">
        <w:rPr>
          <w:sz w:val="16"/>
          <w:szCs w:val="16"/>
          <w:lang w:val="es-CR"/>
        </w:rPr>
        <w:t xml:space="preserve">Es pertinente indicar que la </w:t>
      </w:r>
      <w:r w:rsidRPr="00641A62">
        <w:rPr>
          <w:b/>
          <w:i/>
          <w:sz w:val="16"/>
          <w:szCs w:val="16"/>
          <w:lang w:val="es-CR"/>
        </w:rPr>
        <w:t>Comisión</w:t>
      </w:r>
      <w:r w:rsidRPr="00D05F7B">
        <w:rPr>
          <w:sz w:val="16"/>
          <w:szCs w:val="16"/>
          <w:lang w:val="es-CR"/>
        </w:rPr>
        <w:t xml:space="preserve"> señaló que quienes actuaron como peticionarios ante ella informaron que el 4 de octubre de 1996 presentaron una demanda civil por daños y perjuicios, solicitando que se condenara a los “acusados” y al Estado al pago de una suma de dinero. </w:t>
      </w:r>
      <w:r>
        <w:rPr>
          <w:sz w:val="16"/>
          <w:szCs w:val="16"/>
          <w:lang w:val="es-CR"/>
        </w:rPr>
        <w:t xml:space="preserve">Los </w:t>
      </w:r>
      <w:r w:rsidRPr="00641A62">
        <w:rPr>
          <w:b/>
          <w:i/>
          <w:sz w:val="16"/>
          <w:szCs w:val="16"/>
          <w:lang w:val="es-CR"/>
        </w:rPr>
        <w:t>representantes</w:t>
      </w:r>
      <w:r>
        <w:rPr>
          <w:sz w:val="16"/>
          <w:szCs w:val="16"/>
          <w:lang w:val="es-CR"/>
        </w:rPr>
        <w:t xml:space="preserve">, por su parte, manifestaron que el juicio civil no avanzó. </w:t>
      </w:r>
      <w:r w:rsidRPr="00D05F7B">
        <w:rPr>
          <w:sz w:val="16"/>
          <w:szCs w:val="16"/>
          <w:lang w:val="es-CR"/>
        </w:rPr>
        <w:t xml:space="preserve">Si bien la </w:t>
      </w:r>
      <w:r w:rsidRPr="00641A62">
        <w:rPr>
          <w:b/>
          <w:i/>
          <w:sz w:val="16"/>
          <w:szCs w:val="16"/>
          <w:lang w:val="es-CR"/>
        </w:rPr>
        <w:t>Corte</w:t>
      </w:r>
      <w:r w:rsidRPr="00D05F7B">
        <w:rPr>
          <w:sz w:val="16"/>
          <w:szCs w:val="16"/>
          <w:lang w:val="es-CR"/>
        </w:rPr>
        <w:t xml:space="preserve"> cuenta con alguna información sobre el desarrollo del proceso, la misma no es completa y, en particular, no señala cómo concluyó el mismo. Tampoco qué sucedió después del 24 de octubre de 2002 cuando asesores legales de las víctimas “</w:t>
      </w:r>
      <w:proofErr w:type="gramStart"/>
      <w:r w:rsidRPr="00D05F7B">
        <w:rPr>
          <w:sz w:val="16"/>
          <w:szCs w:val="16"/>
          <w:lang w:val="es-CR"/>
        </w:rPr>
        <w:t>hi[</w:t>
      </w:r>
      <w:proofErr w:type="spellStart"/>
      <w:proofErr w:type="gramEnd"/>
      <w:r w:rsidRPr="00D05F7B">
        <w:rPr>
          <w:sz w:val="16"/>
          <w:szCs w:val="16"/>
          <w:lang w:val="es-CR"/>
        </w:rPr>
        <w:t>cieron</w:t>
      </w:r>
      <w:proofErr w:type="spellEnd"/>
      <w:r w:rsidRPr="00D05F7B">
        <w:rPr>
          <w:sz w:val="16"/>
          <w:szCs w:val="16"/>
          <w:lang w:val="es-CR"/>
        </w:rPr>
        <w:t>] una visita [a la Corte de Constitucionalidad] para preguntar si estaba resuelta [una] petición” relacionada con un “incidente de constitucionalidad”. Lo anterior, de acuerdo a información remitida a la Comisión Interamericana por los peticionarios (</w:t>
      </w:r>
      <w:r w:rsidRPr="00D05F7B">
        <w:rPr>
          <w:i/>
          <w:sz w:val="16"/>
          <w:szCs w:val="16"/>
          <w:lang w:val="es-CR"/>
        </w:rPr>
        <w:t>cfr</w:t>
      </w:r>
      <w:r w:rsidRPr="00D05F7B">
        <w:rPr>
          <w:sz w:val="16"/>
          <w:szCs w:val="16"/>
          <w:lang w:val="es-CR"/>
        </w:rPr>
        <w:t>. comunicación de los peticionarios de 29 de octubre de 2002, dirigida a la Comisión Interamericana (expediente de prueba, trámite ante la Comisión, folios 2371 a 2385)). La información, entonces resulta insuficiente para que este Tribunal examine el proceso civil o lo tenga en cuenta en el marco de la determinación de reparaciones</w:t>
      </w:r>
      <w:r>
        <w:rPr>
          <w:sz w:val="16"/>
          <w:szCs w:val="16"/>
          <w:lang w:val="es-CR"/>
        </w:rPr>
        <w:t>.</w:t>
      </w:r>
    </w:p>
  </w:footnote>
  <w:footnote w:id="225">
    <w:p w:rsidR="00785921" w:rsidRPr="0079729D"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C</w:t>
      </w:r>
      <w:r w:rsidRPr="00676759">
        <w:rPr>
          <w:i/>
          <w:sz w:val="16"/>
          <w:szCs w:val="16"/>
          <w:lang w:val="es-CR"/>
        </w:rPr>
        <w:t>fr.</w:t>
      </w:r>
      <w:r>
        <w:rPr>
          <w:sz w:val="16"/>
          <w:szCs w:val="16"/>
          <w:lang w:val="es-CR"/>
        </w:rPr>
        <w:t xml:space="preserve"> expediente de prueba, anexo 5 al escrito de solicitudes y argumentos, folios 5355 a5367. </w:t>
      </w:r>
      <w:r w:rsidRPr="001A5177">
        <w:rPr>
          <w:sz w:val="16"/>
          <w:szCs w:val="16"/>
          <w:lang w:val="es-CR"/>
        </w:rPr>
        <w:t xml:space="preserve">Los </w:t>
      </w:r>
      <w:r w:rsidRPr="008D68C5">
        <w:rPr>
          <w:b/>
          <w:i/>
          <w:sz w:val="16"/>
          <w:szCs w:val="16"/>
          <w:lang w:val="es-CR"/>
        </w:rPr>
        <w:t>representantes</w:t>
      </w:r>
      <w:r w:rsidRPr="008D68C5">
        <w:rPr>
          <w:sz w:val="16"/>
          <w:szCs w:val="16"/>
          <w:lang w:val="es-CR"/>
        </w:rPr>
        <w:t>,</w:t>
      </w:r>
      <w:r w:rsidRPr="001A5177">
        <w:rPr>
          <w:sz w:val="16"/>
          <w:szCs w:val="16"/>
          <w:lang w:val="es-CR"/>
        </w:rPr>
        <w:t xml:space="preserve"> </w:t>
      </w:r>
      <w:r>
        <w:rPr>
          <w:sz w:val="16"/>
          <w:szCs w:val="16"/>
          <w:lang w:val="es-CR"/>
        </w:rPr>
        <w:t xml:space="preserve">en ese escrito, expresaron </w:t>
      </w:r>
      <w:r w:rsidRPr="00676759">
        <w:rPr>
          <w:sz w:val="16"/>
          <w:szCs w:val="16"/>
          <w:lang w:val="es-CR"/>
        </w:rPr>
        <w:t xml:space="preserve">montos en quetzales guatemaltecos. La </w:t>
      </w:r>
      <w:r w:rsidRPr="008D68C5">
        <w:rPr>
          <w:b/>
          <w:i/>
          <w:sz w:val="16"/>
          <w:szCs w:val="16"/>
          <w:lang w:val="es-CR"/>
        </w:rPr>
        <w:t>Corte</w:t>
      </w:r>
      <w:r w:rsidRPr="00676759">
        <w:rPr>
          <w:sz w:val="16"/>
          <w:szCs w:val="16"/>
          <w:lang w:val="es-CR"/>
        </w:rPr>
        <w:t xml:space="preserve">, a efectos de señalar la equivalencia en dólares de Estados Unidos de América, tiene en consideración el tipo de cambio indicado por el Banco de Guatemala en su sitio de internet: </w:t>
      </w:r>
      <w:hyperlink r:id="rId4" w:history="1">
        <w:r w:rsidRPr="00187CF4">
          <w:rPr>
            <w:rStyle w:val="Hyperlink"/>
            <w:rFonts w:cs="Segoe UI"/>
            <w:bCs/>
            <w:color w:val="auto"/>
            <w:sz w:val="16"/>
            <w:szCs w:val="16"/>
            <w:u w:val="none"/>
            <w:shd w:val="clear" w:color="auto" w:fill="FFFFFF"/>
            <w:lang w:val="es-CR"/>
          </w:rPr>
          <w:t>http://www.banguat.gob.gt/cambio/</w:t>
        </w:r>
      </w:hyperlink>
      <w:r w:rsidRPr="00187CF4">
        <w:rPr>
          <w:rStyle w:val="Hyperlink"/>
          <w:rFonts w:cs="Segoe UI"/>
          <w:bCs/>
          <w:color w:val="auto"/>
          <w:sz w:val="16"/>
          <w:szCs w:val="16"/>
          <w:u w:val="none"/>
          <w:shd w:val="clear" w:color="auto" w:fill="FFFFFF"/>
          <w:lang w:val="es-CR"/>
        </w:rPr>
        <w:t xml:space="preserve">. Se toma en cuenta la equivalencia </w:t>
      </w:r>
      <w:r w:rsidRPr="00676759">
        <w:rPr>
          <w:sz w:val="16"/>
          <w:szCs w:val="16"/>
          <w:lang w:val="es-CR"/>
        </w:rPr>
        <w:t>correspondiente al 31 de marzo de 2017</w:t>
      </w:r>
      <w:r>
        <w:rPr>
          <w:sz w:val="16"/>
          <w:szCs w:val="16"/>
          <w:lang w:val="es-CR"/>
        </w:rPr>
        <w:t>, cuando fue presentado el escrito de solicitudes y argumentos (</w:t>
      </w:r>
      <w:r>
        <w:rPr>
          <w:i/>
          <w:sz w:val="16"/>
          <w:szCs w:val="16"/>
          <w:lang w:val="es-CR"/>
        </w:rPr>
        <w:t>supra</w:t>
      </w:r>
      <w:r>
        <w:rPr>
          <w:sz w:val="16"/>
          <w:szCs w:val="16"/>
          <w:lang w:val="es-CR"/>
        </w:rPr>
        <w:t xml:space="preserve"> párr. 6):</w:t>
      </w:r>
      <w:r w:rsidRPr="00676759">
        <w:rPr>
          <w:sz w:val="16"/>
          <w:szCs w:val="16"/>
          <w:lang w:val="es-CR"/>
        </w:rPr>
        <w:t xml:space="preserve"> 1 US$ = </w:t>
      </w:r>
      <w:r w:rsidRPr="00676759">
        <w:rPr>
          <w:rFonts w:cs="Arial"/>
          <w:sz w:val="16"/>
          <w:szCs w:val="16"/>
          <w:lang w:val="es-CR"/>
        </w:rPr>
        <w:t>7.47444</w:t>
      </w:r>
      <w:r>
        <w:rPr>
          <w:rFonts w:cs="Segoe UI"/>
          <w:bCs/>
          <w:sz w:val="16"/>
          <w:szCs w:val="16"/>
          <w:shd w:val="clear" w:color="auto" w:fill="FFFFFF"/>
          <w:lang w:val="es-CR"/>
        </w:rPr>
        <w:t>.</w:t>
      </w:r>
    </w:p>
  </w:footnote>
  <w:footnote w:id="226">
    <w:p w:rsidR="00785921" w:rsidRDefault="00785921" w:rsidP="00126E97">
      <w:pPr>
        <w:tabs>
          <w:tab w:val="left" w:pos="567"/>
        </w:tabs>
        <w:spacing w:after="0" w:line="20" w:lineRule="atLeast"/>
        <w:jc w:val="both"/>
        <w:rPr>
          <w:sz w:val="16"/>
          <w:szCs w:val="16"/>
          <w:lang w:val="es-CR"/>
        </w:rPr>
      </w:pPr>
      <w:r w:rsidRPr="00D05F7B">
        <w:rPr>
          <w:rStyle w:val="FootnoteReference"/>
          <w:rFonts w:ascii="Verdana" w:eastAsia="MS ????" w:hAnsi="Verdana"/>
          <w:sz w:val="16"/>
          <w:szCs w:val="16"/>
          <w:lang w:val="es-CR" w:eastAsia="x-none"/>
        </w:rPr>
        <w:footnoteRef/>
      </w:r>
      <w:r w:rsidRPr="00D05F7B">
        <w:rPr>
          <w:rFonts w:ascii="Verdana" w:hAnsi="Verdana"/>
          <w:sz w:val="16"/>
          <w:szCs w:val="16"/>
          <w:lang w:val="es-CR"/>
        </w:rPr>
        <w:t xml:space="preserve"> </w:t>
      </w:r>
      <w:r w:rsidRPr="00D05F7B">
        <w:rPr>
          <w:rFonts w:ascii="Verdana" w:hAnsi="Verdana"/>
          <w:i/>
          <w:sz w:val="16"/>
          <w:szCs w:val="16"/>
          <w:lang w:val="es-CR"/>
        </w:rPr>
        <w:t xml:space="preserve">Cfr. </w:t>
      </w:r>
      <w:r w:rsidRPr="00D05F7B">
        <w:rPr>
          <w:rFonts w:ascii="Verdana" w:hAnsi="Verdana"/>
          <w:bCs/>
          <w:i/>
          <w:sz w:val="16"/>
          <w:szCs w:val="16"/>
          <w:lang w:val="es-CR"/>
        </w:rPr>
        <w:t xml:space="preserve">Caso </w:t>
      </w:r>
      <w:proofErr w:type="spellStart"/>
      <w:r w:rsidRPr="00D05F7B">
        <w:rPr>
          <w:rFonts w:ascii="Verdana" w:hAnsi="Verdana"/>
          <w:bCs/>
          <w:i/>
          <w:sz w:val="16"/>
          <w:szCs w:val="16"/>
          <w:lang w:val="es-CR"/>
        </w:rPr>
        <w:t>Bámaca</w:t>
      </w:r>
      <w:proofErr w:type="spellEnd"/>
      <w:r w:rsidRPr="00D05F7B">
        <w:rPr>
          <w:rFonts w:ascii="Verdana" w:hAnsi="Verdana"/>
          <w:bCs/>
          <w:i/>
          <w:sz w:val="16"/>
          <w:szCs w:val="16"/>
          <w:lang w:val="es-CR"/>
        </w:rPr>
        <w:t xml:space="preserve"> Velásquez Vs. Guatemala. </w:t>
      </w:r>
      <w:r w:rsidRPr="00D05F7B">
        <w:rPr>
          <w:rFonts w:ascii="Verdana" w:hAnsi="Verdana"/>
          <w:i/>
          <w:sz w:val="16"/>
          <w:szCs w:val="16"/>
          <w:lang w:val="es-CR"/>
        </w:rPr>
        <w:t>Reparaciones y Costas</w:t>
      </w:r>
      <w:r>
        <w:rPr>
          <w:rFonts w:ascii="Verdana" w:hAnsi="Verdana"/>
          <w:i/>
          <w:sz w:val="16"/>
          <w:szCs w:val="16"/>
          <w:lang w:val="es-CR"/>
        </w:rPr>
        <w:t>, supra</w:t>
      </w:r>
      <w:r w:rsidRPr="00D05F7B">
        <w:rPr>
          <w:rFonts w:ascii="Verdana" w:hAnsi="Verdana"/>
          <w:sz w:val="16"/>
          <w:szCs w:val="16"/>
          <w:lang w:val="es-CR"/>
        </w:rPr>
        <w:t xml:space="preserve">, párr. 43, y </w:t>
      </w:r>
      <w:r w:rsidRPr="00D05F7B">
        <w:rPr>
          <w:rStyle w:val="Strong"/>
          <w:rFonts w:ascii="Verdana" w:hAnsi="Verdana"/>
          <w:b w:val="0"/>
          <w:i/>
          <w:sz w:val="16"/>
          <w:szCs w:val="16"/>
          <w:lang w:val="es-CR"/>
        </w:rPr>
        <w:t xml:space="preserve">Caso </w:t>
      </w:r>
      <w:proofErr w:type="spellStart"/>
      <w:r w:rsidRPr="00D05F7B">
        <w:rPr>
          <w:rStyle w:val="Strong"/>
          <w:rFonts w:ascii="Verdana" w:hAnsi="Verdana"/>
          <w:b w:val="0"/>
          <w:i/>
          <w:sz w:val="16"/>
          <w:szCs w:val="16"/>
          <w:lang w:val="es-CR"/>
        </w:rPr>
        <w:t>Amrhein</w:t>
      </w:r>
      <w:proofErr w:type="spellEnd"/>
      <w:r w:rsidRPr="00D05F7B">
        <w:rPr>
          <w:rStyle w:val="Strong"/>
          <w:rFonts w:ascii="Verdana" w:hAnsi="Verdana"/>
          <w:b w:val="0"/>
          <w:i/>
          <w:sz w:val="16"/>
          <w:szCs w:val="16"/>
          <w:lang w:val="es-CR"/>
        </w:rPr>
        <w:t xml:space="preserve"> y otros vs. Costa Rica</w:t>
      </w:r>
      <w:r>
        <w:rPr>
          <w:rStyle w:val="Strong"/>
          <w:rFonts w:ascii="Verdana" w:hAnsi="Verdana"/>
          <w:b w:val="0"/>
          <w:i/>
          <w:sz w:val="16"/>
          <w:szCs w:val="16"/>
          <w:lang w:val="es-CR"/>
        </w:rPr>
        <w:t>, supra</w:t>
      </w:r>
      <w:r w:rsidRPr="00D05F7B">
        <w:rPr>
          <w:rFonts w:ascii="Verdana" w:hAnsi="Verdana"/>
          <w:bCs/>
          <w:i/>
          <w:sz w:val="16"/>
          <w:szCs w:val="16"/>
          <w:lang w:val="es-CR"/>
        </w:rPr>
        <w:t xml:space="preserve">, </w:t>
      </w:r>
      <w:r w:rsidRPr="00D05F7B">
        <w:rPr>
          <w:rFonts w:ascii="Verdana" w:hAnsi="Verdana"/>
          <w:bCs/>
          <w:sz w:val="16"/>
          <w:szCs w:val="16"/>
          <w:lang w:val="es-CR"/>
        </w:rPr>
        <w:t>párr. 487.</w:t>
      </w:r>
    </w:p>
  </w:footnote>
  <w:footnote w:id="227">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w:t>
      </w:r>
      <w:r>
        <w:rPr>
          <w:rFonts w:eastAsia="MS Mincho"/>
          <w:sz w:val="16"/>
          <w:szCs w:val="16"/>
          <w:lang w:val="es-ES_tradnl"/>
        </w:rPr>
        <w:t xml:space="preserve">Según indicaron, refiriendo a dicha sentencia, el cálculo debe hacerse tomando en cuenta la edad de la víctima a la fecha de su muerte, los años por vivir […], la actividad a la que se dedicaba al momento de los hechos, las mejoras económicas que hubiese podido obtener y su ingreso, y debe utilizarse para todos los cálculos el salario real o, en su defecto, el salario mínimo para las actividades correspondientes en Guatemala (en el caso </w:t>
      </w:r>
      <w:r>
        <w:rPr>
          <w:rFonts w:eastAsia="MS Mincho"/>
          <w:i/>
          <w:sz w:val="16"/>
          <w:szCs w:val="16"/>
          <w:lang w:val="es-ES_tradnl"/>
        </w:rPr>
        <w:t>Villagrán Morales</w:t>
      </w:r>
      <w:r>
        <w:rPr>
          <w:rFonts w:eastAsia="MS Mincho"/>
          <w:sz w:val="16"/>
          <w:szCs w:val="16"/>
          <w:lang w:val="es-ES_tradnl"/>
        </w:rPr>
        <w:t xml:space="preserve">, actividades “no agrícolas”), considerando 12 salarios mensuales de cada año. </w:t>
      </w:r>
    </w:p>
  </w:footnote>
  <w:footnote w:id="228">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w:t>
      </w:r>
      <w:r>
        <w:rPr>
          <w:rFonts w:eastAsia="MS Mincho"/>
          <w:sz w:val="16"/>
          <w:szCs w:val="16"/>
          <w:lang w:val="es-ES_tradnl"/>
        </w:rPr>
        <w:t>Para “</w:t>
      </w:r>
      <w:proofErr w:type="spellStart"/>
      <w:r>
        <w:rPr>
          <w:rFonts w:eastAsia="MS Mincho"/>
          <w:sz w:val="16"/>
          <w:szCs w:val="16"/>
          <w:lang w:val="es-ES_tradnl"/>
        </w:rPr>
        <w:t>Maurilia</w:t>
      </w:r>
      <w:proofErr w:type="spellEnd"/>
      <w:r>
        <w:rPr>
          <w:rFonts w:eastAsia="MS Mincho"/>
          <w:sz w:val="16"/>
          <w:szCs w:val="16"/>
          <w:lang w:val="es-ES_tradnl"/>
        </w:rPr>
        <w:t xml:space="preserve">” Q 7,672,792.92; para “Carlos” Q 7,707,511.44; para “Manuela” Q 7,290,889.20, para “Abel” Q 5,381,370.60; para “Pablo” Q 3,992,629.80; para “Juana” Q 3,124,666.80; para “Andrés” Q 2,256,703.80; para “Hilaria” Q 1,562,333.40; para “Pedro” Q 3,645,444.60, y para “Pedro” Q4,687,000.20. (Los representantes, al hacer estos señalamientos, indicaron solo nombres y no mencionaron apellidos. Por otra parte, los representantes se refirieron a Santiago </w:t>
      </w:r>
      <w:proofErr w:type="spellStart"/>
      <w:r>
        <w:rPr>
          <w:rFonts w:eastAsia="MS Mincho"/>
          <w:sz w:val="16"/>
          <w:szCs w:val="16"/>
          <w:lang w:val="es-ES_tradnl"/>
        </w:rPr>
        <w:t>Coc</w:t>
      </w:r>
      <w:proofErr w:type="spellEnd"/>
      <w:r>
        <w:rPr>
          <w:rFonts w:eastAsia="MS Mincho"/>
          <w:sz w:val="16"/>
          <w:szCs w:val="16"/>
          <w:lang w:val="es-ES_tradnl"/>
        </w:rPr>
        <w:t xml:space="preserve"> en su escrito de solicitudes y argumentos, mas señalaron no tener contacto con su familia, explicando que por ese motivo no pueden efectuar “</w:t>
      </w:r>
      <w:proofErr w:type="gramStart"/>
      <w:r w:rsidRPr="00592D10">
        <w:rPr>
          <w:rFonts w:eastAsia="MS Mincho"/>
          <w:sz w:val="16"/>
          <w:szCs w:val="16"/>
          <w:lang w:val="es-ES_tradnl"/>
        </w:rPr>
        <w:t>solicitud</w:t>
      </w:r>
      <w:r>
        <w:rPr>
          <w:rFonts w:eastAsia="MS Mincho"/>
          <w:sz w:val="16"/>
          <w:szCs w:val="16"/>
          <w:lang w:val="es-ES_tradnl"/>
        </w:rPr>
        <w:t>[</w:t>
      </w:r>
      <w:proofErr w:type="gramEnd"/>
      <w:r>
        <w:rPr>
          <w:rFonts w:eastAsia="MS Mincho"/>
          <w:sz w:val="16"/>
          <w:szCs w:val="16"/>
          <w:lang w:val="es-ES_tradnl"/>
        </w:rPr>
        <w:t>es]</w:t>
      </w:r>
      <w:r w:rsidRPr="00592D10">
        <w:rPr>
          <w:rFonts w:eastAsia="MS Mincho"/>
          <w:sz w:val="16"/>
          <w:szCs w:val="16"/>
          <w:lang w:val="es-ES_tradnl"/>
        </w:rPr>
        <w:t xml:space="preserve"> de medidas de reparación</w:t>
      </w:r>
      <w:r>
        <w:rPr>
          <w:rFonts w:eastAsia="MS Mincho"/>
          <w:sz w:val="16"/>
          <w:szCs w:val="16"/>
          <w:lang w:val="es-ES_tradnl"/>
        </w:rPr>
        <w:t>”).</w:t>
      </w:r>
    </w:p>
  </w:footnote>
  <w:footnote w:id="229">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Solicitaron </w:t>
      </w:r>
      <w:r>
        <w:rPr>
          <w:rFonts w:eastAsia="MS Mincho"/>
          <w:sz w:val="16"/>
          <w:szCs w:val="16"/>
          <w:lang w:val="es-ES_tradnl"/>
        </w:rPr>
        <w:t>para “</w:t>
      </w:r>
      <w:proofErr w:type="spellStart"/>
      <w:r>
        <w:rPr>
          <w:rFonts w:eastAsia="MS Mincho"/>
          <w:sz w:val="16"/>
          <w:szCs w:val="16"/>
          <w:lang w:val="es-ES_tradnl"/>
        </w:rPr>
        <w:t>Maurilia</w:t>
      </w:r>
      <w:proofErr w:type="spellEnd"/>
      <w:r>
        <w:rPr>
          <w:rFonts w:eastAsia="MS Mincho"/>
          <w:sz w:val="16"/>
          <w:szCs w:val="16"/>
          <w:lang w:val="es-ES_tradnl"/>
        </w:rPr>
        <w:t>” Q 85,928.34; para “Carlos” Q 63,014.11; para “Manuela” Q 85,928.34; para “Abel” Q 63,014.11; para “Pablo” Q 46,349.22; para “Juana” Q 35,933.67; para “Andrés” Q 25,518.11; para “Hilaria” Q 17,185.67; para “Pedro” Q 42,183, y para “Pedro” Q 54,681.67. Expresaron que “</w:t>
      </w:r>
      <w:proofErr w:type="gramStart"/>
      <w:r>
        <w:rPr>
          <w:rFonts w:eastAsia="MS Mincho"/>
          <w:sz w:val="16"/>
          <w:szCs w:val="16"/>
          <w:lang w:val="es-ES_tradnl"/>
        </w:rPr>
        <w:t>toma[</w:t>
      </w:r>
      <w:proofErr w:type="gramEnd"/>
      <w:r>
        <w:rPr>
          <w:rFonts w:eastAsia="MS Mincho"/>
          <w:sz w:val="16"/>
          <w:szCs w:val="16"/>
          <w:lang w:val="es-ES_tradnl"/>
        </w:rPr>
        <w:t>ron] como base el interés que los bancos pagan para quienes mantienen depósitos a largo plazo”.</w:t>
      </w:r>
      <w:r>
        <w:rPr>
          <w:rFonts w:eastAsia="MS Mincho"/>
          <w:b/>
          <w:sz w:val="16"/>
          <w:szCs w:val="16"/>
          <w:lang w:val="es-ES_tradnl"/>
        </w:rPr>
        <w:t xml:space="preserve"> </w:t>
      </w:r>
    </w:p>
  </w:footnote>
  <w:footnote w:id="230">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Los nombres de tales personas, conforme indicaron los representantes, son: “</w:t>
      </w:r>
      <w:r w:rsidRPr="00637508">
        <w:rPr>
          <w:sz w:val="16"/>
          <w:szCs w:val="16"/>
          <w:lang w:val="es-CR"/>
        </w:rPr>
        <w:t>Pascual José Pascual</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Santiago </w:t>
      </w:r>
      <w:proofErr w:type="spellStart"/>
      <w:r w:rsidRPr="00637508">
        <w:rPr>
          <w:sz w:val="16"/>
          <w:szCs w:val="16"/>
          <w:lang w:val="es-CR"/>
        </w:rPr>
        <w:t>Maquín</w:t>
      </w:r>
      <w:proofErr w:type="spellEnd"/>
      <w:r w:rsidRPr="00637508">
        <w:rPr>
          <w:sz w:val="16"/>
          <w:szCs w:val="16"/>
          <w:lang w:val="es-CR"/>
        </w:rPr>
        <w:t xml:space="preserve"> </w:t>
      </w:r>
      <w:proofErr w:type="spellStart"/>
      <w:r w:rsidRPr="00637508">
        <w:rPr>
          <w:sz w:val="16"/>
          <w:szCs w:val="16"/>
          <w:lang w:val="es-CR"/>
        </w:rPr>
        <w:t>Quip</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Rosendo Morales </w:t>
      </w:r>
      <w:proofErr w:type="spellStart"/>
      <w:r w:rsidRPr="00637508">
        <w:rPr>
          <w:sz w:val="16"/>
          <w:szCs w:val="16"/>
          <w:lang w:val="es-CR"/>
        </w:rPr>
        <w:t>Ortíz</w:t>
      </w:r>
      <w:proofErr w:type="spellEnd"/>
      <w:r>
        <w:rPr>
          <w:sz w:val="16"/>
          <w:szCs w:val="16"/>
          <w:lang w:val="es-CR"/>
        </w:rPr>
        <w:t>”;</w:t>
      </w:r>
      <w:r w:rsidRPr="00637508">
        <w:rPr>
          <w:sz w:val="16"/>
          <w:szCs w:val="16"/>
          <w:lang w:val="es-CR"/>
        </w:rPr>
        <w:t xml:space="preserve"> </w:t>
      </w:r>
      <w:r>
        <w:rPr>
          <w:sz w:val="16"/>
          <w:szCs w:val="16"/>
          <w:lang w:val="es-CR"/>
        </w:rPr>
        <w:t>“Ví</w:t>
      </w:r>
      <w:r w:rsidRPr="00637508">
        <w:rPr>
          <w:sz w:val="16"/>
          <w:szCs w:val="16"/>
          <w:lang w:val="es-CR"/>
        </w:rPr>
        <w:t>ctor Carrillo Morales</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Ricardo Pop </w:t>
      </w:r>
      <w:proofErr w:type="spellStart"/>
      <w:r w:rsidRPr="00637508">
        <w:rPr>
          <w:sz w:val="16"/>
          <w:szCs w:val="16"/>
          <w:lang w:val="es-CR"/>
        </w:rPr>
        <w:t>Caal</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Juana Felipe Velásquez</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Santos </w:t>
      </w:r>
      <w:proofErr w:type="spellStart"/>
      <w:r w:rsidRPr="00637508">
        <w:rPr>
          <w:sz w:val="16"/>
          <w:szCs w:val="16"/>
          <w:lang w:val="es-CR"/>
        </w:rPr>
        <w:t>Choc</w:t>
      </w:r>
      <w:proofErr w:type="spellEnd"/>
      <w:r w:rsidRPr="00637508">
        <w:rPr>
          <w:sz w:val="16"/>
          <w:szCs w:val="16"/>
          <w:lang w:val="es-CR"/>
        </w:rPr>
        <w:t xml:space="preserve"> </w:t>
      </w:r>
      <w:proofErr w:type="spellStart"/>
      <w:r w:rsidRPr="00637508">
        <w:rPr>
          <w:sz w:val="16"/>
          <w:szCs w:val="16"/>
          <w:lang w:val="es-CR"/>
        </w:rPr>
        <w:t>Coc</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Rosenda Sales </w:t>
      </w:r>
      <w:proofErr w:type="spellStart"/>
      <w:r w:rsidRPr="00637508">
        <w:rPr>
          <w:sz w:val="16"/>
          <w:szCs w:val="16"/>
          <w:lang w:val="es-CR"/>
        </w:rPr>
        <w:t>Ort</w:t>
      </w:r>
      <w:r>
        <w:rPr>
          <w:sz w:val="16"/>
          <w:szCs w:val="16"/>
          <w:lang w:val="es-CR"/>
        </w:rPr>
        <w:t>í</w:t>
      </w:r>
      <w:r w:rsidRPr="00637508">
        <w:rPr>
          <w:sz w:val="16"/>
          <w:szCs w:val="16"/>
          <w:lang w:val="es-CR"/>
        </w:rPr>
        <w:t>z</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Marcos Raymundo </w:t>
      </w:r>
      <w:proofErr w:type="spellStart"/>
      <w:r w:rsidRPr="00637508">
        <w:rPr>
          <w:sz w:val="16"/>
          <w:szCs w:val="16"/>
          <w:lang w:val="es-CR"/>
        </w:rPr>
        <w:t>Jolomná</w:t>
      </w:r>
      <w:proofErr w:type="spellEnd"/>
      <w:r w:rsidRPr="00637508">
        <w:rPr>
          <w:sz w:val="16"/>
          <w:szCs w:val="16"/>
          <w:lang w:val="es-CR"/>
        </w:rPr>
        <w:t xml:space="preserve"> </w:t>
      </w:r>
      <w:proofErr w:type="spellStart"/>
      <w:r w:rsidRPr="00637508">
        <w:rPr>
          <w:sz w:val="16"/>
          <w:szCs w:val="16"/>
          <w:lang w:val="es-CR"/>
        </w:rPr>
        <w:t>Yat</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Rolando Hernández Maldonado</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Aurelio Hernández M</w:t>
      </w:r>
      <w:r>
        <w:rPr>
          <w:sz w:val="16"/>
          <w:szCs w:val="16"/>
          <w:lang w:val="es-CR"/>
        </w:rPr>
        <w:t>orales”;</w:t>
      </w:r>
      <w:r w:rsidRPr="00637508">
        <w:rPr>
          <w:sz w:val="16"/>
          <w:szCs w:val="16"/>
          <w:lang w:val="es-CR"/>
        </w:rPr>
        <w:t xml:space="preserve"> </w:t>
      </w:r>
      <w:r>
        <w:rPr>
          <w:sz w:val="16"/>
          <w:szCs w:val="16"/>
          <w:lang w:val="es-CR"/>
        </w:rPr>
        <w:t>“</w:t>
      </w:r>
      <w:r w:rsidRPr="00637508">
        <w:rPr>
          <w:sz w:val="16"/>
          <w:szCs w:val="16"/>
          <w:lang w:val="es-CR"/>
        </w:rPr>
        <w:t>Josefa Mendoza Aguilar</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Micaela Pascual Juan</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Carmen </w:t>
      </w:r>
      <w:proofErr w:type="spellStart"/>
      <w:r w:rsidRPr="00637508">
        <w:rPr>
          <w:sz w:val="16"/>
          <w:szCs w:val="16"/>
          <w:lang w:val="es-CR"/>
        </w:rPr>
        <w:t>Caal</w:t>
      </w:r>
      <w:proofErr w:type="spellEnd"/>
      <w:r w:rsidRPr="00637508">
        <w:rPr>
          <w:sz w:val="16"/>
          <w:szCs w:val="16"/>
          <w:lang w:val="es-CR"/>
        </w:rPr>
        <w:t xml:space="preserve"> </w:t>
      </w:r>
      <w:proofErr w:type="spellStart"/>
      <w:r w:rsidRPr="00637508">
        <w:rPr>
          <w:sz w:val="16"/>
          <w:szCs w:val="16"/>
          <w:lang w:val="es-CR"/>
        </w:rPr>
        <w:t>Saqui</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Juan Medina Toma</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Mateo Pedro</w:t>
      </w:r>
      <w:r>
        <w:rPr>
          <w:sz w:val="16"/>
          <w:szCs w:val="16"/>
          <w:lang w:val="es-CR"/>
        </w:rPr>
        <w:t>”;</w:t>
      </w:r>
      <w:r w:rsidRPr="00637508">
        <w:rPr>
          <w:sz w:val="16"/>
          <w:szCs w:val="16"/>
          <w:lang w:val="es-CR"/>
        </w:rPr>
        <w:t xml:space="preserve"> </w:t>
      </w:r>
      <w:r>
        <w:rPr>
          <w:sz w:val="16"/>
          <w:szCs w:val="16"/>
          <w:lang w:val="es-CR"/>
        </w:rPr>
        <w:t xml:space="preserve">“Martín </w:t>
      </w:r>
      <w:proofErr w:type="spellStart"/>
      <w:r>
        <w:rPr>
          <w:sz w:val="16"/>
          <w:szCs w:val="16"/>
          <w:lang w:val="es-CR"/>
        </w:rPr>
        <w:t>Quip</w:t>
      </w:r>
      <w:proofErr w:type="spellEnd"/>
      <w:r>
        <w:rPr>
          <w:sz w:val="16"/>
          <w:szCs w:val="16"/>
          <w:lang w:val="es-CR"/>
        </w:rPr>
        <w:t xml:space="preserve"> </w:t>
      </w:r>
      <w:proofErr w:type="spellStart"/>
      <w:r>
        <w:rPr>
          <w:sz w:val="16"/>
          <w:szCs w:val="16"/>
          <w:lang w:val="es-CR"/>
        </w:rPr>
        <w:t>Mucú</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Francisco Hernández</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Juana Andrés Maldonado</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Tomás Grave </w:t>
      </w:r>
      <w:proofErr w:type="spellStart"/>
      <w:r w:rsidRPr="00637508">
        <w:rPr>
          <w:sz w:val="16"/>
          <w:szCs w:val="16"/>
          <w:lang w:val="es-CR"/>
        </w:rPr>
        <w:t>Morente</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Jacinta Matón Raymundo</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Pedro Daniel Carrillo López</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Natividad Sales Calmo</w:t>
      </w:r>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 xml:space="preserve">Efraín Grave </w:t>
      </w:r>
      <w:proofErr w:type="spellStart"/>
      <w:r w:rsidRPr="00637508">
        <w:rPr>
          <w:sz w:val="16"/>
          <w:szCs w:val="16"/>
          <w:lang w:val="es-CR"/>
        </w:rPr>
        <w:t>Morente</w:t>
      </w:r>
      <w:proofErr w:type="spellEnd"/>
      <w:r>
        <w:rPr>
          <w:sz w:val="16"/>
          <w:szCs w:val="16"/>
          <w:lang w:val="es-CR"/>
        </w:rPr>
        <w:t>”;</w:t>
      </w:r>
      <w:r w:rsidRPr="00637508">
        <w:rPr>
          <w:sz w:val="16"/>
          <w:szCs w:val="16"/>
          <w:lang w:val="es-CR"/>
        </w:rPr>
        <w:t xml:space="preserve"> </w:t>
      </w:r>
      <w:r>
        <w:rPr>
          <w:sz w:val="16"/>
          <w:szCs w:val="16"/>
          <w:lang w:val="es-CR"/>
        </w:rPr>
        <w:t>“</w:t>
      </w:r>
      <w:r w:rsidRPr="00637508">
        <w:rPr>
          <w:sz w:val="16"/>
          <w:szCs w:val="16"/>
          <w:lang w:val="es-CR"/>
        </w:rPr>
        <w:t>Eliseo Hernández</w:t>
      </w:r>
      <w:r>
        <w:rPr>
          <w:sz w:val="16"/>
          <w:szCs w:val="16"/>
          <w:lang w:val="es-CR"/>
        </w:rPr>
        <w:t xml:space="preserve"> Morales”,</w:t>
      </w:r>
      <w:r w:rsidRPr="00637508">
        <w:rPr>
          <w:sz w:val="16"/>
          <w:szCs w:val="16"/>
          <w:lang w:val="es-CR"/>
        </w:rPr>
        <w:t xml:space="preserve"> y </w:t>
      </w:r>
      <w:r>
        <w:rPr>
          <w:sz w:val="16"/>
          <w:szCs w:val="16"/>
          <w:lang w:val="es-CR"/>
        </w:rPr>
        <w:t xml:space="preserve">“Santiago </w:t>
      </w:r>
      <w:proofErr w:type="spellStart"/>
      <w:r>
        <w:rPr>
          <w:sz w:val="16"/>
          <w:szCs w:val="16"/>
          <w:lang w:val="es-CR"/>
        </w:rPr>
        <w:t>Cajbó</w:t>
      </w:r>
      <w:r w:rsidRPr="00637508">
        <w:rPr>
          <w:sz w:val="16"/>
          <w:szCs w:val="16"/>
          <w:lang w:val="es-CR"/>
        </w:rPr>
        <w:t>n</w:t>
      </w:r>
      <w:proofErr w:type="spellEnd"/>
      <w:r w:rsidRPr="00637508">
        <w:rPr>
          <w:sz w:val="16"/>
          <w:szCs w:val="16"/>
          <w:lang w:val="es-CR"/>
        </w:rPr>
        <w:t xml:space="preserve"> </w:t>
      </w:r>
      <w:proofErr w:type="spellStart"/>
      <w:r w:rsidRPr="00637508">
        <w:rPr>
          <w:sz w:val="16"/>
          <w:szCs w:val="16"/>
          <w:lang w:val="es-CR"/>
        </w:rPr>
        <w:t>Quip</w:t>
      </w:r>
      <w:proofErr w:type="spellEnd"/>
      <w:r>
        <w:rPr>
          <w:sz w:val="16"/>
          <w:szCs w:val="16"/>
          <w:lang w:val="es-CR"/>
        </w:rPr>
        <w:t>”</w:t>
      </w:r>
      <w:r w:rsidRPr="00637508">
        <w:rPr>
          <w:sz w:val="16"/>
          <w:szCs w:val="16"/>
          <w:lang w:val="es-CR"/>
        </w:rPr>
        <w:t>.</w:t>
      </w:r>
    </w:p>
  </w:footnote>
  <w:footnote w:id="231">
    <w:p w:rsidR="00785921" w:rsidRPr="00637508" w:rsidRDefault="00785921" w:rsidP="00126E97">
      <w:pPr>
        <w:pStyle w:val="FootnoteText"/>
        <w:spacing w:line="20" w:lineRule="atLeast"/>
        <w:rPr>
          <w:sz w:val="16"/>
          <w:szCs w:val="16"/>
          <w:lang w:val="es-CR"/>
        </w:rPr>
      </w:pPr>
      <w:r>
        <w:rPr>
          <w:rStyle w:val="FootnoteReference"/>
          <w:sz w:val="16"/>
          <w:szCs w:val="16"/>
          <w:lang w:eastAsia="x-none"/>
        </w:rPr>
        <w:footnoteRef/>
      </w:r>
      <w:r w:rsidRPr="00637508">
        <w:rPr>
          <w:sz w:val="16"/>
          <w:szCs w:val="16"/>
          <w:lang w:val="es-CR"/>
        </w:rPr>
        <w:t xml:space="preserve"> </w:t>
      </w:r>
      <w:r>
        <w:rPr>
          <w:sz w:val="16"/>
          <w:szCs w:val="16"/>
          <w:lang w:val="es-CR"/>
        </w:rPr>
        <w:t xml:space="preserve">Los representantes </w:t>
      </w:r>
      <w:r>
        <w:rPr>
          <w:rFonts w:eastAsia="MS Mincho"/>
          <w:sz w:val="16"/>
          <w:szCs w:val="16"/>
          <w:lang w:val="es-ES_tradnl"/>
        </w:rPr>
        <w:t xml:space="preserve">pidieron Q 173,592.60 para cada una de las 26 personas. </w:t>
      </w:r>
      <w:r>
        <w:rPr>
          <w:sz w:val="16"/>
          <w:szCs w:val="16"/>
          <w:lang w:val="es-CR"/>
        </w:rPr>
        <w:t>S</w:t>
      </w:r>
      <w:r w:rsidRPr="00637508">
        <w:rPr>
          <w:sz w:val="16"/>
          <w:szCs w:val="16"/>
          <w:lang w:val="es-CR"/>
        </w:rPr>
        <w:t xml:space="preserve">eñalaron que utilizaron </w:t>
      </w:r>
      <w:r>
        <w:rPr>
          <w:sz w:val="16"/>
          <w:szCs w:val="16"/>
          <w:lang w:val="es-CR"/>
        </w:rPr>
        <w:t>el mismo método usado</w:t>
      </w:r>
      <w:r w:rsidRPr="00637508">
        <w:rPr>
          <w:sz w:val="16"/>
          <w:szCs w:val="16"/>
          <w:lang w:val="es-CR"/>
        </w:rPr>
        <w:t xml:space="preserve"> para el cálculo del monto de lucro cesante a favor de las víctimas fallecidas, </w:t>
      </w:r>
      <w:r>
        <w:rPr>
          <w:sz w:val="16"/>
          <w:szCs w:val="16"/>
          <w:lang w:val="es-CR"/>
        </w:rPr>
        <w:t>pero</w:t>
      </w:r>
      <w:r w:rsidRPr="00637508">
        <w:rPr>
          <w:sz w:val="16"/>
          <w:szCs w:val="16"/>
          <w:lang w:val="es-CR"/>
        </w:rPr>
        <w:t xml:space="preserve"> </w:t>
      </w:r>
      <w:r>
        <w:rPr>
          <w:sz w:val="16"/>
          <w:szCs w:val="16"/>
          <w:lang w:val="es-CR"/>
        </w:rPr>
        <w:t>aclararon que “se computó únicamente por los primeros cinco años a partir de 1997”</w:t>
      </w:r>
      <w:r w:rsidRPr="00637508">
        <w:rPr>
          <w:sz w:val="16"/>
          <w:szCs w:val="16"/>
          <w:lang w:val="es-CR"/>
        </w:rPr>
        <w:t>.</w:t>
      </w:r>
    </w:p>
  </w:footnote>
  <w:footnote w:id="232">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Pidieron para cada una de las 26 </w:t>
      </w:r>
      <w:r>
        <w:rPr>
          <w:sz w:val="16"/>
          <w:szCs w:val="16"/>
          <w:lang w:val="es-CR"/>
        </w:rPr>
        <w:t>personas</w:t>
      </w:r>
      <w:r w:rsidRPr="00637508">
        <w:rPr>
          <w:sz w:val="16"/>
          <w:szCs w:val="16"/>
          <w:lang w:val="es-CR"/>
        </w:rPr>
        <w:t xml:space="preserve"> referidas </w:t>
      </w:r>
      <w:r>
        <w:rPr>
          <w:rFonts w:eastAsia="MS Mincho"/>
          <w:sz w:val="16"/>
          <w:szCs w:val="16"/>
          <w:lang w:val="es-ES_tradnl"/>
        </w:rPr>
        <w:t>Q 179,959.98, indicando que la suma total por las 26 personas corresponde a Q 4</w:t>
      </w:r>
      <w:proofErr w:type="gramStart"/>
      <w:r>
        <w:rPr>
          <w:rFonts w:eastAsia="MS Mincho"/>
          <w:sz w:val="16"/>
          <w:szCs w:val="16"/>
          <w:lang w:val="es-ES_tradnl"/>
        </w:rPr>
        <w:t>,678,959.39</w:t>
      </w:r>
      <w:proofErr w:type="gramEnd"/>
      <w:r>
        <w:rPr>
          <w:rFonts w:eastAsia="MS Mincho"/>
          <w:sz w:val="16"/>
          <w:szCs w:val="16"/>
          <w:lang w:val="es-ES_tradnl"/>
        </w:rPr>
        <w:t>.</w:t>
      </w:r>
    </w:p>
  </w:footnote>
  <w:footnote w:id="233">
    <w:p w:rsidR="00785921" w:rsidRDefault="00785921" w:rsidP="00126E97">
      <w:pPr>
        <w:pStyle w:val="FootnoteText"/>
        <w:spacing w:line="20" w:lineRule="atLeast"/>
        <w:rPr>
          <w:sz w:val="16"/>
          <w:szCs w:val="16"/>
          <w:lang w:val="es-ES_tradnl"/>
        </w:rPr>
      </w:pPr>
      <w:r>
        <w:rPr>
          <w:rStyle w:val="FootnoteReference"/>
          <w:sz w:val="16"/>
          <w:szCs w:val="16"/>
          <w:lang w:val="es-ES_tradnl" w:eastAsia="x-none"/>
        </w:rPr>
        <w:footnoteRef/>
      </w:r>
      <w:r w:rsidRPr="00637508">
        <w:rPr>
          <w:sz w:val="16"/>
          <w:szCs w:val="16"/>
          <w:lang w:val="es-CR"/>
        </w:rPr>
        <w:t xml:space="preserve"> </w:t>
      </w:r>
      <w:r>
        <w:rPr>
          <w:rFonts w:eastAsia="MS Mincho"/>
          <w:sz w:val="16"/>
          <w:szCs w:val="16"/>
          <w:lang w:val="es-ES_tradnl"/>
        </w:rPr>
        <w:t>Reclamaron Q 2</w:t>
      </w:r>
      <w:proofErr w:type="gramStart"/>
      <w:r>
        <w:rPr>
          <w:rFonts w:eastAsia="MS Mincho"/>
          <w:sz w:val="16"/>
          <w:szCs w:val="16"/>
          <w:lang w:val="es-ES_tradnl"/>
        </w:rPr>
        <w:t>,083,111.2</w:t>
      </w:r>
      <w:proofErr w:type="gramEnd"/>
      <w:r>
        <w:rPr>
          <w:rFonts w:eastAsia="MS Mincho"/>
          <w:sz w:val="16"/>
          <w:szCs w:val="16"/>
          <w:lang w:val="es-ES_tradnl"/>
        </w:rPr>
        <w:t xml:space="preserve"> por concepto de lucro cesante, lo cual es equivalente a US$ 278,697.96 y una cifra por concepto de intereses de Q 124,986.67 lo cual equivale a US$ 16,721.84.</w:t>
      </w:r>
    </w:p>
  </w:footnote>
  <w:footnote w:id="234">
    <w:p w:rsidR="00785921" w:rsidRDefault="00785921" w:rsidP="00126E97">
      <w:pPr>
        <w:pStyle w:val="FootnoteText"/>
        <w:spacing w:line="20" w:lineRule="atLeast"/>
        <w:rPr>
          <w:lang w:val="es-CR"/>
        </w:rPr>
      </w:pPr>
      <w:r>
        <w:rPr>
          <w:rStyle w:val="FootnoteReference"/>
          <w:sz w:val="16"/>
          <w:szCs w:val="16"/>
          <w:lang w:val="es-CR" w:eastAsia="x-none"/>
        </w:rPr>
        <w:footnoteRef/>
      </w:r>
      <w:r w:rsidRPr="00637508">
        <w:rPr>
          <w:sz w:val="16"/>
          <w:szCs w:val="16"/>
          <w:lang w:val="es-CR"/>
        </w:rPr>
        <w:t xml:space="preserve"> </w:t>
      </w:r>
      <w:r>
        <w:rPr>
          <w:bCs/>
          <w:i/>
          <w:color w:val="000000"/>
          <w:sz w:val="16"/>
          <w:szCs w:val="16"/>
          <w:shd w:val="clear" w:color="auto" w:fill="FFFFFF"/>
          <w:lang w:val="es-CR"/>
        </w:rPr>
        <w:t>Caso de los “Niños de la Calle” (Villagrán Morales y otros) Vs. Guatemala. Reparaciones y Costas</w:t>
      </w:r>
      <w:r>
        <w:rPr>
          <w:bCs/>
          <w:color w:val="000000"/>
          <w:sz w:val="16"/>
          <w:szCs w:val="16"/>
          <w:shd w:val="clear" w:color="auto" w:fill="FFFFFF"/>
          <w:lang w:val="es-CR"/>
        </w:rPr>
        <w:t xml:space="preserve">. Sentencia de 26 de mayo de 2001. Serie C No. 77, párr. 81. </w:t>
      </w:r>
    </w:p>
  </w:footnote>
  <w:footnote w:id="235">
    <w:p w:rsidR="00785921" w:rsidRPr="00D05F7B" w:rsidRDefault="00785921" w:rsidP="00126E97">
      <w:pPr>
        <w:pStyle w:val="FootnoteText"/>
        <w:tabs>
          <w:tab w:val="left" w:pos="360"/>
        </w:tabs>
        <w:spacing w:line="20" w:lineRule="atLeast"/>
        <w:contextualSpacing/>
        <w:rPr>
          <w:sz w:val="16"/>
          <w:szCs w:val="16"/>
          <w:lang w:val="es-CR"/>
        </w:rPr>
      </w:pPr>
      <w:r>
        <w:rPr>
          <w:rStyle w:val="FootnoteReference"/>
          <w:sz w:val="16"/>
          <w:szCs w:val="16"/>
          <w:lang w:eastAsia="x-none"/>
        </w:rPr>
        <w:footnoteRef/>
      </w:r>
      <w:r>
        <w:rPr>
          <w:i/>
          <w:sz w:val="16"/>
          <w:szCs w:val="16"/>
          <w:lang w:val="es-CR"/>
        </w:rPr>
        <w:t xml:space="preserve"> </w:t>
      </w:r>
      <w:r w:rsidRPr="00676759">
        <w:rPr>
          <w:i/>
          <w:sz w:val="16"/>
          <w:szCs w:val="16"/>
          <w:lang w:val="es-CR"/>
        </w:rPr>
        <w:t>Cfr.</w:t>
      </w:r>
      <w:r w:rsidRPr="00676759">
        <w:rPr>
          <w:sz w:val="16"/>
          <w:szCs w:val="16"/>
          <w:lang w:val="es-CR"/>
        </w:rPr>
        <w:t xml:space="preserve"> </w:t>
      </w:r>
      <w:r w:rsidRPr="00676759">
        <w:rPr>
          <w:i/>
          <w:sz w:val="16"/>
          <w:szCs w:val="16"/>
          <w:lang w:val="es-CR"/>
        </w:rPr>
        <w:t>Caso de los “Niños de la Calle” (Villagrán Morales y otros) Vs. Guatemala. Reparaciones y Costas</w:t>
      </w:r>
      <w:r>
        <w:rPr>
          <w:i/>
          <w:sz w:val="16"/>
          <w:szCs w:val="16"/>
          <w:lang w:val="es-CR"/>
        </w:rPr>
        <w:t>, supra</w:t>
      </w:r>
      <w:r w:rsidRPr="00676759">
        <w:rPr>
          <w:sz w:val="16"/>
          <w:szCs w:val="16"/>
          <w:lang w:val="es-CR"/>
        </w:rPr>
        <w:t>, párr. 84, y</w:t>
      </w:r>
      <w:r>
        <w:rPr>
          <w:lang w:val="es-CR"/>
        </w:rPr>
        <w:t xml:space="preserve"> </w:t>
      </w:r>
      <w:r w:rsidRPr="00D05F7B">
        <w:rPr>
          <w:rStyle w:val="Strong"/>
          <w:b w:val="0"/>
          <w:i/>
          <w:sz w:val="16"/>
          <w:szCs w:val="16"/>
          <w:lang w:val="es-CR"/>
        </w:rPr>
        <w:t xml:space="preserve">Caso </w:t>
      </w:r>
      <w:proofErr w:type="spellStart"/>
      <w:r w:rsidRPr="00D05F7B">
        <w:rPr>
          <w:rStyle w:val="Strong"/>
          <w:b w:val="0"/>
          <w:i/>
          <w:sz w:val="16"/>
          <w:szCs w:val="16"/>
          <w:lang w:val="es-CR"/>
        </w:rPr>
        <w:t>Amrhein</w:t>
      </w:r>
      <w:proofErr w:type="spellEnd"/>
      <w:r w:rsidRPr="00D05F7B">
        <w:rPr>
          <w:rStyle w:val="Strong"/>
          <w:b w:val="0"/>
          <w:i/>
          <w:sz w:val="16"/>
          <w:szCs w:val="16"/>
          <w:lang w:val="es-CR"/>
        </w:rPr>
        <w:t xml:space="preserve"> y otros vs. Costa Rica</w:t>
      </w:r>
      <w:r>
        <w:rPr>
          <w:rStyle w:val="Strong"/>
          <w:b w:val="0"/>
          <w:i/>
          <w:sz w:val="16"/>
          <w:szCs w:val="16"/>
          <w:lang w:val="es-CR"/>
        </w:rPr>
        <w:t>, supra</w:t>
      </w:r>
      <w:r w:rsidRPr="00D05F7B">
        <w:rPr>
          <w:bCs/>
          <w:i/>
          <w:sz w:val="16"/>
          <w:szCs w:val="16"/>
          <w:lang w:val="es-CR"/>
        </w:rPr>
        <w:t xml:space="preserve">, </w:t>
      </w:r>
      <w:r w:rsidRPr="00D05F7B">
        <w:rPr>
          <w:bCs/>
          <w:sz w:val="16"/>
          <w:szCs w:val="16"/>
          <w:lang w:val="es-CR"/>
        </w:rPr>
        <w:t>párr. 482.</w:t>
      </w:r>
    </w:p>
  </w:footnote>
  <w:footnote w:id="236">
    <w:p w:rsidR="00785921" w:rsidRPr="00D05F7B" w:rsidRDefault="00785921" w:rsidP="00126E97">
      <w:pPr>
        <w:pStyle w:val="FootnoteText"/>
        <w:tabs>
          <w:tab w:val="left" w:pos="567"/>
          <w:tab w:val="left" w:pos="709"/>
        </w:tabs>
        <w:spacing w:line="20" w:lineRule="atLeast"/>
        <w:rPr>
          <w:sz w:val="16"/>
          <w:szCs w:val="16"/>
          <w:lang w:val="es-CR"/>
        </w:rPr>
      </w:pPr>
      <w:r w:rsidRPr="00D05F7B">
        <w:rPr>
          <w:rStyle w:val="FootnoteReference"/>
          <w:rFonts w:eastAsia="Calibri"/>
          <w:sz w:val="16"/>
          <w:szCs w:val="16"/>
          <w:lang w:val="es-CR" w:eastAsia="x-none"/>
        </w:rPr>
        <w:footnoteRef/>
      </w:r>
      <w:r w:rsidRPr="00D05F7B">
        <w:rPr>
          <w:sz w:val="16"/>
          <w:szCs w:val="16"/>
          <w:lang w:val="es-CR"/>
        </w:rPr>
        <w:t xml:space="preserve"> </w:t>
      </w:r>
      <w:r w:rsidRPr="00D05F7B">
        <w:rPr>
          <w:i/>
          <w:sz w:val="16"/>
          <w:szCs w:val="16"/>
          <w:lang w:val="es-CR"/>
        </w:rPr>
        <w:t>Cfr. Caso de los “Niños de la Calle” (Villagrán Morales y otros) Vs. Guatemala</w:t>
      </w:r>
      <w:r w:rsidRPr="00D05F7B">
        <w:rPr>
          <w:sz w:val="16"/>
          <w:szCs w:val="16"/>
          <w:lang w:val="es-CR"/>
        </w:rPr>
        <w:t xml:space="preserve">. </w:t>
      </w:r>
      <w:r w:rsidRPr="00D05F7B">
        <w:rPr>
          <w:i/>
          <w:sz w:val="16"/>
          <w:szCs w:val="16"/>
          <w:lang w:val="es-CR"/>
        </w:rPr>
        <w:t>Reparaciones y Costas</w:t>
      </w:r>
      <w:r>
        <w:rPr>
          <w:i/>
          <w:sz w:val="16"/>
          <w:szCs w:val="16"/>
          <w:lang w:val="es-CR"/>
        </w:rPr>
        <w:t>, supra</w:t>
      </w:r>
      <w:r w:rsidRPr="00D05F7B">
        <w:rPr>
          <w:i/>
          <w:sz w:val="16"/>
          <w:szCs w:val="16"/>
          <w:lang w:val="es-CR"/>
        </w:rPr>
        <w:t xml:space="preserve">, </w:t>
      </w:r>
      <w:r w:rsidRPr="00D05F7B">
        <w:rPr>
          <w:sz w:val="16"/>
          <w:szCs w:val="16"/>
          <w:lang w:val="es-CR"/>
        </w:rPr>
        <w:t xml:space="preserve">párr. 84, y </w:t>
      </w:r>
      <w:r w:rsidRPr="00D05F7B">
        <w:rPr>
          <w:rStyle w:val="Strong"/>
          <w:b w:val="0"/>
          <w:i/>
          <w:sz w:val="16"/>
          <w:szCs w:val="16"/>
          <w:lang w:val="es-CR"/>
        </w:rPr>
        <w:t>Caso V.R.P., V.P.C. y otros Vs. Nicaragua</w:t>
      </w:r>
      <w:r>
        <w:rPr>
          <w:rStyle w:val="Strong"/>
          <w:b w:val="0"/>
          <w:i/>
          <w:sz w:val="16"/>
          <w:szCs w:val="16"/>
          <w:lang w:val="es-CR"/>
        </w:rPr>
        <w:t>, supra</w:t>
      </w:r>
      <w:r w:rsidRPr="00D05F7B">
        <w:rPr>
          <w:bCs/>
          <w:sz w:val="16"/>
          <w:szCs w:val="16"/>
          <w:lang w:val="es-CR"/>
        </w:rPr>
        <w:t>,</w:t>
      </w:r>
      <w:r w:rsidRPr="00D05F7B">
        <w:rPr>
          <w:sz w:val="16"/>
          <w:szCs w:val="16"/>
          <w:lang w:val="es-CR"/>
        </w:rPr>
        <w:t xml:space="preserve"> p</w:t>
      </w:r>
      <w:r w:rsidRPr="00D05F7B">
        <w:rPr>
          <w:rFonts w:cs="Calibri"/>
          <w:sz w:val="16"/>
          <w:szCs w:val="16"/>
          <w:lang w:val="es-CR"/>
        </w:rPr>
        <w:t>á</w:t>
      </w:r>
      <w:r w:rsidRPr="00D05F7B">
        <w:rPr>
          <w:sz w:val="16"/>
          <w:szCs w:val="16"/>
          <w:lang w:val="es-CR"/>
        </w:rPr>
        <w:t>rr. 424.</w:t>
      </w:r>
    </w:p>
  </w:footnote>
  <w:footnote w:id="237">
    <w:p w:rsidR="00785921" w:rsidRPr="00D05F7B" w:rsidRDefault="00785921" w:rsidP="00126E97">
      <w:pPr>
        <w:tabs>
          <w:tab w:val="left" w:pos="-540"/>
          <w:tab w:val="left" w:pos="360"/>
        </w:tabs>
        <w:spacing w:after="0" w:line="20" w:lineRule="atLeast"/>
        <w:contextualSpacing/>
        <w:jc w:val="both"/>
        <w:rPr>
          <w:rFonts w:ascii="Verdana" w:hAnsi="Verdana"/>
          <w:b/>
          <w:color w:val="000000"/>
          <w:sz w:val="16"/>
          <w:szCs w:val="16"/>
          <w:lang w:val="es-CR"/>
        </w:rPr>
      </w:pPr>
      <w:r w:rsidRPr="00D05F7B">
        <w:rPr>
          <w:rStyle w:val="FootnoteReference"/>
          <w:rFonts w:ascii="Verdana" w:hAnsi="Verdana"/>
          <w:color w:val="000000"/>
          <w:sz w:val="16"/>
          <w:szCs w:val="16"/>
          <w:lang w:val="es-CR" w:eastAsia="x-none"/>
        </w:rPr>
        <w:footnoteRef/>
      </w:r>
      <w:r w:rsidRPr="00D05F7B">
        <w:rPr>
          <w:rFonts w:ascii="Verdana" w:hAnsi="Verdana"/>
          <w:i/>
          <w:color w:val="000000"/>
          <w:sz w:val="16"/>
          <w:szCs w:val="16"/>
          <w:lang w:val="es-CR"/>
        </w:rPr>
        <w:t xml:space="preserve">Cfr. </w:t>
      </w:r>
      <w:r w:rsidRPr="00D05F7B">
        <w:rPr>
          <w:rFonts w:ascii="Verdana" w:hAnsi="Verdana"/>
          <w:color w:val="000000"/>
          <w:sz w:val="16"/>
          <w:szCs w:val="16"/>
          <w:lang w:val="es-CR"/>
        </w:rPr>
        <w:t>en similar sentido</w:t>
      </w:r>
      <w:r w:rsidRPr="00D05F7B">
        <w:rPr>
          <w:rFonts w:ascii="Verdana" w:hAnsi="Verdana"/>
          <w:i/>
          <w:color w:val="000000"/>
          <w:sz w:val="16"/>
          <w:szCs w:val="16"/>
          <w:lang w:val="es-CR"/>
        </w:rPr>
        <w:t xml:space="preserve">, </w:t>
      </w:r>
      <w:r w:rsidRPr="00D05F7B">
        <w:rPr>
          <w:rStyle w:val="Strong"/>
          <w:rFonts w:ascii="Verdana" w:hAnsi="Verdana"/>
          <w:b w:val="0"/>
          <w:i/>
          <w:sz w:val="16"/>
          <w:szCs w:val="16"/>
          <w:lang w:val="es-CR"/>
        </w:rPr>
        <w:t xml:space="preserve">Caso </w:t>
      </w:r>
      <w:proofErr w:type="spellStart"/>
      <w:r w:rsidRPr="00D05F7B">
        <w:rPr>
          <w:rStyle w:val="Strong"/>
          <w:rFonts w:ascii="Verdana" w:hAnsi="Verdana"/>
          <w:b w:val="0"/>
          <w:i/>
          <w:sz w:val="16"/>
          <w:szCs w:val="16"/>
          <w:lang w:val="es-CR"/>
        </w:rPr>
        <w:t>Ticona</w:t>
      </w:r>
      <w:proofErr w:type="spellEnd"/>
      <w:r w:rsidRPr="00D05F7B">
        <w:rPr>
          <w:rStyle w:val="Strong"/>
          <w:rFonts w:ascii="Verdana" w:hAnsi="Verdana"/>
          <w:b w:val="0"/>
          <w:i/>
          <w:sz w:val="16"/>
          <w:szCs w:val="16"/>
          <w:lang w:val="es-CR"/>
        </w:rPr>
        <w:t xml:space="preserve"> Estrada y otros Vs. Bolivia</w:t>
      </w:r>
      <w:r>
        <w:rPr>
          <w:rStyle w:val="Strong"/>
          <w:rFonts w:ascii="Verdana" w:hAnsi="Verdana"/>
          <w:b w:val="0"/>
          <w:i/>
          <w:sz w:val="16"/>
          <w:szCs w:val="16"/>
          <w:lang w:val="es-CR"/>
        </w:rPr>
        <w:t>, supra</w:t>
      </w:r>
      <w:r w:rsidRPr="00D05F7B">
        <w:rPr>
          <w:rFonts w:ascii="Verdana" w:hAnsi="Verdana"/>
          <w:color w:val="000000"/>
          <w:sz w:val="16"/>
          <w:szCs w:val="16"/>
          <w:lang w:val="es-CR"/>
        </w:rPr>
        <w:t xml:space="preserve">, párr. 109, y </w:t>
      </w:r>
      <w:r w:rsidRPr="00D05F7B">
        <w:rPr>
          <w:rStyle w:val="Strong"/>
          <w:rFonts w:ascii="Verdana" w:hAnsi="Verdana"/>
          <w:b w:val="0"/>
          <w:i/>
          <w:sz w:val="16"/>
          <w:szCs w:val="16"/>
          <w:lang w:val="es-CR"/>
        </w:rPr>
        <w:t xml:space="preserve">Caso Carvajal </w:t>
      </w:r>
      <w:proofErr w:type="spellStart"/>
      <w:r w:rsidRPr="00D05F7B">
        <w:rPr>
          <w:rStyle w:val="Strong"/>
          <w:rFonts w:ascii="Verdana" w:hAnsi="Verdana"/>
          <w:b w:val="0"/>
          <w:i/>
          <w:sz w:val="16"/>
          <w:szCs w:val="16"/>
          <w:lang w:val="es-CR"/>
        </w:rPr>
        <w:t>Carvajal</w:t>
      </w:r>
      <w:proofErr w:type="spellEnd"/>
      <w:r w:rsidRPr="00D05F7B">
        <w:rPr>
          <w:rStyle w:val="Strong"/>
          <w:rFonts w:ascii="Verdana" w:hAnsi="Verdana"/>
          <w:b w:val="0"/>
          <w:i/>
          <w:sz w:val="16"/>
          <w:szCs w:val="16"/>
          <w:lang w:val="es-CR"/>
        </w:rPr>
        <w:t xml:space="preserve"> y otros Vs. Colombia</w:t>
      </w:r>
      <w:r>
        <w:rPr>
          <w:rStyle w:val="Strong"/>
          <w:rFonts w:ascii="Verdana" w:hAnsi="Verdana"/>
          <w:b w:val="0"/>
          <w:i/>
          <w:sz w:val="16"/>
          <w:szCs w:val="16"/>
          <w:lang w:val="es-CR"/>
        </w:rPr>
        <w:t>, supra</w:t>
      </w:r>
      <w:r w:rsidRPr="00D05F7B">
        <w:rPr>
          <w:rStyle w:val="Strong"/>
          <w:rFonts w:ascii="Verdana" w:hAnsi="Verdana"/>
          <w:b w:val="0"/>
          <w:sz w:val="16"/>
          <w:szCs w:val="16"/>
          <w:lang w:val="es-CR"/>
        </w:rPr>
        <w:t>, párr. 228.</w:t>
      </w:r>
    </w:p>
  </w:footnote>
  <w:footnote w:id="238">
    <w:p w:rsidR="00785921" w:rsidRPr="00EC6314" w:rsidRDefault="00785921" w:rsidP="00126E97">
      <w:pPr>
        <w:pStyle w:val="FootnoteText"/>
        <w:spacing w:line="20" w:lineRule="atLeast"/>
        <w:rPr>
          <w:sz w:val="16"/>
          <w:szCs w:val="16"/>
          <w:lang w:val="es-CR"/>
        </w:rPr>
      </w:pPr>
      <w:r w:rsidRPr="00C1547D">
        <w:rPr>
          <w:rStyle w:val="FootnoteReference"/>
          <w:sz w:val="16"/>
          <w:szCs w:val="16"/>
        </w:rPr>
        <w:footnoteRef/>
      </w:r>
      <w:r w:rsidRPr="00C1547D">
        <w:rPr>
          <w:sz w:val="16"/>
          <w:szCs w:val="16"/>
          <w:lang w:val="es-CR"/>
        </w:rPr>
        <w:t xml:space="preserve"> Se aclara que se hace alusión a familiares de 10 víctimas fallecidas pues no se indicaron familiares del niño fallecido Santiago </w:t>
      </w:r>
      <w:proofErr w:type="spellStart"/>
      <w:r w:rsidRPr="00C1547D">
        <w:rPr>
          <w:sz w:val="16"/>
          <w:szCs w:val="16"/>
          <w:lang w:val="es-CR"/>
        </w:rPr>
        <w:t>Coc</w:t>
      </w:r>
      <w:proofErr w:type="spellEnd"/>
      <w:r w:rsidRPr="00C1547D">
        <w:rPr>
          <w:sz w:val="16"/>
          <w:szCs w:val="16"/>
          <w:lang w:val="es-CR"/>
        </w:rPr>
        <w:t>.</w:t>
      </w:r>
      <w:r w:rsidRPr="00EC6314">
        <w:rPr>
          <w:sz w:val="16"/>
          <w:szCs w:val="16"/>
          <w:lang w:val="es-CR"/>
        </w:rPr>
        <w:t xml:space="preserve"> </w:t>
      </w:r>
    </w:p>
  </w:footnote>
  <w:footnote w:id="239">
    <w:p w:rsidR="00785921" w:rsidRPr="003D0120" w:rsidRDefault="00785921" w:rsidP="00126E97">
      <w:pPr>
        <w:pStyle w:val="FootnoteText"/>
        <w:spacing w:line="20" w:lineRule="atLeast"/>
        <w:rPr>
          <w:lang w:val="es-CR"/>
        </w:rPr>
      </w:pPr>
      <w:r w:rsidRPr="003D0120">
        <w:rPr>
          <w:rStyle w:val="FootnoteReference"/>
          <w:sz w:val="16"/>
          <w:szCs w:val="16"/>
        </w:rPr>
        <w:footnoteRef/>
      </w:r>
      <w:r w:rsidRPr="003D0120">
        <w:rPr>
          <w:sz w:val="16"/>
          <w:szCs w:val="16"/>
          <w:lang w:val="es-CR"/>
        </w:rPr>
        <w:t xml:space="preserve"> Se aclara que lo indicado </w:t>
      </w:r>
      <w:r>
        <w:rPr>
          <w:sz w:val="16"/>
          <w:szCs w:val="16"/>
          <w:lang w:val="es-CR"/>
        </w:rPr>
        <w:t xml:space="preserve">sobre el pago a familiares de personas fallecidas </w:t>
      </w:r>
      <w:r w:rsidRPr="003D0120">
        <w:rPr>
          <w:sz w:val="16"/>
          <w:szCs w:val="16"/>
          <w:lang w:val="es-CR"/>
        </w:rPr>
        <w:t>es aplicable respecto de cualquiera de las víctimas que de hecho se encuentre fallecida</w:t>
      </w:r>
      <w:r w:rsidRPr="008D68C5">
        <w:rPr>
          <w:sz w:val="16"/>
          <w:szCs w:val="16"/>
          <w:lang w:val="es-CR"/>
        </w:rPr>
        <w:t xml:space="preserve"> al momento de emitirse esta Sentencia, aun si dicho fallecimiento no está indicado en la </w:t>
      </w:r>
      <w:r>
        <w:rPr>
          <w:sz w:val="16"/>
          <w:szCs w:val="16"/>
          <w:lang w:val="es-CR"/>
        </w:rPr>
        <w:t>misma</w:t>
      </w:r>
      <w:r w:rsidRPr="008D68C5">
        <w:rPr>
          <w:sz w:val="16"/>
          <w:szCs w:val="16"/>
          <w:lang w:val="es-CR"/>
        </w:rPr>
        <w:t>.</w:t>
      </w:r>
      <w:r>
        <w:rPr>
          <w:sz w:val="16"/>
          <w:szCs w:val="16"/>
          <w:lang w:val="es-CR"/>
        </w:rPr>
        <w:t xml:space="preserve"> </w:t>
      </w:r>
      <w:r w:rsidRPr="00C1547D">
        <w:rPr>
          <w:sz w:val="16"/>
          <w:szCs w:val="16"/>
          <w:lang w:val="es-CR"/>
        </w:rPr>
        <w:t>Por otra parte, se aclara que las víctimas que se encuentran incorporadas tanto en el Anexo B.3 como en el Anexo B.5 de la presente Sentencia deben recibir tanto las indemnizaciones por daño inmaterial determinadas correspondientes a las víctimas heridas como también las indemnizaciones por daño inmaterial determinadas correspondientes a los familiares de personas fallecidas.</w:t>
      </w:r>
      <w:r>
        <w:rPr>
          <w:sz w:val="16"/>
          <w:szCs w:val="16"/>
          <w:lang w:val="es-CR"/>
        </w:rPr>
        <w:t xml:space="preserve"> </w:t>
      </w:r>
    </w:p>
  </w:footnote>
  <w:footnote w:id="240">
    <w:p w:rsidR="00785921" w:rsidRDefault="00785921" w:rsidP="00126E97">
      <w:pPr>
        <w:pStyle w:val="FootnoteText"/>
        <w:tabs>
          <w:tab w:val="left" w:pos="567"/>
          <w:tab w:val="left" w:pos="709"/>
        </w:tabs>
        <w:spacing w:line="20" w:lineRule="atLeast"/>
        <w:rPr>
          <w:sz w:val="16"/>
          <w:szCs w:val="16"/>
          <w:lang w:val="es-CR"/>
        </w:rPr>
      </w:pPr>
      <w:r>
        <w:rPr>
          <w:rStyle w:val="FootnoteReference"/>
          <w:rFonts w:eastAsia="Calibri"/>
          <w:sz w:val="16"/>
          <w:szCs w:val="16"/>
          <w:lang w:val="es-CR" w:eastAsia="x-none"/>
        </w:rPr>
        <w:footnoteRef/>
      </w:r>
      <w:r>
        <w:rPr>
          <w:sz w:val="16"/>
          <w:szCs w:val="16"/>
          <w:lang w:val="es-CR"/>
        </w:rPr>
        <w:t xml:space="preserve"> </w:t>
      </w:r>
      <w:r>
        <w:rPr>
          <w:i/>
          <w:sz w:val="16"/>
          <w:szCs w:val="16"/>
          <w:lang w:val="es-CR"/>
        </w:rPr>
        <w:t xml:space="preserve">Cfr. </w:t>
      </w:r>
      <w:r w:rsidRPr="001C2132">
        <w:rPr>
          <w:i/>
          <w:sz w:val="16"/>
          <w:szCs w:val="16"/>
          <w:lang w:val="es-CR"/>
        </w:rPr>
        <w:t>Caso Velásquez Rodríguez Vs. H</w:t>
      </w:r>
      <w:r>
        <w:rPr>
          <w:i/>
          <w:sz w:val="16"/>
          <w:szCs w:val="16"/>
          <w:lang w:val="es-CR"/>
        </w:rPr>
        <w:t>onduras. Reparaciones y Costas, supra</w:t>
      </w:r>
      <w:r w:rsidRPr="00D05F7B">
        <w:rPr>
          <w:rStyle w:val="Strong"/>
          <w:b w:val="0"/>
          <w:sz w:val="16"/>
          <w:szCs w:val="16"/>
          <w:lang w:val="es-CR"/>
        </w:rPr>
        <w:t>,</w:t>
      </w:r>
      <w:r w:rsidRPr="00D05F7B">
        <w:rPr>
          <w:b/>
          <w:sz w:val="16"/>
          <w:szCs w:val="16"/>
          <w:lang w:val="es-CR"/>
        </w:rPr>
        <w:t xml:space="preserve"> </w:t>
      </w:r>
      <w:r w:rsidRPr="00D05F7B">
        <w:rPr>
          <w:sz w:val="16"/>
          <w:szCs w:val="16"/>
          <w:lang w:val="es-CR"/>
        </w:rPr>
        <w:t>párr. 42,</w:t>
      </w:r>
      <w:r w:rsidRPr="00D05F7B">
        <w:rPr>
          <w:rFonts w:eastAsia="Calibri"/>
          <w:bCs/>
          <w:sz w:val="16"/>
          <w:szCs w:val="16"/>
          <w:shd w:val="clear" w:color="auto" w:fill="FFFFFF"/>
          <w:lang w:val="es-CR"/>
        </w:rPr>
        <w:t xml:space="preserve"> y</w:t>
      </w:r>
      <w:r w:rsidRPr="00D05F7B">
        <w:rPr>
          <w:rFonts w:eastAsia="Calibri"/>
          <w:b/>
          <w:bCs/>
          <w:sz w:val="16"/>
          <w:szCs w:val="16"/>
          <w:shd w:val="clear" w:color="auto" w:fill="FFFFFF"/>
          <w:lang w:val="es-CR"/>
        </w:rPr>
        <w:t xml:space="preserve"> </w:t>
      </w:r>
      <w:r w:rsidRPr="00D05F7B">
        <w:rPr>
          <w:rStyle w:val="Strong"/>
          <w:b w:val="0"/>
          <w:i/>
          <w:sz w:val="16"/>
          <w:szCs w:val="16"/>
          <w:lang w:val="es-CR"/>
        </w:rPr>
        <w:t xml:space="preserve">Caso </w:t>
      </w:r>
      <w:proofErr w:type="spellStart"/>
      <w:r w:rsidRPr="00D05F7B">
        <w:rPr>
          <w:rStyle w:val="Strong"/>
          <w:b w:val="0"/>
          <w:i/>
          <w:sz w:val="16"/>
          <w:szCs w:val="16"/>
          <w:lang w:val="es-CR"/>
        </w:rPr>
        <w:t>Amrhein</w:t>
      </w:r>
      <w:proofErr w:type="spellEnd"/>
      <w:r w:rsidRPr="00D05F7B">
        <w:rPr>
          <w:rStyle w:val="Strong"/>
          <w:b w:val="0"/>
          <w:i/>
          <w:sz w:val="16"/>
          <w:szCs w:val="16"/>
          <w:lang w:val="es-CR"/>
        </w:rPr>
        <w:t xml:space="preserve"> y otros vs. Costa Rica</w:t>
      </w:r>
      <w:r>
        <w:rPr>
          <w:rStyle w:val="Strong"/>
          <w:b w:val="0"/>
          <w:i/>
          <w:sz w:val="16"/>
          <w:szCs w:val="16"/>
          <w:lang w:val="es-CR"/>
        </w:rPr>
        <w:t>, supra</w:t>
      </w:r>
      <w:r>
        <w:rPr>
          <w:bCs/>
          <w:i/>
          <w:sz w:val="16"/>
          <w:szCs w:val="16"/>
          <w:lang w:val="es-CR"/>
        </w:rPr>
        <w:t xml:space="preserve">, </w:t>
      </w:r>
      <w:r>
        <w:rPr>
          <w:bCs/>
          <w:sz w:val="16"/>
          <w:szCs w:val="16"/>
          <w:lang w:val="es-CR"/>
        </w:rPr>
        <w:t>párr.</w:t>
      </w:r>
      <w:r>
        <w:rPr>
          <w:sz w:val="16"/>
          <w:szCs w:val="16"/>
          <w:lang w:val="es-CR"/>
        </w:rPr>
        <w:t>494</w:t>
      </w:r>
      <w:r w:rsidRPr="00460810">
        <w:rPr>
          <w:sz w:val="16"/>
          <w:szCs w:val="16"/>
          <w:lang w:val="es-CR"/>
        </w:rPr>
        <w:t>.</w:t>
      </w:r>
    </w:p>
  </w:footnote>
  <w:footnote w:id="241">
    <w:p w:rsidR="00785921" w:rsidRDefault="00785921" w:rsidP="00126E97">
      <w:pPr>
        <w:pStyle w:val="FootnoteText"/>
        <w:tabs>
          <w:tab w:val="left" w:pos="567"/>
        </w:tabs>
        <w:spacing w:line="20" w:lineRule="atLeast"/>
        <w:rPr>
          <w:sz w:val="16"/>
          <w:szCs w:val="16"/>
          <w:lang w:val="es-CR"/>
        </w:rPr>
      </w:pPr>
      <w:r>
        <w:rPr>
          <w:rStyle w:val="FootnoteReference"/>
          <w:rFonts w:eastAsia="Calibri"/>
          <w:sz w:val="16"/>
          <w:szCs w:val="16"/>
          <w:lang w:val="es-CR" w:eastAsia="x-none"/>
        </w:rPr>
        <w:footnoteRef/>
      </w:r>
      <w:r>
        <w:rPr>
          <w:sz w:val="16"/>
          <w:szCs w:val="16"/>
          <w:lang w:val="es-CR"/>
        </w:rPr>
        <w:t xml:space="preserve"> </w:t>
      </w:r>
      <w:r>
        <w:rPr>
          <w:i/>
          <w:sz w:val="16"/>
          <w:szCs w:val="16"/>
          <w:lang w:val="es-CR"/>
        </w:rPr>
        <w:t xml:space="preserve">Cfr. </w:t>
      </w:r>
      <w:r>
        <w:rPr>
          <w:rFonts w:eastAsia="Calibri"/>
          <w:bCs/>
          <w:i/>
          <w:sz w:val="16"/>
          <w:szCs w:val="16"/>
          <w:shd w:val="clear" w:color="auto" w:fill="FFFFFF"/>
          <w:lang w:val="es-CR"/>
        </w:rPr>
        <w:t xml:space="preserve">Caso Garrido y </w:t>
      </w:r>
      <w:proofErr w:type="spellStart"/>
      <w:r>
        <w:rPr>
          <w:rFonts w:eastAsia="Calibri"/>
          <w:bCs/>
          <w:i/>
          <w:sz w:val="16"/>
          <w:szCs w:val="16"/>
          <w:shd w:val="clear" w:color="auto" w:fill="FFFFFF"/>
          <w:lang w:val="es-CR"/>
        </w:rPr>
        <w:t>Baigorria</w:t>
      </w:r>
      <w:proofErr w:type="spellEnd"/>
      <w:r>
        <w:rPr>
          <w:rFonts w:eastAsia="Calibri"/>
          <w:bCs/>
          <w:i/>
          <w:sz w:val="16"/>
          <w:szCs w:val="16"/>
          <w:shd w:val="clear" w:color="auto" w:fill="FFFFFF"/>
          <w:lang w:val="es-CR"/>
        </w:rPr>
        <w:t xml:space="preserve"> Vs. Argentina. Reparaciones y Costas. </w:t>
      </w:r>
      <w:r>
        <w:rPr>
          <w:rFonts w:eastAsia="Calibri"/>
          <w:bCs/>
          <w:sz w:val="16"/>
          <w:szCs w:val="16"/>
          <w:shd w:val="clear" w:color="auto" w:fill="FFFFFF"/>
          <w:lang w:val="es-CR"/>
        </w:rPr>
        <w:t>Sentencia de 27 de agosto de 1998. Serie C No. 39</w:t>
      </w:r>
      <w:r>
        <w:rPr>
          <w:sz w:val="16"/>
          <w:szCs w:val="16"/>
          <w:lang w:val="es-CR"/>
        </w:rPr>
        <w:t xml:space="preserve">, párr. 82, y </w:t>
      </w:r>
      <w:r w:rsidRPr="00D05F7B">
        <w:rPr>
          <w:rStyle w:val="Strong"/>
          <w:b w:val="0"/>
          <w:i/>
          <w:sz w:val="16"/>
          <w:szCs w:val="16"/>
          <w:lang w:val="es-CR"/>
        </w:rPr>
        <w:t xml:space="preserve">Caso </w:t>
      </w:r>
      <w:proofErr w:type="spellStart"/>
      <w:r w:rsidRPr="00D05F7B">
        <w:rPr>
          <w:rStyle w:val="Strong"/>
          <w:b w:val="0"/>
          <w:i/>
          <w:sz w:val="16"/>
          <w:szCs w:val="16"/>
          <w:lang w:val="es-CR"/>
        </w:rPr>
        <w:t>Herzog</w:t>
      </w:r>
      <w:proofErr w:type="spellEnd"/>
      <w:r w:rsidRPr="00D05F7B">
        <w:rPr>
          <w:rStyle w:val="Strong"/>
          <w:b w:val="0"/>
          <w:i/>
          <w:sz w:val="16"/>
          <w:szCs w:val="16"/>
          <w:lang w:val="es-CR"/>
        </w:rPr>
        <w:t xml:space="preserve"> y otros Vs. Brasil</w:t>
      </w:r>
      <w:r>
        <w:rPr>
          <w:rStyle w:val="Strong"/>
          <w:b w:val="0"/>
          <w:i/>
          <w:sz w:val="16"/>
          <w:szCs w:val="16"/>
          <w:lang w:val="es-CR"/>
        </w:rPr>
        <w:t>, supra</w:t>
      </w:r>
      <w:r>
        <w:rPr>
          <w:rFonts w:eastAsia="Calibri"/>
          <w:bCs/>
          <w:sz w:val="16"/>
          <w:szCs w:val="16"/>
          <w:shd w:val="clear" w:color="auto" w:fill="FFFFFF"/>
          <w:lang w:val="es-CR"/>
        </w:rPr>
        <w:t>, párr. 401.</w:t>
      </w:r>
    </w:p>
  </w:footnote>
  <w:footnote w:id="242">
    <w:p w:rsidR="00785921" w:rsidRPr="00D05F7B" w:rsidRDefault="00785921" w:rsidP="00126E97">
      <w:pPr>
        <w:pStyle w:val="FootnoteText"/>
        <w:tabs>
          <w:tab w:val="left" w:pos="567"/>
          <w:tab w:val="left" w:pos="709"/>
        </w:tabs>
        <w:spacing w:line="20" w:lineRule="atLeast"/>
        <w:rPr>
          <w:sz w:val="16"/>
          <w:szCs w:val="16"/>
          <w:lang w:val="es-CR"/>
        </w:rPr>
      </w:pPr>
      <w:r w:rsidRPr="00D05F7B">
        <w:rPr>
          <w:rStyle w:val="FootnoteReference"/>
          <w:rFonts w:eastAsia="Calibri"/>
          <w:sz w:val="16"/>
          <w:szCs w:val="16"/>
          <w:lang w:val="es-CR" w:eastAsia="x-none"/>
        </w:rPr>
        <w:footnoteRef/>
      </w:r>
      <w:r w:rsidRPr="00D05F7B">
        <w:rPr>
          <w:rFonts w:eastAsia="Calibri"/>
          <w:bCs/>
          <w:i/>
          <w:sz w:val="16"/>
          <w:szCs w:val="16"/>
          <w:shd w:val="clear" w:color="auto" w:fill="FFFFFF"/>
          <w:lang w:val="es-CR"/>
        </w:rPr>
        <w:t xml:space="preserve">Caso Garrido y </w:t>
      </w:r>
      <w:proofErr w:type="spellStart"/>
      <w:r w:rsidRPr="00D05F7B">
        <w:rPr>
          <w:rFonts w:eastAsia="Calibri"/>
          <w:bCs/>
          <w:i/>
          <w:sz w:val="16"/>
          <w:szCs w:val="16"/>
          <w:shd w:val="clear" w:color="auto" w:fill="FFFFFF"/>
          <w:lang w:val="es-CR"/>
        </w:rPr>
        <w:t>Baigorria</w:t>
      </w:r>
      <w:proofErr w:type="spellEnd"/>
      <w:r w:rsidRPr="00D05F7B">
        <w:rPr>
          <w:rFonts w:eastAsia="Calibri"/>
          <w:bCs/>
          <w:i/>
          <w:sz w:val="16"/>
          <w:szCs w:val="16"/>
          <w:shd w:val="clear" w:color="auto" w:fill="FFFFFF"/>
          <w:lang w:val="es-CR"/>
        </w:rPr>
        <w:t xml:space="preserve"> Vs. </w:t>
      </w:r>
      <w:r>
        <w:rPr>
          <w:rFonts w:eastAsia="Calibri"/>
          <w:bCs/>
          <w:i/>
          <w:sz w:val="16"/>
          <w:szCs w:val="16"/>
          <w:shd w:val="clear" w:color="auto" w:fill="FFFFFF"/>
          <w:lang w:val="es-CR"/>
        </w:rPr>
        <w:t>Argentina, supra</w:t>
      </w:r>
      <w:r w:rsidRPr="00D05F7B">
        <w:rPr>
          <w:sz w:val="16"/>
          <w:szCs w:val="16"/>
          <w:lang w:val="es-CR"/>
        </w:rPr>
        <w:t>, párr. 82,</w:t>
      </w:r>
      <w:r w:rsidRPr="00D05F7B">
        <w:rPr>
          <w:i/>
          <w:sz w:val="16"/>
          <w:szCs w:val="16"/>
          <w:lang w:val="es-CR"/>
        </w:rPr>
        <w:t xml:space="preserve"> </w:t>
      </w:r>
      <w:r w:rsidRPr="00D05F7B">
        <w:rPr>
          <w:sz w:val="16"/>
          <w:szCs w:val="16"/>
          <w:lang w:val="es-CR"/>
        </w:rPr>
        <w:t>y</w:t>
      </w:r>
      <w:r w:rsidRPr="00D05F7B">
        <w:rPr>
          <w:bCs/>
          <w:i/>
          <w:sz w:val="16"/>
          <w:szCs w:val="16"/>
          <w:lang w:val="es-CR"/>
        </w:rPr>
        <w:t xml:space="preserve"> </w:t>
      </w:r>
      <w:r w:rsidRPr="00D05F7B">
        <w:rPr>
          <w:rStyle w:val="Strong"/>
          <w:b w:val="0"/>
          <w:i/>
          <w:sz w:val="16"/>
          <w:szCs w:val="16"/>
          <w:lang w:val="es-CR"/>
        </w:rPr>
        <w:t>Caso Ramírez Escobar y otros Vs. Guatemala</w:t>
      </w:r>
      <w:r>
        <w:rPr>
          <w:rStyle w:val="Strong"/>
          <w:b w:val="0"/>
          <w:i/>
          <w:sz w:val="16"/>
          <w:szCs w:val="16"/>
          <w:lang w:val="es-CR"/>
        </w:rPr>
        <w:t>, supra</w:t>
      </w:r>
      <w:r w:rsidRPr="00D05F7B">
        <w:rPr>
          <w:sz w:val="16"/>
          <w:szCs w:val="16"/>
          <w:lang w:val="es-CR"/>
        </w:rPr>
        <w:t>, párr. 424.</w:t>
      </w:r>
    </w:p>
  </w:footnote>
  <w:footnote w:id="243">
    <w:p w:rsidR="00785921" w:rsidRPr="00D05F7B" w:rsidRDefault="00785921" w:rsidP="00126E97">
      <w:pPr>
        <w:tabs>
          <w:tab w:val="left" w:pos="567"/>
        </w:tabs>
        <w:spacing w:after="0" w:line="20" w:lineRule="atLeast"/>
        <w:jc w:val="both"/>
        <w:rPr>
          <w:rFonts w:ascii="Verdana" w:hAnsi="Verdana"/>
          <w:sz w:val="16"/>
          <w:szCs w:val="16"/>
          <w:lang w:val="es-CR"/>
        </w:rPr>
      </w:pPr>
      <w:r w:rsidRPr="00D05F7B">
        <w:rPr>
          <w:rStyle w:val="FootnoteReference"/>
          <w:rFonts w:ascii="Verdana" w:eastAsia="Calibri" w:hAnsi="Verdana"/>
          <w:sz w:val="16"/>
          <w:szCs w:val="16"/>
          <w:lang w:val="es-CR" w:eastAsia="x-none"/>
        </w:rPr>
        <w:footnoteRef/>
      </w:r>
      <w:r w:rsidRPr="00D05F7B">
        <w:rPr>
          <w:rFonts w:ascii="Verdana" w:hAnsi="Verdana"/>
          <w:sz w:val="16"/>
          <w:szCs w:val="16"/>
          <w:lang w:val="es-CR"/>
        </w:rPr>
        <w:t xml:space="preserve"> </w:t>
      </w:r>
      <w:r w:rsidRPr="00D05F7B">
        <w:rPr>
          <w:rFonts w:ascii="Verdana" w:hAnsi="Verdana"/>
          <w:i/>
          <w:sz w:val="16"/>
          <w:szCs w:val="16"/>
          <w:lang w:val="es-CR"/>
        </w:rPr>
        <w:t xml:space="preserve">Cfr. </w:t>
      </w:r>
      <w:r w:rsidRPr="00D05F7B">
        <w:rPr>
          <w:rFonts w:ascii="Verdana" w:hAnsi="Verdana"/>
          <w:bCs/>
          <w:i/>
          <w:sz w:val="16"/>
          <w:szCs w:val="16"/>
          <w:lang w:val="es-CR"/>
        </w:rPr>
        <w:t>Caso Chaparro Álvarez y Lapo Íñiguez Vs. Ecuador. Excepciones Preliminares, Fondo, Reparaciones y Costas</w:t>
      </w:r>
      <w:r w:rsidRPr="00D05F7B">
        <w:rPr>
          <w:rFonts w:ascii="Verdana" w:hAnsi="Verdana"/>
          <w:bCs/>
          <w:sz w:val="16"/>
          <w:szCs w:val="16"/>
          <w:lang w:val="es-CR"/>
        </w:rPr>
        <w:t>. Sentencia de 21 de noviembre de 2007. Serie C No. 170</w:t>
      </w:r>
      <w:r w:rsidRPr="00D05F7B">
        <w:rPr>
          <w:rFonts w:ascii="Verdana" w:hAnsi="Verdana"/>
          <w:sz w:val="16"/>
          <w:szCs w:val="16"/>
          <w:lang w:val="es-CR"/>
        </w:rPr>
        <w:t>, párr. 277, y</w:t>
      </w:r>
      <w:r w:rsidRPr="00D05F7B">
        <w:rPr>
          <w:rFonts w:ascii="Verdana" w:hAnsi="Verdana"/>
          <w:bCs/>
          <w:i/>
          <w:sz w:val="16"/>
          <w:szCs w:val="16"/>
          <w:lang w:val="es-CR"/>
        </w:rPr>
        <w:t xml:space="preserve"> </w:t>
      </w:r>
      <w:r w:rsidRPr="00D05F7B">
        <w:rPr>
          <w:rStyle w:val="Strong"/>
          <w:rFonts w:ascii="Verdana" w:hAnsi="Verdana"/>
          <w:b w:val="0"/>
          <w:i/>
          <w:sz w:val="16"/>
          <w:szCs w:val="16"/>
          <w:lang w:val="es-CR"/>
        </w:rPr>
        <w:t xml:space="preserve">Caso </w:t>
      </w:r>
      <w:proofErr w:type="spellStart"/>
      <w:r w:rsidRPr="00D05F7B">
        <w:rPr>
          <w:rStyle w:val="Strong"/>
          <w:rFonts w:ascii="Verdana" w:hAnsi="Verdana"/>
          <w:b w:val="0"/>
          <w:i/>
          <w:sz w:val="16"/>
          <w:szCs w:val="16"/>
          <w:lang w:val="es-CR"/>
        </w:rPr>
        <w:t>Amrhein</w:t>
      </w:r>
      <w:proofErr w:type="spellEnd"/>
      <w:r w:rsidRPr="00D05F7B">
        <w:rPr>
          <w:rStyle w:val="Strong"/>
          <w:rFonts w:ascii="Verdana" w:hAnsi="Verdana"/>
          <w:b w:val="0"/>
          <w:i/>
          <w:sz w:val="16"/>
          <w:szCs w:val="16"/>
          <w:lang w:val="es-CR"/>
        </w:rPr>
        <w:t xml:space="preserve"> y otros vs. Costa Rica</w:t>
      </w:r>
      <w:r>
        <w:rPr>
          <w:rStyle w:val="Strong"/>
          <w:rFonts w:ascii="Verdana" w:hAnsi="Verdana"/>
          <w:b w:val="0"/>
          <w:i/>
          <w:sz w:val="16"/>
          <w:szCs w:val="16"/>
          <w:lang w:val="es-CR"/>
        </w:rPr>
        <w:t>, supra</w:t>
      </w:r>
      <w:r w:rsidRPr="00D05F7B">
        <w:rPr>
          <w:rFonts w:ascii="Verdana" w:hAnsi="Verdana"/>
          <w:bCs/>
          <w:i/>
          <w:sz w:val="16"/>
          <w:szCs w:val="16"/>
          <w:lang w:val="es-CR"/>
        </w:rPr>
        <w:t xml:space="preserve">, </w:t>
      </w:r>
      <w:r w:rsidRPr="00D05F7B">
        <w:rPr>
          <w:rFonts w:ascii="Verdana" w:hAnsi="Verdana"/>
          <w:bCs/>
          <w:sz w:val="16"/>
          <w:szCs w:val="16"/>
          <w:lang w:val="es-CR"/>
        </w:rPr>
        <w:t>párr.</w:t>
      </w:r>
      <w:r w:rsidRPr="00D05F7B">
        <w:rPr>
          <w:rFonts w:ascii="Verdana" w:hAnsi="Verdana"/>
          <w:sz w:val="16"/>
          <w:szCs w:val="16"/>
          <w:lang w:val="es-CR"/>
        </w:rPr>
        <w:t>494.</w:t>
      </w:r>
    </w:p>
  </w:footnote>
  <w:footnote w:id="244">
    <w:p w:rsidR="00785921" w:rsidRPr="00637508" w:rsidRDefault="00785921" w:rsidP="00126E97">
      <w:pPr>
        <w:pStyle w:val="FootnoteText"/>
        <w:spacing w:line="20" w:lineRule="atLeast"/>
        <w:rPr>
          <w:sz w:val="16"/>
          <w:szCs w:val="16"/>
          <w:lang w:val="es-CR"/>
        </w:rPr>
      </w:pPr>
      <w:r w:rsidRPr="00D05F7B">
        <w:rPr>
          <w:rStyle w:val="FootnoteReference"/>
          <w:sz w:val="16"/>
          <w:szCs w:val="16"/>
          <w:lang w:eastAsia="x-none"/>
        </w:rPr>
        <w:footnoteRef/>
      </w:r>
      <w:r w:rsidRPr="00D05F7B">
        <w:rPr>
          <w:sz w:val="16"/>
          <w:szCs w:val="16"/>
          <w:lang w:val="es-CR"/>
        </w:rPr>
        <w:t xml:space="preserve"> </w:t>
      </w:r>
      <w:r w:rsidRPr="00D05F7B">
        <w:rPr>
          <w:i/>
          <w:sz w:val="16"/>
          <w:szCs w:val="16"/>
          <w:lang w:val="es-CR"/>
        </w:rPr>
        <w:t>Cfr.</w:t>
      </w:r>
      <w:r w:rsidRPr="00D05F7B">
        <w:rPr>
          <w:sz w:val="16"/>
          <w:szCs w:val="16"/>
          <w:lang w:val="es-CR"/>
        </w:rPr>
        <w:t xml:space="preserve"> Declaración jurada</w:t>
      </w:r>
      <w:r w:rsidRPr="00637508">
        <w:rPr>
          <w:sz w:val="16"/>
          <w:szCs w:val="16"/>
          <w:lang w:val="es-CR"/>
        </w:rPr>
        <w:t xml:space="preserve"> de 8 de marzo de 2018 </w:t>
      </w:r>
      <w:r>
        <w:rPr>
          <w:sz w:val="16"/>
          <w:szCs w:val="16"/>
          <w:lang w:val="es-CR"/>
        </w:rPr>
        <w:t>efectuada ante notario por la</w:t>
      </w:r>
      <w:r w:rsidRPr="00637508">
        <w:rPr>
          <w:sz w:val="16"/>
          <w:szCs w:val="16"/>
          <w:lang w:val="es-CR"/>
        </w:rPr>
        <w:t xml:space="preserve"> Administradora de la Fundación Grupo Apoyo Mutuo (expediente de prueba, anexo 5 a los alegatos finales escritos de los representantes, f</w:t>
      </w:r>
      <w:r>
        <w:rPr>
          <w:sz w:val="16"/>
          <w:szCs w:val="16"/>
          <w:lang w:val="es-CR"/>
        </w:rPr>
        <w:t>olio</w:t>
      </w:r>
      <w:r w:rsidRPr="00637508">
        <w:rPr>
          <w:sz w:val="16"/>
          <w:szCs w:val="16"/>
          <w:lang w:val="es-CR"/>
        </w:rPr>
        <w:t>s 5590 a</w:t>
      </w:r>
      <w:r>
        <w:rPr>
          <w:sz w:val="16"/>
          <w:szCs w:val="16"/>
          <w:lang w:val="es-CR"/>
        </w:rPr>
        <w:t xml:space="preserve"> </w:t>
      </w:r>
      <w:r w:rsidRPr="00637508">
        <w:rPr>
          <w:sz w:val="16"/>
          <w:szCs w:val="16"/>
          <w:lang w:val="es-CR"/>
        </w:rPr>
        <w:t>5595).</w:t>
      </w:r>
    </w:p>
  </w:footnote>
  <w:footnote w:id="245">
    <w:p w:rsidR="00785921" w:rsidRPr="00B85B75" w:rsidRDefault="00785921" w:rsidP="00126E97">
      <w:pPr>
        <w:pStyle w:val="FootnoteText"/>
        <w:tabs>
          <w:tab w:val="left" w:pos="567"/>
        </w:tabs>
        <w:spacing w:line="20" w:lineRule="atLeast"/>
        <w:rPr>
          <w:sz w:val="16"/>
          <w:szCs w:val="16"/>
          <w:lang w:val="es-CR"/>
        </w:rPr>
      </w:pPr>
      <w:r>
        <w:rPr>
          <w:rStyle w:val="FootnoteReference"/>
          <w:rFonts w:eastAsia="Calibri"/>
          <w:sz w:val="16"/>
          <w:szCs w:val="16"/>
          <w:lang w:val="es-CR" w:eastAsia="x-none"/>
        </w:rPr>
        <w:footnoteRef/>
      </w:r>
      <w:r>
        <w:rPr>
          <w:sz w:val="16"/>
          <w:szCs w:val="16"/>
          <w:lang w:val="es-CR"/>
        </w:rPr>
        <w:t xml:space="preserve"> </w:t>
      </w:r>
      <w:r>
        <w:rPr>
          <w:i/>
          <w:sz w:val="16"/>
          <w:szCs w:val="16"/>
          <w:lang w:val="es-CR"/>
        </w:rPr>
        <w:t xml:space="preserve">Cfr. Caso Comunidad Indígena </w:t>
      </w:r>
      <w:proofErr w:type="spellStart"/>
      <w:r>
        <w:rPr>
          <w:i/>
          <w:sz w:val="16"/>
          <w:szCs w:val="16"/>
          <w:lang w:val="es-CR"/>
        </w:rPr>
        <w:t>Xákmok</w:t>
      </w:r>
      <w:proofErr w:type="spellEnd"/>
      <w:r>
        <w:rPr>
          <w:i/>
          <w:sz w:val="16"/>
          <w:szCs w:val="16"/>
          <w:lang w:val="es-CR"/>
        </w:rPr>
        <w:t xml:space="preserve"> </w:t>
      </w:r>
      <w:proofErr w:type="spellStart"/>
      <w:r>
        <w:rPr>
          <w:i/>
          <w:sz w:val="16"/>
          <w:szCs w:val="16"/>
          <w:lang w:val="es-CR"/>
        </w:rPr>
        <w:t>Kásek</w:t>
      </w:r>
      <w:proofErr w:type="spellEnd"/>
      <w:r>
        <w:rPr>
          <w:i/>
          <w:sz w:val="16"/>
          <w:szCs w:val="16"/>
          <w:lang w:val="es-CR"/>
        </w:rPr>
        <w:t xml:space="preserve"> Vs. Paraguay. Fondo, Reparaciones y Costas. </w:t>
      </w:r>
      <w:r>
        <w:rPr>
          <w:sz w:val="16"/>
          <w:szCs w:val="16"/>
          <w:lang w:val="es-CR"/>
        </w:rPr>
        <w:t xml:space="preserve">Sentencia de 24 de agosto de 2010. Serie C No. 214, párr. </w:t>
      </w:r>
      <w:r w:rsidRPr="00B85B75">
        <w:rPr>
          <w:sz w:val="16"/>
          <w:szCs w:val="16"/>
          <w:lang w:val="es-CR"/>
        </w:rPr>
        <w:t xml:space="preserve">331, y </w:t>
      </w:r>
      <w:r w:rsidRPr="00D05F7B">
        <w:rPr>
          <w:rStyle w:val="Strong"/>
          <w:b w:val="0"/>
          <w:i/>
          <w:sz w:val="16"/>
          <w:szCs w:val="16"/>
          <w:lang w:val="es-CR"/>
        </w:rPr>
        <w:t xml:space="preserve">Caso </w:t>
      </w:r>
      <w:proofErr w:type="spellStart"/>
      <w:r w:rsidRPr="00D05F7B">
        <w:rPr>
          <w:rStyle w:val="Strong"/>
          <w:b w:val="0"/>
          <w:i/>
          <w:sz w:val="16"/>
          <w:szCs w:val="16"/>
          <w:lang w:val="es-CR"/>
        </w:rPr>
        <w:t>Herzog</w:t>
      </w:r>
      <w:proofErr w:type="spellEnd"/>
      <w:r w:rsidRPr="00D05F7B">
        <w:rPr>
          <w:rStyle w:val="Strong"/>
          <w:b w:val="0"/>
          <w:i/>
          <w:sz w:val="16"/>
          <w:szCs w:val="16"/>
          <w:lang w:val="es-CR"/>
        </w:rPr>
        <w:t xml:space="preserve"> y otros Vs. Brasil</w:t>
      </w:r>
      <w:r>
        <w:rPr>
          <w:rStyle w:val="Strong"/>
          <w:b w:val="0"/>
          <w:i/>
          <w:sz w:val="16"/>
          <w:szCs w:val="16"/>
          <w:lang w:val="es-CR"/>
        </w:rPr>
        <w:t>, supra</w:t>
      </w:r>
      <w:r>
        <w:rPr>
          <w:rFonts w:eastAsia="Calibri"/>
          <w:bCs/>
          <w:sz w:val="16"/>
          <w:szCs w:val="16"/>
          <w:shd w:val="clear" w:color="auto" w:fill="FFFFFF"/>
          <w:lang w:val="es-CR"/>
        </w:rPr>
        <w:t>, párr. 404.</w:t>
      </w:r>
    </w:p>
  </w:footnote>
  <w:footnote w:id="246">
    <w:p w:rsidR="003908EB" w:rsidRPr="000E75E4" w:rsidRDefault="003908EB">
      <w:pPr>
        <w:pStyle w:val="FootnoteText"/>
        <w:rPr>
          <w:sz w:val="16"/>
          <w:szCs w:val="16"/>
          <w:lang w:val="es-CR"/>
        </w:rPr>
      </w:pPr>
      <w:r w:rsidRPr="000E75E4">
        <w:rPr>
          <w:rStyle w:val="FootnoteReference"/>
          <w:sz w:val="16"/>
          <w:szCs w:val="16"/>
        </w:rPr>
        <w:footnoteRef/>
      </w:r>
      <w:r w:rsidRPr="000E75E4">
        <w:rPr>
          <w:sz w:val="16"/>
          <w:szCs w:val="16"/>
          <w:lang w:val="es-CR"/>
        </w:rPr>
        <w:t xml:space="preserve"> Los nombres de las personas identificadas por la Comisión en el Informe de Fondo como víctimas se han escrito de acuerdo a la información allegada a la Corte sobre los distintos nombres, aun si presentan diferencias con la forma en que los mismos fueron asentados en el Informe de Fondo. </w:t>
      </w:r>
    </w:p>
  </w:footnote>
  <w:footnote w:id="247">
    <w:p w:rsidR="003908EB" w:rsidRPr="000E75E4" w:rsidRDefault="003908EB">
      <w:pPr>
        <w:pStyle w:val="FootnoteText"/>
        <w:rPr>
          <w:sz w:val="16"/>
          <w:szCs w:val="16"/>
          <w:lang w:val="es-CR"/>
        </w:rPr>
      </w:pPr>
      <w:r w:rsidRPr="000E75E4">
        <w:rPr>
          <w:rStyle w:val="FootnoteReference"/>
          <w:sz w:val="16"/>
          <w:szCs w:val="16"/>
        </w:rPr>
        <w:footnoteRef/>
      </w:r>
      <w:r w:rsidRPr="000E75E4">
        <w:rPr>
          <w:sz w:val="16"/>
          <w:szCs w:val="16"/>
          <w:lang w:val="es-CR"/>
        </w:rPr>
        <w:t xml:space="preserve"> La Corte advierte que eventuales inconsistencias o inexactitudes que pudieran evidenciarse en los nombres de las víctimas, o en el modo de escribirlos, no puede motivar la falta de cumplimiento de las medidas de reparación ordenadas en la Sentencia. </w:t>
      </w:r>
      <w:r>
        <w:rPr>
          <w:sz w:val="16"/>
          <w:szCs w:val="16"/>
          <w:lang w:val="es-CR"/>
        </w:rPr>
        <w:t xml:space="preserve">Por otra parte, de conformidad con información que ha sido allegada a la Corte, además de las personas cuyos nombres están incorporados en los Anexos B.2 y B.4, se encuentran fallecidas las siguientes víctimas: </w:t>
      </w:r>
      <w:r w:rsidRPr="00D76970">
        <w:rPr>
          <w:sz w:val="16"/>
          <w:szCs w:val="16"/>
          <w:lang w:val="es-CR"/>
        </w:rPr>
        <w:t>Pedro Daniel Carrillo López</w:t>
      </w:r>
      <w:r>
        <w:rPr>
          <w:sz w:val="16"/>
          <w:szCs w:val="16"/>
          <w:lang w:val="es-CR"/>
        </w:rPr>
        <w:t xml:space="preserve">; </w:t>
      </w:r>
      <w:r w:rsidRPr="00D76970">
        <w:rPr>
          <w:sz w:val="16"/>
          <w:szCs w:val="16"/>
          <w:lang w:val="es-CR"/>
        </w:rPr>
        <w:t>Gerardo Maldonado Sales</w:t>
      </w:r>
      <w:r>
        <w:rPr>
          <w:sz w:val="16"/>
          <w:szCs w:val="16"/>
          <w:lang w:val="es-CR"/>
        </w:rPr>
        <w:t xml:space="preserve">; </w:t>
      </w:r>
      <w:r w:rsidRPr="00D76970">
        <w:rPr>
          <w:sz w:val="16"/>
          <w:szCs w:val="16"/>
          <w:lang w:val="es-CR"/>
        </w:rPr>
        <w:t xml:space="preserve">Santiago </w:t>
      </w:r>
      <w:proofErr w:type="spellStart"/>
      <w:r w:rsidRPr="00D76970">
        <w:rPr>
          <w:sz w:val="16"/>
          <w:szCs w:val="16"/>
          <w:lang w:val="es-CR"/>
        </w:rPr>
        <w:t>Maquín</w:t>
      </w:r>
      <w:proofErr w:type="spellEnd"/>
      <w:r w:rsidRPr="00D76970">
        <w:rPr>
          <w:sz w:val="16"/>
          <w:szCs w:val="16"/>
          <w:lang w:val="es-CR"/>
        </w:rPr>
        <w:t xml:space="preserve"> </w:t>
      </w:r>
      <w:proofErr w:type="spellStart"/>
      <w:r w:rsidRPr="00D76970">
        <w:rPr>
          <w:sz w:val="16"/>
          <w:szCs w:val="16"/>
          <w:lang w:val="es-CR"/>
        </w:rPr>
        <w:t>Quip</w:t>
      </w:r>
      <w:proofErr w:type="spellEnd"/>
      <w:r>
        <w:rPr>
          <w:sz w:val="16"/>
          <w:szCs w:val="16"/>
          <w:lang w:val="es-CR"/>
        </w:rPr>
        <w:t xml:space="preserve">; </w:t>
      </w:r>
      <w:r w:rsidRPr="00D76970">
        <w:rPr>
          <w:sz w:val="16"/>
          <w:szCs w:val="16"/>
          <w:lang w:val="es-CR"/>
        </w:rPr>
        <w:t>Francisco Hernández</w:t>
      </w:r>
      <w:r>
        <w:rPr>
          <w:sz w:val="16"/>
          <w:szCs w:val="16"/>
          <w:lang w:val="es-CR"/>
        </w:rPr>
        <w:t xml:space="preserve">; Rosendo Morales </w:t>
      </w:r>
      <w:proofErr w:type="spellStart"/>
      <w:r>
        <w:rPr>
          <w:sz w:val="16"/>
          <w:szCs w:val="16"/>
          <w:lang w:val="es-CR"/>
        </w:rPr>
        <w:t>Ortí</w:t>
      </w:r>
      <w:r w:rsidRPr="00D76970">
        <w:rPr>
          <w:sz w:val="16"/>
          <w:szCs w:val="16"/>
          <w:lang w:val="es-CR"/>
        </w:rPr>
        <w:t>z</w:t>
      </w:r>
      <w:proofErr w:type="spellEnd"/>
      <w:r>
        <w:rPr>
          <w:sz w:val="16"/>
          <w:szCs w:val="16"/>
          <w:lang w:val="es-CR"/>
        </w:rPr>
        <w:t xml:space="preserve">, y </w:t>
      </w:r>
      <w:r w:rsidRPr="00D76970">
        <w:rPr>
          <w:sz w:val="16"/>
          <w:szCs w:val="16"/>
          <w:lang w:val="es-CR"/>
        </w:rPr>
        <w:t xml:space="preserve">Manuela Pop </w:t>
      </w:r>
      <w:proofErr w:type="spellStart"/>
      <w:r w:rsidRPr="00D76970">
        <w:rPr>
          <w:sz w:val="16"/>
          <w:szCs w:val="16"/>
          <w:lang w:val="es-CR"/>
        </w:rPr>
        <w:t>Choc</w:t>
      </w:r>
      <w:proofErr w:type="spellEnd"/>
      <w:r>
        <w:rPr>
          <w:sz w:val="16"/>
          <w:szCs w:val="16"/>
          <w:lang w:val="es-CR"/>
        </w:rPr>
        <w:t>.</w:t>
      </w:r>
    </w:p>
  </w:footnote>
  <w:footnote w:id="248">
    <w:p w:rsidR="003908EB" w:rsidRPr="003C7F71" w:rsidRDefault="003908EB" w:rsidP="00330F0B">
      <w:pPr>
        <w:pStyle w:val="FootnoteText"/>
        <w:rPr>
          <w:sz w:val="16"/>
          <w:szCs w:val="16"/>
          <w:lang w:val="es-CR"/>
        </w:rPr>
      </w:pPr>
      <w:r w:rsidRPr="003C7F71">
        <w:rPr>
          <w:rStyle w:val="FootnoteReference"/>
          <w:sz w:val="16"/>
          <w:szCs w:val="16"/>
        </w:rPr>
        <w:footnoteRef/>
      </w:r>
      <w:r w:rsidRPr="003C7F71">
        <w:rPr>
          <w:sz w:val="16"/>
          <w:szCs w:val="16"/>
          <w:lang w:val="es-CR"/>
        </w:rPr>
        <w:t xml:space="preserve"> La Corte aclara</w:t>
      </w:r>
      <w:r>
        <w:rPr>
          <w:sz w:val="16"/>
          <w:szCs w:val="16"/>
          <w:lang w:val="es-CR"/>
        </w:rPr>
        <w:t>, respecto de</w:t>
      </w:r>
      <w:r w:rsidRPr="003C7F71">
        <w:rPr>
          <w:sz w:val="16"/>
          <w:szCs w:val="16"/>
          <w:lang w:val="es-CR"/>
        </w:rPr>
        <w:t xml:space="preserve"> la repetición del nombre “Antonio Medina Toma”</w:t>
      </w:r>
      <w:r>
        <w:rPr>
          <w:sz w:val="16"/>
          <w:szCs w:val="16"/>
          <w:lang w:val="es-CR"/>
        </w:rPr>
        <w:t>, que</w:t>
      </w:r>
      <w:r w:rsidRPr="003C7F71">
        <w:rPr>
          <w:sz w:val="16"/>
          <w:szCs w:val="16"/>
          <w:lang w:val="es-CR"/>
        </w:rPr>
        <w:t xml:space="preserve"> </w:t>
      </w:r>
      <w:r>
        <w:rPr>
          <w:sz w:val="16"/>
          <w:szCs w:val="16"/>
          <w:lang w:val="es-CR"/>
        </w:rPr>
        <w:t>l</w:t>
      </w:r>
      <w:r w:rsidRPr="003C7F71">
        <w:rPr>
          <w:sz w:val="16"/>
          <w:szCs w:val="16"/>
          <w:lang w:val="es-CR"/>
        </w:rPr>
        <w:t>a Comisión incluyó en el informe de fondo, como víctimas, a dos personas con el mismo nombre. Este Tribunal pudo constatar, a partir de documentación remitida por los representantes que, en efecto, una víctima es “Antonio Medina Toma”, quien nació el 27 de noviembre de 1971, y otra persona es “Antonio Medina Toma”, quien nació el 23 de septiembre de 1986 (</w:t>
      </w:r>
      <w:r w:rsidRPr="003C7F71">
        <w:rPr>
          <w:i/>
          <w:sz w:val="16"/>
          <w:szCs w:val="16"/>
          <w:lang w:val="es-CR"/>
        </w:rPr>
        <w:t>cfr.</w:t>
      </w:r>
      <w:r w:rsidRPr="003C7F71">
        <w:rPr>
          <w:sz w:val="16"/>
          <w:szCs w:val="16"/>
          <w:lang w:val="es-CR"/>
        </w:rPr>
        <w:t xml:space="preserve"> Certificados de Nacimiento (expediente de prueba, anexo 1 al escrito de solicitudes y argumentos, folios 5036 y 5048)).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488195"/>
      <w:docPartObj>
        <w:docPartGallery w:val="Page Numbers (Top of Page)"/>
        <w:docPartUnique/>
      </w:docPartObj>
    </w:sdtPr>
    <w:sdtEndPr>
      <w:rPr>
        <w:noProof/>
      </w:rPr>
    </w:sdtEndPr>
    <w:sdtContent>
      <w:p w:rsidR="00E372C2" w:rsidRDefault="00E372C2">
        <w:pPr>
          <w:pStyle w:val="Header"/>
          <w:jc w:val="center"/>
        </w:pPr>
        <w:r>
          <w:fldChar w:fldCharType="begin"/>
        </w:r>
        <w:r>
          <w:instrText xml:space="preserve"> PAGE   \* MERGEFORMAT </w:instrText>
        </w:r>
        <w:r>
          <w:fldChar w:fldCharType="separate"/>
        </w:r>
        <w:r w:rsidR="00B9342F">
          <w:rPr>
            <w:noProof/>
          </w:rPr>
          <w:t>3</w:t>
        </w:r>
        <w:r>
          <w:rPr>
            <w:noProof/>
          </w:rPr>
          <w:fldChar w:fldCharType="end"/>
        </w:r>
      </w:p>
    </w:sdtContent>
  </w:sdt>
  <w:p w:rsidR="00E372C2" w:rsidRDefault="00E372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9136556"/>
      <w:docPartObj>
        <w:docPartGallery w:val="Page Numbers (Top of Page)"/>
        <w:docPartUnique/>
      </w:docPartObj>
    </w:sdtPr>
    <w:sdtEndPr>
      <w:rPr>
        <w:noProof/>
      </w:rPr>
    </w:sdtEndPr>
    <w:sdtContent>
      <w:p w:rsidR="00A63903" w:rsidRDefault="00E8771A">
        <w:pPr>
          <w:pStyle w:val="Header"/>
          <w:jc w:val="center"/>
        </w:pPr>
        <w:r>
          <w:fldChar w:fldCharType="begin"/>
        </w:r>
        <w:r>
          <w:instrText xml:space="preserve"> PAGE   \* MERGEFORMAT </w:instrText>
        </w:r>
        <w:r>
          <w:fldChar w:fldCharType="separate"/>
        </w:r>
        <w:r w:rsidR="00B9342F">
          <w:rPr>
            <w:noProof/>
          </w:rPr>
          <w:t>4</w:t>
        </w:r>
        <w:r>
          <w:rPr>
            <w:noProof/>
          </w:rPr>
          <w:fldChar w:fldCharType="end"/>
        </w:r>
      </w:p>
    </w:sdtContent>
  </w:sdt>
  <w:p w:rsidR="00A63903" w:rsidRDefault="00B934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D21A42"/>
    <w:multiLevelType w:val="hybridMultilevel"/>
    <w:tmpl w:val="F56E466E"/>
    <w:lvl w:ilvl="0" w:tplc="96B075A0">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nsid w:val="53315285"/>
    <w:multiLevelType w:val="hybridMultilevel"/>
    <w:tmpl w:val="2190F834"/>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5B6DD93A"/>
    <w:multiLevelType w:val="multilevel"/>
    <w:tmpl w:val="5B6DD93A"/>
    <w:name w:val="Lista numerada 2"/>
    <w:lvl w:ilvl="0">
      <w:start w:val="1"/>
      <w:numFmt w:val="low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
    <w:nsid w:val="5B6DD93C"/>
    <w:multiLevelType w:val="multilevel"/>
    <w:tmpl w:val="5B6DD93C"/>
    <w:name w:val="Lista numerada 4"/>
    <w:lvl w:ilvl="0">
      <w:start w:val="1"/>
      <w:numFmt w:val="upperLetter"/>
      <w:lvlText w:val="%1."/>
      <w:lvlJc w:val="left"/>
      <w:rPr>
        <w:b/>
        <w:i/>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5B6DD93F"/>
    <w:multiLevelType w:val="multilevel"/>
    <w:tmpl w:val="5B6DD93F"/>
    <w:name w:val="Lista numerada 7"/>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
    <w:nsid w:val="5B6DD940"/>
    <w:multiLevelType w:val="multilevel"/>
    <w:tmpl w:val="5B6DD940"/>
    <w:name w:val="Lista numerada 8"/>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6">
    <w:nsid w:val="5B6DD943"/>
    <w:multiLevelType w:val="multilevel"/>
    <w:tmpl w:val="5B6DD943"/>
    <w:name w:val="Lista numerada 11"/>
    <w:lvl w:ilvl="0">
      <w:start w:val="3"/>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B6DD94F"/>
    <w:multiLevelType w:val="multilevel"/>
    <w:tmpl w:val="5B6DD94F"/>
    <w:name w:val="Lista numerada 23"/>
    <w:lvl w:ilvl="0">
      <w:start w:val="1"/>
      <w:numFmt w:val="decimal"/>
      <w:lvlText w:val="%1."/>
      <w:lvlJc w:val="left"/>
      <w:rPr>
        <w:rFonts w:ascii="Verdana" w:hAnsi="Verdana"/>
        <w:b w:val="0"/>
        <w:i w:val="0"/>
        <w:strike w:val="0"/>
        <w:color w:val="000000"/>
        <w:sz w:val="20"/>
      </w:rPr>
    </w:lvl>
    <w:lvl w:ilvl="1">
      <w:start w:val="1"/>
      <w:numFmt w:val="lowerLetter"/>
      <w:lvlText w:val="%2."/>
      <w:lvlJc w:val="left"/>
      <w:rPr>
        <w:rFonts w:ascii="Verdana" w:hAnsi="Verdana"/>
        <w:i/>
      </w:rPr>
    </w:lvl>
    <w:lvl w:ilvl="2">
      <w:start w:val="1"/>
      <w:numFmt w:val="lowerRoman"/>
      <w:lvlText w:val="%3."/>
      <w:lvlJc w:val="left"/>
      <w:rPr>
        <w:i/>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5B6DD951"/>
    <w:multiLevelType w:val="multilevel"/>
    <w:tmpl w:val="5B6DD951"/>
    <w:name w:val="Lista numerada 25"/>
    <w:lvl w:ilvl="0">
      <w:start w:val="1"/>
      <w:numFmt w:val="lowerLetter"/>
      <w:lvlText w:val="%1."/>
      <w:lvlJc w:val="left"/>
      <w:rPr>
        <w:rFonts w:ascii="Verdana" w:hAnsi="Verdana"/>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9">
    <w:nsid w:val="5B6DD956"/>
    <w:multiLevelType w:val="multilevel"/>
    <w:tmpl w:val="5B6DD956"/>
    <w:name w:val="Lista numerada 30"/>
    <w:lvl w:ilvl="0">
      <w:start w:val="1"/>
      <w:numFmt w:val="lowerRoman"/>
      <w:lvlText w:val="%1)"/>
      <w:lvlJc w:val="left"/>
    </w:lvl>
    <w:lvl w:ilvl="1">
      <w:start w:val="3"/>
      <w:numFmt w:val="lowerLetter"/>
      <w:lvlText w:val="%2."/>
      <w:lvlJc w:val="left"/>
      <w:rPr>
        <w:b w:val="0"/>
        <w:i w:val="0"/>
      </w:rPr>
    </w:lvl>
    <w:lvl w:ilvl="2">
      <w:start w:val="1"/>
      <w:numFmt w:val="upp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5B6DD958"/>
    <w:multiLevelType w:val="multilevel"/>
    <w:tmpl w:val="343A226E"/>
    <w:name w:val="Lista numerada 32"/>
    <w:lvl w:ilvl="0">
      <w:start w:val="1"/>
      <w:numFmt w:val="upperLetter"/>
      <w:lvlText w:val="%1."/>
      <w:lvlJc w:val="left"/>
      <w:rPr>
        <w:b/>
        <w:i/>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1">
    <w:nsid w:val="5B6DD95C"/>
    <w:multiLevelType w:val="multilevel"/>
    <w:tmpl w:val="5B6DD95C"/>
    <w:name w:val="Lista numerada 36"/>
    <w:lvl w:ilvl="0">
      <w:start w:val="1"/>
      <w:numFmt w:val="upperLetter"/>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2">
    <w:nsid w:val="5B6DD95E"/>
    <w:multiLevelType w:val="multilevel"/>
    <w:tmpl w:val="5B6DD95E"/>
    <w:name w:val="Lista numerada 38"/>
    <w:lvl w:ilvl="0">
      <w:start w:val="1"/>
      <w:numFmt w:val="decimal"/>
      <w:lvlText w:val="%1."/>
      <w:lvlJc w:val="left"/>
      <w:rPr>
        <w:rFonts w:ascii="Verdana" w:hAnsi="Verdana"/>
        <w:b w:val="0"/>
        <w:i w:val="0"/>
        <w:strike w:val="0"/>
        <w:color w:val="000000"/>
        <w:position w:val="0"/>
        <w:sz w:val="20"/>
        <w:vertAlign w:val="baseline"/>
      </w:rPr>
    </w:lvl>
    <w:lvl w:ilvl="1">
      <w:start w:val="1"/>
      <w:numFmt w:val="lowerLetter"/>
      <w:lvlText w:val="%2."/>
      <w:lvlJc w:val="left"/>
      <w:rPr>
        <w:rFonts w:ascii="Verdana" w:hAnsi="Verdana"/>
        <w:i/>
      </w:rPr>
    </w:lvl>
    <w:lvl w:ilvl="2">
      <w:start w:val="1"/>
      <w:numFmt w:val="lowerRoman"/>
      <w:lvlText w:val="%3."/>
      <w:lvlJc w:val="left"/>
      <w:rPr>
        <w:i/>
      </w:r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B6DD962"/>
    <w:multiLevelType w:val="multilevel"/>
    <w:tmpl w:val="5B6DD962"/>
    <w:name w:val="Lista numerada 42"/>
    <w:lvl w:ilvl="0">
      <w:start w:val="1"/>
      <w:numFmt w:val="lowerLetter"/>
      <w:lvlText w:val="%1)"/>
      <w:lvlJc w:val="left"/>
      <w:pPr>
        <w:tabs>
          <w:tab w:val="left" w:pos="360"/>
        </w:tabs>
      </w:pPr>
      <w:rPr>
        <w:b w:val="0"/>
        <w:i w:val="0"/>
        <w:sz w:val="20"/>
      </w:rPr>
    </w:lvl>
    <w:lvl w:ilvl="1">
      <w:start w:val="1"/>
      <w:numFmt w:val="lowerLetter"/>
      <w:lvlText w:val="%2."/>
      <w:lvlJc w:val="left"/>
      <w:pPr>
        <w:tabs>
          <w:tab w:val="left" w:pos="1080"/>
        </w:tabs>
      </w:pPr>
    </w:lvl>
    <w:lvl w:ilvl="2">
      <w:start w:val="1"/>
      <w:numFmt w:val="lowerRoman"/>
      <w:lvlText w:val="%3."/>
      <w:lvlJc w:val="left"/>
      <w:pPr>
        <w:tabs>
          <w:tab w:val="left" w:pos="1980"/>
        </w:tabs>
      </w:pPr>
    </w:lvl>
    <w:lvl w:ilvl="3">
      <w:start w:val="1"/>
      <w:numFmt w:val="decimal"/>
      <w:lvlText w:val="%4."/>
      <w:lvlJc w:val="left"/>
      <w:pPr>
        <w:tabs>
          <w:tab w:val="left" w:pos="2520"/>
        </w:tabs>
      </w:pPr>
    </w:lvl>
    <w:lvl w:ilvl="4">
      <w:start w:val="1"/>
      <w:numFmt w:val="lowerLetter"/>
      <w:lvlText w:val="%5."/>
      <w:lvlJc w:val="left"/>
      <w:pPr>
        <w:tabs>
          <w:tab w:val="left" w:pos="3240"/>
        </w:tabs>
      </w:pPr>
    </w:lvl>
    <w:lvl w:ilvl="5">
      <w:start w:val="1"/>
      <w:numFmt w:val="lowerRoman"/>
      <w:lvlText w:val="%6."/>
      <w:lvlJc w:val="left"/>
      <w:pPr>
        <w:tabs>
          <w:tab w:val="left" w:pos="4140"/>
        </w:tabs>
      </w:pPr>
    </w:lvl>
    <w:lvl w:ilvl="6">
      <w:start w:val="1"/>
      <w:numFmt w:val="decimal"/>
      <w:lvlText w:val="%7."/>
      <w:lvlJc w:val="left"/>
      <w:pPr>
        <w:tabs>
          <w:tab w:val="left" w:pos="4680"/>
        </w:tabs>
      </w:pPr>
    </w:lvl>
    <w:lvl w:ilvl="7">
      <w:start w:val="1"/>
      <w:numFmt w:val="lowerLetter"/>
      <w:lvlText w:val="%8."/>
      <w:lvlJc w:val="left"/>
      <w:pPr>
        <w:tabs>
          <w:tab w:val="left" w:pos="5400"/>
        </w:tabs>
      </w:pPr>
    </w:lvl>
    <w:lvl w:ilvl="8">
      <w:start w:val="1"/>
      <w:numFmt w:val="lowerRoman"/>
      <w:lvlText w:val="%9."/>
      <w:lvlJc w:val="left"/>
      <w:pPr>
        <w:tabs>
          <w:tab w:val="left" w:pos="6300"/>
        </w:tabs>
      </w:pPr>
    </w:lvl>
  </w:abstractNum>
  <w:num w:numId="1">
    <w:abstractNumId w:val="2"/>
  </w:num>
  <w:num w:numId="2">
    <w:abstractNumId w:val="9"/>
  </w:num>
  <w:num w:numId="3">
    <w:abstractNumId w:val="12"/>
  </w:num>
  <w:num w:numId="4">
    <w:abstractNumId w:val="13"/>
  </w:num>
  <w:num w:numId="5">
    <w:abstractNumId w:val="6"/>
  </w:num>
  <w:num w:numId="6">
    <w:abstractNumId w:val="8"/>
  </w:num>
  <w:num w:numId="7">
    <w:abstractNumId w:val="11"/>
  </w:num>
  <w:num w:numId="8">
    <w:abstractNumId w:val="4"/>
  </w:num>
  <w:num w:numId="9">
    <w:abstractNumId w:val="3"/>
  </w:num>
  <w:num w:numId="10">
    <w:abstractNumId w:val="5"/>
  </w:num>
  <w:num w:numId="11">
    <w:abstractNumId w:val="0"/>
  </w:num>
  <w:num w:numId="12">
    <w:abstractNumId w:val="10"/>
  </w:num>
  <w:num w:numId="13">
    <w:abstractNumId w:val="7"/>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6D8"/>
    <w:rsid w:val="00005901"/>
    <w:rsid w:val="00013017"/>
    <w:rsid w:val="00013983"/>
    <w:rsid w:val="0002791C"/>
    <w:rsid w:val="0004311C"/>
    <w:rsid w:val="00047731"/>
    <w:rsid w:val="000624C7"/>
    <w:rsid w:val="00064130"/>
    <w:rsid w:val="00065154"/>
    <w:rsid w:val="0009387A"/>
    <w:rsid w:val="000C5676"/>
    <w:rsid w:val="000C769B"/>
    <w:rsid w:val="000D480B"/>
    <w:rsid w:val="000D5D3B"/>
    <w:rsid w:val="000E39FE"/>
    <w:rsid w:val="00111212"/>
    <w:rsid w:val="00115440"/>
    <w:rsid w:val="00126E97"/>
    <w:rsid w:val="00135334"/>
    <w:rsid w:val="00162E78"/>
    <w:rsid w:val="0016468E"/>
    <w:rsid w:val="00167906"/>
    <w:rsid w:val="001808D1"/>
    <w:rsid w:val="00187CF4"/>
    <w:rsid w:val="00191A9D"/>
    <w:rsid w:val="001A37C7"/>
    <w:rsid w:val="001D1D5B"/>
    <w:rsid w:val="001D1F47"/>
    <w:rsid w:val="001E3D1E"/>
    <w:rsid w:val="001F330C"/>
    <w:rsid w:val="001F48CC"/>
    <w:rsid w:val="0020708F"/>
    <w:rsid w:val="00214820"/>
    <w:rsid w:val="002212CF"/>
    <w:rsid w:val="00226EED"/>
    <w:rsid w:val="00251A8B"/>
    <w:rsid w:val="002701EA"/>
    <w:rsid w:val="002706B2"/>
    <w:rsid w:val="0028119E"/>
    <w:rsid w:val="00287A5A"/>
    <w:rsid w:val="002918DC"/>
    <w:rsid w:val="002C6766"/>
    <w:rsid w:val="002E4E3D"/>
    <w:rsid w:val="002E7364"/>
    <w:rsid w:val="003001C0"/>
    <w:rsid w:val="00330F55"/>
    <w:rsid w:val="00332F58"/>
    <w:rsid w:val="00340741"/>
    <w:rsid w:val="0034081F"/>
    <w:rsid w:val="003438EE"/>
    <w:rsid w:val="0035121E"/>
    <w:rsid w:val="003908EB"/>
    <w:rsid w:val="003B08E1"/>
    <w:rsid w:val="003D0120"/>
    <w:rsid w:val="003D514F"/>
    <w:rsid w:val="003F67FE"/>
    <w:rsid w:val="0040546C"/>
    <w:rsid w:val="004112F9"/>
    <w:rsid w:val="00416FFE"/>
    <w:rsid w:val="004323FA"/>
    <w:rsid w:val="00464CB5"/>
    <w:rsid w:val="0046676D"/>
    <w:rsid w:val="00467331"/>
    <w:rsid w:val="0047691C"/>
    <w:rsid w:val="004777AE"/>
    <w:rsid w:val="00486E1B"/>
    <w:rsid w:val="004A1957"/>
    <w:rsid w:val="004A2D8B"/>
    <w:rsid w:val="004B1CF2"/>
    <w:rsid w:val="004B3ED7"/>
    <w:rsid w:val="004D0B5C"/>
    <w:rsid w:val="004D15FC"/>
    <w:rsid w:val="00550BBF"/>
    <w:rsid w:val="00552A1D"/>
    <w:rsid w:val="00560BD9"/>
    <w:rsid w:val="005726F1"/>
    <w:rsid w:val="00572C81"/>
    <w:rsid w:val="0057574C"/>
    <w:rsid w:val="00592D10"/>
    <w:rsid w:val="00595BC3"/>
    <w:rsid w:val="00596814"/>
    <w:rsid w:val="005A2F71"/>
    <w:rsid w:val="005B4879"/>
    <w:rsid w:val="005C3199"/>
    <w:rsid w:val="005D3A78"/>
    <w:rsid w:val="005D3CA3"/>
    <w:rsid w:val="00611839"/>
    <w:rsid w:val="006166D8"/>
    <w:rsid w:val="006301B6"/>
    <w:rsid w:val="00641A62"/>
    <w:rsid w:val="0066780D"/>
    <w:rsid w:val="00671669"/>
    <w:rsid w:val="00671FE6"/>
    <w:rsid w:val="00682A5B"/>
    <w:rsid w:val="0069793F"/>
    <w:rsid w:val="006C5A57"/>
    <w:rsid w:val="006D521C"/>
    <w:rsid w:val="006D7311"/>
    <w:rsid w:val="006E0D54"/>
    <w:rsid w:val="006F4175"/>
    <w:rsid w:val="006F430C"/>
    <w:rsid w:val="00731642"/>
    <w:rsid w:val="007335F2"/>
    <w:rsid w:val="00745BF3"/>
    <w:rsid w:val="007521EB"/>
    <w:rsid w:val="007600F8"/>
    <w:rsid w:val="00767A0F"/>
    <w:rsid w:val="00767E04"/>
    <w:rsid w:val="00772536"/>
    <w:rsid w:val="00785921"/>
    <w:rsid w:val="00786B04"/>
    <w:rsid w:val="007877C0"/>
    <w:rsid w:val="00787F00"/>
    <w:rsid w:val="00793238"/>
    <w:rsid w:val="00795393"/>
    <w:rsid w:val="007A598B"/>
    <w:rsid w:val="007A6098"/>
    <w:rsid w:val="007B11F1"/>
    <w:rsid w:val="007E5A4B"/>
    <w:rsid w:val="007F3A90"/>
    <w:rsid w:val="007F44F4"/>
    <w:rsid w:val="008016AB"/>
    <w:rsid w:val="0081472F"/>
    <w:rsid w:val="00863619"/>
    <w:rsid w:val="00872671"/>
    <w:rsid w:val="00873FEC"/>
    <w:rsid w:val="0088070D"/>
    <w:rsid w:val="008877A6"/>
    <w:rsid w:val="00892B5E"/>
    <w:rsid w:val="008A5395"/>
    <w:rsid w:val="008A6061"/>
    <w:rsid w:val="008C5946"/>
    <w:rsid w:val="008D2827"/>
    <w:rsid w:val="008E0A4C"/>
    <w:rsid w:val="008F3E05"/>
    <w:rsid w:val="00900FA6"/>
    <w:rsid w:val="00913F5C"/>
    <w:rsid w:val="00926EAB"/>
    <w:rsid w:val="00967B36"/>
    <w:rsid w:val="00972480"/>
    <w:rsid w:val="00990E65"/>
    <w:rsid w:val="009975A3"/>
    <w:rsid w:val="009C0116"/>
    <w:rsid w:val="009C2C79"/>
    <w:rsid w:val="009D750E"/>
    <w:rsid w:val="009F258B"/>
    <w:rsid w:val="009F3810"/>
    <w:rsid w:val="00A21F4B"/>
    <w:rsid w:val="00A335FC"/>
    <w:rsid w:val="00A51B35"/>
    <w:rsid w:val="00A53212"/>
    <w:rsid w:val="00A64400"/>
    <w:rsid w:val="00A67DE6"/>
    <w:rsid w:val="00A86017"/>
    <w:rsid w:val="00A92BA7"/>
    <w:rsid w:val="00A97098"/>
    <w:rsid w:val="00AA6E1B"/>
    <w:rsid w:val="00AB4A38"/>
    <w:rsid w:val="00AB53EC"/>
    <w:rsid w:val="00AB6711"/>
    <w:rsid w:val="00AC1E7C"/>
    <w:rsid w:val="00AE69BC"/>
    <w:rsid w:val="00AF3CD6"/>
    <w:rsid w:val="00B05C20"/>
    <w:rsid w:val="00B32759"/>
    <w:rsid w:val="00B41DDD"/>
    <w:rsid w:val="00B42848"/>
    <w:rsid w:val="00B5386D"/>
    <w:rsid w:val="00B9342F"/>
    <w:rsid w:val="00B951B4"/>
    <w:rsid w:val="00BA110F"/>
    <w:rsid w:val="00BA5009"/>
    <w:rsid w:val="00BA70EB"/>
    <w:rsid w:val="00C10BBD"/>
    <w:rsid w:val="00C1547D"/>
    <w:rsid w:val="00C66AF3"/>
    <w:rsid w:val="00C82A19"/>
    <w:rsid w:val="00CC7B08"/>
    <w:rsid w:val="00CE19A4"/>
    <w:rsid w:val="00D05F7B"/>
    <w:rsid w:val="00D108B6"/>
    <w:rsid w:val="00D15E2D"/>
    <w:rsid w:val="00D2259F"/>
    <w:rsid w:val="00D33C2E"/>
    <w:rsid w:val="00D43974"/>
    <w:rsid w:val="00D545C0"/>
    <w:rsid w:val="00D60FF1"/>
    <w:rsid w:val="00D639E8"/>
    <w:rsid w:val="00DC2D75"/>
    <w:rsid w:val="00DC523E"/>
    <w:rsid w:val="00DC70EB"/>
    <w:rsid w:val="00DD085F"/>
    <w:rsid w:val="00DD4761"/>
    <w:rsid w:val="00E062DF"/>
    <w:rsid w:val="00E13C2A"/>
    <w:rsid w:val="00E221AF"/>
    <w:rsid w:val="00E24DF8"/>
    <w:rsid w:val="00E35130"/>
    <w:rsid w:val="00E372C2"/>
    <w:rsid w:val="00E379BE"/>
    <w:rsid w:val="00E41216"/>
    <w:rsid w:val="00E46AEE"/>
    <w:rsid w:val="00E64872"/>
    <w:rsid w:val="00E73080"/>
    <w:rsid w:val="00E845F9"/>
    <w:rsid w:val="00E8771A"/>
    <w:rsid w:val="00E90E1F"/>
    <w:rsid w:val="00EC43E4"/>
    <w:rsid w:val="00ED28B6"/>
    <w:rsid w:val="00EF5A93"/>
    <w:rsid w:val="00F40997"/>
    <w:rsid w:val="00F42B5A"/>
    <w:rsid w:val="00F5049E"/>
    <w:rsid w:val="00F64E8C"/>
    <w:rsid w:val="00F6566A"/>
    <w:rsid w:val="00F65B04"/>
    <w:rsid w:val="00F717D5"/>
    <w:rsid w:val="00F76F3F"/>
    <w:rsid w:val="00F90CFC"/>
    <w:rsid w:val="00FA01FE"/>
    <w:rsid w:val="00FA5CA1"/>
    <w:rsid w:val="00FB5ADE"/>
    <w:rsid w:val="00FE7D3F"/>
    <w:rsid w:val="00FF1C0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4B3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E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E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7F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qFormat/>
    <w:rsid w:val="006166D8"/>
    <w:pPr>
      <w:spacing w:after="0" w:line="240" w:lineRule="auto"/>
      <w:jc w:val="both"/>
    </w:pPr>
    <w:rPr>
      <w:rFonts w:ascii="Verdana" w:eastAsia="Batang" w:hAnsi="Verdana" w:cs="Times"/>
      <w:sz w:val="20"/>
      <w:szCs w:val="20"/>
      <w:lang w:val="en-US" w:eastAsia="es-CR"/>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Car Char,FA Fu Car Char,FA Fu Car Car Char,Footnote Text Cha Char"/>
    <w:basedOn w:val="DefaultParagraphFont"/>
    <w:link w:val="FootnoteText"/>
    <w:qFormat/>
    <w:rsid w:val="006166D8"/>
    <w:rPr>
      <w:rFonts w:ascii="Verdana" w:eastAsia="Batang" w:hAnsi="Verdana" w:cs="Times"/>
      <w:sz w:val="20"/>
      <w:szCs w:val="20"/>
      <w:lang w:val="en-US" w:eastAsia="es-C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6166D8"/>
    <w:rPr>
      <w:rFonts w:cs="Times New Roman"/>
      <w:position w:val="0"/>
      <w:szCs w:val="20"/>
      <w:vertAlign w:val="superscript"/>
    </w:rPr>
  </w:style>
  <w:style w:type="character" w:styleId="Hyperlink">
    <w:name w:val="Hyperlink"/>
    <w:uiPriority w:val="99"/>
    <w:rsid w:val="006166D8"/>
    <w:rPr>
      <w:color w:val="0000FF"/>
      <w:u w:val="single"/>
    </w:rPr>
  </w:style>
  <w:style w:type="character" w:styleId="FollowedHyperlink">
    <w:name w:val="FollowedHyperlink"/>
    <w:basedOn w:val="DefaultParagraphFont"/>
    <w:uiPriority w:val="99"/>
    <w:semiHidden/>
    <w:unhideWhenUsed/>
    <w:rsid w:val="006166D8"/>
    <w:rPr>
      <w:color w:val="800080" w:themeColor="followedHyperlink"/>
      <w:u w:val="single"/>
    </w:rPr>
  </w:style>
  <w:style w:type="character" w:styleId="Strong">
    <w:name w:val="Strong"/>
    <w:uiPriority w:val="22"/>
    <w:qFormat/>
    <w:rsid w:val="00E221AF"/>
    <w:rPr>
      <w:b/>
      <w:bCs w:val="0"/>
    </w:rPr>
  </w:style>
  <w:style w:type="paragraph" w:styleId="Header">
    <w:name w:val="header"/>
    <w:basedOn w:val="Normal"/>
    <w:link w:val="HeaderChar"/>
    <w:uiPriority w:val="99"/>
    <w:unhideWhenUsed/>
    <w:rsid w:val="00E221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21AF"/>
    <w:rPr>
      <w:lang w:val="es-ES_tradnl"/>
    </w:rPr>
  </w:style>
  <w:style w:type="paragraph" w:styleId="Footer">
    <w:name w:val="footer"/>
    <w:basedOn w:val="Normal"/>
    <w:link w:val="FooterChar"/>
    <w:uiPriority w:val="99"/>
    <w:unhideWhenUsed/>
    <w:rsid w:val="00E221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21AF"/>
    <w:rPr>
      <w:lang w:val="es-ES_tradnl"/>
    </w:rPr>
  </w:style>
  <w:style w:type="paragraph" w:styleId="ListParagraph">
    <w:name w:val="List Paragraph"/>
    <w:aliases w:val="Párrafo de lista1,List Paragraph1,Colorful List - Accent 11,List Paragraph2,Footnote,Lista vistosa - Énfasis 11"/>
    <w:basedOn w:val="Normal"/>
    <w:qFormat/>
    <w:rsid w:val="00467331"/>
    <w:pPr>
      <w:ind w:left="720"/>
      <w:contextualSpacing/>
    </w:pPr>
  </w:style>
  <w:style w:type="paragraph" w:customStyle="1" w:styleId="Default">
    <w:name w:val="Default"/>
    <w:rsid w:val="00467331"/>
    <w:pPr>
      <w:spacing w:after="0" w:line="240" w:lineRule="auto"/>
    </w:pPr>
    <w:rPr>
      <w:rFonts w:ascii="Verdana" w:eastAsia="Calibri" w:hAnsi="Verdana" w:cs="Verdana"/>
      <w:color w:val="000000"/>
      <w:sz w:val="24"/>
      <w:szCs w:val="24"/>
      <w:lang w:eastAsia="es-CR"/>
    </w:rPr>
  </w:style>
  <w:style w:type="paragraph" w:styleId="TOC1">
    <w:name w:val="toc 1"/>
    <w:basedOn w:val="Normal"/>
    <w:next w:val="Normal"/>
    <w:autoRedefine/>
    <w:uiPriority w:val="39"/>
    <w:unhideWhenUsed/>
    <w:rsid w:val="00595BC3"/>
    <w:pPr>
      <w:spacing w:before="120" w:after="120"/>
    </w:pPr>
    <w:rPr>
      <w:b/>
      <w:bCs/>
      <w:caps/>
      <w:sz w:val="20"/>
      <w:szCs w:val="20"/>
    </w:rPr>
  </w:style>
  <w:style w:type="paragraph" w:styleId="TOC2">
    <w:name w:val="toc 2"/>
    <w:basedOn w:val="Normal"/>
    <w:next w:val="Normal"/>
    <w:autoRedefine/>
    <w:uiPriority w:val="39"/>
    <w:unhideWhenUsed/>
    <w:rsid w:val="00595BC3"/>
    <w:pPr>
      <w:spacing w:after="0"/>
      <w:ind w:left="220"/>
    </w:pPr>
    <w:rPr>
      <w:smallCaps/>
      <w:sz w:val="20"/>
      <w:szCs w:val="20"/>
    </w:rPr>
  </w:style>
  <w:style w:type="paragraph" w:styleId="TOC3">
    <w:name w:val="toc 3"/>
    <w:basedOn w:val="Normal"/>
    <w:next w:val="Normal"/>
    <w:autoRedefine/>
    <w:uiPriority w:val="39"/>
    <w:unhideWhenUsed/>
    <w:rsid w:val="00595BC3"/>
    <w:pPr>
      <w:spacing w:after="0"/>
      <w:ind w:left="440"/>
    </w:pPr>
    <w:rPr>
      <w:i/>
      <w:iCs/>
      <w:sz w:val="20"/>
      <w:szCs w:val="20"/>
    </w:rPr>
  </w:style>
  <w:style w:type="paragraph" w:styleId="TOC4">
    <w:name w:val="toc 4"/>
    <w:basedOn w:val="Normal"/>
    <w:next w:val="Normal"/>
    <w:autoRedefine/>
    <w:uiPriority w:val="39"/>
    <w:unhideWhenUsed/>
    <w:rsid w:val="00595BC3"/>
    <w:pPr>
      <w:spacing w:after="0"/>
      <w:ind w:left="660"/>
    </w:pPr>
    <w:rPr>
      <w:sz w:val="18"/>
      <w:szCs w:val="18"/>
    </w:rPr>
  </w:style>
  <w:style w:type="paragraph" w:styleId="TOC5">
    <w:name w:val="toc 5"/>
    <w:basedOn w:val="Normal"/>
    <w:next w:val="Normal"/>
    <w:autoRedefine/>
    <w:uiPriority w:val="39"/>
    <w:unhideWhenUsed/>
    <w:rsid w:val="00595BC3"/>
    <w:pPr>
      <w:spacing w:after="0"/>
      <w:ind w:left="880"/>
    </w:pPr>
    <w:rPr>
      <w:sz w:val="18"/>
      <w:szCs w:val="18"/>
    </w:rPr>
  </w:style>
  <w:style w:type="paragraph" w:styleId="TOC6">
    <w:name w:val="toc 6"/>
    <w:basedOn w:val="Normal"/>
    <w:next w:val="Normal"/>
    <w:autoRedefine/>
    <w:uiPriority w:val="39"/>
    <w:unhideWhenUsed/>
    <w:rsid w:val="00595BC3"/>
    <w:pPr>
      <w:spacing w:after="0"/>
      <w:ind w:left="1100"/>
    </w:pPr>
    <w:rPr>
      <w:sz w:val="18"/>
      <w:szCs w:val="18"/>
    </w:rPr>
  </w:style>
  <w:style w:type="paragraph" w:styleId="TOC7">
    <w:name w:val="toc 7"/>
    <w:basedOn w:val="Normal"/>
    <w:next w:val="Normal"/>
    <w:autoRedefine/>
    <w:uiPriority w:val="39"/>
    <w:unhideWhenUsed/>
    <w:rsid w:val="00595BC3"/>
    <w:pPr>
      <w:spacing w:after="0"/>
      <w:ind w:left="1320"/>
    </w:pPr>
    <w:rPr>
      <w:sz w:val="18"/>
      <w:szCs w:val="18"/>
    </w:rPr>
  </w:style>
  <w:style w:type="paragraph" w:styleId="TOC8">
    <w:name w:val="toc 8"/>
    <w:basedOn w:val="Normal"/>
    <w:next w:val="Normal"/>
    <w:autoRedefine/>
    <w:uiPriority w:val="39"/>
    <w:unhideWhenUsed/>
    <w:rsid w:val="00595BC3"/>
    <w:pPr>
      <w:spacing w:after="0"/>
      <w:ind w:left="1540"/>
    </w:pPr>
    <w:rPr>
      <w:sz w:val="18"/>
      <w:szCs w:val="18"/>
    </w:rPr>
  </w:style>
  <w:style w:type="paragraph" w:styleId="TOC9">
    <w:name w:val="toc 9"/>
    <w:basedOn w:val="Normal"/>
    <w:next w:val="Normal"/>
    <w:autoRedefine/>
    <w:uiPriority w:val="39"/>
    <w:unhideWhenUsed/>
    <w:rsid w:val="00595BC3"/>
    <w:pPr>
      <w:spacing w:after="0"/>
      <w:ind w:left="1760"/>
    </w:pPr>
    <w:rPr>
      <w:sz w:val="18"/>
      <w:szCs w:val="18"/>
    </w:rPr>
  </w:style>
  <w:style w:type="character" w:customStyle="1" w:styleId="Heading1Char">
    <w:name w:val="Heading 1 Char"/>
    <w:basedOn w:val="DefaultParagraphFont"/>
    <w:link w:val="Heading1"/>
    <w:uiPriority w:val="9"/>
    <w:rsid w:val="004B3ED7"/>
    <w:rPr>
      <w:rFonts w:asciiTheme="majorHAnsi" w:eastAsiaTheme="majorEastAsia" w:hAnsiTheme="majorHAnsi" w:cstheme="majorBidi"/>
      <w:b/>
      <w:bCs/>
      <w:color w:val="365F91" w:themeColor="accent1" w:themeShade="BF"/>
      <w:sz w:val="28"/>
      <w:szCs w:val="28"/>
      <w:lang w:val="es-ES_tradnl"/>
    </w:rPr>
  </w:style>
  <w:style w:type="character" w:customStyle="1" w:styleId="Heading2Char">
    <w:name w:val="Heading 2 Char"/>
    <w:basedOn w:val="DefaultParagraphFont"/>
    <w:link w:val="Heading2"/>
    <w:uiPriority w:val="9"/>
    <w:semiHidden/>
    <w:rsid w:val="004B3ED7"/>
    <w:rPr>
      <w:rFonts w:asciiTheme="majorHAnsi" w:eastAsiaTheme="majorEastAsia" w:hAnsiTheme="majorHAnsi" w:cstheme="majorBidi"/>
      <w:b/>
      <w:bCs/>
      <w:color w:val="4F81BD" w:themeColor="accent1"/>
      <w:sz w:val="26"/>
      <w:szCs w:val="26"/>
      <w:lang w:val="es-ES_tradnl"/>
    </w:rPr>
  </w:style>
  <w:style w:type="character" w:customStyle="1" w:styleId="Heading3Char">
    <w:name w:val="Heading 3 Char"/>
    <w:basedOn w:val="DefaultParagraphFont"/>
    <w:link w:val="Heading3"/>
    <w:uiPriority w:val="9"/>
    <w:semiHidden/>
    <w:rsid w:val="004B3ED7"/>
    <w:rPr>
      <w:rFonts w:asciiTheme="majorHAnsi" w:eastAsiaTheme="majorEastAsia" w:hAnsiTheme="majorHAnsi" w:cstheme="majorBidi"/>
      <w:b/>
      <w:bCs/>
      <w:color w:val="4F81BD" w:themeColor="accent1"/>
      <w:lang w:val="es-ES_tradnl"/>
    </w:rPr>
  </w:style>
  <w:style w:type="character" w:customStyle="1" w:styleId="Heading4Char">
    <w:name w:val="Heading 4 Char"/>
    <w:basedOn w:val="DefaultParagraphFont"/>
    <w:link w:val="Heading4"/>
    <w:uiPriority w:val="9"/>
    <w:semiHidden/>
    <w:rsid w:val="00787F00"/>
    <w:rPr>
      <w:rFonts w:asciiTheme="majorHAnsi" w:eastAsiaTheme="majorEastAsia" w:hAnsiTheme="majorHAnsi" w:cstheme="majorBidi"/>
      <w:b/>
      <w:bCs/>
      <w:i/>
      <w:iCs/>
      <w:color w:val="4F81BD" w:themeColor="accent1"/>
      <w:lang w:val="es-ES_tradnl"/>
    </w:rPr>
  </w:style>
  <w:style w:type="paragraph" w:styleId="BalloonText">
    <w:name w:val="Balloon Text"/>
    <w:basedOn w:val="Normal"/>
    <w:link w:val="BalloonTextChar"/>
    <w:uiPriority w:val="99"/>
    <w:semiHidden/>
    <w:unhideWhenUsed/>
    <w:rsid w:val="009F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10"/>
    <w:rPr>
      <w:rFonts w:ascii="Tahoma" w:hAnsi="Tahoma" w:cs="Tahoma"/>
      <w:sz w:val="16"/>
      <w:szCs w:val="16"/>
      <w:lang w:val="es-ES_tradnl"/>
    </w:rPr>
  </w:style>
  <w:style w:type="paragraph" w:styleId="Revision">
    <w:name w:val="Revision"/>
    <w:hidden/>
    <w:uiPriority w:val="99"/>
    <w:semiHidden/>
    <w:rsid w:val="00416FFE"/>
    <w:pPr>
      <w:spacing w:after="0" w:line="240" w:lineRule="auto"/>
    </w:pPr>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paragraph" w:styleId="Heading1">
    <w:name w:val="heading 1"/>
    <w:basedOn w:val="Normal"/>
    <w:next w:val="Normal"/>
    <w:link w:val="Heading1Char"/>
    <w:uiPriority w:val="9"/>
    <w:qFormat/>
    <w:rsid w:val="004B3E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B3E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3ED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87F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A Fu,Footnote Text Char Char Char Char Char,Footnote Text Char Char Char Char,Footnote reference,Footnote Text Char Char Char,Texto nota pie Car,FA Fu Car,FA Fu Car Car,Footnote Text Cha,FA Fußnotentext,FA Fuﬂnotentext,FA Fu?notentext,Ca"/>
    <w:basedOn w:val="Normal"/>
    <w:link w:val="FootnoteTextChar"/>
    <w:qFormat/>
    <w:rsid w:val="006166D8"/>
    <w:pPr>
      <w:spacing w:after="0" w:line="240" w:lineRule="auto"/>
      <w:jc w:val="both"/>
    </w:pPr>
    <w:rPr>
      <w:rFonts w:ascii="Verdana" w:eastAsia="Batang" w:hAnsi="Verdana" w:cs="Times"/>
      <w:sz w:val="20"/>
      <w:szCs w:val="20"/>
      <w:lang w:val="en-US" w:eastAsia="es-CR"/>
    </w:rPr>
  </w:style>
  <w:style w:type="character" w:customStyle="1" w:styleId="FootnoteTextChar">
    <w:name w:val="Footnote Text Char"/>
    <w:aliases w:val="FA Fu Char,Footnote Text Char Char Char Char Char Char,Footnote Text Char Char Char Char Char1,Footnote reference Char,Footnote Text Char Char Char Char1,Texto nota pie Car Char,FA Fu Car Char,FA Fu Car Car Char,Footnote Text Cha Char"/>
    <w:basedOn w:val="DefaultParagraphFont"/>
    <w:link w:val="FootnoteText"/>
    <w:qFormat/>
    <w:rsid w:val="006166D8"/>
    <w:rPr>
      <w:rFonts w:ascii="Verdana" w:eastAsia="Batang" w:hAnsi="Verdana" w:cs="Times"/>
      <w:sz w:val="20"/>
      <w:szCs w:val="20"/>
      <w:lang w:val="en-US" w:eastAsia="es-CR"/>
    </w:rPr>
  </w:style>
  <w:style w:type="character" w:styleId="FootnoteReference">
    <w:name w:val="footnote reference"/>
    <w:aliases w:val="Texto de nota al pie,Appel note de bas de page,Footnotes refss,Footnote number,referencia nota al pie,BVI fnr,f,4_G,16 Point,Superscript 6 Point,Texto nota al pie,Footnote Reference Char3,Footnote Reference Char1 Char,Ref. de nota al"/>
    <w:qFormat/>
    <w:rsid w:val="006166D8"/>
    <w:rPr>
      <w:rFonts w:cs="Times New Roman"/>
      <w:position w:val="0"/>
      <w:szCs w:val="20"/>
      <w:vertAlign w:val="superscript"/>
    </w:rPr>
  </w:style>
  <w:style w:type="character" w:styleId="Hyperlink">
    <w:name w:val="Hyperlink"/>
    <w:uiPriority w:val="99"/>
    <w:rsid w:val="006166D8"/>
    <w:rPr>
      <w:color w:val="0000FF"/>
      <w:u w:val="single"/>
    </w:rPr>
  </w:style>
  <w:style w:type="character" w:styleId="FollowedHyperlink">
    <w:name w:val="FollowedHyperlink"/>
    <w:basedOn w:val="DefaultParagraphFont"/>
    <w:uiPriority w:val="99"/>
    <w:semiHidden/>
    <w:unhideWhenUsed/>
    <w:rsid w:val="006166D8"/>
    <w:rPr>
      <w:color w:val="800080" w:themeColor="followedHyperlink"/>
      <w:u w:val="single"/>
    </w:rPr>
  </w:style>
  <w:style w:type="character" w:styleId="Strong">
    <w:name w:val="Strong"/>
    <w:uiPriority w:val="22"/>
    <w:qFormat/>
    <w:rsid w:val="00E221AF"/>
    <w:rPr>
      <w:b/>
      <w:bCs w:val="0"/>
    </w:rPr>
  </w:style>
  <w:style w:type="paragraph" w:styleId="Header">
    <w:name w:val="header"/>
    <w:basedOn w:val="Normal"/>
    <w:link w:val="HeaderChar"/>
    <w:uiPriority w:val="99"/>
    <w:unhideWhenUsed/>
    <w:rsid w:val="00E221AF"/>
    <w:pPr>
      <w:tabs>
        <w:tab w:val="center" w:pos="4419"/>
        <w:tab w:val="right" w:pos="8838"/>
      </w:tabs>
      <w:spacing w:after="0" w:line="240" w:lineRule="auto"/>
    </w:pPr>
  </w:style>
  <w:style w:type="character" w:customStyle="1" w:styleId="HeaderChar">
    <w:name w:val="Header Char"/>
    <w:basedOn w:val="DefaultParagraphFont"/>
    <w:link w:val="Header"/>
    <w:uiPriority w:val="99"/>
    <w:rsid w:val="00E221AF"/>
    <w:rPr>
      <w:lang w:val="es-ES_tradnl"/>
    </w:rPr>
  </w:style>
  <w:style w:type="paragraph" w:styleId="Footer">
    <w:name w:val="footer"/>
    <w:basedOn w:val="Normal"/>
    <w:link w:val="FooterChar"/>
    <w:uiPriority w:val="99"/>
    <w:unhideWhenUsed/>
    <w:rsid w:val="00E221AF"/>
    <w:pPr>
      <w:tabs>
        <w:tab w:val="center" w:pos="4419"/>
        <w:tab w:val="right" w:pos="8838"/>
      </w:tabs>
      <w:spacing w:after="0" w:line="240" w:lineRule="auto"/>
    </w:pPr>
  </w:style>
  <w:style w:type="character" w:customStyle="1" w:styleId="FooterChar">
    <w:name w:val="Footer Char"/>
    <w:basedOn w:val="DefaultParagraphFont"/>
    <w:link w:val="Footer"/>
    <w:uiPriority w:val="99"/>
    <w:rsid w:val="00E221AF"/>
    <w:rPr>
      <w:lang w:val="es-ES_tradnl"/>
    </w:rPr>
  </w:style>
  <w:style w:type="paragraph" w:styleId="ListParagraph">
    <w:name w:val="List Paragraph"/>
    <w:aliases w:val="Párrafo de lista1,List Paragraph1,Colorful List - Accent 11,List Paragraph2,Footnote,Lista vistosa - Énfasis 11"/>
    <w:basedOn w:val="Normal"/>
    <w:qFormat/>
    <w:rsid w:val="00467331"/>
    <w:pPr>
      <w:ind w:left="720"/>
      <w:contextualSpacing/>
    </w:pPr>
  </w:style>
  <w:style w:type="paragraph" w:customStyle="1" w:styleId="Default">
    <w:name w:val="Default"/>
    <w:rsid w:val="00467331"/>
    <w:pPr>
      <w:spacing w:after="0" w:line="240" w:lineRule="auto"/>
    </w:pPr>
    <w:rPr>
      <w:rFonts w:ascii="Verdana" w:eastAsia="Calibri" w:hAnsi="Verdana" w:cs="Verdana"/>
      <w:color w:val="000000"/>
      <w:sz w:val="24"/>
      <w:szCs w:val="24"/>
      <w:lang w:eastAsia="es-CR"/>
    </w:rPr>
  </w:style>
  <w:style w:type="paragraph" w:styleId="TOC1">
    <w:name w:val="toc 1"/>
    <w:basedOn w:val="Normal"/>
    <w:next w:val="Normal"/>
    <w:autoRedefine/>
    <w:uiPriority w:val="39"/>
    <w:unhideWhenUsed/>
    <w:rsid w:val="00595BC3"/>
    <w:pPr>
      <w:spacing w:before="120" w:after="120"/>
    </w:pPr>
    <w:rPr>
      <w:b/>
      <w:bCs/>
      <w:caps/>
      <w:sz w:val="20"/>
      <w:szCs w:val="20"/>
    </w:rPr>
  </w:style>
  <w:style w:type="paragraph" w:styleId="TOC2">
    <w:name w:val="toc 2"/>
    <w:basedOn w:val="Normal"/>
    <w:next w:val="Normal"/>
    <w:autoRedefine/>
    <w:uiPriority w:val="39"/>
    <w:unhideWhenUsed/>
    <w:rsid w:val="00595BC3"/>
    <w:pPr>
      <w:spacing w:after="0"/>
      <w:ind w:left="220"/>
    </w:pPr>
    <w:rPr>
      <w:smallCaps/>
      <w:sz w:val="20"/>
      <w:szCs w:val="20"/>
    </w:rPr>
  </w:style>
  <w:style w:type="paragraph" w:styleId="TOC3">
    <w:name w:val="toc 3"/>
    <w:basedOn w:val="Normal"/>
    <w:next w:val="Normal"/>
    <w:autoRedefine/>
    <w:uiPriority w:val="39"/>
    <w:unhideWhenUsed/>
    <w:rsid w:val="00595BC3"/>
    <w:pPr>
      <w:spacing w:after="0"/>
      <w:ind w:left="440"/>
    </w:pPr>
    <w:rPr>
      <w:i/>
      <w:iCs/>
      <w:sz w:val="20"/>
      <w:szCs w:val="20"/>
    </w:rPr>
  </w:style>
  <w:style w:type="paragraph" w:styleId="TOC4">
    <w:name w:val="toc 4"/>
    <w:basedOn w:val="Normal"/>
    <w:next w:val="Normal"/>
    <w:autoRedefine/>
    <w:uiPriority w:val="39"/>
    <w:unhideWhenUsed/>
    <w:rsid w:val="00595BC3"/>
    <w:pPr>
      <w:spacing w:after="0"/>
      <w:ind w:left="660"/>
    </w:pPr>
    <w:rPr>
      <w:sz w:val="18"/>
      <w:szCs w:val="18"/>
    </w:rPr>
  </w:style>
  <w:style w:type="paragraph" w:styleId="TOC5">
    <w:name w:val="toc 5"/>
    <w:basedOn w:val="Normal"/>
    <w:next w:val="Normal"/>
    <w:autoRedefine/>
    <w:uiPriority w:val="39"/>
    <w:unhideWhenUsed/>
    <w:rsid w:val="00595BC3"/>
    <w:pPr>
      <w:spacing w:after="0"/>
      <w:ind w:left="880"/>
    </w:pPr>
    <w:rPr>
      <w:sz w:val="18"/>
      <w:szCs w:val="18"/>
    </w:rPr>
  </w:style>
  <w:style w:type="paragraph" w:styleId="TOC6">
    <w:name w:val="toc 6"/>
    <w:basedOn w:val="Normal"/>
    <w:next w:val="Normal"/>
    <w:autoRedefine/>
    <w:uiPriority w:val="39"/>
    <w:unhideWhenUsed/>
    <w:rsid w:val="00595BC3"/>
    <w:pPr>
      <w:spacing w:after="0"/>
      <w:ind w:left="1100"/>
    </w:pPr>
    <w:rPr>
      <w:sz w:val="18"/>
      <w:szCs w:val="18"/>
    </w:rPr>
  </w:style>
  <w:style w:type="paragraph" w:styleId="TOC7">
    <w:name w:val="toc 7"/>
    <w:basedOn w:val="Normal"/>
    <w:next w:val="Normal"/>
    <w:autoRedefine/>
    <w:uiPriority w:val="39"/>
    <w:unhideWhenUsed/>
    <w:rsid w:val="00595BC3"/>
    <w:pPr>
      <w:spacing w:after="0"/>
      <w:ind w:left="1320"/>
    </w:pPr>
    <w:rPr>
      <w:sz w:val="18"/>
      <w:szCs w:val="18"/>
    </w:rPr>
  </w:style>
  <w:style w:type="paragraph" w:styleId="TOC8">
    <w:name w:val="toc 8"/>
    <w:basedOn w:val="Normal"/>
    <w:next w:val="Normal"/>
    <w:autoRedefine/>
    <w:uiPriority w:val="39"/>
    <w:unhideWhenUsed/>
    <w:rsid w:val="00595BC3"/>
    <w:pPr>
      <w:spacing w:after="0"/>
      <w:ind w:left="1540"/>
    </w:pPr>
    <w:rPr>
      <w:sz w:val="18"/>
      <w:szCs w:val="18"/>
    </w:rPr>
  </w:style>
  <w:style w:type="paragraph" w:styleId="TOC9">
    <w:name w:val="toc 9"/>
    <w:basedOn w:val="Normal"/>
    <w:next w:val="Normal"/>
    <w:autoRedefine/>
    <w:uiPriority w:val="39"/>
    <w:unhideWhenUsed/>
    <w:rsid w:val="00595BC3"/>
    <w:pPr>
      <w:spacing w:after="0"/>
      <w:ind w:left="1760"/>
    </w:pPr>
    <w:rPr>
      <w:sz w:val="18"/>
      <w:szCs w:val="18"/>
    </w:rPr>
  </w:style>
  <w:style w:type="character" w:customStyle="1" w:styleId="Heading1Char">
    <w:name w:val="Heading 1 Char"/>
    <w:basedOn w:val="DefaultParagraphFont"/>
    <w:link w:val="Heading1"/>
    <w:uiPriority w:val="9"/>
    <w:rsid w:val="004B3ED7"/>
    <w:rPr>
      <w:rFonts w:asciiTheme="majorHAnsi" w:eastAsiaTheme="majorEastAsia" w:hAnsiTheme="majorHAnsi" w:cstheme="majorBidi"/>
      <w:b/>
      <w:bCs/>
      <w:color w:val="365F91" w:themeColor="accent1" w:themeShade="BF"/>
      <w:sz w:val="28"/>
      <w:szCs w:val="28"/>
      <w:lang w:val="es-ES_tradnl"/>
    </w:rPr>
  </w:style>
  <w:style w:type="character" w:customStyle="1" w:styleId="Heading2Char">
    <w:name w:val="Heading 2 Char"/>
    <w:basedOn w:val="DefaultParagraphFont"/>
    <w:link w:val="Heading2"/>
    <w:uiPriority w:val="9"/>
    <w:semiHidden/>
    <w:rsid w:val="004B3ED7"/>
    <w:rPr>
      <w:rFonts w:asciiTheme="majorHAnsi" w:eastAsiaTheme="majorEastAsia" w:hAnsiTheme="majorHAnsi" w:cstheme="majorBidi"/>
      <w:b/>
      <w:bCs/>
      <w:color w:val="4F81BD" w:themeColor="accent1"/>
      <w:sz w:val="26"/>
      <w:szCs w:val="26"/>
      <w:lang w:val="es-ES_tradnl"/>
    </w:rPr>
  </w:style>
  <w:style w:type="character" w:customStyle="1" w:styleId="Heading3Char">
    <w:name w:val="Heading 3 Char"/>
    <w:basedOn w:val="DefaultParagraphFont"/>
    <w:link w:val="Heading3"/>
    <w:uiPriority w:val="9"/>
    <w:semiHidden/>
    <w:rsid w:val="004B3ED7"/>
    <w:rPr>
      <w:rFonts w:asciiTheme="majorHAnsi" w:eastAsiaTheme="majorEastAsia" w:hAnsiTheme="majorHAnsi" w:cstheme="majorBidi"/>
      <w:b/>
      <w:bCs/>
      <w:color w:val="4F81BD" w:themeColor="accent1"/>
      <w:lang w:val="es-ES_tradnl"/>
    </w:rPr>
  </w:style>
  <w:style w:type="character" w:customStyle="1" w:styleId="Heading4Char">
    <w:name w:val="Heading 4 Char"/>
    <w:basedOn w:val="DefaultParagraphFont"/>
    <w:link w:val="Heading4"/>
    <w:uiPriority w:val="9"/>
    <w:semiHidden/>
    <w:rsid w:val="00787F00"/>
    <w:rPr>
      <w:rFonts w:asciiTheme="majorHAnsi" w:eastAsiaTheme="majorEastAsia" w:hAnsiTheme="majorHAnsi" w:cstheme="majorBidi"/>
      <w:b/>
      <w:bCs/>
      <w:i/>
      <w:iCs/>
      <w:color w:val="4F81BD" w:themeColor="accent1"/>
      <w:lang w:val="es-ES_tradnl"/>
    </w:rPr>
  </w:style>
  <w:style w:type="paragraph" w:styleId="BalloonText">
    <w:name w:val="Balloon Text"/>
    <w:basedOn w:val="Normal"/>
    <w:link w:val="BalloonTextChar"/>
    <w:uiPriority w:val="99"/>
    <w:semiHidden/>
    <w:unhideWhenUsed/>
    <w:rsid w:val="009F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3810"/>
    <w:rPr>
      <w:rFonts w:ascii="Tahoma" w:hAnsi="Tahoma" w:cs="Tahoma"/>
      <w:sz w:val="16"/>
      <w:szCs w:val="16"/>
      <w:lang w:val="es-ES_tradnl"/>
    </w:rPr>
  </w:style>
  <w:style w:type="paragraph" w:styleId="Revision">
    <w:name w:val="Revision"/>
    <w:hidden/>
    <w:uiPriority w:val="99"/>
    <w:semiHidden/>
    <w:rsid w:val="00416FFE"/>
    <w:pPr>
      <w:spacing w:after="0" w:line="240" w:lineRule="auto"/>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cicad.oas.org/fortalecimiento_institucional/legislations/PDF/GT/decreto_congresional_51-92_codigo_procesal_penal.pdf" TargetMode="External"/><Relationship Id="rId2" Type="http://schemas.openxmlformats.org/officeDocument/2006/relationships/hyperlink" Target="http://www.centrodememoriahistorica.gov.co/descargas/guatemala-memoria-silencio/guatemala-memoria-del-silencio.pdf" TargetMode="External"/><Relationship Id="rId1" Type="http://schemas.openxmlformats.org/officeDocument/2006/relationships/hyperlink" Target="http://www.corteidh.or.cr/docs/asuntos/cocmax_13_12_17.pdf" TargetMode="External"/><Relationship Id="rId4" Type="http://schemas.openxmlformats.org/officeDocument/2006/relationships/hyperlink" Target="http://www.banguat.gob.gt/camb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55355-C159-42A7-92CA-079678089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63</Pages>
  <Words>22177</Words>
  <Characters>126410</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Patricia Calderon</cp:lastModifiedBy>
  <cp:revision>3</cp:revision>
  <cp:lastPrinted>2018-09-28T21:04:00Z</cp:lastPrinted>
  <dcterms:created xsi:type="dcterms:W3CDTF">2018-09-28T21:04:00Z</dcterms:created>
  <dcterms:modified xsi:type="dcterms:W3CDTF">2018-09-28T21:07:00Z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-546813120</vt:i4>
  </property>
</Properties>
</file>